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E2972">
      <w:pPr>
        <w:divId w:val="1126848095"/>
        <w:rPr>
          <w:rFonts w:eastAsia="Times New Roman"/>
          <w:vanish/>
        </w:rPr>
      </w:pPr>
      <w:r>
        <w:rPr>
          <w:rFonts w:eastAsia="Times New Roman"/>
          <w:vanish/>
        </w:rPr>
        <w:t>000077149710/312021Q2FALSE00007714972020-11-012021-04-30xbrli:shares00007714972021-06-08iso4217:USD00007714972021-04-3000007714972020-10-31iso4217:USDxbrli:shares00007714972021-02-012021-04-3000007714972020-02-012020-04-3000007714972019-11-01</w:t>
      </w:r>
      <w:r>
        <w:rPr>
          <w:rFonts w:eastAsia="Times New Roman"/>
          <w:vanish/>
        </w:rPr>
        <w:t>2020-04-300000771497us-gaap:CommonStockMember2021-01-310000771497us-gaap:CommonStockMember2020-01-310000771497us-gaap:CommonStockMember2020-10-310000771497us-gaap:CommonStockMember2019-10-310000771497us-gaap:CommonStockMember2021-02-012021-04-300000771497u</w:t>
      </w:r>
      <w:r>
        <w:rPr>
          <w:rFonts w:eastAsia="Times New Roman"/>
          <w:vanish/>
        </w:rPr>
        <w:t>s-gaap:CommonStockMember2020-02-012020-04-300000771497us-gaap:CommonStockMember2020-11-012021-04-300000771497us-gaap:CommonStockMember2019-11-012020-04-300000771497us-gaap:CommonStockMember2021-04-300000771497us-gaap:CommonStockMember2020-04-300000771497us</w:t>
      </w:r>
      <w:r>
        <w:rPr>
          <w:rFonts w:eastAsia="Times New Roman"/>
          <w:vanish/>
        </w:rPr>
        <w:t>-gaap:AdditionalPaidInCapitalMember2021-01-310000771497us-gaap:AdditionalPaidInCapitalMember2020-01-310000771497us-gaap:AdditionalPaidInCapitalMember2020-10-310000771497us-gaap:AdditionalPaidInCapitalMember2019-10-310000771497us-gaap:AdditionalPaidInCapita</w:t>
      </w:r>
      <w:r>
        <w:rPr>
          <w:rFonts w:eastAsia="Times New Roman"/>
          <w:vanish/>
        </w:rPr>
        <w:t>lMember2021-02-012021-04-300000771497us-gaap:AdditionalPaidInCapitalMember2020-02-012020-04-300000771497us-gaap:AdditionalPaidInCapitalMember2020-11-012021-04-300000771497us-gaap:AdditionalPaidInCapitalMember2019-11-012020-04-300000771497us-gaap:Additional</w:t>
      </w:r>
      <w:r>
        <w:rPr>
          <w:rFonts w:eastAsia="Times New Roman"/>
          <w:vanish/>
        </w:rPr>
        <w:t>PaidInCapitalMember2021-04-300000771497us-gaap:AdditionalPaidInCapitalMember2020-04-300000771497us-gaap:AccumulatedOtherComprehensiveIncomeMember2021-01-310000771497us-gaap:AccumulatedOtherComprehensiveIncomeMember2020-01-310000771497us-gaap:AccumulatedOth</w:t>
      </w:r>
      <w:r>
        <w:rPr>
          <w:rFonts w:eastAsia="Times New Roman"/>
          <w:vanish/>
        </w:rPr>
        <w:t>erComprehensiveIncomeMember2020-10-310000771497us-gaap:AccumulatedOtherComprehensiveIncomeMember2019-10-310000771497us-gaap:AccumulatedOtherComprehensiveIncomeMember2021-02-012021-04-300000771497us-gaap:AccumulatedOtherComprehensiveIncomeMember2020-02-0120</w:t>
      </w:r>
      <w:r>
        <w:rPr>
          <w:rFonts w:eastAsia="Times New Roman"/>
          <w:vanish/>
        </w:rPr>
        <w:t>20-04-300000771497us-gaap:AccumulatedOtherComprehensiveIncomeMember2020-11-012021-04-300000771497us-gaap:AccumulatedOtherComprehensiveIncomeMember2019-11-012020-04-300000771497us-gaap:AccumulatedOtherComprehensiveIncomeMember2021-04-300000771497us-gaap:Acc</w:t>
      </w:r>
      <w:r>
        <w:rPr>
          <w:rFonts w:eastAsia="Times New Roman"/>
          <w:vanish/>
        </w:rPr>
        <w:t>umulatedOtherComprehensiveIncomeMember2020-04-300000771497us-gaap:RetainedEarningsMember2021-01-310000771497us-gaap:RetainedEarningsMember2020-01-310000771497us-gaap:RetainedEarningsMember2020-10-310000771497us-gaap:RetainedEarningsMember2019-10-3100007714</w:t>
      </w:r>
      <w:r>
        <w:rPr>
          <w:rFonts w:eastAsia="Times New Roman"/>
          <w:vanish/>
        </w:rPr>
        <w:t>97us-gaap:RetainedEarningsMember2021-02-012021-04-300000771497us-gaap:RetainedEarningsMember2020-02-012020-04-300000771497us-gaap:RetainedEarningsMember2020-11-012021-04-300000771497us-gaap:RetainedEarningsMember2019-11-012020-04-300000771497us-gaap:Retain</w:t>
      </w:r>
      <w:r>
        <w:rPr>
          <w:rFonts w:eastAsia="Times New Roman"/>
          <w:vanish/>
        </w:rPr>
        <w:t>edEarningsMember2021-04-300000771497us-gaap:RetainedEarningsMember2020-04-3000007714972020-04-3000007714972019-10-31abm:industry_groupabm:segment0000771497abm:ManagementReimbursementRevenueMemberabm:BusinessandIndustryMember2021-02-012021-04-300000771497ab</w:t>
      </w:r>
      <w:r>
        <w:rPr>
          <w:rFonts w:eastAsia="Times New Roman"/>
          <w:vanish/>
        </w:rPr>
        <w:t>m:ManagementReimbursementRevenueMemberabm:BusinessandIndustryMember2020-02-012020-04-300000771497abm:ManagementReimbursementRevenueMemberabm:BusinessandIndustryMember2020-11-012021-04-300000771497abm:ManagementReimbursementRevenueMemberabm:BusinessandIndus</w:t>
      </w:r>
      <w:r>
        <w:rPr>
          <w:rFonts w:eastAsia="Times New Roman"/>
          <w:vanish/>
        </w:rPr>
        <w:t>tryMember2019-11-012020-04-300000771497abm:ManagementReimbursementRevenueMemberabm:AviationMember2021-02-012021-04-300000771497abm:ManagementReimbursementRevenueMemberabm:AviationMember2020-02-012020-04-300000771497abm:ManagementReimbursementRevenueMembera</w:t>
      </w:r>
      <w:r>
        <w:rPr>
          <w:rFonts w:eastAsia="Times New Roman"/>
          <w:vanish/>
        </w:rPr>
        <w:t>bm:AviationMember2020-11-012021-04-300000771497abm:ManagementReimbursementRevenueMemberabm:AviationMember2019-11-012020-04-300000771497abm:ManagementReimbursementRevenueMember2021-02-012021-04-300000771497abm:ManagementReimbursementRevenueMember2020-02-012</w:t>
      </w:r>
      <w:r>
        <w:rPr>
          <w:rFonts w:eastAsia="Times New Roman"/>
          <w:vanish/>
        </w:rPr>
        <w:t>020-04-300000771497abm:ManagementReimbursementRevenueMember2020-11-012021-04-300000771497abm:ManagementReimbursementRevenueMember2019-11-012020-04-300000771497abm:JanitorialMemberabm:BusinessandIndustryMemberus-gaap:OperatingSegmentsMember2021-02-012021-04</w:t>
      </w:r>
      <w:r>
        <w:rPr>
          <w:rFonts w:eastAsia="Times New Roman"/>
          <w:vanish/>
        </w:rPr>
        <w:t>-300000771497abm:JanitorialMemberus-gaap:OperatingSegmentsMemberabm:TechnologyAndManufacturingMember2021-02-012021-04-300000771497abm:JanitorialMemberabm:EducationMemberus-gaap:OperatingSegmentsMember2021-02-012021-04-300000771497abm:JanitorialMemberus-gaa</w:t>
      </w:r>
      <w:r>
        <w:rPr>
          <w:rFonts w:eastAsia="Times New Roman"/>
          <w:vanish/>
        </w:rPr>
        <w:t>p:OperatingSegmentsMemberabm:AviationMember2021-02-012021-04-300000771497abm:TechnicalSolutionsMemberabm:JanitorialMemberus-gaap:OperatingSegmentsMember2021-02-012021-04-300000771497abm:JanitorialMemberus-gaap:OperatingSegmentsMember2021-02-012021-04-30000</w:t>
      </w:r>
      <w:r>
        <w:rPr>
          <w:rFonts w:eastAsia="Times New Roman"/>
          <w:vanish/>
        </w:rPr>
        <w:t>0771497abm:JanitorialMemberabm:BusinessandIndustryMemberus-gaap:OperatingSegmentsMember2020-11-012021-04-300000771497abm:JanitorialMemberus-gaap:OperatingSegmentsMemberabm:TechnologyAndManufacturingMember2020-11-012021-04-300000771497abm:JanitorialMemberab</w:t>
      </w:r>
      <w:r>
        <w:rPr>
          <w:rFonts w:eastAsia="Times New Roman"/>
          <w:vanish/>
        </w:rPr>
        <w:t>m:EducationMemberus-gaap:OperatingSegmentsMember2020-11-012021-04-300000771497abm:JanitorialMemberus-gaap:OperatingSegmentsMemberabm:AviationMember2020-11-012021-04-300000771497abm:TechnicalSolutionsMemberabm:JanitorialMemberus-gaap:OperatingSegmentsMember</w:t>
      </w:r>
      <w:r>
        <w:rPr>
          <w:rFonts w:eastAsia="Times New Roman"/>
          <w:vanish/>
        </w:rPr>
        <w:t>2020-11-012021-04-300000771497abm:JanitorialMemberus-gaap:OperatingSegmentsMember2020-11-012021-04-300000771497us-gaap:ParkingMemberabm:BusinessandIndustryMemberus-gaap:OperatingSegmentsMember2021-02-012021-04-300000771497us-gaap:ParkingMemberus-gaap:Opera</w:t>
      </w:r>
      <w:r>
        <w:rPr>
          <w:rFonts w:eastAsia="Times New Roman"/>
          <w:vanish/>
        </w:rPr>
        <w:t>tingSegmentsMemberabm:TechnologyAndManufacturingMember2021-02-012021-04-300000771497us-gaap:ParkingMemberabm:EducationMemberus-gaap:OperatingSegmentsMember2021-02-012021-04-300000771497us-gaap:ParkingMemberus-gaap:OperatingSegmentsMemberabm:AviationMember2</w:t>
      </w:r>
      <w:r>
        <w:rPr>
          <w:rFonts w:eastAsia="Times New Roman"/>
          <w:vanish/>
        </w:rPr>
        <w:t>021-02-012021-04-300000771497us-gaap:ParkingMemberabm:TechnicalSolutionsMemberus-gaap:OperatingSegmentsMember2021-02-012021-04-300000771497us-gaap:ParkingMemberus-gaap:OperatingSegmentsMember2021-02-012021-04-300000771497us-gaap:ParkingMemberabm:Businessan</w:t>
      </w:r>
      <w:r>
        <w:rPr>
          <w:rFonts w:eastAsia="Times New Roman"/>
          <w:vanish/>
        </w:rPr>
        <w:t>dIndustryMemberus-gaap:OperatingSegmentsMember2020-11-012021-04-300000771497us-gaap:ParkingMemberus-gaap:OperatingSegmentsMemberabm:TechnologyAndManufacturingMember2020-11-012021-04-300000771497us-gaap:ParkingMemberabm:EducationMemberus-gaap:OperatingSegme</w:t>
      </w:r>
      <w:r>
        <w:rPr>
          <w:rFonts w:eastAsia="Times New Roman"/>
          <w:vanish/>
        </w:rPr>
        <w:t>ntsMember2020-11-012021-04-300000771497us-gaap:ParkingMemberus-gaap:OperatingSegmentsMemberabm:AviationMember2020-11-012021-04-300000771497us-gaap:ParkingMemberabm:TechnicalSolutionsMemberus-gaap:OperatingSegmentsMember2020-11-012021-04-300000771497us-gaap</w:t>
      </w:r>
      <w:r>
        <w:rPr>
          <w:rFonts w:eastAsia="Times New Roman"/>
          <w:vanish/>
        </w:rPr>
        <w:t>:ParkingMemberus-gaap:OperatingSegmentsMember2020-11-012021-04-300000771497abm:FacilityServicesMemberabm:BusinessandIndustryMemberus-gaap:OperatingSegmentsMember2021-02-012021-04-300000771497abm:FacilityServicesMemberus-gaap:OperatingSegmentsMemberabm:Tech</w:t>
      </w:r>
      <w:r>
        <w:rPr>
          <w:rFonts w:eastAsia="Times New Roman"/>
          <w:vanish/>
        </w:rPr>
        <w:t>nologyAndManufacturingMember2021-02-012021-04-300000771497abm:FacilityServicesMemberabm:EducationMemberus-gaap:OperatingSegmentsMember2021-02-012021-04-300000771497abm:FacilityServicesMemberus-gaap:OperatingSegmentsMemberabm:AviationMember2021-02-012021-04</w:t>
      </w:r>
      <w:r>
        <w:rPr>
          <w:rFonts w:eastAsia="Times New Roman"/>
          <w:vanish/>
        </w:rPr>
        <w:t>-300000771497abm:TechnicalSolutionsMemberabm:FacilityServicesMemberus-gaap:OperatingSegmentsMember2021-02-012021-04-300000771497abm:FacilityServicesMemberus-gaap:OperatingSegmentsMember2021-02-012021-04-300000771497abm:FacilityServicesMemberabm:Businessand</w:t>
      </w:r>
      <w:r>
        <w:rPr>
          <w:rFonts w:eastAsia="Times New Roman"/>
          <w:vanish/>
        </w:rPr>
        <w:t>IndustryMemberus-gaap:OperatingSegmentsMember2020-11-012021-04-300000771497abm:FacilityServicesMemberus-gaap:OperatingSegmentsMemberabm:TechnologyAndManufacturingMember2020-11-012021-04-300000771497abm:FacilityServicesMemberabm:EducationMemberus-gaap:Opera</w:t>
      </w:r>
      <w:r>
        <w:rPr>
          <w:rFonts w:eastAsia="Times New Roman"/>
          <w:vanish/>
        </w:rPr>
        <w:t>tingSegmentsMember2020-11-012021-04-300000771497abm:FacilityServicesMemberus-gaap:OperatingSegmentsMemberabm:AviationMember2020-11-012021-04-300000771497abm:TechnicalSolutionsMemberabm:FacilityServicesMemberus-gaap:OperatingSegmentsMember2020-11-012021-04-</w:t>
      </w:r>
      <w:r>
        <w:rPr>
          <w:rFonts w:eastAsia="Times New Roman"/>
          <w:vanish/>
        </w:rPr>
        <w:t>300000771497abm:FacilityServicesMemberus-gaap:OperatingSegmentsMember2020-11-012021-04-300000771497abm:BuildingEnergySolutionsMemberabm:BusinessandIndustryMemberus-gaap:OperatingSegmentsMember2021-02-012021-04-300000771497abm:BuildingEnergySolutionsMemberu</w:t>
      </w:r>
      <w:r>
        <w:rPr>
          <w:rFonts w:eastAsia="Times New Roman"/>
          <w:vanish/>
        </w:rPr>
        <w:t>s-gaap:OperatingSegmentsMemberabm:TechnologyAndManufacturingMember2021-02-012021-04-300000771497abm:BuildingEnergySolutionsMemberabm:EducationMemberus-gaap:OperatingSegmentsMember2021-02-012021-04-300000771497abm:BuildingEnergySolutionsMemberus-gaap:Operat</w:t>
      </w:r>
      <w:r>
        <w:rPr>
          <w:rFonts w:eastAsia="Times New Roman"/>
          <w:vanish/>
        </w:rPr>
        <w:t>ingSegmentsMemberabm:AviationMember2021-02-012021-04-300000771497abm:BuildingEnergySolutionsMemberabm:TechnicalSolutionsMemberus-gaap:OperatingSegmentsMember2021-02-012021-04-300000771497abm:BuildingEnergySolutionsMemberus-gaap:OperatingSegmentsMember2021-</w:t>
      </w:r>
      <w:r>
        <w:rPr>
          <w:rFonts w:eastAsia="Times New Roman"/>
          <w:vanish/>
        </w:rPr>
        <w:t>02-012021-04-300000771497abm:BuildingEnergySolutionsMemberabm:BusinessandIndustryMemberus-gaap:OperatingSegmentsMember2020-11-012021-04-300000771497abm:BuildingEnergySolutionsMemberus-gaap:OperatingSegmentsMemberabm:TechnologyAndManufacturingMember2020-11-</w:t>
      </w:r>
      <w:r>
        <w:rPr>
          <w:rFonts w:eastAsia="Times New Roman"/>
          <w:vanish/>
        </w:rPr>
        <w:t>012021-04-300000771497abm:BuildingEnergySolutionsMemberabm:EducationMemberus-gaap:OperatingSegmentsMember2020-11-012021-04-300000771497abm:BuildingEnergySolutionsMemberus-gaap:OperatingSegmentsMemberabm:AviationMember2020-11-012021-04-300000771497abm:Build</w:t>
      </w:r>
      <w:r>
        <w:rPr>
          <w:rFonts w:eastAsia="Times New Roman"/>
          <w:vanish/>
        </w:rPr>
        <w:t>ingEnergySolutionsMemberabm:TechnicalSolutionsMemberus-gaap:OperatingSegmentsMember2020-11-012021-04-300000771497abm:BuildingEnergySolutionsMemberus-gaap:OperatingSegmentsMember2020-11-012021-04-300000771497abm:BusinessandIndustryMemberus-gaap:OperatingSeg</w:t>
      </w:r>
      <w:r>
        <w:rPr>
          <w:rFonts w:eastAsia="Times New Roman"/>
          <w:vanish/>
        </w:rPr>
        <w:t>mentsMemberabm:AirlineServicesMember2021-02-012021-04-300000771497us-gaap:OperatingSegmentsMemberabm:TechnologyAndManufacturingMemberabm:AirlineServicesMember2021-02-012021-04-300000771497abm:EducationMemberus-gaap:OperatingSegmentsMemberabm:AirlineService</w:t>
      </w:r>
      <w:r>
        <w:rPr>
          <w:rFonts w:eastAsia="Times New Roman"/>
          <w:vanish/>
        </w:rPr>
        <w:t>sMember2021-02-012021-04-300000771497us-gaap:OperatingSegmentsMemberabm:AirlineServicesMemberabm:AviationMember2021-02-012021-04-300000771497abm:TechnicalSolutionsMemberus-gaap:OperatingSegmentsMemberabm:AirlineServicesMember2021-02-012021-04-300000771497u</w:t>
      </w:r>
      <w:r>
        <w:rPr>
          <w:rFonts w:eastAsia="Times New Roman"/>
          <w:vanish/>
        </w:rPr>
        <w:t>s-gaap:OperatingSegmentsMemberabm:AirlineServicesMember2021-02-012021-04-300000771497abm:BusinessandIndustryMemberus-gaap:OperatingSegmentsMemberabm:AirlineServicesMember2020-11-012021-04-300000771497us-gaap:OperatingSegmentsMemberabm:TechnologyAndManufact</w:t>
      </w:r>
      <w:r>
        <w:rPr>
          <w:rFonts w:eastAsia="Times New Roman"/>
          <w:vanish/>
        </w:rPr>
        <w:t>uringMemberabm:AirlineServicesMember2020-11-012021-04-300000771497abm:EducationMemberus-gaap:OperatingSegmentsMemberabm:AirlineServicesMember2020-11-012021-04-300000771497us-gaap:OperatingSegmentsMemberabm:AirlineServicesMemberabm:AviationMember2020-11-012</w:t>
      </w:r>
      <w:r>
        <w:rPr>
          <w:rFonts w:eastAsia="Times New Roman"/>
          <w:vanish/>
        </w:rPr>
        <w:t>021-04-300000771497abm:TechnicalSolutionsMemberus-gaap:OperatingSegmentsMemberabm:AirlineServicesMember2020-11-012021-04-300000771497us-gaap:OperatingSegmentsMemberabm:AirlineServicesMember2020-11-012021-04-300000771497abm:BusinessandIndustryMemberus-gaap:</w:t>
      </w:r>
      <w:r>
        <w:rPr>
          <w:rFonts w:eastAsia="Times New Roman"/>
          <w:vanish/>
        </w:rPr>
        <w:t>OperatingSegmentsMember2021-02-012021-04-300000771497us-gaap:OperatingSegmentsMemberabm:TechnologyAndManufacturingMember2021-02-012021-04-300000771497abm:EducationMemberus-gaap:OperatingSegmentsMember2021-02-012021-04-300000771497us-gaap:OperatingSegmentsM</w:t>
      </w:r>
      <w:r>
        <w:rPr>
          <w:rFonts w:eastAsia="Times New Roman"/>
          <w:vanish/>
        </w:rPr>
        <w:t>emberabm:AviationMember2021-02-012021-04-300000771497abm:TechnicalSolutionsMemberus-gaap:OperatingSegmentsMember2021-02-012021-04-300000771497us-gaap:OperatingSegmentsMember2021-02-012021-04-300000771497abm:BusinessandIndustryMemberus-gaap:OperatingSegment</w:t>
      </w:r>
      <w:r>
        <w:rPr>
          <w:rFonts w:eastAsia="Times New Roman"/>
          <w:vanish/>
        </w:rPr>
        <w:t>sMember2020-11-012021-04-300000771497us-gaap:OperatingSegmentsMemberabm:TechnologyAndManufacturingMember2020-11-012021-04-300000771497abm:EducationMemberus-gaap:OperatingSegmentsMember2020-11-012021-04-300000771497us-gaap:OperatingSegmentsMemberabm:Aviatio</w:t>
      </w:r>
      <w:r>
        <w:rPr>
          <w:rFonts w:eastAsia="Times New Roman"/>
          <w:vanish/>
        </w:rPr>
        <w:t>nMember2020-11-012021-04-300000771497abm:TechnicalSolutionsMemberus-gaap:OperatingSegmentsMember2020-11-012021-04-300000771497us-gaap:OperatingSegmentsMember2020-11-012021-04-300000771497us-gaap:IntersegmentEliminationMember2021-02-012021-04-300000771497us</w:t>
      </w:r>
      <w:r>
        <w:rPr>
          <w:rFonts w:eastAsia="Times New Roman"/>
          <w:vanish/>
        </w:rPr>
        <w:t>-gaap:IntersegmentEliminationMember2020-11-012021-04-300000771497abm:JanitorialMemberabm:BusinessandIndustryMemberus-gaap:OperatingSegmentsMember2020-02-012020-04-300000771497abm:JanitorialMemberus-gaap:OperatingSegmentsMemberabm:TechnologyAndManufacturing</w:t>
      </w:r>
      <w:r>
        <w:rPr>
          <w:rFonts w:eastAsia="Times New Roman"/>
          <w:vanish/>
        </w:rPr>
        <w:t>Member2020-02-012020-04-300000771497abm:JanitorialMemberabm:EducationMemberus-gaap:OperatingSegmentsMember2020-02-012020-04-300000771497abm:JanitorialMemberus-gaap:OperatingSegmentsMemberabm:AviationMember2020-02-012020-04-300000771497abm:TechnicalSolution</w:t>
      </w:r>
      <w:r>
        <w:rPr>
          <w:rFonts w:eastAsia="Times New Roman"/>
          <w:vanish/>
        </w:rPr>
        <w:t>sMemberabm:JanitorialMemberus-gaap:OperatingSegmentsMember2020-02-012020-04-300000771497abm:JanitorialMemberus-gaap:OperatingSegmentsMember2020-02-012020-04-300000771497abm:JanitorialMemberabm:BusinessandIndustryMemberus-gaap:OperatingSegmentsMember2019-11</w:t>
      </w:r>
      <w:r>
        <w:rPr>
          <w:rFonts w:eastAsia="Times New Roman"/>
          <w:vanish/>
        </w:rPr>
        <w:t>-012020-04-300000771497abm:JanitorialMemberus-gaap:OperatingSegmentsMemberabm:TechnologyAndManufacturingMember2019-11-012020-04-300000771497abm:JanitorialMemberabm:EducationMemberus-gaap:OperatingSegmentsMember2019-11-012020-04-300000771497abm:JanitorialMe</w:t>
      </w:r>
      <w:r>
        <w:rPr>
          <w:rFonts w:eastAsia="Times New Roman"/>
          <w:vanish/>
        </w:rPr>
        <w:t>mberus-gaap:OperatingSegmentsMemberabm:AviationMember2019-11-012020-04-300000771497abm:TechnicalSolutionsMemberabm:JanitorialMemberus-gaap:OperatingSegmentsMember2019-11-012020-04-300000771497abm:JanitorialMemberus-gaap:OperatingSegmentsMember2019-11-01202</w:t>
      </w:r>
      <w:r>
        <w:rPr>
          <w:rFonts w:eastAsia="Times New Roman"/>
          <w:vanish/>
        </w:rPr>
        <w:t>0-04-300000771497us-gaap:ParkingMemberabm:BusinessandIndustryMemberus-gaap:OperatingSegmentsMember2020-02-012020-04-300000771497us-gaap:ParkingMemberus-gaap:OperatingSegmentsMemberabm:TechnologyAndManufacturingMember2020-02-012020-04-300000771497us-gaap:Pa</w:t>
      </w:r>
      <w:r>
        <w:rPr>
          <w:rFonts w:eastAsia="Times New Roman"/>
          <w:vanish/>
        </w:rPr>
        <w:t>rkingMemberabm:EducationMemberus-gaap:OperatingSegmentsMember2020-02-012020-04-300000771497us-gaap:ParkingMemberus-gaap:OperatingSegmentsMemberabm:AviationMember2020-02-012020-04-300000771497us-gaap:ParkingMemberabm:TechnicalSolutionsMemberus-gaap:Operatin</w:t>
      </w:r>
      <w:r>
        <w:rPr>
          <w:rFonts w:eastAsia="Times New Roman"/>
          <w:vanish/>
        </w:rPr>
        <w:t>gSegmentsMember2020-02-012020-04-300000771497us-gaap:ParkingMemberus-gaap:OperatingSegmentsMember2020-02-012020-04-300000771497us-gaap:ParkingMemberabm:BusinessandIndustryMemberus-gaap:OperatingSegmentsMember2019-11-012020-04-300000771497us-gaap:ParkingMem</w:t>
      </w:r>
      <w:r>
        <w:rPr>
          <w:rFonts w:eastAsia="Times New Roman"/>
          <w:vanish/>
        </w:rPr>
        <w:t>berus-gaap:OperatingSegmentsMemberabm:TechnologyAndManufacturingMember2019-11-012020-04-300000771497us-gaap:ParkingMemberabm:EducationMemberus-gaap:OperatingSegmentsMember2019-11-012020-04-300000771497us-gaap:ParkingMemberus-gaap:OperatingSegmentsMemberabm</w:t>
      </w:r>
      <w:r>
        <w:rPr>
          <w:rFonts w:eastAsia="Times New Roman"/>
          <w:vanish/>
        </w:rPr>
        <w:t>:AviationMember2019-11-012020-04-300000771497us-gaap:ParkingMemberabm:TechnicalSolutionsMemberus-gaap:OperatingSegmentsMember2019-11-012020-04-300000771497us-gaap:ParkingMemberus-gaap:OperatingSegmentsMember2019-11-012020-04-300000771497abm:FacilityService</w:t>
      </w:r>
      <w:r>
        <w:rPr>
          <w:rFonts w:eastAsia="Times New Roman"/>
          <w:vanish/>
        </w:rPr>
        <w:t>sMemberabm:BusinessandIndustryMemberus-gaap:OperatingSegmentsMember2020-02-012020-04-300000771497abm:FacilityServicesMemberus-gaap:OperatingSegmentsMemberabm:TechnologyAndManufacturingMember2020-02-012020-04-300000771497abm:FacilityServicesMemberabm:Educat</w:t>
      </w:r>
      <w:r>
        <w:rPr>
          <w:rFonts w:eastAsia="Times New Roman"/>
          <w:vanish/>
        </w:rPr>
        <w:t>ionMemberus-gaap:OperatingSegmentsMember2020-02-012020-04-300000771497abm:FacilityServicesMemberus-gaap:OperatingSegmentsMemberabm:AviationMember2020-02-012020-04-300000771497abm:TechnicalSolutionsMemberabm:FacilityServicesMemberus-gaap:OperatingSegmentsMe</w:t>
      </w:r>
      <w:r>
        <w:rPr>
          <w:rFonts w:eastAsia="Times New Roman"/>
          <w:vanish/>
        </w:rPr>
        <w:t>mber2020-02-012020-04-300000771497abm:FacilityServicesMemberus-gaap:OperatingSegmentsMember2020-02-012020-04-300000771497abm:FacilityServicesMemberabm:BusinessandIndustryMemberus-gaap:OperatingSegmentsMember2019-11-012020-04-300000771497abm:FacilityService</w:t>
      </w:r>
      <w:r>
        <w:rPr>
          <w:rFonts w:eastAsia="Times New Roman"/>
          <w:vanish/>
        </w:rPr>
        <w:t>sMemberus-gaap:OperatingSegmentsMemberabm:TechnologyAndManufacturingMember2019-11-012020-04-300000771497abm:FacilityServicesMemberabm:EducationMemberus-gaap:OperatingSegmentsMember2019-11-012020-04-300000771497abm:FacilityServicesMemberus-gaap:OperatingSeg</w:t>
      </w:r>
      <w:r>
        <w:rPr>
          <w:rFonts w:eastAsia="Times New Roman"/>
          <w:vanish/>
        </w:rPr>
        <w:t>mentsMemberabm:AviationMember2019-11-012020-04-300000771497abm:TechnicalSolutionsMemberabm:FacilityServicesMemberus-gaap:OperatingSegmentsMember2019-11-012020-04-300000771497abm:FacilityServicesMemberus-gaap:OperatingSegmentsMember2019-11-012020-04-3000007</w:t>
      </w:r>
      <w:r>
        <w:rPr>
          <w:rFonts w:eastAsia="Times New Roman"/>
          <w:vanish/>
        </w:rPr>
        <w:t>71497abm:BuildingEnergySolutionsMemberabm:BusinessandIndustryMemberus-gaap:OperatingSegmentsMember2020-02-012020-04-300000771497abm:BuildingEnergySolutionsMemberus-gaap:OperatingSegmentsMemberabm:TechnologyAndManufacturingMember2020-02-012020-04-3000007714</w:t>
      </w:r>
      <w:r>
        <w:rPr>
          <w:rFonts w:eastAsia="Times New Roman"/>
          <w:vanish/>
        </w:rPr>
        <w:t>97abm:BuildingEnergySolutionsMemberabm:EducationMemberus-gaap:OperatingSegmentsMember2020-02-012020-04-300000771497abm:BuildingEnergySolutionsMemberus-gaap:OperatingSegmentsMemberabm:AviationMember2020-02-012020-04-300000771497abm:BuildingEnergySolutionsMe</w:t>
      </w:r>
      <w:r>
        <w:rPr>
          <w:rFonts w:eastAsia="Times New Roman"/>
          <w:vanish/>
        </w:rPr>
        <w:t>mberabm:TechnicalSolutionsMemberus-gaap:OperatingSegmentsMember2020-02-012020-04-300000771497abm:BuildingEnergySolutionsMemberus-gaap:OperatingSegmentsMember2020-02-012020-04-300000771497abm:BuildingEnergySolutionsMemberabm:BusinessandIndustryMemberus-gaap</w:t>
      </w:r>
      <w:r>
        <w:rPr>
          <w:rFonts w:eastAsia="Times New Roman"/>
          <w:vanish/>
        </w:rPr>
        <w:t>:OperatingSegmentsMember2019-11-012020-04-300000771497abm:BuildingEnergySolutionsMemberus-gaap:OperatingSegmentsMemberabm:TechnologyAndManufacturingMember2019-11-012020-04-300000771497abm:BuildingEnergySolutionsMemberabm:EducationMemberus-gaap:OperatingSeg</w:t>
      </w:r>
      <w:r>
        <w:rPr>
          <w:rFonts w:eastAsia="Times New Roman"/>
          <w:vanish/>
        </w:rPr>
        <w:t>mentsMember2019-11-012020-04-300000771497abm:BuildingEnergySolutionsMemberus-gaap:OperatingSegmentsMemberabm:AviationMember2019-11-012020-04-300000771497abm:BuildingEnergySolutionsMemberabm:TechnicalSolutionsMemberus-gaap:OperatingSegmentsMember2019-11-012</w:t>
      </w:r>
      <w:r>
        <w:rPr>
          <w:rFonts w:eastAsia="Times New Roman"/>
          <w:vanish/>
        </w:rPr>
        <w:t>020-04-300000771497abm:BuildingEnergySolutionsMemberus-gaap:OperatingSegmentsMember2019-11-012020-04-300000771497abm:BusinessandIndustryMemberus-gaap:OperatingSegmentsMemberabm:AirlineServicesMember2020-02-012020-04-300000771497us-gaap:OperatingSegmentsMem</w:t>
      </w:r>
      <w:r>
        <w:rPr>
          <w:rFonts w:eastAsia="Times New Roman"/>
          <w:vanish/>
        </w:rPr>
        <w:t>berabm:TechnologyAndManufacturingMemberabm:AirlineServicesMember2020-02-012020-04-300000771497abm:EducationMemberus-gaap:OperatingSegmentsMemberabm:AirlineServicesMember2020-02-012020-04-300000771497us-gaap:OperatingSegmentsMemberabm:AirlineServicesMembera</w:t>
      </w:r>
      <w:r>
        <w:rPr>
          <w:rFonts w:eastAsia="Times New Roman"/>
          <w:vanish/>
        </w:rPr>
        <w:t>bm:AviationMember2020-02-012020-04-300000771497abm:TechnicalSolutionsMemberus-gaap:OperatingSegmentsMemberabm:AirlineServicesMember2020-02-012020-04-300000771497us-gaap:OperatingSegmentsMemberabm:AirlineServicesMember2020-02-012020-04-300000771497abm:Busin</w:t>
      </w:r>
      <w:r>
        <w:rPr>
          <w:rFonts w:eastAsia="Times New Roman"/>
          <w:vanish/>
        </w:rPr>
        <w:t>essandIndustryMemberus-gaap:OperatingSegmentsMemberabm:AirlineServicesMember2019-11-012020-04-300000771497us-gaap:OperatingSegmentsMemberabm:TechnologyAndManufacturingMemberabm:AirlineServicesMember2019-11-012020-04-300000771497abm:EducationMemberus-gaap:O</w:t>
      </w:r>
      <w:r>
        <w:rPr>
          <w:rFonts w:eastAsia="Times New Roman"/>
          <w:vanish/>
        </w:rPr>
        <w:t>peratingSegmentsMemberabm:AirlineServicesMember2019-11-012020-04-300000771497us-gaap:OperatingSegmentsMemberabm:AirlineServicesMemberabm:AviationMember2019-11-012020-04-300000771497abm:TechnicalSolutionsMemberus-gaap:OperatingSegmentsMemberabm:AirlineServi</w:t>
      </w:r>
      <w:r>
        <w:rPr>
          <w:rFonts w:eastAsia="Times New Roman"/>
          <w:vanish/>
        </w:rPr>
        <w:t>cesMember2019-11-012020-04-300000771497us-gaap:OperatingSegmentsMemberabm:AirlineServicesMember2019-11-012020-04-300000771497abm:BusinessandIndustryMemberus-gaap:OperatingSegmentsMember2020-02-012020-04-300000771497us-gaap:OperatingSegmentsMemberabm:Techno</w:t>
      </w:r>
      <w:r>
        <w:rPr>
          <w:rFonts w:eastAsia="Times New Roman"/>
          <w:vanish/>
        </w:rPr>
        <w:t>logyAndManufacturingMember2020-02-012020-04-300000771497abm:EducationMemberus-gaap:OperatingSegmentsMember2020-02-012020-04-300000771497us-gaap:OperatingSegmentsMemberabm:AviationMember2020-02-012020-04-300000771497abm:TechnicalSolutionsMemberus-gaap:Opera</w:t>
      </w:r>
      <w:r>
        <w:rPr>
          <w:rFonts w:eastAsia="Times New Roman"/>
          <w:vanish/>
        </w:rPr>
        <w:t>tingSegmentsMember2020-02-012020-04-300000771497us-gaap:OperatingSegmentsMember2020-02-012020-04-300000771497abm:BusinessandIndustryMemberus-gaap:OperatingSegmentsMember2019-11-012020-04-300000771497us-gaap:OperatingSegmentsMemberabm:TechnologyAndManufactu</w:t>
      </w:r>
      <w:r>
        <w:rPr>
          <w:rFonts w:eastAsia="Times New Roman"/>
          <w:vanish/>
        </w:rPr>
        <w:t>ringMember2019-11-012020-04-300000771497abm:EducationMemberus-gaap:OperatingSegmentsMember2019-11-012020-04-300000771497us-gaap:OperatingSegmentsMemberabm:AviationMember2019-11-012020-04-300000771497abm:TechnicalSolutionsMemberus-gaap:OperatingSegmentsMemb</w:t>
      </w:r>
      <w:r>
        <w:rPr>
          <w:rFonts w:eastAsia="Times New Roman"/>
          <w:vanish/>
        </w:rPr>
        <w:t>er2019-11-012020-04-300000771497us-gaap:OperatingSegmentsMember2019-11-012020-04-300000771497us-gaap:IntersegmentEliminationMember2020-02-012020-04-300000771497us-gaap:IntersegmentEliminationMember2019-11-012020-04-3000007714972021-05-012021-04-30xbrli:pur</w:t>
      </w:r>
      <w:r>
        <w:rPr>
          <w:rFonts w:eastAsia="Times New Roman"/>
          <w:vanish/>
        </w:rPr>
        <w:t>e0000771497us-gaap:RestrictedStockUnitsRSUMember2021-02-012021-04-300000771497us-gaap:RestrictedStockUnitsRSUMember2020-02-012020-04-300000771497us-gaap:RestrictedStockUnitsRSUMember2020-11-012021-04-300000771497us-gaap:RestrictedStockUnitsRSUMember2019-11</w:t>
      </w:r>
      <w:r>
        <w:rPr>
          <w:rFonts w:eastAsia="Times New Roman"/>
          <w:vanish/>
        </w:rPr>
        <w:t>-012020-04-300000771497us-gaap:PerformanceSharesMember2021-02-012021-04-300000771497us-gaap:PerformanceSharesMember2020-02-012020-04-300000771497us-gaap:PerformanceSharesMember2020-11-012021-04-300000771497us-gaap:PerformanceSharesMember2019-11-012020-04-3</w:t>
      </w:r>
      <w:r>
        <w:rPr>
          <w:rFonts w:eastAsia="Times New Roman"/>
          <w:vanish/>
        </w:rPr>
        <w:t>00000771497us-gaap:FairValueMeasurementsRecurringMemberus-gaap:FairValueInputsLevel1Member2021-04-300000771497us-gaap:FairValueMeasurementsRecurringMemberus-gaap:FairValueInputsLevel1Member2020-10-310000771497us-gaap:FairValueMeasurementsRecurringMemberus-</w:t>
      </w:r>
      <w:r>
        <w:rPr>
          <w:rFonts w:eastAsia="Times New Roman"/>
          <w:vanish/>
        </w:rPr>
        <w:t>gaap:FairValueInputsLevel2Member2021-04-300000771497us-gaap:FairValueMeasurementsRecurringMemberus-gaap:FairValueInputsLevel2Member2020-10-31abm:reportingUnit0000771497abm:EducationMember2020-02-012020-04-300000771497abm:AviationMember2020-02-012020-04-300</w:t>
      </w:r>
      <w:r>
        <w:rPr>
          <w:rFonts w:eastAsia="Times New Roman"/>
          <w:vanish/>
        </w:rPr>
        <w:t>000771497abm:TechnicalSolutionsMember2020-02-012020-04-300000771497srt:MinimumMember2021-04-300000771497srt:MaximumMember2021-04-300000771497abm:AllOtherClaimTypesExcludingMedicalAndDentalSelfInsuranceProgramMember2021-04-300000771497abm:AllOtherClaimTypes</w:t>
      </w:r>
      <w:r>
        <w:rPr>
          <w:rFonts w:eastAsia="Times New Roman"/>
          <w:vanish/>
        </w:rPr>
        <w:t>ExcludingMedicalAndDentalSelfInsuranceProgramMember2020-10-310000771497abm:MedicalAndDentalSelfInsuranceProgramMember2021-04-300000771497abm:MedicalAndDentalSelfInsuranceProgramMember2020-10-310000771497us-gaap:StandbyLettersOfCreditMember2021-04-300000771</w:t>
      </w:r>
      <w:r>
        <w:rPr>
          <w:rFonts w:eastAsia="Times New Roman"/>
          <w:vanish/>
        </w:rPr>
        <w:t>497us-gaap:StandbyLettersOfCreditMember2020-10-310000771497us-gaap:SuretyBondMember2021-04-300000771497us-gaap:SuretyBondMember2020-10-310000771497us-gaap:DepositsMember2021-04-300000771497us-gaap:DepositsMember2020-10-310000771497us-gaap:LineOfCreditMembe</w:t>
      </w:r>
      <w:r>
        <w:rPr>
          <w:rFonts w:eastAsia="Times New Roman"/>
          <w:vanish/>
        </w:rPr>
        <w:t>rus-gaap:RevolvingCreditFacilityMemberabm:PriorCreditFacilityMember2017-08-310000771497abm:CreditFacilityMember2017-09-012017-09-010000771497us-gaap:LineOfCreditMemberus-gaap:RevolvingCreditFacilityMemberabm:CreditFacilityMember2017-09-010000771497us-gaap:</w:t>
      </w:r>
      <w:r>
        <w:rPr>
          <w:rFonts w:eastAsia="Times New Roman"/>
          <w:vanish/>
        </w:rPr>
        <w:t>LoansPayableMemberabm:CreditFacilityMember2017-09-010000771497us-gaap:LineOfCreditMemberus-gaap:RevolvingCreditFacilityMemberabm:CreditFacilityMember2018-09-010000771497abm:CreditFacilityMemberus-gaap:StandbyLettersOfCreditMember2017-09-010000771497abm:Swi</w:t>
      </w:r>
      <w:r>
        <w:rPr>
          <w:rFonts w:eastAsia="Times New Roman"/>
          <w:vanish/>
        </w:rPr>
        <w:t>ngLineLoanMemberabm:CreditFacilityMember2017-09-010000771497abm:CovenantPeriodQuarterEndingOctober2022Memberabm:CreditFacilityMember2020-05-280000771497abm:CreditFacilityMember2020-05-280000771497srt:MinimumMemberus-gaap:EurodollarMemberabm:CreditFacilityM</w:t>
      </w:r>
      <w:r>
        <w:rPr>
          <w:rFonts w:eastAsia="Times New Roman"/>
          <w:vanish/>
        </w:rPr>
        <w:t>ember2017-09-012017-09-010000771497us-gaap:EurodollarMembersrt:MaximumMemberabm:CreditFacilityMember2017-09-012017-09-010000771497srt:MinimumMemberus-gaap:BaseRateMemberabm:CreditFacilityMember2017-09-012017-09-010000771497us-gaap:BaseRateMembersrt:Maximum</w:t>
      </w:r>
      <w:r>
        <w:rPr>
          <w:rFonts w:eastAsia="Times New Roman"/>
          <w:vanish/>
        </w:rPr>
        <w:t>Memberabm:CreditFacilityMember2017-09-012017-09-010000771497srt:MinimumMemberus-gaap:RevolvingCreditFacilityMemberabm:CreditFacilityMember2017-09-012017-09-010000771497us-gaap:RevolvingCreditFacilityMembersrt:MaximumMemberabm:CreditFacilityMember2017-09-01</w:t>
      </w:r>
      <w:r>
        <w:rPr>
          <w:rFonts w:eastAsia="Times New Roman"/>
          <w:vanish/>
        </w:rPr>
        <w:t>2017-09-010000771497srt:MinimumMemberus-gaap:EurodollarMemberabm:CreditFacilityMember2020-05-282020-05-280000771497us-gaap:EurodollarMembersrt:MaximumMemberabm:CreditFacilityMember2020-05-282020-05-280000771497srt:MinimumMemberus-gaap:BaseRateMemberabm:Cre</w:t>
      </w:r>
      <w:r>
        <w:rPr>
          <w:rFonts w:eastAsia="Times New Roman"/>
          <w:vanish/>
        </w:rPr>
        <w:t>ditFacilityMember2020-05-282020-05-280000771497us-gaap:BaseRateMembersrt:MaximumMemberabm:CreditFacilityMember2020-05-282020-05-280000771497abm:CreditFacilityMember2021-04-300000771497srt:MinimumMemberus-gaap:RevolvingCreditFacilityMember2020-05-282020-05-</w:t>
      </w:r>
      <w:r>
        <w:rPr>
          <w:rFonts w:eastAsia="Times New Roman"/>
          <w:vanish/>
        </w:rPr>
        <w:t>280000771497us-gaap:RevolvingCreditFacilityMembersrt:MaximumMember2020-05-282020-05-280000771497abm:CreditFacilityMember2017-09-010000771497us-gaap:LineOfCreditMemberabm:CreditFacilityMember2017-09-010000771497us-gaap:LoansPayableMember2021-04-300000771497</w:t>
      </w:r>
      <w:r>
        <w:rPr>
          <w:rFonts w:eastAsia="Times New Roman"/>
          <w:vanish/>
        </w:rPr>
        <w:t>abm:InterestRateSwapMaturity10312021Member2018-11-010000771497abm:InterestRateSwapMaturity4302022Member2018-11-010000771497abm:InterestRateSwapMaturity912022Member2018-11-010000771497us-gaap:AccumulatedGainLossNetCashFlowHedgeParentMember2020-11-012021-04-</w:t>
      </w:r>
      <w:r>
        <w:rPr>
          <w:rFonts w:eastAsia="Times New Roman"/>
          <w:vanish/>
        </w:rPr>
        <w:t>300000771497us-gaap:AccumulatedGainLossNetCashFlowHedgeParentMember2019-11-012020-10-310000771497us-gaap:AccumulatedGainLossNetCashFlowHedgeParentMember2021-02-012021-04-300000771497us-gaap:AccumulatedGainLossNetCashFlowHedgeParentMember2020-02-012020-04-3</w:t>
      </w:r>
      <w:r>
        <w:rPr>
          <w:rFonts w:eastAsia="Times New Roman"/>
          <w:vanish/>
        </w:rPr>
        <w:t>00000771497us-gaap:AccumulatedGainLossNetCashFlowHedgeParentMember2019-11-012020-04-300000771497abm:EnergySavingsContractsMember2021-04-300000771497us-gaap:PendingLitigationMember2021-04-30abm:subclass0000771497abm:BucioMember2018-09-202018-09-200000771497</w:t>
      </w:r>
      <w:r>
        <w:rPr>
          <w:rFonts w:eastAsia="Times New Roman"/>
          <w:vanish/>
        </w:rPr>
        <w:t>us-gaap:PendingLitigationMemberabm:BucioMember2021-04-300000771497us-gaap:OperatingSegmentsMemberabm:GovernmentServicesMember2021-02-012021-04-300000771497us-gaap:OperatingSegmentsMemberabm:GovernmentServicesMember2020-02-012020-04-300000771497us-gaap:Oper</w:t>
      </w:r>
      <w:r>
        <w:rPr>
          <w:rFonts w:eastAsia="Times New Roman"/>
          <w:vanish/>
        </w:rPr>
        <w:t>atingSegmentsMemberabm:GovernmentServicesMember2020-11-012021-04-300000771497us-gaap:OperatingSegmentsMemberabm:GovernmentServicesMember2019-11-012020-04-300000771497us-gaap:CorporateNonSegmentMember2021-02-012021-04-300000771497us-gaap:CorporateNonSegment</w:t>
      </w:r>
      <w:r>
        <w:rPr>
          <w:rFonts w:eastAsia="Times New Roman"/>
          <w:vanish/>
        </w:rPr>
        <w:t>Member2020-02-012020-04-300000771497us-gaap:CorporateNonSegmentMember2020-11-012021-04-300000771497us-gaap:CorporateNonSegmentMember2019-11-012020-04-300000771497us-gaap:MaterialReconcilingItemsMember2021-02-012021-04-300000771497us-gaap:MaterialReconcilin</w:t>
      </w:r>
      <w:r>
        <w:rPr>
          <w:rFonts w:eastAsia="Times New Roman"/>
          <w:vanish/>
        </w:rPr>
        <w:t>gItemsMember2020-02-012020-04-300000771497us-gaap:MaterialReconcilingItemsMember2020-11-012021-04-300000771497us-gaap:MaterialReconcilingItemsMember2019-11-012020-04-300000771497abm:EducationMember2019-11-012020-04-300000771497abm:AviationMember2019-11-012</w:t>
      </w:r>
      <w:r>
        <w:rPr>
          <w:rFonts w:eastAsia="Times New Roman"/>
          <w:vanish/>
        </w:rPr>
        <w:t>020-04-300000771497abm:TechnicalSolutionsMember2019-11-012020-04-30</w:t>
      </w:r>
    </w:p>
    <w:p w:rsidR="00000000" w:rsidRDefault="001E2972">
      <w:pPr>
        <w:ind w:firstLine="720"/>
        <w:jc w:val="center"/>
        <w:divId w:val="42048795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79746222"/>
          <w:jc w:val="center"/>
        </w:trPr>
        <w:tc>
          <w:tcPr>
            <w:tcW w:w="50" w:type="pct"/>
            <w:vAlign w:val="center"/>
            <w:hideMark/>
          </w:tcPr>
          <w:p w:rsidR="00000000" w:rsidRDefault="001E2972">
            <w:pPr>
              <w:ind w:firstLine="720"/>
              <w:jc w:val="center"/>
              <w:rPr>
                <w:rFonts w:eastAsia="Times New Roman"/>
              </w:rPr>
            </w:pPr>
          </w:p>
        </w:tc>
        <w:tc>
          <w:tcPr>
            <w:tcW w:w="494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79746222"/>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center"/>
        <w:rPr>
          <w:rFonts w:eastAsia="Times New Roman"/>
        </w:rPr>
      </w:pPr>
      <w:r>
        <w:rPr>
          <w:rFonts w:ascii="Arial" w:eastAsia="Times New Roman" w:hAnsi="Arial" w:cs="Arial"/>
          <w:b/>
          <w:bCs/>
          <w:color w:val="000000"/>
          <w:sz w:val="36"/>
          <w:szCs w:val="36"/>
        </w:rPr>
        <w:t>UNITED STATES</w:t>
      </w:r>
    </w:p>
    <w:p w:rsidR="00000000" w:rsidRDefault="001E2972">
      <w:pPr>
        <w:jc w:val="center"/>
        <w:rPr>
          <w:rFonts w:eastAsia="Times New Roman"/>
        </w:rPr>
      </w:pPr>
      <w:r>
        <w:rPr>
          <w:rFonts w:ascii="Arial" w:eastAsia="Times New Roman" w:hAnsi="Arial" w:cs="Arial"/>
          <w:b/>
          <w:bCs/>
          <w:color w:val="000000"/>
          <w:sz w:val="36"/>
          <w:szCs w:val="36"/>
        </w:rPr>
        <w:t>SECURITIES AND EXCHANGE COMMISSION</w:t>
      </w:r>
    </w:p>
    <w:p w:rsidR="00000000" w:rsidRDefault="001E2972">
      <w:pPr>
        <w:jc w:val="center"/>
        <w:rPr>
          <w:rFonts w:eastAsia="Times New Roman"/>
        </w:rPr>
      </w:pPr>
      <w:r>
        <w:rPr>
          <w:rFonts w:ascii="Arial" w:eastAsia="Times New Roman" w:hAnsi="Arial" w:cs="Arial"/>
          <w:b/>
          <w:bCs/>
          <w:color w:val="000000"/>
        </w:rPr>
        <w:t>Washington, D.C. 20549</w:t>
      </w:r>
    </w:p>
    <w:p w:rsidR="00000000" w:rsidRDefault="001E2972">
      <w:pPr>
        <w:jc w:val="center"/>
        <w:rPr>
          <w:rFonts w:eastAsia="Times New Roman"/>
        </w:rPr>
      </w:pPr>
      <w:r>
        <w:rPr>
          <w:rFonts w:ascii="Arial" w:eastAsia="Times New Roman" w:hAnsi="Arial" w:cs="Arial"/>
          <w:color w:val="000000"/>
        </w:rPr>
        <w:t>__________________________</w:t>
      </w:r>
    </w:p>
    <w:p w:rsidR="00000000" w:rsidRDefault="001E2972">
      <w:pPr>
        <w:jc w:val="center"/>
        <w:divId w:val="284506220"/>
        <w:rPr>
          <w:rFonts w:eastAsia="Times New Roman"/>
        </w:rPr>
      </w:pPr>
      <w:r>
        <w:rPr>
          <w:rFonts w:ascii="Arial" w:eastAsia="Times New Roman" w:hAnsi="Arial" w:cs="Arial"/>
          <w:b/>
          <w:bCs/>
          <w:color w:val="000000"/>
          <w:sz w:val="36"/>
          <w:szCs w:val="36"/>
        </w:rPr>
        <w:t xml:space="preserve">FORM 10-Q </w:t>
      </w:r>
    </w:p>
    <w:p w:rsidR="00000000" w:rsidRDefault="001E2972">
      <w:pPr>
        <w:divId w:val="352919615"/>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262226924"/>
        </w:trPr>
        <w:tc>
          <w:tcPr>
            <w:tcW w:w="50" w:type="pct"/>
            <w:vAlign w:val="center"/>
            <w:hideMark/>
          </w:tcPr>
          <w:p w:rsidR="00000000" w:rsidRDefault="001E2972">
            <w:pPr>
              <w:rPr>
                <w:rFonts w:eastAsia="Times New Roman"/>
              </w:rPr>
            </w:pPr>
          </w:p>
        </w:tc>
        <w:tc>
          <w:tcPr>
            <w:tcW w:w="2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65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262226924"/>
        </w:trPr>
        <w:tc>
          <w:tcPr>
            <w:tcW w:w="0" w:type="auto"/>
            <w:gridSpan w:val="3"/>
            <w:tcMar>
              <w:top w:w="30" w:type="dxa"/>
              <w:left w:w="20" w:type="dxa"/>
              <w:bottom w:w="30" w:type="dxa"/>
              <w:right w:w="20" w:type="dxa"/>
            </w:tcMar>
            <w:hideMark/>
          </w:tcPr>
          <w:p w:rsidR="00000000" w:rsidRDefault="001E2972">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b/>
                <w:bCs/>
                <w:color w:val="000000"/>
              </w:rPr>
              <w:t>QUARTERLY REPORT PURSUANT TO SECTION 13 OR 15(d) OF THE SECURITIES EXCHANGE ACT OF 1934</w:t>
            </w:r>
          </w:p>
        </w:tc>
      </w:tr>
    </w:tbl>
    <w:p w:rsidR="00000000" w:rsidRDefault="001E2972">
      <w:pPr>
        <w:ind w:firstLine="630"/>
        <w:jc w:val="center"/>
        <w:divId w:val="270091274"/>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April 30, 2021</w:t>
      </w:r>
    </w:p>
    <w:p w:rsidR="00000000" w:rsidRDefault="001E2972">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497767667"/>
        </w:trPr>
        <w:tc>
          <w:tcPr>
            <w:tcW w:w="50" w:type="pct"/>
            <w:vAlign w:val="center"/>
            <w:hideMark/>
          </w:tcPr>
          <w:p w:rsidR="00000000" w:rsidRDefault="001E2972">
            <w:pPr>
              <w:jc w:val="center"/>
              <w:rPr>
                <w:rFonts w:eastAsia="Times New Roman"/>
              </w:rPr>
            </w:pPr>
          </w:p>
        </w:tc>
        <w:tc>
          <w:tcPr>
            <w:tcW w:w="2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65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497767667"/>
        </w:trPr>
        <w:tc>
          <w:tcPr>
            <w:tcW w:w="0" w:type="auto"/>
            <w:gridSpan w:val="3"/>
            <w:tcMar>
              <w:top w:w="30" w:type="dxa"/>
              <w:left w:w="20" w:type="dxa"/>
              <w:bottom w:w="30" w:type="dxa"/>
              <w:right w:w="20" w:type="dxa"/>
            </w:tcMar>
            <w:hideMark/>
          </w:tcPr>
          <w:p w:rsidR="00000000" w:rsidRDefault="001E2972">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1E2972">
      <w:pPr>
        <w:jc w:val="center"/>
        <w:divId w:val="437725435"/>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1E2972">
      <w:pPr>
        <w:jc w:val="center"/>
        <w:divId w:val="1075396497"/>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1E2972">
      <w:pPr>
        <w:jc w:val="center"/>
        <w:divId w:val="686909025"/>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E2972">
      <w:pPr>
        <w:jc w:val="center"/>
        <w:rPr>
          <w:rFonts w:eastAsia="Times New Roman"/>
        </w:rPr>
      </w:pPr>
      <w:r>
        <w:rPr>
          <w:rFonts w:ascii="Arial" w:eastAsia="Times New Roman" w:hAnsi="Arial" w:cs="Arial"/>
          <w:b/>
          <w:bCs/>
          <w:color w:val="000000"/>
          <w:sz w:val="48"/>
          <w:szCs w:val="48"/>
        </w:rPr>
        <w:t>ABM INDUSTRIES INCORPORATED</w:t>
      </w:r>
    </w:p>
    <w:p w:rsidR="00000000" w:rsidRDefault="001E2972">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trPr>
          <w:divId w:val="2010596814"/>
        </w:trPr>
        <w:tc>
          <w:tcPr>
            <w:tcW w:w="50" w:type="pct"/>
            <w:vAlign w:val="center"/>
            <w:hideMark/>
          </w:tcPr>
          <w:p w:rsidR="00000000" w:rsidRDefault="001E2972">
            <w:pPr>
              <w:jc w:val="center"/>
              <w:rPr>
                <w:rFonts w:eastAsia="Times New Roman"/>
              </w:rPr>
            </w:pPr>
          </w:p>
        </w:tc>
        <w:tc>
          <w:tcPr>
            <w:tcW w:w="131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19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31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10596814"/>
          <w:trHeight w:val="700"/>
        </w:trPr>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b/>
                <w:bCs/>
                <w:color w:val="000000"/>
                <w:sz w:val="18"/>
                <w:szCs w:val="18"/>
              </w:rPr>
              <w:t>94-13693</w:t>
            </w:r>
            <w:r>
              <w:rPr>
                <w:rFonts w:ascii="Arial" w:eastAsia="Times New Roman" w:hAnsi="Arial" w:cs="Arial"/>
                <w:b/>
                <w:bCs/>
                <w:color w:val="000000"/>
                <w:sz w:val="18"/>
                <w:szCs w:val="18"/>
              </w:rPr>
              <w:t>54</w:t>
            </w:r>
          </w:p>
        </w:tc>
      </w:tr>
      <w:tr w:rsidR="00000000">
        <w:trPr>
          <w:divId w:val="2010596814"/>
          <w:trHeight w:val="700"/>
        </w:trPr>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rsidR="00000000" w:rsidRDefault="001E2972">
            <w:pPr>
              <w:rPr>
                <w:rFonts w:eastAsia="Times New Roman"/>
              </w:rPr>
            </w:pPr>
          </w:p>
        </w:tc>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t>Identification No.)</w:t>
            </w:r>
          </w:p>
        </w:tc>
      </w:tr>
    </w:tbl>
    <w:p w:rsidR="00000000" w:rsidRDefault="001E2972">
      <w:pPr>
        <w:jc w:val="center"/>
        <w:rPr>
          <w:rFonts w:eastAsia="Times New Roman"/>
        </w:rPr>
      </w:pPr>
      <w:r>
        <w:rPr>
          <w:rFonts w:ascii="Arial" w:eastAsia="Times New Roman" w:hAnsi="Arial" w:cs="Arial"/>
          <w:color w:val="000000"/>
          <w:sz w:val="20"/>
          <w:szCs w:val="20"/>
        </w:rPr>
        <w:t>__________________________</w:t>
      </w:r>
    </w:p>
    <w:p w:rsidR="00000000" w:rsidRDefault="001E2972">
      <w:pPr>
        <w:jc w:val="center"/>
        <w:divId w:val="11611283"/>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1E2972">
      <w:pPr>
        <w:jc w:val="center"/>
        <w:divId w:val="643311202"/>
        <w:rPr>
          <w:rFonts w:eastAsia="Times New Roman"/>
        </w:rPr>
      </w:pPr>
      <w:r>
        <w:rPr>
          <w:rFonts w:ascii="Arial" w:eastAsia="Times New Roman" w:hAnsi="Arial" w:cs="Arial"/>
          <w:b/>
          <w:bCs/>
          <w:color w:val="000000"/>
          <w:sz w:val="20"/>
          <w:szCs w:val="20"/>
        </w:rPr>
        <w:t xml:space="preserve">New York, New York 10006 </w:t>
      </w:r>
    </w:p>
    <w:p w:rsidR="00000000" w:rsidRDefault="001E2972">
      <w:pPr>
        <w:jc w:val="center"/>
        <w:divId w:val="121464117"/>
        <w:rPr>
          <w:rFonts w:eastAsia="Times New Roman"/>
        </w:rPr>
      </w:pPr>
      <w:r>
        <w:rPr>
          <w:rFonts w:ascii="Arial" w:eastAsia="Times New Roman" w:hAnsi="Arial" w:cs="Arial"/>
          <w:color w:val="000000"/>
          <w:sz w:val="20"/>
          <w:szCs w:val="20"/>
        </w:rPr>
        <w:t>(Address of principal executive offices)</w:t>
      </w:r>
    </w:p>
    <w:p w:rsidR="00000000" w:rsidRDefault="001E2972">
      <w:pPr>
        <w:jc w:val="center"/>
        <w:rPr>
          <w:rFonts w:eastAsia="Times New Roman"/>
        </w:rPr>
      </w:pPr>
    </w:p>
    <w:p w:rsidR="00000000" w:rsidRDefault="001E2972">
      <w:pPr>
        <w:jc w:val="center"/>
        <w:divId w:val="1477604672"/>
        <w:rPr>
          <w:rFonts w:eastAsia="Times New Roman"/>
        </w:rPr>
      </w:pPr>
      <w:r>
        <w:rPr>
          <w:rFonts w:ascii="Arial" w:eastAsia="Times New Roman" w:hAnsi="Arial" w:cs="Arial"/>
          <w:b/>
          <w:bCs/>
          <w:color w:val="000000"/>
          <w:sz w:val="20"/>
          <w:szCs w:val="20"/>
          <w:u w:val="single"/>
        </w:rPr>
        <w:t>(212) 297-0200</w:t>
      </w:r>
    </w:p>
    <w:p w:rsidR="00000000" w:rsidRDefault="001E2972">
      <w:pPr>
        <w:jc w:val="center"/>
        <w:divId w:val="867984728"/>
        <w:rPr>
          <w:rFonts w:eastAsia="Times New Roman"/>
        </w:rPr>
      </w:pPr>
      <w:r>
        <w:rPr>
          <w:rFonts w:ascii="Arial" w:eastAsia="Times New Roman" w:hAnsi="Arial" w:cs="Arial"/>
          <w:color w:val="000000"/>
          <w:sz w:val="20"/>
          <w:szCs w:val="20"/>
        </w:rPr>
        <w:t>(Registrant’s telephone number, including area code)</w:t>
      </w:r>
    </w:p>
    <w:p w:rsidR="00000000" w:rsidRDefault="001E2972">
      <w:pPr>
        <w:jc w:val="center"/>
        <w:divId w:val="2076196216"/>
        <w:rPr>
          <w:rFonts w:eastAsia="Times New Roman"/>
        </w:rPr>
      </w:pPr>
      <w:r>
        <w:rPr>
          <w:rFonts w:ascii="Arial" w:eastAsia="Times New Roman" w:hAnsi="Arial" w:cs="Arial"/>
          <w:b/>
          <w:bCs/>
          <w:color w:val="000000"/>
          <w:sz w:val="20"/>
          <w:szCs w:val="20"/>
        </w:rPr>
        <w:t>None</w:t>
      </w:r>
    </w:p>
    <w:p w:rsidR="00000000" w:rsidRDefault="001E2972">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rsidR="00000000" w:rsidRDefault="001E2972">
      <w:pPr>
        <w:jc w:val="center"/>
        <w:rPr>
          <w:rFonts w:eastAsia="Times New Roman"/>
        </w:rPr>
      </w:pPr>
      <w:r>
        <w:rPr>
          <w:rFonts w:ascii="Arial" w:eastAsia="Times New Roman" w:hAnsi="Arial" w:cs="Arial"/>
          <w:color w:val="000000"/>
          <w:sz w:val="20"/>
          <w:szCs w:val="20"/>
        </w:rPr>
        <w:t>__________________________</w:t>
      </w:r>
    </w:p>
    <w:p w:rsidR="00000000" w:rsidRDefault="001E2972">
      <w:pPr>
        <w:jc w:val="center"/>
        <w:divId w:val="924220025"/>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trPr>
          <w:divId w:val="434403499"/>
        </w:trPr>
        <w:tc>
          <w:tcPr>
            <w:tcW w:w="50" w:type="pct"/>
            <w:vAlign w:val="center"/>
            <w:hideMark/>
          </w:tcPr>
          <w:p w:rsidR="00000000" w:rsidRDefault="001E2972">
            <w:pPr>
              <w:jc w:val="center"/>
              <w:rPr>
                <w:rFonts w:eastAsia="Times New Roman"/>
              </w:rPr>
            </w:pPr>
          </w:p>
        </w:tc>
        <w:tc>
          <w:tcPr>
            <w:tcW w:w="159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19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98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434403499"/>
        </w:trPr>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Name of each exchange on which registered</w:t>
            </w:r>
          </w:p>
        </w:tc>
      </w:tr>
      <w:tr w:rsidR="00000000">
        <w:trPr>
          <w:divId w:val="43440349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New York Stock Exchange</w:t>
            </w:r>
          </w:p>
        </w:tc>
      </w:tr>
    </w:tbl>
    <w:p w:rsidR="00000000" w:rsidRDefault="001E2972">
      <w:pPr>
        <w:divId w:val="1416591746"/>
        <w:rPr>
          <w:rFonts w:eastAsia="Times New Roman"/>
        </w:rPr>
      </w:pPr>
    </w:p>
    <w:p w:rsidR="00000000" w:rsidRDefault="001E2972">
      <w:pPr>
        <w:rPr>
          <w:rFonts w:eastAsia="Times New Roman"/>
        </w:rPr>
      </w:pPr>
      <w:r>
        <w:rPr>
          <w:rFonts w:eastAsia="Times New Roman"/>
        </w:rPr>
        <w:pict>
          <v:rect id="_x0000_i1027" style="width:0;height:1.5pt" o:hralign="center" o:hrstd="t" o:hr="t" fillcolor="#a0a0a0" stroked="f"/>
        </w:pict>
      </w:r>
    </w:p>
    <w:p w:rsidR="00000000" w:rsidRDefault="001E2972">
      <w:pPr>
        <w:divId w:val="2031181964"/>
        <w:rPr>
          <w:rFonts w:eastAsia="Times New Roman"/>
        </w:rPr>
      </w:pPr>
    </w:p>
    <w:p w:rsidR="00000000" w:rsidRDefault="001E2972">
      <w:pPr>
        <w:jc w:val="both"/>
        <w:divId w:val="1847358802"/>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1E2972">
      <w:pPr>
        <w:jc w:val="both"/>
        <w:divId w:val="1857383383"/>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w:t>
      </w:r>
      <w:r>
        <w:rPr>
          <w:rFonts w:ascii="Arial" w:eastAsia="Times New Roman" w:hAnsi="Arial" w:cs="Arial"/>
          <w:color w:val="000000"/>
          <w:sz w:val="20"/>
          <w:szCs w:val="20"/>
        </w:rPr>
        <w:t>ed 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1E2972">
      <w:pPr>
        <w:jc w:val="both"/>
        <w:divId w:val="1290471671"/>
        <w:rPr>
          <w:rFonts w:eastAsia="Times New Roman"/>
        </w:rPr>
      </w:pPr>
      <w:r>
        <w:rPr>
          <w:rFonts w:ascii="Arial" w:eastAsia="Times New Roman" w:hAnsi="Arial" w:cs="Arial"/>
          <w:color w:val="000000"/>
          <w:sz w:val="20"/>
          <w:szCs w:val="20"/>
        </w:rPr>
        <w:t xml:space="preserve">Indicate by check mark whether the </w:t>
      </w:r>
      <w:r>
        <w:rPr>
          <w:rFonts w:ascii="Arial" w:eastAsia="Times New Roman" w:hAnsi="Arial" w:cs="Arial"/>
          <w:color w:val="000000"/>
          <w:sz w:val="20"/>
          <w:szCs w:val="20"/>
        </w:rPr>
        <w:t>registrant is a large accelerated filer, an accelerated filer, a non-accelerated filer, a smaller reporting company, or an emerging growth company. See the definitions of “large accelerated filer,” “accelerated filer,” “smaller reporting company,” and “eme</w:t>
      </w:r>
      <w:r>
        <w:rPr>
          <w:rFonts w:ascii="Arial" w:eastAsia="Times New Roman" w:hAnsi="Arial" w:cs="Arial"/>
          <w:color w:val="000000"/>
          <w:sz w:val="20"/>
          <w:szCs w:val="20"/>
        </w:rPr>
        <w:t>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1748261287"/>
          <w:jc w:val="center"/>
        </w:trPr>
        <w:tc>
          <w:tcPr>
            <w:tcW w:w="50" w:type="pct"/>
            <w:vAlign w:val="center"/>
            <w:hideMark/>
          </w:tcPr>
          <w:p w:rsidR="00000000" w:rsidRDefault="001E2972">
            <w:pPr>
              <w:jc w:val="both"/>
              <w:rPr>
                <w:rFonts w:eastAsia="Times New Roman"/>
              </w:rPr>
            </w:pPr>
          </w:p>
        </w:tc>
        <w:tc>
          <w:tcPr>
            <w:tcW w:w="8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2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8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2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2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95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1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93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3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48261287"/>
          <w:jc w:val="center"/>
        </w:trPr>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1E2972">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1E2972">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1E2972">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1E2972">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1E2972">
            <w:pPr>
              <w:jc w:val="center"/>
              <w:rPr>
                <w:rFonts w:eastAsia="Times New Roman"/>
              </w:rPr>
            </w:pPr>
            <w:r>
              <w:rPr>
                <w:rFonts w:ascii="Segoe UI Symbol" w:eastAsia="Times New Roman" w:hAnsi="Segoe UI Symbol" w:cs="Segoe UI Symbol"/>
                <w:color w:val="000000"/>
                <w:sz w:val="20"/>
                <w:szCs w:val="20"/>
              </w:rPr>
              <w:t>☐</w:t>
            </w:r>
          </w:p>
        </w:tc>
      </w:tr>
    </w:tbl>
    <w:p w:rsidR="00000000" w:rsidRDefault="001E2972">
      <w:pPr>
        <w:jc w:val="both"/>
        <w:divId w:val="195899008"/>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1E2972">
      <w:pPr>
        <w:divId w:val="1973369196"/>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1E2972">
      <w:pPr>
        <w:jc w:val="center"/>
        <w:divId w:val="249394673"/>
        <w:rPr>
          <w:rFonts w:eastAsia="Times New Roman"/>
        </w:rPr>
      </w:pPr>
      <w:r>
        <w:rPr>
          <w:rFonts w:ascii="Arial" w:eastAsia="Times New Roman" w:hAnsi="Arial" w:cs="Arial"/>
          <w:color w:val="000000"/>
          <w:sz w:val="20"/>
          <w:szCs w:val="20"/>
        </w:rPr>
        <w:t>Number of shares of the registrant’s common stock outstanding as of June 8, 2021: 67,131,306</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142110664"/>
          <w:jc w:val="center"/>
        </w:trPr>
        <w:tc>
          <w:tcPr>
            <w:tcW w:w="50" w:type="pct"/>
            <w:vAlign w:val="center"/>
            <w:hideMark/>
          </w:tcPr>
          <w:p w:rsidR="00000000" w:rsidRDefault="001E2972">
            <w:pPr>
              <w:jc w:val="center"/>
              <w:rPr>
                <w:rFonts w:eastAsia="Times New Roman"/>
              </w:rPr>
            </w:pPr>
          </w:p>
        </w:tc>
        <w:tc>
          <w:tcPr>
            <w:tcW w:w="494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14211066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center"/>
        <w:divId w:val="585647240"/>
        <w:rPr>
          <w:rFonts w:eastAsia="Times New Roman"/>
        </w:rPr>
      </w:pPr>
    </w:p>
    <w:p w:rsidR="00000000" w:rsidRDefault="001E2972">
      <w:pPr>
        <w:rPr>
          <w:rFonts w:eastAsia="Times New Roman"/>
        </w:rPr>
      </w:pPr>
      <w:r>
        <w:rPr>
          <w:rFonts w:eastAsia="Times New Roman"/>
        </w:rPr>
        <w:pict>
          <v:rect id="_x0000_i1028" style="width:0;height:1.5pt" o:hralign="center" o:hrstd="t" o:hr="t" fillcolor="#a0a0a0" stroked="f"/>
        </w:pict>
      </w:r>
    </w:p>
    <w:p w:rsidR="00000000" w:rsidRDefault="001E2972">
      <w:pPr>
        <w:divId w:val="1058438014"/>
        <w:rPr>
          <w:rFonts w:eastAsia="Times New Roman"/>
        </w:rPr>
      </w:pPr>
    </w:p>
    <w:p w:rsidR="00000000" w:rsidRDefault="001E2972">
      <w:pPr>
        <w:jc w:val="center"/>
        <w:divId w:val="630598758"/>
        <w:rPr>
          <w:rFonts w:eastAsia="Times New Roman"/>
        </w:rPr>
      </w:pPr>
      <w:r>
        <w:rPr>
          <w:rFonts w:ascii="Arial" w:eastAsia="Times New Roman" w:hAnsi="Arial" w:cs="Arial"/>
          <w:b/>
          <w:bCs/>
          <w:color w:val="000000"/>
          <w:sz w:val="20"/>
          <w:szCs w:val="20"/>
        </w:rPr>
        <w:t>ABM INDUSTRIES INCORPORATED AND SUBSIDIARIES</w:t>
      </w:r>
    </w:p>
    <w:p w:rsidR="00000000" w:rsidRDefault="001E2972">
      <w:pPr>
        <w:jc w:val="center"/>
        <w:divId w:val="1762407992"/>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266431566"/>
        </w:trPr>
        <w:tc>
          <w:tcPr>
            <w:tcW w:w="50" w:type="pct"/>
            <w:vAlign w:val="center"/>
            <w:hideMark/>
          </w:tcPr>
          <w:p w:rsidR="00000000" w:rsidRDefault="001E2972">
            <w:pPr>
              <w:jc w:val="center"/>
              <w:rPr>
                <w:rFonts w:eastAsia="Times New Roman"/>
              </w:rPr>
            </w:pPr>
          </w:p>
        </w:tc>
        <w:tc>
          <w:tcPr>
            <w:tcW w:w="467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1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0" w:history="1">
              <w:r>
                <w:rPr>
                  <w:rStyle w:val="a3"/>
                  <w:rFonts w:ascii="Arial" w:eastAsia="Times New Roman" w:hAnsi="Arial" w:cs="Arial"/>
                  <w:sz w:val="17"/>
                  <w:szCs w:val="17"/>
                </w:rPr>
                <w:t>1</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 w:history="1">
              <w:r>
                <w:rPr>
                  <w:rStyle w:val="a3"/>
                  <w:rFonts w:ascii="Arial" w:eastAsia="Times New Roman" w:hAnsi="Arial" w:cs="Arial"/>
                  <w:sz w:val="17"/>
                  <w:szCs w:val="17"/>
                </w:rPr>
                <w:t>3</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 w:history="1">
              <w:r>
                <w:rPr>
                  <w:rStyle w:val="a3"/>
                  <w:rFonts w:ascii="Arial" w:eastAsia="Times New Roman" w:hAnsi="Arial" w:cs="Arial"/>
                  <w:sz w:val="17"/>
                  <w:szCs w:val="17"/>
                </w:rPr>
                <w:t>3</w:t>
              </w:r>
            </w:hyperlink>
          </w:p>
        </w:tc>
      </w:tr>
      <w:tr w:rsidR="00000000">
        <w:trPr>
          <w:divId w:val="266431566"/>
        </w:trPr>
        <w:tc>
          <w:tcPr>
            <w:tcW w:w="0" w:type="auto"/>
            <w:gridSpan w:val="3"/>
            <w:vAlign w:val="center"/>
            <w:hideMark/>
          </w:tcPr>
          <w:p w:rsidR="00000000" w:rsidRDefault="001E2972">
            <w:pPr>
              <w:jc w:val="right"/>
              <w:rPr>
                <w:rFonts w:eastAsia="Times New Roman"/>
              </w:rPr>
            </w:pPr>
          </w:p>
        </w:tc>
        <w:tc>
          <w:tcPr>
            <w:tcW w:w="0" w:type="auto"/>
            <w:gridSpan w:val="3"/>
            <w:vAlign w:val="center"/>
            <w:hideMark/>
          </w:tcPr>
          <w:p w:rsidR="00000000" w:rsidRDefault="001E2972">
            <w:pPr>
              <w:rPr>
                <w:rFonts w:eastAsia="Times New Roman"/>
                <w:sz w:val="20"/>
                <w:szCs w:val="20"/>
              </w:rPr>
            </w:pPr>
          </w:p>
        </w:tc>
      </w:tr>
      <w:tr w:rsidR="00000000">
        <w:trPr>
          <w:divId w:val="266431566"/>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266431566"/>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266431566"/>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85" w:history="1">
              <w:r>
                <w:rPr>
                  <w:rStyle w:val="a3"/>
                  <w:rFonts w:ascii="Arial" w:eastAsia="Times New Roman" w:hAnsi="Arial" w:cs="Arial"/>
                  <w:sz w:val="17"/>
                  <w:szCs w:val="17"/>
                </w:rPr>
                <w:t>22</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15"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18"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21"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1. Legal Proceedings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24"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27"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0" w:history="1">
              <w:r>
                <w:rPr>
                  <w:rStyle w:val="a3"/>
                  <w:rFonts w:ascii="Arial" w:eastAsia="Times New Roman" w:hAnsi="Arial" w:cs="Arial"/>
                  <w:sz w:val="17"/>
                  <w:szCs w:val="17"/>
                </w:rPr>
                <w:t>44</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lastRenderedPageBreak/>
              <w:t>Item 3. Defaults Upon Senior Securities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3" w:history="1">
              <w:r>
                <w:rPr>
                  <w:rStyle w:val="a3"/>
                  <w:rFonts w:ascii="Arial" w:eastAsia="Times New Roman" w:hAnsi="Arial" w:cs="Arial"/>
                  <w:sz w:val="17"/>
                  <w:szCs w:val="17"/>
                </w:rPr>
                <w:t>45</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4. Mine Safety Disclosures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6" w:history="1">
              <w:r>
                <w:rPr>
                  <w:rStyle w:val="a3"/>
                  <w:rFonts w:ascii="Arial" w:eastAsia="Times New Roman" w:hAnsi="Arial" w:cs="Arial"/>
                  <w:sz w:val="17"/>
                  <w:szCs w:val="17"/>
                </w:rPr>
                <w:t>45</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39" w:history="1">
              <w:r>
                <w:rPr>
                  <w:rStyle w:val="a3"/>
                  <w:rFonts w:ascii="Arial" w:eastAsia="Times New Roman" w:hAnsi="Arial" w:cs="Arial"/>
                  <w:sz w:val="17"/>
                  <w:szCs w:val="17"/>
                </w:rPr>
                <w:t>45</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42" w:history="1">
              <w:r>
                <w:rPr>
                  <w:rStyle w:val="a3"/>
                  <w:rFonts w:ascii="Arial" w:eastAsia="Times New Roman" w:hAnsi="Arial" w:cs="Arial"/>
                  <w:sz w:val="17"/>
                  <w:szCs w:val="17"/>
                </w:rPr>
                <w:t>46</w:t>
              </w:r>
            </w:hyperlink>
          </w:p>
        </w:tc>
      </w:tr>
      <w:tr w:rsidR="00000000">
        <w:trPr>
          <w:divId w:val="26643156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rsidR="00000000" w:rsidRDefault="001E2972">
            <w:pPr>
              <w:jc w:val="right"/>
              <w:rPr>
                <w:rFonts w:eastAsia="Times New Roman"/>
              </w:rPr>
            </w:pPr>
            <w:hyperlink w:anchor="ifa56c014474b43758647ddf479af7fd1_145" w:history="1">
              <w:r>
                <w:rPr>
                  <w:rStyle w:val="a3"/>
                  <w:rFonts w:ascii="Arial" w:eastAsia="Times New Roman" w:hAnsi="Arial" w:cs="Arial"/>
                  <w:sz w:val="17"/>
                  <w:szCs w:val="17"/>
                </w:rPr>
                <w:t>47</w:t>
              </w:r>
            </w:hyperlink>
          </w:p>
        </w:tc>
      </w:tr>
    </w:tbl>
    <w:p w:rsidR="00000000" w:rsidRDefault="001E2972">
      <w:pPr>
        <w:jc w:val="center"/>
        <w:divId w:val="193080529"/>
        <w:rPr>
          <w:rFonts w:eastAsia="Times New Roman"/>
        </w:rPr>
      </w:pPr>
    </w:p>
    <w:p w:rsidR="00000000" w:rsidRDefault="001E2972">
      <w:pPr>
        <w:rPr>
          <w:rFonts w:eastAsia="Times New Roman"/>
        </w:rPr>
      </w:pPr>
      <w:r>
        <w:rPr>
          <w:rFonts w:eastAsia="Times New Roman"/>
        </w:rPr>
        <w:pict>
          <v:rect id="_x0000_i1029" style="width:0;height:1.5pt" o:hralign="center" o:hrstd="t" o:hr="t" fillcolor="#a0a0a0" stroked="f"/>
        </w:pict>
      </w:r>
    </w:p>
    <w:p w:rsidR="00000000" w:rsidRDefault="001E2972">
      <w:pPr>
        <w:divId w:val="1516188748"/>
        <w:rPr>
          <w:rFonts w:eastAsia="Times New Roman"/>
        </w:rPr>
      </w:pPr>
    </w:p>
    <w:p w:rsidR="00000000" w:rsidRDefault="001E2972">
      <w:pPr>
        <w:divId w:val="1123889591"/>
        <w:rPr>
          <w:rFonts w:eastAsia="Times New Roman"/>
        </w:rPr>
      </w:pPr>
      <w:r>
        <w:rPr>
          <w:rFonts w:ascii="Arial" w:eastAsia="Times New Roman" w:hAnsi="Arial" w:cs="Arial"/>
          <w:b/>
          <w:bCs/>
          <w:color w:val="0046AD"/>
          <w:sz w:val="20"/>
          <w:szCs w:val="20"/>
        </w:rPr>
        <w:t>FORWARD-LOOKING STATEMENTS</w:t>
      </w:r>
    </w:p>
    <w:p w:rsidR="00000000" w:rsidRDefault="001E2972">
      <w:pPr>
        <w:ind w:firstLine="720"/>
        <w:jc w:val="both"/>
        <w:divId w:val="1212498605"/>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rsidR="00000000" w:rsidRDefault="001E2972">
      <w:pPr>
        <w:ind w:hanging="360"/>
        <w:jc w:val="both"/>
        <w:divId w:val="71978019"/>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United States economy; it has disrupted and is expected to continue disrupting our operations and our clients’ operations; and it has adversely affected and may continue to adversely affect our business, results</w:t>
      </w:r>
      <w:r>
        <w:rPr>
          <w:rFonts w:ascii="Arial" w:eastAsia="Times New Roman" w:hAnsi="Arial" w:cs="Arial"/>
          <w:color w:val="000000"/>
          <w:sz w:val="20"/>
          <w:szCs w:val="20"/>
        </w:rPr>
        <w:t xml:space="preserve"> of operations, cash flows, and financial condition.</w:t>
      </w:r>
    </w:p>
    <w:p w:rsidR="00000000" w:rsidRDefault="001E2972">
      <w:pPr>
        <w:ind w:hanging="360"/>
        <w:jc w:val="both"/>
        <w:divId w:val="1789080982"/>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rsidR="00000000" w:rsidRDefault="001E2972">
      <w:pPr>
        <w:ind w:hanging="360"/>
        <w:jc w:val="both"/>
        <w:divId w:val="1387223066"/>
        <w:rPr>
          <w:rFonts w:eastAsia="Times New Roman"/>
        </w:rPr>
      </w:pPr>
      <w:r>
        <w:rPr>
          <w:rFonts w:ascii="Arial" w:eastAsia="Times New Roman" w:hAnsi="Arial" w:cs="Arial"/>
          <w:color w:val="000000"/>
          <w:sz w:val="20"/>
          <w:szCs w:val="20"/>
        </w:rPr>
        <w:t>•Our business success depends on our ability to attract and retain qualified personnel and senior man</w:t>
      </w:r>
      <w:r>
        <w:rPr>
          <w:rFonts w:ascii="Arial" w:eastAsia="Times New Roman" w:hAnsi="Arial" w:cs="Arial"/>
          <w:color w:val="000000"/>
          <w:sz w:val="20"/>
          <w:szCs w:val="20"/>
        </w:rPr>
        <w:t>agement and to manage labor costs.</w:t>
      </w:r>
    </w:p>
    <w:p w:rsidR="00000000" w:rsidRDefault="001E2972">
      <w:pPr>
        <w:ind w:hanging="360"/>
        <w:jc w:val="both"/>
        <w:divId w:val="1979914595"/>
        <w:rPr>
          <w:rFonts w:eastAsia="Times New Roman"/>
        </w:rPr>
      </w:pPr>
      <w:r>
        <w:rPr>
          <w:rFonts w:ascii="Arial" w:eastAsia="Times New Roman" w:hAnsi="Arial" w:cs="Arial"/>
          <w:color w:val="000000"/>
          <w:sz w:val="20"/>
          <w:szCs w:val="20"/>
        </w:rPr>
        <w:t>•Our ability to preserve long-term client relationships is essential to our continued success.</w:t>
      </w:r>
    </w:p>
    <w:p w:rsidR="00000000" w:rsidRDefault="001E2972">
      <w:pPr>
        <w:ind w:hanging="360"/>
        <w:jc w:val="both"/>
        <w:divId w:val="2045787895"/>
        <w:rPr>
          <w:rFonts w:eastAsia="Times New Roman"/>
        </w:rPr>
      </w:pPr>
      <w:r>
        <w:rPr>
          <w:rFonts w:ascii="Arial" w:eastAsia="Times New Roman" w:hAnsi="Arial" w:cs="Arial"/>
          <w:color w:val="000000"/>
          <w:sz w:val="20"/>
          <w:szCs w:val="20"/>
        </w:rPr>
        <w:t>•Changes to our businesses, operating structure, financial reporting structure, or personnel relating to the implementation of</w:t>
      </w:r>
      <w:r>
        <w:rPr>
          <w:rFonts w:ascii="Arial" w:eastAsia="Times New Roman" w:hAnsi="Arial" w:cs="Arial"/>
          <w:color w:val="000000"/>
          <w:sz w:val="20"/>
          <w:szCs w:val="20"/>
        </w:rPr>
        <w:t xml:space="preserve"> strategic transformations, enhanced business processes, and technology initiatives may not have the desired effects on our financial condition and results of operations.</w:t>
      </w:r>
    </w:p>
    <w:p w:rsidR="00000000" w:rsidRDefault="001E2972">
      <w:pPr>
        <w:ind w:hanging="360"/>
        <w:jc w:val="both"/>
        <w:divId w:val="541938692"/>
        <w:rPr>
          <w:rFonts w:eastAsia="Times New Roman"/>
        </w:rPr>
      </w:pPr>
      <w:r>
        <w:rPr>
          <w:rFonts w:ascii="Arial" w:eastAsia="Times New Roman" w:hAnsi="Arial" w:cs="Arial"/>
          <w:color w:val="000000"/>
          <w:sz w:val="20"/>
          <w:szCs w:val="20"/>
        </w:rPr>
        <w:t>•Acquisitions, divestitures, and other strategic transactions could fail to achieve f</w:t>
      </w:r>
      <w:r>
        <w:rPr>
          <w:rFonts w:ascii="Arial" w:eastAsia="Times New Roman" w:hAnsi="Arial" w:cs="Arial"/>
          <w:color w:val="000000"/>
          <w:sz w:val="20"/>
          <w:szCs w:val="20"/>
        </w:rPr>
        <w:t>inancial or strategic objectives, disrupt our ongoing business, and adversely impact our results of operations.</w:t>
      </w:r>
    </w:p>
    <w:p w:rsidR="00000000" w:rsidRDefault="001E2972">
      <w:pPr>
        <w:ind w:hanging="360"/>
        <w:jc w:val="both"/>
        <w:divId w:val="1047683245"/>
        <w:rPr>
          <w:rFonts w:eastAsia="Times New Roman"/>
        </w:rPr>
      </w:pPr>
      <w:r>
        <w:rPr>
          <w:rFonts w:ascii="Arial" w:eastAsia="Times New Roman" w:hAnsi="Arial" w:cs="Arial"/>
          <w:color w:val="000000"/>
          <w:sz w:val="20"/>
          <w:szCs w:val="20"/>
        </w:rPr>
        <w:t>•Our international business involves risks different from those we face in the United States that could have an effect on our results of operati</w:t>
      </w:r>
      <w:r>
        <w:rPr>
          <w:rFonts w:ascii="Arial" w:eastAsia="Times New Roman" w:hAnsi="Arial" w:cs="Arial"/>
          <w:color w:val="000000"/>
          <w:sz w:val="20"/>
          <w:szCs w:val="20"/>
        </w:rPr>
        <w:t>ons and financial condition.</w:t>
      </w:r>
    </w:p>
    <w:p w:rsidR="00000000" w:rsidRDefault="001E2972">
      <w:pPr>
        <w:ind w:hanging="360"/>
        <w:jc w:val="both"/>
        <w:divId w:val="62140541"/>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rsidR="00000000" w:rsidRDefault="001E2972">
      <w:pPr>
        <w:ind w:hanging="360"/>
        <w:jc w:val="both"/>
        <w:divId w:val="1021973043"/>
        <w:rPr>
          <w:rFonts w:eastAsia="Times New Roman"/>
        </w:rPr>
      </w:pPr>
      <w:r>
        <w:rPr>
          <w:rFonts w:ascii="Arial" w:eastAsia="Times New Roman" w:hAnsi="Arial" w:cs="Arial"/>
          <w:color w:val="000000"/>
          <w:sz w:val="20"/>
          <w:szCs w:val="20"/>
        </w:rPr>
        <w:t>•We manage our insurable risks through a combination of third-party purchased policies an</w:t>
      </w:r>
      <w:r>
        <w:rPr>
          <w:rFonts w:ascii="Arial" w:eastAsia="Times New Roman" w:hAnsi="Arial" w:cs="Arial"/>
          <w:color w:val="000000"/>
          <w:sz w:val="20"/>
          <w:szCs w:val="20"/>
        </w:rPr>
        <w:t>d self-insurance, and we retain a substantial portion of the risk associated with expected losses under these programs, which exposes us to volatility associated with those risks, including the possibility that changes in estimates to our ultimate insuranc</w:t>
      </w:r>
      <w:r>
        <w:rPr>
          <w:rFonts w:ascii="Arial" w:eastAsia="Times New Roman" w:hAnsi="Arial" w:cs="Arial"/>
          <w:color w:val="000000"/>
          <w:sz w:val="20"/>
          <w:szCs w:val="20"/>
        </w:rPr>
        <w:t>e loss reserves could result in material charges against our earnings.</w:t>
      </w:r>
    </w:p>
    <w:p w:rsidR="00000000" w:rsidRDefault="001E2972">
      <w:pPr>
        <w:ind w:hanging="360"/>
        <w:jc w:val="both"/>
        <w:divId w:val="925109414"/>
        <w:rPr>
          <w:rFonts w:eastAsia="Times New Roman"/>
        </w:rPr>
      </w:pPr>
      <w:r>
        <w:rPr>
          <w:rFonts w:ascii="Arial" w:eastAsia="Times New Roman" w:hAnsi="Arial" w:cs="Arial"/>
          <w:color w:val="000000"/>
          <w:sz w:val="20"/>
          <w:szCs w:val="20"/>
        </w:rPr>
        <w:t>•Our risk management and safety programs may not have the intended effect of reducing our liability for personal injury or property loss.</w:t>
      </w:r>
    </w:p>
    <w:p w:rsidR="00000000" w:rsidRDefault="001E2972">
      <w:pPr>
        <w:ind w:hanging="360"/>
        <w:jc w:val="both"/>
        <w:divId w:val="1480003276"/>
        <w:rPr>
          <w:rFonts w:eastAsia="Times New Roman"/>
        </w:rPr>
      </w:pPr>
      <w:r>
        <w:rPr>
          <w:rFonts w:ascii="Arial" w:eastAsia="Times New Roman" w:hAnsi="Arial" w:cs="Arial"/>
          <w:color w:val="000000"/>
          <w:sz w:val="20"/>
          <w:szCs w:val="20"/>
        </w:rPr>
        <w:t xml:space="preserve">•We may experience breaches of, or disruptions </w:t>
      </w:r>
      <w:r>
        <w:rPr>
          <w:rFonts w:ascii="Arial" w:eastAsia="Times New Roman" w:hAnsi="Arial" w:cs="Arial"/>
          <w:color w:val="000000"/>
          <w:sz w:val="20"/>
          <w:szCs w:val="20"/>
        </w:rPr>
        <w:t>to, our information technology systems or those of our third-party providers or clients, or other compromises of our data that could adversely affect our business.</w:t>
      </w:r>
    </w:p>
    <w:p w:rsidR="00000000" w:rsidRDefault="001E2972">
      <w:pPr>
        <w:ind w:hanging="360"/>
        <w:jc w:val="both"/>
        <w:divId w:val="718094714"/>
        <w:rPr>
          <w:rFonts w:eastAsia="Times New Roman"/>
        </w:rPr>
      </w:pPr>
      <w:r>
        <w:rPr>
          <w:rFonts w:ascii="Arial" w:eastAsia="Times New Roman" w:hAnsi="Arial" w:cs="Arial"/>
          <w:color w:val="000000"/>
          <w:sz w:val="20"/>
          <w:szCs w:val="20"/>
        </w:rPr>
        <w:t>•Unfavorable developments in our class and representative actions and other lawsuits allegin</w:t>
      </w:r>
      <w:r>
        <w:rPr>
          <w:rFonts w:ascii="Arial" w:eastAsia="Times New Roman" w:hAnsi="Arial" w:cs="Arial"/>
          <w:color w:val="000000"/>
          <w:sz w:val="20"/>
          <w:szCs w:val="20"/>
        </w:rPr>
        <w:t>g various claims could cause us to incur substantial liabilities.</w:t>
      </w:r>
    </w:p>
    <w:p w:rsidR="00000000" w:rsidRDefault="001E2972">
      <w:pPr>
        <w:ind w:hanging="360"/>
        <w:jc w:val="both"/>
        <w:divId w:val="2116438537"/>
        <w:rPr>
          <w:rFonts w:eastAsia="Times New Roman"/>
        </w:rPr>
      </w:pPr>
      <w:r>
        <w:rPr>
          <w:rFonts w:ascii="Arial" w:eastAsia="Times New Roman" w:hAnsi="Arial" w:cs="Arial"/>
          <w:color w:val="000000"/>
          <w:sz w:val="20"/>
          <w:szCs w:val="20"/>
        </w:rPr>
        <w:lastRenderedPageBreak/>
        <w:t>•A significant number of our employees are covered by collective bargaining agreements that could expose us to potential liabilities in relation to our participation in multiemployer pension</w:t>
      </w:r>
      <w:r>
        <w:rPr>
          <w:rFonts w:ascii="Arial" w:eastAsia="Times New Roman" w:hAnsi="Arial" w:cs="Arial"/>
          <w:color w:val="000000"/>
          <w:sz w:val="20"/>
          <w:szCs w:val="20"/>
        </w:rPr>
        <w:t xml:space="preserve"> plans, requirements to make contributions to other benefit plans, and the potential for strikes, work slowdowns or similar activities, and union organizing drives.</w:t>
      </w:r>
    </w:p>
    <w:p w:rsidR="00000000" w:rsidRDefault="001E2972">
      <w:pPr>
        <w:ind w:hanging="360"/>
        <w:jc w:val="both"/>
        <w:divId w:val="14298919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may be materially affected by changes to fiscal and tax policies. Negative or unexpected tax consequences could adversely affect our results of operations.</w:t>
      </w:r>
    </w:p>
    <w:p w:rsidR="00000000" w:rsidRDefault="001E2972">
      <w:pPr>
        <w:ind w:hanging="360"/>
        <w:jc w:val="both"/>
        <w:divId w:val="40600100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general economic conditions, such as changes in energy prices, government regulations, or consumer preferences, could reduce the demand for facility services and, as a result, reduce our earnings and adversely affect our financial condition.</w:t>
      </w:r>
    </w:p>
    <w:p w:rsidR="00000000" w:rsidRDefault="001E2972">
      <w:pPr>
        <w:ind w:hanging="360"/>
        <w:jc w:val="both"/>
        <w:divId w:val="701633368"/>
        <w:rPr>
          <w:rFonts w:eastAsia="Times New Roman"/>
        </w:rPr>
      </w:pPr>
      <w:r>
        <w:rPr>
          <w:rFonts w:ascii="Arial" w:eastAsia="Times New Roman" w:hAnsi="Arial" w:cs="Arial"/>
          <w:color w:val="000000"/>
          <w:sz w:val="20"/>
          <w:szCs w:val="20"/>
        </w:rPr>
        <w:t>•Fu</w:t>
      </w:r>
      <w:r>
        <w:rPr>
          <w:rFonts w:ascii="Arial" w:eastAsia="Times New Roman" w:hAnsi="Arial" w:cs="Arial"/>
          <w:color w:val="000000"/>
          <w:sz w:val="20"/>
          <w:szCs w:val="20"/>
        </w:rPr>
        <w:t>ture increases in the level of our borrowings or in interest rates could affect our results of operations.</w:t>
      </w:r>
    </w:p>
    <w:p w:rsidR="00000000" w:rsidRDefault="001E2972">
      <w:pPr>
        <w:ind w:hanging="360"/>
        <w:jc w:val="both"/>
        <w:divId w:val="664434626"/>
        <w:rPr>
          <w:rFonts w:eastAsia="Times New Roman"/>
        </w:rPr>
      </w:pPr>
      <w:r>
        <w:rPr>
          <w:rFonts w:ascii="Arial" w:eastAsia="Times New Roman" w:hAnsi="Arial" w:cs="Arial"/>
          <w:color w:val="000000"/>
          <w:sz w:val="20"/>
          <w:szCs w:val="20"/>
        </w:rPr>
        <w:t>•Impairment of goodwill and long-lived assets could have a material adverse effect on our financial condition and results of operations.</w:t>
      </w:r>
    </w:p>
    <w:p w:rsidR="00000000" w:rsidRDefault="001E2972">
      <w:pPr>
        <w:ind w:hanging="360"/>
        <w:jc w:val="both"/>
        <w:divId w:val="10570664"/>
        <w:rPr>
          <w:rFonts w:eastAsia="Times New Roman"/>
        </w:rPr>
      </w:pPr>
      <w:r>
        <w:rPr>
          <w:rFonts w:ascii="Arial" w:eastAsia="Times New Roman" w:hAnsi="Arial" w:cs="Arial"/>
          <w:color w:val="000000"/>
          <w:sz w:val="20"/>
          <w:szCs w:val="20"/>
        </w:rPr>
        <w:t xml:space="preserve">•If we fail </w:t>
      </w:r>
      <w:r>
        <w:rPr>
          <w:rFonts w:ascii="Arial" w:eastAsia="Times New Roman" w:hAnsi="Arial" w:cs="Arial"/>
          <w:color w:val="000000"/>
          <w:sz w:val="20"/>
          <w:szCs w:val="20"/>
        </w:rPr>
        <w:t>to maintain proper and effective internal control over financial reporting in the future, our ability to produce accurate and timely financial statements could be negatively impacted, which could harm our operating results and investor perceptions of our C</w:t>
      </w:r>
      <w:r>
        <w:rPr>
          <w:rFonts w:ascii="Arial" w:eastAsia="Times New Roman" w:hAnsi="Arial" w:cs="Arial"/>
          <w:color w:val="000000"/>
          <w:sz w:val="20"/>
          <w:szCs w:val="20"/>
        </w:rPr>
        <w:t>ompany and as a result may have a material adverse effect on the value of our common stock.</w:t>
      </w:r>
    </w:p>
    <w:p w:rsidR="00000000" w:rsidRDefault="001E2972">
      <w:pPr>
        <w:jc w:val="center"/>
        <w:divId w:val="357970699"/>
        <w:rPr>
          <w:rFonts w:eastAsia="Times New Roman"/>
        </w:rPr>
      </w:pPr>
      <w:r>
        <w:rPr>
          <w:rFonts w:ascii="Arial" w:eastAsia="Times New Roman" w:hAnsi="Arial" w:cs="Arial"/>
          <w:color w:val="000000"/>
          <w:sz w:val="20"/>
          <w:szCs w:val="20"/>
        </w:rPr>
        <w:t>1</w:t>
      </w:r>
    </w:p>
    <w:p w:rsidR="00000000" w:rsidRDefault="001E2972">
      <w:pPr>
        <w:rPr>
          <w:rFonts w:eastAsia="Times New Roman"/>
        </w:rPr>
      </w:pPr>
      <w:r>
        <w:rPr>
          <w:rFonts w:eastAsia="Times New Roman"/>
        </w:rPr>
        <w:pict>
          <v:rect id="_x0000_i1030" style="width:0;height:1.5pt" o:hralign="center" o:hrstd="t" o:hr="t" fillcolor="#a0a0a0" stroked="f"/>
        </w:pict>
      </w:r>
    </w:p>
    <w:p w:rsidR="00000000" w:rsidRDefault="001E2972">
      <w:pPr>
        <w:divId w:val="1960605193"/>
        <w:rPr>
          <w:rFonts w:eastAsia="Times New Roman"/>
        </w:rPr>
      </w:pPr>
    </w:p>
    <w:p w:rsidR="00000000" w:rsidRDefault="001E2972">
      <w:pPr>
        <w:ind w:hanging="360"/>
        <w:jc w:val="both"/>
        <w:divId w:val="350958376"/>
        <w:rPr>
          <w:rFonts w:eastAsia="Times New Roman"/>
        </w:rPr>
      </w:pPr>
      <w:r>
        <w:rPr>
          <w:rFonts w:ascii="Arial" w:eastAsia="Times New Roman" w:hAnsi="Arial" w:cs="Arial"/>
          <w:color w:val="000000"/>
          <w:sz w:val="20"/>
          <w:szCs w:val="20"/>
        </w:rPr>
        <w:t>•Our business may be negatively impacted by adverse weather conditions.</w:t>
      </w:r>
    </w:p>
    <w:p w:rsidR="00000000" w:rsidRDefault="001E2972">
      <w:pPr>
        <w:ind w:hanging="360"/>
        <w:jc w:val="both"/>
        <w:divId w:val="313074022"/>
        <w:rPr>
          <w:rFonts w:eastAsia="Times New Roman"/>
        </w:rPr>
      </w:pPr>
      <w:r>
        <w:rPr>
          <w:rFonts w:ascii="Arial" w:eastAsia="Times New Roman" w:hAnsi="Arial" w:cs="Arial"/>
          <w:color w:val="000000"/>
          <w:sz w:val="20"/>
          <w:szCs w:val="20"/>
        </w:rPr>
        <w:t>•Catastrophic events, disasters, and terrorist attac</w:t>
      </w:r>
      <w:r>
        <w:rPr>
          <w:rFonts w:ascii="Arial" w:eastAsia="Times New Roman" w:hAnsi="Arial" w:cs="Arial"/>
          <w:color w:val="000000"/>
          <w:sz w:val="20"/>
          <w:szCs w:val="20"/>
        </w:rPr>
        <w:t>ks could disrupt our services.</w:t>
      </w:r>
    </w:p>
    <w:p w:rsidR="00000000" w:rsidRDefault="001E2972">
      <w:pPr>
        <w:ind w:hanging="360"/>
        <w:jc w:val="both"/>
        <w:divId w:val="1688749817"/>
        <w:rPr>
          <w:rFonts w:eastAsia="Times New Roman"/>
        </w:rPr>
      </w:pPr>
      <w:r>
        <w:rPr>
          <w:rFonts w:ascii="Arial" w:eastAsia="Times New Roman" w:hAnsi="Arial" w:cs="Arial"/>
          <w:color w:val="000000"/>
          <w:sz w:val="20"/>
          <w:szCs w:val="20"/>
        </w:rPr>
        <w:t>•Actions of activist investors could disrupt our business.</w:t>
      </w:r>
    </w:p>
    <w:p w:rsidR="00000000" w:rsidRDefault="001E2972">
      <w:pPr>
        <w:ind w:firstLine="720"/>
        <w:jc w:val="both"/>
        <w:divId w:val="1745179653"/>
        <w:rPr>
          <w:rFonts w:eastAsia="Times New Roman"/>
        </w:rPr>
      </w:pPr>
      <w:r>
        <w:rPr>
          <w:rFonts w:ascii="Arial" w:eastAsia="Times New Roman" w:hAnsi="Arial" w:cs="Arial"/>
          <w:color w:val="000000"/>
          <w:sz w:val="20"/>
          <w:szCs w:val="20"/>
        </w:rPr>
        <w:t>The list of factors above is illustrative and by no means exhaustive. Additional information regarding these and other risks and uncertainties we face is contained in</w:t>
      </w:r>
      <w:r>
        <w:rPr>
          <w:rFonts w:ascii="Arial" w:eastAsia="Times New Roman" w:hAnsi="Arial" w:cs="Arial"/>
          <w:color w:val="000000"/>
          <w:sz w:val="20"/>
          <w:szCs w:val="20"/>
        </w:rPr>
        <w:t xml:space="preserve"> our Annual Report on Form 10-K for the year ended October 31, 2020, and in other reports (including all amendments to those reports) we file from time to time with the Securities and Exchange Commission (“SEC”). </w:t>
      </w:r>
    </w:p>
    <w:p w:rsidR="00000000" w:rsidRDefault="001E2972">
      <w:pPr>
        <w:ind w:firstLine="720"/>
        <w:jc w:val="both"/>
        <w:divId w:val="1400982931"/>
        <w:rPr>
          <w:rFonts w:eastAsia="Times New Roman"/>
        </w:rPr>
      </w:pPr>
      <w:r>
        <w:rPr>
          <w:rFonts w:ascii="Arial" w:eastAsia="Times New Roman" w:hAnsi="Arial" w:cs="Arial"/>
          <w:color w:val="000000"/>
          <w:sz w:val="20"/>
          <w:szCs w:val="20"/>
        </w:rPr>
        <w:t>We urge readers to consider these risks an</w:t>
      </w:r>
      <w:r>
        <w:rPr>
          <w:rFonts w:ascii="Arial" w:eastAsia="Times New Roman" w:hAnsi="Arial" w:cs="Arial"/>
          <w:color w:val="000000"/>
          <w:sz w:val="20"/>
          <w:szCs w:val="20"/>
        </w:rPr>
        <w:t>d uncertainties in evaluating our forward-looking statements. We caution readers not to place undue reliance upon any such forward-looking statements, which speak only as of the date made. We undertake no obligation to publicly update any forward-looking s</w:t>
      </w:r>
      <w:r>
        <w:rPr>
          <w:rFonts w:ascii="Arial" w:eastAsia="Times New Roman" w:hAnsi="Arial" w:cs="Arial"/>
          <w:color w:val="000000"/>
          <w:sz w:val="20"/>
          <w:szCs w:val="20"/>
        </w:rPr>
        <w:t xml:space="preserve">tatements, whether as a result of new information, future events, or otherwise, except as required by law. </w:t>
      </w:r>
    </w:p>
    <w:p w:rsidR="00000000" w:rsidRDefault="001E2972">
      <w:pPr>
        <w:jc w:val="center"/>
        <w:divId w:val="588658593"/>
        <w:rPr>
          <w:rFonts w:eastAsia="Times New Roman"/>
        </w:rPr>
      </w:pPr>
      <w:r>
        <w:rPr>
          <w:rFonts w:ascii="Arial" w:eastAsia="Times New Roman" w:hAnsi="Arial" w:cs="Arial"/>
          <w:color w:val="000000"/>
          <w:sz w:val="20"/>
          <w:szCs w:val="20"/>
        </w:rPr>
        <w:t>2</w:t>
      </w:r>
    </w:p>
    <w:p w:rsidR="00000000" w:rsidRDefault="001E2972">
      <w:pPr>
        <w:rPr>
          <w:rFonts w:eastAsia="Times New Roman"/>
        </w:rPr>
      </w:pPr>
      <w:r>
        <w:rPr>
          <w:rFonts w:eastAsia="Times New Roman"/>
        </w:rPr>
        <w:pict>
          <v:rect id="_x0000_i1031" style="width:0;height:1.5pt" o:hralign="center" o:hrstd="t" o:hr="t" fillcolor="#a0a0a0" stroked="f"/>
        </w:pict>
      </w:r>
    </w:p>
    <w:p w:rsidR="00000000" w:rsidRDefault="001E2972">
      <w:pPr>
        <w:jc w:val="both"/>
        <w:divId w:val="1688483916"/>
        <w:rPr>
          <w:rFonts w:eastAsia="Times New Roman"/>
        </w:rPr>
      </w:pPr>
    </w:p>
    <w:p w:rsidR="00000000" w:rsidRDefault="001E2972">
      <w:pPr>
        <w:jc w:val="both"/>
        <w:divId w:val="1081102863"/>
        <w:rPr>
          <w:rFonts w:eastAsia="Times New Roman"/>
        </w:rPr>
      </w:pPr>
      <w:r>
        <w:rPr>
          <w:rFonts w:ascii="Arial" w:eastAsia="Times New Roman" w:hAnsi="Arial" w:cs="Arial"/>
          <w:b/>
          <w:bCs/>
          <w:color w:val="0046AD"/>
          <w:sz w:val="20"/>
          <w:szCs w:val="20"/>
        </w:rPr>
        <w:t>PART I. FINANCIAL INFORMATION</w:t>
      </w:r>
    </w:p>
    <w:p w:rsidR="00000000" w:rsidRDefault="001E2972">
      <w:pPr>
        <w:jc w:val="both"/>
        <w:divId w:val="817261681"/>
        <w:rPr>
          <w:rFonts w:eastAsia="Times New Roman"/>
        </w:rPr>
      </w:pPr>
      <w:r>
        <w:rPr>
          <w:rFonts w:ascii="Arial" w:eastAsia="Times New Roman" w:hAnsi="Arial" w:cs="Arial"/>
          <w:b/>
          <w:bCs/>
          <w:color w:val="0046AD"/>
          <w:sz w:val="20"/>
          <w:szCs w:val="20"/>
        </w:rPr>
        <w:t xml:space="preserve">ITEM 1. CONSOLIDATED FINANCIAL STATEMENTS. </w:t>
      </w:r>
    </w:p>
    <w:p w:rsidR="00000000" w:rsidRDefault="001E2972">
      <w:pPr>
        <w:jc w:val="center"/>
        <w:divId w:val="1207909985"/>
        <w:rPr>
          <w:rFonts w:eastAsia="Times New Roman"/>
        </w:rPr>
      </w:pPr>
      <w:r>
        <w:rPr>
          <w:rFonts w:ascii="Arial" w:eastAsia="Times New Roman" w:hAnsi="Arial" w:cs="Arial"/>
          <w:b/>
          <w:bCs/>
          <w:color w:val="0046AD"/>
          <w:sz w:val="20"/>
          <w:szCs w:val="20"/>
        </w:rPr>
        <w:t>ABM INDUSTRIES INCORPORATED AND SU</w:t>
      </w:r>
      <w:r>
        <w:rPr>
          <w:rFonts w:ascii="Arial" w:eastAsia="Times New Roman" w:hAnsi="Arial" w:cs="Arial"/>
          <w:b/>
          <w:bCs/>
          <w:color w:val="0046AD"/>
          <w:sz w:val="20"/>
          <w:szCs w:val="20"/>
        </w:rPr>
        <w:t>BSIDIARIES</w:t>
      </w:r>
    </w:p>
    <w:p w:rsidR="00000000" w:rsidRDefault="001E2972">
      <w:pPr>
        <w:jc w:val="center"/>
        <w:divId w:val="622157136"/>
        <w:rPr>
          <w:rFonts w:eastAsia="Times New Roman"/>
        </w:rPr>
      </w:pPr>
      <w:r>
        <w:rPr>
          <w:rFonts w:ascii="Arial" w:eastAsia="Times New Roman" w:hAnsi="Arial" w:cs="Arial"/>
          <w:b/>
          <w:bCs/>
          <w:color w:val="0046AD"/>
          <w:sz w:val="20"/>
          <w:szCs w:val="20"/>
        </w:rPr>
        <w:t>CONSOLIDATED BALANCE SHEETS</w:t>
      </w:r>
    </w:p>
    <w:p w:rsidR="00000000" w:rsidRDefault="001E2972">
      <w:pPr>
        <w:jc w:val="center"/>
        <w:divId w:val="1646349174"/>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trPr>
          <w:divId w:val="1367758295"/>
          <w:jc w:val="center"/>
        </w:trPr>
        <w:tc>
          <w:tcPr>
            <w:tcW w:w="50" w:type="pct"/>
            <w:vAlign w:val="center"/>
            <w:hideMark/>
          </w:tcPr>
          <w:p w:rsidR="00000000" w:rsidRDefault="001E2972">
            <w:pPr>
              <w:jc w:val="center"/>
              <w:rPr>
                <w:rFonts w:eastAsia="Times New Roman"/>
              </w:rPr>
            </w:pPr>
          </w:p>
        </w:tc>
        <w:tc>
          <w:tcPr>
            <w:tcW w:w="325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7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7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67758295"/>
          <w:jc w:val="center"/>
        </w:trPr>
        <w:tc>
          <w:tcPr>
            <w:tcW w:w="0" w:type="auto"/>
            <w:gridSpan w:val="3"/>
            <w:tcMar>
              <w:top w:w="30" w:type="dxa"/>
              <w:left w:w="20" w:type="dxa"/>
              <w:bottom w:w="30" w:type="dxa"/>
              <w:right w:w="20" w:type="dxa"/>
            </w:tcMar>
            <w:hideMark/>
          </w:tcPr>
          <w:p w:rsidR="00000000" w:rsidRDefault="001E2972">
            <w:pPr>
              <w:rPr>
                <w:rFonts w:eastAsia="Times New Roman"/>
              </w:rPr>
            </w:pPr>
            <w:r>
              <w:rPr>
                <w:rFonts w:eastAsia="Times New Roman"/>
                <w:i/>
                <w:iCs/>
                <w:color w:val="000000"/>
                <w:sz w:val="16"/>
                <w:szCs w:val="16"/>
                <w:u w:val="single"/>
              </w:rPr>
              <w:t>(in millions, except share and per share amounts)</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7"/>
                <w:szCs w:val="17"/>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7"/>
                <w:szCs w:val="17"/>
              </w:rPr>
              <w:t>October 31, 2020</w:t>
            </w: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435.7 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394.2 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divId w:val="2033457621"/>
              <w:rPr>
                <w:rFonts w:eastAsia="Times New Roman"/>
              </w:rPr>
            </w:pPr>
            <w:r>
              <w:rPr>
                <w:rFonts w:ascii="Arial" w:eastAsia="Times New Roman" w:hAnsi="Arial" w:cs="Arial"/>
                <w:color w:val="000000"/>
                <w:sz w:val="17"/>
                <w:szCs w:val="17"/>
              </w:rPr>
              <w:t>Trade accounts receivable, net of allowances of $34.7 and $35.5</w:t>
            </w:r>
          </w:p>
          <w:p w:rsidR="00000000" w:rsidRDefault="001E2972">
            <w:pPr>
              <w:divId w:val="194739367"/>
              <w:rPr>
                <w:rFonts w:eastAsia="Times New Roman"/>
              </w:rPr>
            </w:pPr>
            <w:r>
              <w:rPr>
                <w:rFonts w:ascii="Arial" w:eastAsia="Times New Roman" w:hAnsi="Arial" w:cs="Arial"/>
                <w:color w:val="000000"/>
                <w:sz w:val="17"/>
                <w:szCs w:val="17"/>
              </w:rPr>
              <w:t>   at April 30,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878.4 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854.2 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lastRenderedPageBreak/>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37.7 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52.2 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88.8 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85.4 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58.5 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55.9 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74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1,499.0 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1,441.9 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ind w:hanging="180"/>
              <w:divId w:val="1125469390"/>
              <w:rPr>
                <w:rFonts w:eastAsia="Times New Roman"/>
              </w:rPr>
            </w:pPr>
            <w:r>
              <w:rPr>
                <w:rFonts w:ascii="Arial" w:eastAsia="Times New Roman" w:hAnsi="Arial" w:cs="Arial"/>
                <w:color w:val="000000"/>
                <w:sz w:val="17"/>
                <w:szCs w:val="17"/>
              </w:rPr>
              <w:t>Property, plant and equipment, net of accumulated depreciation of $260.0 and $241.3</w:t>
            </w:r>
          </w:p>
          <w:p w:rsidR="00000000" w:rsidRDefault="001E2972">
            <w:pPr>
              <w:ind w:hanging="180"/>
              <w:divId w:val="531070249"/>
              <w:rPr>
                <w:rFonts w:eastAsia="Times New Roman"/>
              </w:rPr>
            </w:pPr>
            <w:r>
              <w:rPr>
                <w:rFonts w:ascii="Arial" w:eastAsia="Times New Roman" w:hAnsi="Arial" w:cs="Arial"/>
                <w:color w:val="000000"/>
                <w:sz w:val="17"/>
                <w:szCs w:val="17"/>
              </w:rPr>
              <w:t xml:space="preserve">    at April 30, 2021 and October 31, 2020, respectively </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124.3 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133.7 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131.9 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143.1 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ind w:hanging="180"/>
              <w:divId w:val="783422175"/>
              <w:rPr>
                <w:rFonts w:eastAsia="Times New Roman"/>
              </w:rPr>
            </w:pPr>
            <w:r>
              <w:rPr>
                <w:rFonts w:ascii="Arial" w:eastAsia="Times New Roman" w:hAnsi="Arial" w:cs="Arial"/>
                <w:color w:val="000000"/>
                <w:sz w:val="17"/>
                <w:szCs w:val="17"/>
              </w:rPr>
              <w:t>Other intangible assets, net of accumulated amortization of $365.9 and $343.8</w:t>
            </w:r>
          </w:p>
          <w:p w:rsidR="00000000" w:rsidRDefault="001E2972">
            <w:pPr>
              <w:ind w:hanging="180"/>
              <w:divId w:val="2012098265"/>
              <w:rPr>
                <w:rFonts w:eastAsia="Times New Roman"/>
              </w:rPr>
            </w:pPr>
            <w:r>
              <w:rPr>
                <w:rFonts w:ascii="Arial" w:eastAsia="Times New Roman" w:hAnsi="Arial" w:cs="Arial"/>
                <w:color w:val="000000"/>
                <w:sz w:val="17"/>
                <w:szCs w:val="17"/>
              </w:rPr>
              <w:t>    at April 30,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218.3 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239.7 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1,675.5 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1,671.4 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Deferred income tax asset, net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119.2 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136.1 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3,792.0 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Current portion of long-term debt, net</w:t>
            </w: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117.0 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116.7 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222.9 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273.3 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169.9 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187.6 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Accrued taxes—other than income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104.9 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45.5 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157.6 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155.2 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17.4 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6.2 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33.3 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35.0 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241.3 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167.3 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74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1,064.4 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986.9 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524.2 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603.0 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121.4 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131.4 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10.8 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361.5 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366.3 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110.5 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168.1 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10.2 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10.1 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2,192.2 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2,276.6 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Commitments and contingencies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ind w:hanging="180"/>
              <w:divId w:val="1345746664"/>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ind w:hanging="180"/>
              <w:divId w:val="1130514241"/>
              <w:rPr>
                <w:rFonts w:eastAsia="Times New Roman"/>
              </w:rPr>
            </w:pPr>
            <w:r>
              <w:rPr>
                <w:rFonts w:ascii="Arial" w:eastAsia="Times New Roman" w:hAnsi="Arial" w:cs="Arial"/>
                <w:color w:val="000000"/>
                <w:sz w:val="17"/>
                <w:szCs w:val="17"/>
              </w:rPr>
              <w:t xml:space="preserve">Common stock, $0.01 par value; 100,000,000 shares authorized; </w:t>
            </w:r>
          </w:p>
          <w:p w:rsidR="00000000" w:rsidRDefault="001E2972">
            <w:pPr>
              <w:divId w:val="504824834"/>
              <w:rPr>
                <w:rFonts w:eastAsia="Times New Roman"/>
              </w:rPr>
            </w:pPr>
            <w:r>
              <w:rPr>
                <w:rFonts w:ascii="Arial" w:eastAsia="Times New Roman" w:hAnsi="Arial" w:cs="Arial"/>
                <w:color w:val="000000"/>
                <w:sz w:val="17"/>
                <w:szCs w:val="17"/>
              </w:rPr>
              <w:t xml:space="preserve">67,120,439 and 66,748,157 shares issued and outstanding at </w:t>
            </w:r>
          </w:p>
          <w:p w:rsidR="00000000" w:rsidRDefault="001E2972">
            <w:pPr>
              <w:divId w:val="1209144091"/>
              <w:rPr>
                <w:rFonts w:eastAsia="Times New Roman"/>
              </w:rPr>
            </w:pPr>
            <w:r>
              <w:rPr>
                <w:rFonts w:ascii="Arial" w:eastAsia="Times New Roman" w:hAnsi="Arial" w:cs="Arial"/>
                <w:color w:val="000000"/>
                <w:sz w:val="17"/>
                <w:szCs w:val="17"/>
              </w:rPr>
              <w:t>April 30,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737.1 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724.1 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(23.6)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(30.8)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Retained earnings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885.6 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806.4 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1,599.8 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1,500.3 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367758295"/>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3,792.0 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jc w:val="center"/>
        <w:divId w:val="812403884"/>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1E2972">
      <w:pPr>
        <w:jc w:val="center"/>
        <w:divId w:val="95175990"/>
        <w:rPr>
          <w:rFonts w:eastAsia="Times New Roman"/>
        </w:rPr>
      </w:pPr>
      <w:r>
        <w:rPr>
          <w:rFonts w:ascii="Arial" w:eastAsia="Times New Roman" w:hAnsi="Arial" w:cs="Arial"/>
          <w:color w:val="000000"/>
          <w:sz w:val="20"/>
          <w:szCs w:val="20"/>
        </w:rPr>
        <w:t>3</w:t>
      </w:r>
    </w:p>
    <w:p w:rsidR="00000000" w:rsidRDefault="001E2972">
      <w:pPr>
        <w:rPr>
          <w:rFonts w:eastAsia="Times New Roman"/>
        </w:rPr>
      </w:pPr>
      <w:r>
        <w:rPr>
          <w:rFonts w:eastAsia="Times New Roman"/>
        </w:rPr>
        <w:pict>
          <v:rect id="_x0000_i1032" style="width:0;height:1.5pt" o:hralign="center" o:hrstd="t" o:hr="t" fillcolor="#a0a0a0" stroked="f"/>
        </w:pict>
      </w:r>
    </w:p>
    <w:p w:rsidR="00000000" w:rsidRDefault="001E2972">
      <w:pPr>
        <w:jc w:val="both"/>
        <w:divId w:val="771895032"/>
        <w:rPr>
          <w:rFonts w:eastAsia="Times New Roman"/>
        </w:rPr>
      </w:pPr>
    </w:p>
    <w:p w:rsidR="00000000" w:rsidRDefault="001E2972">
      <w:pPr>
        <w:jc w:val="center"/>
        <w:divId w:val="1381974224"/>
        <w:rPr>
          <w:rFonts w:eastAsia="Times New Roman"/>
        </w:rPr>
      </w:pPr>
      <w:r>
        <w:rPr>
          <w:rFonts w:ascii="Arial" w:eastAsia="Times New Roman" w:hAnsi="Arial" w:cs="Arial"/>
          <w:b/>
          <w:bCs/>
          <w:color w:val="0046AD"/>
          <w:sz w:val="20"/>
          <w:szCs w:val="20"/>
        </w:rPr>
        <w:t>ABM INDUSTRIES INCORPORATED AND SUBSIDIARIES</w:t>
      </w:r>
    </w:p>
    <w:p w:rsidR="00000000" w:rsidRDefault="001E2972">
      <w:pPr>
        <w:jc w:val="center"/>
        <w:divId w:val="302855412"/>
        <w:rPr>
          <w:rFonts w:eastAsia="Times New Roman"/>
        </w:rPr>
      </w:pPr>
      <w:r>
        <w:rPr>
          <w:rFonts w:ascii="Arial" w:eastAsia="Times New Roman" w:hAnsi="Arial" w:cs="Arial"/>
          <w:b/>
          <w:bCs/>
          <w:color w:val="0046AD"/>
          <w:sz w:val="20"/>
          <w:szCs w:val="20"/>
        </w:rPr>
        <w:lastRenderedPageBreak/>
        <w:t>CONSOLIDATED STATEMENTS OF COMPREHENSIVE INCOME (LOSS)</w:t>
      </w:r>
    </w:p>
    <w:p w:rsidR="00000000" w:rsidRDefault="001E2972">
      <w:pPr>
        <w:jc w:val="center"/>
        <w:divId w:val="479342761"/>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93"/>
        <w:gridCol w:w="40"/>
        <w:gridCol w:w="121"/>
        <w:gridCol w:w="878"/>
        <w:gridCol w:w="36"/>
        <w:gridCol w:w="36"/>
        <w:gridCol w:w="36"/>
        <w:gridCol w:w="36"/>
        <w:gridCol w:w="121"/>
        <w:gridCol w:w="834"/>
        <w:gridCol w:w="36"/>
        <w:gridCol w:w="36"/>
        <w:gridCol w:w="36"/>
        <w:gridCol w:w="36"/>
        <w:gridCol w:w="121"/>
        <w:gridCol w:w="834"/>
        <w:gridCol w:w="36"/>
        <w:gridCol w:w="36"/>
        <w:gridCol w:w="36"/>
        <w:gridCol w:w="36"/>
        <w:gridCol w:w="121"/>
        <w:gridCol w:w="834"/>
        <w:gridCol w:w="36"/>
      </w:tblGrid>
      <w:tr w:rsidR="00000000">
        <w:trPr>
          <w:divId w:val="1540244251"/>
          <w:jc w:val="center"/>
        </w:trPr>
        <w:tc>
          <w:tcPr>
            <w:tcW w:w="50" w:type="pct"/>
            <w:vAlign w:val="center"/>
            <w:hideMark/>
          </w:tcPr>
          <w:p w:rsidR="00000000" w:rsidRDefault="001E2972">
            <w:pPr>
              <w:jc w:val="center"/>
              <w:rPr>
                <w:rFonts w:eastAsia="Times New Roman"/>
              </w:rPr>
            </w:pPr>
          </w:p>
        </w:tc>
        <w:tc>
          <w:tcPr>
            <w:tcW w:w="237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540244251"/>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r>
      <w:tr w:rsidR="00000000">
        <w:trPr>
          <w:divId w:val="1540244251"/>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3,109.0 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1,274.5 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1,306.1 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2,523.8 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2,739.9 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161.9 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284.5 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237.0 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Impairment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(116.7)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16.3)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(10.6)</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(38.9)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0244251"/>
          <w:jc w:val="center"/>
        </w:trPr>
        <w:tc>
          <w:tcPr>
            <w:tcW w:w="0" w:type="auto"/>
            <w:gridSpan w:val="3"/>
            <w:shd w:val="clear" w:color="auto" w:fill="FFFFFF"/>
            <w:tcMar>
              <w:top w:w="30" w:type="dxa"/>
              <w:left w:w="56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56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56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Comprehensive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(147.3)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Net income (loss) per common share —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0244251"/>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(loss) from continuing operations</w:t>
            </w: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Net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Net income (loss) per common share —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0244251"/>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Income (loss) from continuing operations </w:t>
            </w: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Net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0244251"/>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Basic</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67.3 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67.2 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Diluted</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67.8 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67.7 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0244251"/>
          <w:jc w:val="center"/>
        </w:trPr>
        <w:tc>
          <w:tcPr>
            <w:tcW w:w="0" w:type="auto"/>
            <w:gridSpan w:val="3"/>
            <w:vAlign w:val="center"/>
            <w:hideMark/>
          </w:tcPr>
          <w:p w:rsidR="00000000" w:rsidRDefault="001E2972">
            <w:pPr>
              <w:jc w:val="right"/>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bl>
    <w:p w:rsidR="00000000" w:rsidRDefault="001E2972">
      <w:pPr>
        <w:jc w:val="center"/>
        <w:divId w:val="1898276440"/>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1E2972">
      <w:pPr>
        <w:jc w:val="center"/>
        <w:divId w:val="1454708954"/>
        <w:rPr>
          <w:rFonts w:eastAsia="Times New Roman"/>
        </w:rPr>
      </w:pPr>
    </w:p>
    <w:p w:rsidR="00000000" w:rsidRDefault="001E2972">
      <w:pPr>
        <w:jc w:val="center"/>
        <w:divId w:val="2092460415"/>
        <w:rPr>
          <w:rFonts w:eastAsia="Times New Roman"/>
        </w:rPr>
      </w:pPr>
      <w:r>
        <w:rPr>
          <w:rFonts w:ascii="Arial" w:eastAsia="Times New Roman" w:hAnsi="Arial" w:cs="Arial"/>
          <w:color w:val="000000"/>
          <w:sz w:val="20"/>
          <w:szCs w:val="20"/>
        </w:rPr>
        <w:t>4</w:t>
      </w:r>
    </w:p>
    <w:p w:rsidR="00000000" w:rsidRDefault="001E2972">
      <w:pPr>
        <w:rPr>
          <w:rFonts w:eastAsia="Times New Roman"/>
        </w:rPr>
      </w:pPr>
      <w:r>
        <w:rPr>
          <w:rFonts w:eastAsia="Times New Roman"/>
        </w:rPr>
        <w:pict>
          <v:rect id="_x0000_i1033" style="width:0;height:1.5pt" o:hralign="center" o:hrstd="t" o:hr="t" fillcolor="#a0a0a0" stroked="f"/>
        </w:pict>
      </w:r>
    </w:p>
    <w:p w:rsidR="00000000" w:rsidRDefault="001E2972">
      <w:pPr>
        <w:jc w:val="both"/>
        <w:divId w:val="1966542303"/>
        <w:rPr>
          <w:rFonts w:eastAsia="Times New Roman"/>
        </w:rPr>
      </w:pPr>
    </w:p>
    <w:p w:rsidR="00000000" w:rsidRDefault="001E2972">
      <w:pPr>
        <w:jc w:val="center"/>
        <w:divId w:val="337122726"/>
        <w:rPr>
          <w:rFonts w:eastAsia="Times New Roman"/>
        </w:rPr>
      </w:pPr>
      <w:r>
        <w:rPr>
          <w:rFonts w:ascii="Arial" w:eastAsia="Times New Roman" w:hAnsi="Arial" w:cs="Arial"/>
          <w:b/>
          <w:bCs/>
          <w:color w:val="0046AD"/>
          <w:sz w:val="20"/>
          <w:szCs w:val="20"/>
        </w:rPr>
        <w:t>ABM INDUSTRIES INCORPORATED AND SUBSIDIARIES</w:t>
      </w:r>
    </w:p>
    <w:p w:rsidR="00000000" w:rsidRDefault="001E2972">
      <w:pPr>
        <w:jc w:val="center"/>
        <w:divId w:val="208080746"/>
        <w:rPr>
          <w:rFonts w:eastAsia="Times New Roman"/>
        </w:rPr>
      </w:pPr>
      <w:r>
        <w:rPr>
          <w:rFonts w:ascii="Arial" w:eastAsia="Times New Roman" w:hAnsi="Arial" w:cs="Arial"/>
          <w:b/>
          <w:bCs/>
          <w:color w:val="0046AD"/>
          <w:sz w:val="20"/>
          <w:szCs w:val="20"/>
        </w:rPr>
        <w:t xml:space="preserve">CONSOLIDATED STATEMENTS OF STOCKHOLDERS’ EQUITY </w:t>
      </w:r>
    </w:p>
    <w:p w:rsidR="00000000" w:rsidRDefault="001E2972">
      <w:pPr>
        <w:jc w:val="center"/>
        <w:divId w:val="1718233775"/>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997"/>
        <w:gridCol w:w="41"/>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110"/>
        <w:gridCol w:w="485"/>
        <w:gridCol w:w="36"/>
        <w:gridCol w:w="36"/>
        <w:gridCol w:w="36"/>
        <w:gridCol w:w="36"/>
        <w:gridCol w:w="109"/>
        <w:gridCol w:w="579"/>
        <w:gridCol w:w="36"/>
        <w:gridCol w:w="36"/>
        <w:gridCol w:w="36"/>
        <w:gridCol w:w="36"/>
        <w:gridCol w:w="110"/>
        <w:gridCol w:w="485"/>
        <w:gridCol w:w="36"/>
        <w:gridCol w:w="36"/>
        <w:gridCol w:w="36"/>
        <w:gridCol w:w="36"/>
        <w:gridCol w:w="109"/>
        <w:gridCol w:w="579"/>
        <w:gridCol w:w="36"/>
      </w:tblGrid>
      <w:tr w:rsidR="00000000">
        <w:trPr>
          <w:divId w:val="1016930711"/>
        </w:trPr>
        <w:tc>
          <w:tcPr>
            <w:tcW w:w="50" w:type="pct"/>
            <w:vAlign w:val="center"/>
            <w:hideMark/>
          </w:tcPr>
          <w:p w:rsidR="00000000" w:rsidRDefault="001E2972">
            <w:pPr>
              <w:jc w:val="center"/>
              <w:rPr>
                <w:rFonts w:eastAsia="Times New Roman"/>
              </w:rPr>
            </w:pPr>
          </w:p>
        </w:tc>
        <w:tc>
          <w:tcPr>
            <w:tcW w:w="178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0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016930711"/>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Six Months Ended April 30,</w:t>
            </w:r>
          </w:p>
        </w:tc>
      </w:tr>
      <w:tr w:rsidR="00000000">
        <w:trPr>
          <w:divId w:val="1016930711"/>
        </w:trPr>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2020</w:t>
            </w:r>
          </w:p>
        </w:tc>
      </w:tr>
      <w:tr w:rsidR="00000000">
        <w:trPr>
          <w:divId w:val="101693071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Amount</w:t>
            </w:r>
          </w:p>
        </w:tc>
      </w:tr>
      <w:tr w:rsidR="00000000">
        <w:trPr>
          <w:divId w:val="1016930711"/>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1E2972">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66.8 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20" w:type="dxa"/>
              <w:bottom w:w="30" w:type="dxa"/>
              <w:right w:w="20" w:type="dxa"/>
            </w:tcMar>
            <w:vAlign w:val="bottom"/>
            <w:hideMark/>
          </w:tcPr>
          <w:p w:rsidR="00000000" w:rsidRDefault="001E2972">
            <w:pPr>
              <w:ind w:hanging="180"/>
              <w:divId w:val="2123108180"/>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1E2972">
            <w:pPr>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726.9 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711.8 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708.9 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335"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6"/>
                <w:szCs w:val="16"/>
              </w:rPr>
              <w:t>Stock issued (taxes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1E2972">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Share-based compensation expense (reversal)</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9.1 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707.1 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707.1 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20" w:type="dxa"/>
              <w:bottom w:w="30" w:type="dxa"/>
              <w:right w:w="20" w:type="dxa"/>
            </w:tcMar>
            <w:vAlign w:val="bottom"/>
            <w:hideMark/>
          </w:tcPr>
          <w:p w:rsidR="00000000" w:rsidRDefault="001E2972">
            <w:pPr>
              <w:ind w:hanging="180"/>
              <w:divId w:val="507062383"/>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1E2972">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(25.9)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(24.3)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(11.0)</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(34.9)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(34.9)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867.5 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871.6 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31.1 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(136.8)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105.7 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(108.8)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16930711"/>
        </w:trPr>
        <w:tc>
          <w:tcPr>
            <w:tcW w:w="0" w:type="auto"/>
            <w:gridSpan w:val="3"/>
            <w:shd w:val="clear" w:color="auto" w:fill="FFFFFF"/>
            <w:tcMar>
              <w:top w:w="30" w:type="dxa"/>
              <w:left w:w="20" w:type="dxa"/>
              <w:bottom w:w="30" w:type="dxa"/>
              <w:right w:w="20" w:type="dxa"/>
            </w:tcMar>
            <w:vAlign w:val="bottom"/>
            <w:hideMark/>
          </w:tcPr>
          <w:p w:rsidR="00000000" w:rsidRDefault="001E2972">
            <w:pPr>
              <w:divId w:val="738598327"/>
              <w:rPr>
                <w:rFonts w:eastAsia="Times New Roman"/>
              </w:rPr>
            </w:pPr>
            <w:r>
              <w:rPr>
                <w:rFonts w:ascii="Arial" w:eastAsia="Times New Roman" w:hAnsi="Arial" w:cs="Arial"/>
                <w:color w:val="000000"/>
                <w:sz w:val="16"/>
                <w:szCs w:val="16"/>
              </w:rPr>
              <w:t xml:space="preserve">Common stock ($0.190, $0.185, $0.380, and </w:t>
            </w:r>
          </w:p>
          <w:p w:rsidR="00000000" w:rsidRDefault="001E2972">
            <w:pPr>
              <w:divId w:val="27026316"/>
              <w:rPr>
                <w:rFonts w:eastAsia="Times New Roman"/>
              </w:rPr>
            </w:pPr>
            <w:r>
              <w:rPr>
                <w:rFonts w:ascii="Arial" w:eastAsia="Times New Roman" w:hAnsi="Arial" w:cs="Arial"/>
                <w:color w:val="000000"/>
                <w:sz w:val="16"/>
                <w:szCs w:val="16"/>
              </w:rPr>
              <w:t>    $0.370 per share)</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(25.4)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26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Stock issued under share-based </w:t>
            </w:r>
            <w:r>
              <w:rPr>
                <w:rFonts w:ascii="Arial" w:eastAsia="Times New Roman" w:hAnsi="Arial" w:cs="Arial"/>
                <w:color w:val="000000"/>
                <w:sz w:val="16"/>
                <w:szCs w:val="16"/>
              </w:rPr>
              <w:br/>
              <w:t>   compensation plans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FFFFF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016930711"/>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1,599.8 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1,395.2 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1,599.8 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1,395.2 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jc w:val="center"/>
        <w:divId w:val="539707541"/>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1E2972">
      <w:pPr>
        <w:jc w:val="center"/>
        <w:divId w:val="363480796"/>
        <w:rPr>
          <w:rFonts w:eastAsia="Times New Roman"/>
        </w:rPr>
      </w:pPr>
      <w:r>
        <w:rPr>
          <w:rFonts w:ascii="Arial" w:eastAsia="Times New Roman" w:hAnsi="Arial" w:cs="Arial"/>
          <w:color w:val="000000"/>
          <w:sz w:val="20"/>
          <w:szCs w:val="20"/>
        </w:rPr>
        <w:t>5</w:t>
      </w:r>
    </w:p>
    <w:p w:rsidR="00000000" w:rsidRDefault="001E2972">
      <w:pPr>
        <w:rPr>
          <w:rFonts w:eastAsia="Times New Roman"/>
        </w:rPr>
      </w:pPr>
      <w:r>
        <w:rPr>
          <w:rFonts w:eastAsia="Times New Roman"/>
        </w:rPr>
        <w:pict>
          <v:rect id="_x0000_i1034" style="width:0;height:1.5pt" o:hralign="center" o:hrstd="t" o:hr="t" fillcolor="#a0a0a0" stroked="f"/>
        </w:pict>
      </w:r>
    </w:p>
    <w:p w:rsidR="00000000" w:rsidRDefault="001E2972">
      <w:pPr>
        <w:jc w:val="both"/>
        <w:divId w:val="1775594110"/>
        <w:rPr>
          <w:rFonts w:eastAsia="Times New Roman"/>
        </w:rPr>
      </w:pPr>
    </w:p>
    <w:p w:rsidR="00000000" w:rsidRDefault="001E2972">
      <w:pPr>
        <w:jc w:val="center"/>
        <w:divId w:val="867641071"/>
        <w:rPr>
          <w:rFonts w:eastAsia="Times New Roman"/>
        </w:rPr>
      </w:pPr>
      <w:r>
        <w:rPr>
          <w:rFonts w:ascii="Arial" w:eastAsia="Times New Roman" w:hAnsi="Arial" w:cs="Arial"/>
          <w:b/>
          <w:bCs/>
          <w:color w:val="0046AD"/>
          <w:sz w:val="20"/>
          <w:szCs w:val="20"/>
        </w:rPr>
        <w:t>ABM INDUSTRIES INCORPORATED AND SUBSIDIARIES</w:t>
      </w:r>
    </w:p>
    <w:p w:rsidR="00000000" w:rsidRDefault="001E2972">
      <w:pPr>
        <w:jc w:val="center"/>
        <w:divId w:val="817234033"/>
        <w:rPr>
          <w:rFonts w:eastAsia="Times New Roman"/>
        </w:rPr>
      </w:pPr>
      <w:r>
        <w:rPr>
          <w:rFonts w:ascii="Arial" w:eastAsia="Times New Roman" w:hAnsi="Arial" w:cs="Arial"/>
          <w:b/>
          <w:bCs/>
          <w:color w:val="0046AD"/>
          <w:sz w:val="20"/>
          <w:szCs w:val="20"/>
        </w:rPr>
        <w:t>CONSOLIDATED STATEMENTS OF CASH FLOWS</w:t>
      </w:r>
    </w:p>
    <w:p w:rsidR="00000000" w:rsidRDefault="001E2972">
      <w:pPr>
        <w:jc w:val="center"/>
        <w:divId w:val="38207813"/>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952"/>
        <w:gridCol w:w="39"/>
        <w:gridCol w:w="109"/>
        <w:gridCol w:w="977"/>
        <w:gridCol w:w="36"/>
        <w:gridCol w:w="36"/>
        <w:gridCol w:w="36"/>
        <w:gridCol w:w="36"/>
        <w:gridCol w:w="109"/>
        <w:gridCol w:w="896"/>
        <w:gridCol w:w="36"/>
      </w:tblGrid>
      <w:tr w:rsidR="00000000">
        <w:trPr>
          <w:divId w:val="1546604710"/>
          <w:jc w:val="center"/>
        </w:trPr>
        <w:tc>
          <w:tcPr>
            <w:tcW w:w="50" w:type="pct"/>
            <w:vAlign w:val="center"/>
            <w:hideMark/>
          </w:tcPr>
          <w:p w:rsidR="00000000" w:rsidRDefault="001E2972">
            <w:pPr>
              <w:jc w:val="center"/>
              <w:rPr>
                <w:rFonts w:eastAsia="Times New Roman"/>
              </w:rPr>
            </w:pPr>
          </w:p>
        </w:tc>
        <w:tc>
          <w:tcPr>
            <w:tcW w:w="360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8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546604710"/>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Six Months Ended April 30,</w:t>
            </w:r>
          </w:p>
        </w:tc>
      </w:tr>
      <w:tr w:rsidR="00000000">
        <w:trPr>
          <w:divId w:val="1546604710"/>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6"/>
                <w:szCs w:val="16"/>
              </w:rPr>
              <w:t>2020</w:t>
            </w: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105.7 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(108.8)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Adjustments to reconcile income (loss) from continuing operations to net cash provided by operating</w:t>
            </w:r>
            <w:r>
              <w:rPr>
                <w:rFonts w:ascii="Arial" w:eastAsia="Times New Roman" w:hAnsi="Arial" w:cs="Arial"/>
                <w:b/>
                <w:bCs/>
                <w:color w:val="000000"/>
                <w:sz w:val="16"/>
                <w:szCs w:val="16"/>
              </w:rPr>
              <w:br/>
              <w:t>    activities of continuing operations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44.3 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49.1 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Impairment loss </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172.8 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(23.0)</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Loss on sale of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6604710"/>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55.2 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55.3 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(74.6)</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(10.0)</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(9.4)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25.1 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(36.0)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Net cash provided by operating activities of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Net cash provided by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171.2 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128.0 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(14.9)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(19.1)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(25.4)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1,048.3 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(82.8)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(658.1)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(13.3)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18.2 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(118.5)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376.8 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Net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394.2 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58.5 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546604710"/>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435.7 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6"/>
                <w:szCs w:val="16"/>
              </w:rPr>
              <w:t>555.9 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jc w:val="center"/>
        <w:divId w:val="15039651"/>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1E2972">
      <w:pPr>
        <w:jc w:val="center"/>
        <w:divId w:val="881014055"/>
        <w:rPr>
          <w:rFonts w:eastAsia="Times New Roman"/>
        </w:rPr>
      </w:pPr>
      <w:r>
        <w:rPr>
          <w:rFonts w:ascii="Arial" w:eastAsia="Times New Roman" w:hAnsi="Arial" w:cs="Arial"/>
          <w:color w:val="000000"/>
          <w:sz w:val="20"/>
          <w:szCs w:val="20"/>
        </w:rPr>
        <w:t>6</w:t>
      </w:r>
    </w:p>
    <w:p w:rsidR="00000000" w:rsidRDefault="001E2972">
      <w:pPr>
        <w:rPr>
          <w:rFonts w:eastAsia="Times New Roman"/>
        </w:rPr>
      </w:pPr>
      <w:r>
        <w:rPr>
          <w:rFonts w:eastAsia="Times New Roman"/>
        </w:rPr>
        <w:pict>
          <v:rect id="_x0000_i1035" style="width:0;height:1.5pt" o:hralign="center" o:hrstd="t" o:hr="t" fillcolor="#a0a0a0" stroked="f"/>
        </w:pict>
      </w:r>
    </w:p>
    <w:p w:rsidR="00000000" w:rsidRDefault="001E2972">
      <w:pPr>
        <w:jc w:val="both"/>
        <w:divId w:val="1597596340"/>
        <w:rPr>
          <w:rFonts w:eastAsia="Times New Roman"/>
        </w:rPr>
      </w:pPr>
    </w:p>
    <w:p w:rsidR="00000000" w:rsidRDefault="001E2972">
      <w:pPr>
        <w:jc w:val="center"/>
        <w:divId w:val="700521600"/>
        <w:rPr>
          <w:rFonts w:eastAsia="Times New Roman"/>
        </w:rPr>
      </w:pPr>
      <w:r>
        <w:rPr>
          <w:rFonts w:ascii="Arial" w:eastAsia="Times New Roman" w:hAnsi="Arial" w:cs="Arial"/>
          <w:b/>
          <w:bCs/>
          <w:color w:val="0046AD"/>
          <w:sz w:val="20"/>
          <w:szCs w:val="20"/>
        </w:rPr>
        <w:t>ABM INDUSTRIES INCORPORATED AND SUBSIDIARIES</w:t>
      </w:r>
    </w:p>
    <w:p w:rsidR="00000000" w:rsidRDefault="001E2972">
      <w:pPr>
        <w:jc w:val="center"/>
        <w:divId w:val="1717074149"/>
        <w:rPr>
          <w:rFonts w:eastAsia="Times New Roman"/>
        </w:rPr>
      </w:pPr>
      <w:r>
        <w:rPr>
          <w:rFonts w:ascii="Arial" w:eastAsia="Times New Roman" w:hAnsi="Arial" w:cs="Arial"/>
          <w:b/>
          <w:bCs/>
          <w:color w:val="0046AD"/>
          <w:sz w:val="20"/>
          <w:szCs w:val="20"/>
        </w:rPr>
        <w:t>NOTES TO CONSOLIDATED FINANCIAL STATEMENTS</w:t>
      </w:r>
    </w:p>
    <w:p w:rsidR="00000000" w:rsidRDefault="001E2972">
      <w:pPr>
        <w:jc w:val="center"/>
        <w:divId w:val="137773933"/>
        <w:rPr>
          <w:rFonts w:eastAsia="Times New Roman"/>
        </w:rPr>
      </w:pPr>
      <w:r>
        <w:rPr>
          <w:rFonts w:ascii="Arial" w:eastAsia="Times New Roman" w:hAnsi="Arial" w:cs="Arial"/>
          <w:b/>
          <w:bCs/>
          <w:color w:val="0046AD"/>
          <w:sz w:val="20"/>
          <w:szCs w:val="20"/>
        </w:rPr>
        <w:t>(UNAUDITED)</w:t>
      </w:r>
    </w:p>
    <w:p w:rsidR="00000000" w:rsidRDefault="001E2972">
      <w:pPr>
        <w:divId w:val="907883220"/>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45783417"/>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4578341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25106416"/>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rsidR="00000000" w:rsidRDefault="001E2972">
      <w:pPr>
        <w:spacing w:before="60" w:after="180"/>
        <w:jc w:val="center"/>
        <w:divId w:val="1669021460"/>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E2972">
      <w:pPr>
        <w:ind w:firstLine="720"/>
        <w:jc w:val="both"/>
        <w:divId w:val="44566729"/>
        <w:rPr>
          <w:rFonts w:eastAsia="Times New Roman"/>
        </w:rPr>
      </w:pPr>
      <w:r>
        <w:rPr>
          <w:rFonts w:ascii="Arial" w:eastAsia="Times New Roman" w:hAnsi="Arial" w:cs="Arial"/>
          <w:color w:val="000000"/>
          <w:sz w:val="20"/>
          <w:szCs w:val="20"/>
        </w:rPr>
        <w:t xml:space="preserve">Through these groups, we offer janitorial, facilities engineering, parking, and specialized </w:t>
      </w:r>
      <w:r>
        <w:rPr>
          <w:rFonts w:ascii="Arial" w:eastAsia="Times New Roman" w:hAnsi="Arial" w:cs="Arial"/>
          <w:color w:val="000000"/>
          <w:sz w:val="20"/>
          <w:szCs w:val="20"/>
        </w:rPr>
        <w:t xml:space="preserve">mechanical and electrical technical solutions, on a standalone basis or in combination with other services. </w:t>
      </w:r>
    </w:p>
    <w:p w:rsidR="00000000" w:rsidRDefault="001E2972">
      <w:pPr>
        <w:divId w:val="572012081"/>
        <w:rPr>
          <w:rFonts w:eastAsia="Times New Roman"/>
        </w:rPr>
      </w:pPr>
    </w:p>
    <w:p w:rsidR="00000000" w:rsidRDefault="001E2972">
      <w:pPr>
        <w:jc w:val="both"/>
        <w:divId w:val="542133886"/>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825553"/>
        </w:trPr>
        <w:tc>
          <w:tcPr>
            <w:tcW w:w="5" w:type="pct"/>
            <w:vAlign w:val="center"/>
            <w:hideMark/>
          </w:tcPr>
          <w:p w:rsidR="00000000" w:rsidRDefault="001E2972">
            <w:pPr>
              <w:jc w:val="both"/>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382555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659192719"/>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rsidR="00000000" w:rsidRDefault="001E2972">
      <w:pPr>
        <w:ind w:firstLine="720"/>
        <w:jc w:val="both"/>
        <w:divId w:val="551772632"/>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2020. Unless otherwise indicated, all references to years are to our fiscal years, which end on October 31.</w:t>
      </w:r>
    </w:p>
    <w:p w:rsidR="00000000" w:rsidRDefault="001E2972">
      <w:pPr>
        <w:jc w:val="both"/>
        <w:divId w:val="923488475"/>
        <w:rPr>
          <w:rFonts w:eastAsia="Times New Roman"/>
        </w:rPr>
      </w:pPr>
      <w:r>
        <w:rPr>
          <w:rFonts w:ascii="Arial" w:eastAsia="Times New Roman" w:hAnsi="Arial" w:cs="Arial"/>
          <w:b/>
          <w:bCs/>
          <w:color w:val="0046AD"/>
          <w:sz w:val="20"/>
          <w:szCs w:val="20"/>
        </w:rPr>
        <w:t>Impact of the Pandemic</w:t>
      </w:r>
    </w:p>
    <w:p w:rsidR="00000000" w:rsidRDefault="001E2972">
      <w:pPr>
        <w:ind w:firstLine="720"/>
        <w:jc w:val="both"/>
        <w:divId w:val="2102296411"/>
        <w:rPr>
          <w:rFonts w:eastAsia="Times New Roman"/>
        </w:rPr>
      </w:pPr>
      <w:r>
        <w:rPr>
          <w:rFonts w:ascii="Arial" w:eastAsia="Times New Roman" w:hAnsi="Arial" w:cs="Arial"/>
          <w:color w:val="000000"/>
          <w:sz w:val="20"/>
          <w:szCs w:val="20"/>
        </w:rPr>
        <w:t>COVID-19 has resulted in a worldwide health Pandemic. To date, the Pandemic has surfaced in regions all around the world and resulted in business slowdowns and shutdowns, as well as global travel restrictions. In these Financial Statements, we have assesse</w:t>
      </w:r>
      <w:r>
        <w:rPr>
          <w:rFonts w:ascii="Arial" w:eastAsia="Times New Roman" w:hAnsi="Arial" w:cs="Arial"/>
          <w:color w:val="000000"/>
          <w:sz w:val="20"/>
          <w:szCs w:val="20"/>
        </w:rPr>
        <w:t>d the current impact of the Pandemic on our financial condition, results of operations, and cash flows as well as on our estimates, forecasts, and accounting policies. We have made additional disclosures of these assessments, as necessary. Given the unprec</w:t>
      </w:r>
      <w:r>
        <w:rPr>
          <w:rFonts w:ascii="Arial" w:eastAsia="Times New Roman" w:hAnsi="Arial" w:cs="Arial"/>
          <w:color w:val="000000"/>
          <w:sz w:val="20"/>
          <w:szCs w:val="20"/>
        </w:rPr>
        <w:t xml:space="preserve">edented nature of this situation, we cannot reasonably estimate the full impact the Pandemic will have on our financial condition, results of operations, or cash flows in the foreseeable future. The ultimate impact of the Pandemic on our company is highly </w:t>
      </w:r>
      <w:r>
        <w:rPr>
          <w:rFonts w:ascii="Arial" w:eastAsia="Times New Roman" w:hAnsi="Arial" w:cs="Arial"/>
          <w:color w:val="000000"/>
          <w:sz w:val="20"/>
          <w:szCs w:val="20"/>
        </w:rPr>
        <w:t>uncertain and will depend on future developments, and such impacts could exist for an extended period of time, even after the Pandemic subsides.</w:t>
      </w:r>
    </w:p>
    <w:p w:rsidR="00000000" w:rsidRDefault="001E2972">
      <w:pPr>
        <w:ind w:firstLine="720"/>
        <w:jc w:val="both"/>
        <w:divId w:val="1878734602"/>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w:t>
      </w:r>
      <w:r>
        <w:rPr>
          <w:rFonts w:ascii="Arial" w:eastAsia="Times New Roman" w:hAnsi="Arial" w:cs="Arial"/>
          <w:color w:val="000000"/>
          <w:sz w:val="20"/>
          <w:szCs w:val="20"/>
        </w:rPr>
        <w:t xml:space="preserve">nts’ changing staffing and service needs are met while actively managing direct labor and related personnel costs, including furloughs or reduced hours for certain frontline employees in markets significantly impacted by business slowdowns and shutdowns. </w:t>
      </w:r>
    </w:p>
    <w:p w:rsidR="00000000" w:rsidRDefault="001E2972">
      <w:pPr>
        <w:jc w:val="both"/>
        <w:divId w:val="221059450"/>
        <w:rPr>
          <w:rFonts w:eastAsia="Times New Roman"/>
        </w:rPr>
      </w:pPr>
      <w:r>
        <w:rPr>
          <w:rFonts w:ascii="Arial" w:eastAsia="Times New Roman" w:hAnsi="Arial" w:cs="Arial"/>
          <w:b/>
          <w:bCs/>
          <w:color w:val="0046AD"/>
          <w:sz w:val="20"/>
          <w:szCs w:val="20"/>
        </w:rPr>
        <w:t>Rounding</w:t>
      </w:r>
    </w:p>
    <w:p w:rsidR="00000000" w:rsidRDefault="001E2972">
      <w:pPr>
        <w:ind w:firstLine="720"/>
        <w:jc w:val="both"/>
        <w:divId w:val="1705522572"/>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crossfoot, or recalculate based on reported numbers due to roun</w:t>
      </w:r>
      <w:r>
        <w:rPr>
          <w:rFonts w:ascii="Arial" w:eastAsia="Times New Roman" w:hAnsi="Arial" w:cs="Arial"/>
          <w:color w:val="000000"/>
          <w:sz w:val="20"/>
          <w:szCs w:val="20"/>
        </w:rPr>
        <w:t>ding.</w:t>
      </w:r>
    </w:p>
    <w:p w:rsidR="00000000" w:rsidRDefault="001E2972">
      <w:pPr>
        <w:divId w:val="1384719995"/>
        <w:rPr>
          <w:rFonts w:eastAsia="Times New Roman"/>
        </w:rPr>
      </w:pPr>
    </w:p>
    <w:p w:rsidR="00000000" w:rsidRDefault="001E2972">
      <w:pPr>
        <w:jc w:val="center"/>
        <w:divId w:val="1236011806"/>
        <w:rPr>
          <w:rFonts w:eastAsia="Times New Roman"/>
        </w:rPr>
      </w:pPr>
      <w:r>
        <w:rPr>
          <w:rFonts w:ascii="Arial" w:eastAsia="Times New Roman" w:hAnsi="Arial" w:cs="Arial"/>
          <w:color w:val="000000"/>
          <w:sz w:val="20"/>
          <w:szCs w:val="20"/>
        </w:rPr>
        <w:t>7</w:t>
      </w:r>
    </w:p>
    <w:p w:rsidR="00000000" w:rsidRDefault="001E2972">
      <w:pPr>
        <w:rPr>
          <w:rFonts w:eastAsia="Times New Roman"/>
        </w:rPr>
      </w:pPr>
      <w:r>
        <w:rPr>
          <w:rFonts w:eastAsia="Times New Roman"/>
        </w:rPr>
        <w:pict>
          <v:rect id="_x0000_i1037" style="width:0;height:1.5pt" o:hralign="center" o:hrstd="t" o:hr="t" fillcolor="#a0a0a0" stroked="f"/>
        </w:pict>
      </w:r>
    </w:p>
    <w:p w:rsidR="00000000" w:rsidRDefault="001E2972">
      <w:pPr>
        <w:jc w:val="both"/>
        <w:divId w:val="1005473920"/>
        <w:rPr>
          <w:rFonts w:eastAsia="Times New Roman"/>
        </w:rPr>
      </w:pPr>
    </w:p>
    <w:p w:rsidR="00000000" w:rsidRDefault="001E2972">
      <w:pPr>
        <w:jc w:val="both"/>
        <w:divId w:val="1728918756"/>
        <w:rPr>
          <w:rFonts w:eastAsia="Times New Roman"/>
        </w:rPr>
      </w:pPr>
      <w:r>
        <w:rPr>
          <w:rFonts w:ascii="Arial" w:eastAsia="Times New Roman" w:hAnsi="Arial" w:cs="Arial"/>
          <w:b/>
          <w:bCs/>
          <w:color w:val="0046AD"/>
          <w:sz w:val="20"/>
          <w:szCs w:val="20"/>
        </w:rPr>
        <w:t>Discontinued Operations</w:t>
      </w:r>
    </w:p>
    <w:p w:rsidR="00000000" w:rsidRDefault="001E2972">
      <w:pPr>
        <w:ind w:firstLine="720"/>
        <w:jc w:val="both"/>
        <w:divId w:val="824320195"/>
        <w:rPr>
          <w:rFonts w:eastAsia="Times New Roman"/>
        </w:rPr>
      </w:pPr>
      <w:r>
        <w:rPr>
          <w:rFonts w:ascii="Arial" w:eastAsia="Times New Roman" w:hAnsi="Arial" w:cs="Arial"/>
          <w:color w:val="000000"/>
          <w:sz w:val="20"/>
          <w:szCs w:val="20"/>
        </w:rPr>
        <w:t>Following the sale of our Security business in 2015, we record all costs associated with this former business in discontinued operations. Such costs generally relate to litigation we r</w:t>
      </w:r>
      <w:r>
        <w:rPr>
          <w:rFonts w:ascii="Arial" w:eastAsia="Times New Roman" w:hAnsi="Arial" w:cs="Arial"/>
          <w:color w:val="000000"/>
          <w:sz w:val="20"/>
          <w:szCs w:val="20"/>
        </w:rPr>
        <w:t>etained and insurance reserves.</w:t>
      </w:r>
    </w:p>
    <w:p w:rsidR="00000000" w:rsidRDefault="001E2972">
      <w:pPr>
        <w:divId w:val="1772894334"/>
        <w:rPr>
          <w:rFonts w:eastAsia="Times New Roman"/>
        </w:rPr>
      </w:pPr>
      <w:r>
        <w:rPr>
          <w:rFonts w:ascii="Arial" w:eastAsia="Times New Roman" w:hAnsi="Arial" w:cs="Arial"/>
          <w:b/>
          <w:bCs/>
          <w:color w:val="0046AD"/>
          <w:sz w:val="20"/>
          <w:szCs w:val="20"/>
        </w:rPr>
        <w:t>Management Reimbursement Revenue by Segment</w:t>
      </w:r>
    </w:p>
    <w:p w:rsidR="00000000" w:rsidRDefault="001E2972">
      <w:pPr>
        <w:ind w:firstLine="720"/>
        <w:jc w:val="both"/>
        <w:divId w:val="1467503313"/>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for management fees and pass through t</w:t>
      </w:r>
      <w:r>
        <w:rPr>
          <w:rFonts w:ascii="Arial" w:eastAsia="Times New Roman" w:hAnsi="Arial" w:cs="Arial"/>
          <w:color w:val="000000"/>
          <w:sz w:val="20"/>
          <w:szCs w:val="20"/>
        </w:rPr>
        <w:t>he revenues and expenses associated with the facilities to the owners. These revenues and expenses are reported in equal amounts as costs reimbursed from our managed locations: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265"/>
        <w:gridCol w:w="37"/>
        <w:gridCol w:w="121"/>
        <w:gridCol w:w="1035"/>
        <w:gridCol w:w="36"/>
        <w:gridCol w:w="36"/>
        <w:gridCol w:w="36"/>
        <w:gridCol w:w="36"/>
        <w:gridCol w:w="121"/>
        <w:gridCol w:w="993"/>
        <w:gridCol w:w="36"/>
        <w:gridCol w:w="36"/>
        <w:gridCol w:w="36"/>
        <w:gridCol w:w="36"/>
        <w:gridCol w:w="121"/>
        <w:gridCol w:w="993"/>
        <w:gridCol w:w="36"/>
        <w:gridCol w:w="36"/>
        <w:gridCol w:w="36"/>
        <w:gridCol w:w="36"/>
        <w:gridCol w:w="121"/>
        <w:gridCol w:w="993"/>
        <w:gridCol w:w="36"/>
      </w:tblGrid>
      <w:tr w:rsidR="00000000">
        <w:trPr>
          <w:divId w:val="1163668574"/>
        </w:trPr>
        <w:tc>
          <w:tcPr>
            <w:tcW w:w="50" w:type="pct"/>
            <w:vAlign w:val="center"/>
            <w:hideMark/>
          </w:tcPr>
          <w:p w:rsidR="00000000" w:rsidRDefault="001E2972">
            <w:pPr>
              <w:ind w:firstLine="720"/>
              <w:jc w:val="both"/>
              <w:rPr>
                <w:rFonts w:eastAsia="Times New Roman"/>
              </w:rPr>
            </w:pPr>
          </w:p>
        </w:tc>
        <w:tc>
          <w:tcPr>
            <w:tcW w:w="199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163668574"/>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r>
      <w:tr w:rsidR="00000000">
        <w:trPr>
          <w:divId w:val="1163668574"/>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r>
      <w:tr w:rsidR="00000000">
        <w:trPr>
          <w:divId w:val="116366857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135.4 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6366857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46.6 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6366857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56.1 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82.4 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182.0 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divId w:val="772943908"/>
        <w:rPr>
          <w:rFonts w:eastAsia="Times New Roman"/>
        </w:rPr>
      </w:pPr>
      <w:r>
        <w:rPr>
          <w:rFonts w:ascii="Arial" w:eastAsia="Times New Roman" w:hAnsi="Arial" w:cs="Arial"/>
          <w:b/>
          <w:bCs/>
          <w:color w:val="0046AD"/>
          <w:sz w:val="20"/>
          <w:szCs w:val="20"/>
        </w:rPr>
        <w:t xml:space="preserve">Recently Adopted Accounting Standards </w:t>
      </w:r>
    </w:p>
    <w:p w:rsidR="00000000" w:rsidRDefault="001E2972">
      <w:pPr>
        <w:ind w:firstLine="720"/>
        <w:jc w:val="both"/>
        <w:divId w:val="2097708088"/>
        <w:rPr>
          <w:rFonts w:eastAsia="Times New Roman"/>
        </w:rPr>
      </w:pPr>
      <w:r>
        <w:rPr>
          <w:rFonts w:ascii="Arial" w:eastAsia="Times New Roman" w:hAnsi="Arial" w:cs="Arial"/>
          <w:color w:val="000000"/>
          <w:sz w:val="20"/>
          <w:szCs w:val="20"/>
        </w:rPr>
        <w:t xml:space="preserve">The Financial Accounting Standards Board (“FASB”) issued ASU No. 2016-13, </w:t>
      </w:r>
      <w:r>
        <w:rPr>
          <w:rFonts w:ascii="Arial" w:eastAsia="Times New Roman" w:hAnsi="Arial" w:cs="Arial"/>
          <w:i/>
          <w:iCs/>
          <w:color w:val="000000"/>
          <w:sz w:val="20"/>
          <w:szCs w:val="20"/>
        </w:rPr>
        <w:t>Financial Instruments—</w:t>
      </w:r>
      <w:r>
        <w:rPr>
          <w:rFonts w:ascii="Arial" w:eastAsia="Times New Roman" w:hAnsi="Arial" w:cs="Arial"/>
          <w:i/>
          <w:iCs/>
          <w:color w:val="000000"/>
          <w:sz w:val="20"/>
          <w:szCs w:val="20"/>
        </w:rPr>
        <w:t xml:space="preserve">Credit Losses (Topic 326) </w:t>
      </w:r>
      <w:r>
        <w:rPr>
          <w:rFonts w:ascii="Arial" w:eastAsia="Times New Roman" w:hAnsi="Arial" w:cs="Arial"/>
          <w:color w:val="000000"/>
          <w:sz w:val="20"/>
          <w:szCs w:val="20"/>
        </w:rPr>
        <w:t>in June 2016 and subsequently issued these amendments to the initial guidance: ASU 2018-19, ASU 2019-04, ASU 2019-05, ASU 2019-11, and ASU 2020-03 (collectively, “Topic 326”). Topic 326 replaces the existing incurred loss impairme</w:t>
      </w:r>
      <w:r>
        <w:rPr>
          <w:rFonts w:ascii="Arial" w:eastAsia="Times New Roman" w:hAnsi="Arial" w:cs="Arial"/>
          <w:color w:val="000000"/>
          <w:sz w:val="20"/>
          <w:szCs w:val="20"/>
        </w:rPr>
        <w:t xml:space="preserve">nt model with a methodology that incorporates all expected credit loss estimates, resulting in more timely recognition of losses. Under Topic 326, an organization is required to measure all expected credit losses for financial assets held at the reporting </w:t>
      </w:r>
      <w:r>
        <w:rPr>
          <w:rFonts w:ascii="Arial" w:eastAsia="Times New Roman" w:hAnsi="Arial" w:cs="Arial"/>
          <w:color w:val="000000"/>
          <w:sz w:val="20"/>
          <w:szCs w:val="20"/>
        </w:rPr>
        <w:t>date based on historical experience, current conditions, and reasonable and supportable forecasts that affect the collectability of the reported financial assets. It also requires credit losses related to available-for-sale debt securities to be recorded t</w:t>
      </w:r>
      <w:r>
        <w:rPr>
          <w:rFonts w:ascii="Arial" w:eastAsia="Times New Roman" w:hAnsi="Arial" w:cs="Arial"/>
          <w:color w:val="000000"/>
          <w:sz w:val="20"/>
          <w:szCs w:val="20"/>
        </w:rPr>
        <w:t>hrough an allowance for credit losses. We adopted this standard effective November 1, 2020, on a modified retrospective basis. The asset and liability classes that we have identified to be in the scope of Topic 326 at the time of the adoption are trade acc</w:t>
      </w:r>
      <w:r>
        <w:rPr>
          <w:rFonts w:ascii="Arial" w:eastAsia="Times New Roman" w:hAnsi="Arial" w:cs="Arial"/>
          <w:color w:val="000000"/>
          <w:sz w:val="20"/>
          <w:szCs w:val="20"/>
        </w:rPr>
        <w:t xml:space="preserve">ounts receivable, costs incurred in excess of amounts billed, guarantees, reinsurance recoverables, and notes receivable. The adoption of this standard did not have a material impact on our consolidated financial statements. </w:t>
      </w:r>
    </w:p>
    <w:p w:rsidR="00000000" w:rsidRDefault="001E2972">
      <w:pPr>
        <w:ind w:firstLine="720"/>
        <w:jc w:val="both"/>
        <w:divId w:val="776217880"/>
        <w:rPr>
          <w:rFonts w:eastAsia="Times New Roman"/>
        </w:rPr>
      </w:pPr>
      <w:r>
        <w:rPr>
          <w:rFonts w:ascii="Arial" w:eastAsia="Times New Roman" w:hAnsi="Arial" w:cs="Arial"/>
          <w:color w:val="000000"/>
          <w:sz w:val="20"/>
          <w:szCs w:val="20"/>
        </w:rPr>
        <w:t>In August 2018, the FASB issue</w:t>
      </w:r>
      <w:r>
        <w:rPr>
          <w:rFonts w:ascii="Arial" w:eastAsia="Times New Roman" w:hAnsi="Arial" w:cs="Arial"/>
          <w:color w:val="000000"/>
          <w:sz w:val="20"/>
          <w:szCs w:val="20"/>
        </w:rPr>
        <w:t>d ASU No. 2018-15,</w:t>
      </w:r>
      <w:r>
        <w:rPr>
          <w:rFonts w:ascii="Arial" w:eastAsia="Times New Roman" w:hAnsi="Arial" w:cs="Arial"/>
          <w:i/>
          <w:iCs/>
          <w:color w:val="000000"/>
          <w:sz w:val="20"/>
          <w:szCs w:val="20"/>
        </w:rPr>
        <w:t xml:space="preserve"> Intangibles—Goodwill and Other—Internal-Use Software (Subtopic 350-40): Customer’s Accounting for Implementation Costs Incurred in a Cloud Computing Arrangement That Is a Service Contract.</w:t>
      </w:r>
      <w:r>
        <w:rPr>
          <w:rFonts w:ascii="Arial" w:eastAsia="Times New Roman" w:hAnsi="Arial" w:cs="Arial"/>
          <w:color w:val="000000"/>
          <w:sz w:val="20"/>
          <w:szCs w:val="20"/>
        </w:rPr>
        <w:t xml:space="preserve"> This accounting update aligns the requirements f</w:t>
      </w:r>
      <w:r>
        <w:rPr>
          <w:rFonts w:ascii="Arial" w:eastAsia="Times New Roman" w:hAnsi="Arial" w:cs="Arial"/>
          <w:color w:val="000000"/>
          <w:sz w:val="20"/>
          <w:szCs w:val="20"/>
        </w:rPr>
        <w:t>or capitalizing implementation costs incurred in a hosting arrangement that is a service contract with the requirements for capitalizing implementation costs incurred to develop or obtain internal-use software. The guidance also specifies that the presenta</w:t>
      </w:r>
      <w:r>
        <w:rPr>
          <w:rFonts w:ascii="Arial" w:eastAsia="Times New Roman" w:hAnsi="Arial" w:cs="Arial"/>
          <w:color w:val="000000"/>
          <w:sz w:val="20"/>
          <w:szCs w:val="20"/>
        </w:rPr>
        <w:t>tion of capitalized implementation costs and the related amortization on the balance sheet, income statement, and statement of cash flows should align with the presentation of the hosting (service) element of the arrangement. We adopted this standard effec</w:t>
      </w:r>
      <w:r>
        <w:rPr>
          <w:rFonts w:ascii="Arial" w:eastAsia="Times New Roman" w:hAnsi="Arial" w:cs="Arial"/>
          <w:color w:val="000000"/>
          <w:sz w:val="20"/>
          <w:szCs w:val="20"/>
        </w:rPr>
        <w:t xml:space="preserve">tive November 1, 2020, on a prospective basis. The adoption of the standard did not have a material impact on our consolidated financial statements. </w:t>
      </w:r>
    </w:p>
    <w:p w:rsidR="00000000" w:rsidRDefault="001E2972">
      <w:pPr>
        <w:ind w:firstLine="720"/>
        <w:jc w:val="both"/>
        <w:divId w:val="657421463"/>
        <w:rPr>
          <w:rFonts w:eastAsia="Times New Roman"/>
        </w:rPr>
      </w:pPr>
      <w:r>
        <w:rPr>
          <w:rFonts w:ascii="Arial" w:eastAsia="Times New Roman" w:hAnsi="Arial" w:cs="Arial"/>
          <w:color w:val="000000"/>
          <w:sz w:val="20"/>
          <w:szCs w:val="20"/>
        </w:rPr>
        <w:t>No other recently adopted accounting standards have had a significant impact on our fiscal 2021 consolidat</w:t>
      </w:r>
      <w:r>
        <w:rPr>
          <w:rFonts w:ascii="Arial" w:eastAsia="Times New Roman" w:hAnsi="Arial" w:cs="Arial"/>
          <w:color w:val="000000"/>
          <w:sz w:val="20"/>
          <w:szCs w:val="20"/>
        </w:rPr>
        <w:t xml:space="preserve">ed financial statements. </w:t>
      </w:r>
    </w:p>
    <w:p w:rsidR="00000000" w:rsidRDefault="001E2972">
      <w:pPr>
        <w:jc w:val="center"/>
        <w:divId w:val="1916015163"/>
        <w:rPr>
          <w:rFonts w:eastAsia="Times New Roman"/>
        </w:rPr>
      </w:pPr>
      <w:r>
        <w:rPr>
          <w:rFonts w:ascii="Arial" w:eastAsia="Times New Roman" w:hAnsi="Arial" w:cs="Arial"/>
          <w:color w:val="000000"/>
          <w:sz w:val="20"/>
          <w:szCs w:val="20"/>
        </w:rPr>
        <w:t>8</w:t>
      </w:r>
    </w:p>
    <w:p w:rsidR="00000000" w:rsidRDefault="001E2972">
      <w:pPr>
        <w:rPr>
          <w:rFonts w:eastAsia="Times New Roman"/>
        </w:rPr>
      </w:pPr>
      <w:r>
        <w:rPr>
          <w:rFonts w:eastAsia="Times New Roman"/>
        </w:rPr>
        <w:pict>
          <v:rect id="_x0000_i1038" style="width:0;height:1.5pt" o:hralign="center" o:hrstd="t" o:hr="t" fillcolor="#a0a0a0" stroked="f"/>
        </w:pict>
      </w:r>
    </w:p>
    <w:p w:rsidR="00000000" w:rsidRDefault="001E2972">
      <w:pPr>
        <w:jc w:val="both"/>
        <w:divId w:val="703019695"/>
        <w:rPr>
          <w:rFonts w:eastAsia="Times New Roman"/>
        </w:rPr>
      </w:pPr>
    </w:p>
    <w:p w:rsidR="00000000" w:rsidRDefault="001E2972">
      <w:pPr>
        <w:divId w:val="1492863882"/>
        <w:rPr>
          <w:rFonts w:eastAsia="Times New Roman"/>
        </w:rPr>
      </w:pPr>
      <w:r>
        <w:rPr>
          <w:rFonts w:ascii="Arial" w:eastAsia="Times New Roman" w:hAnsi="Arial" w:cs="Arial"/>
          <w:b/>
          <w:bCs/>
          <w:color w:val="0046AD"/>
          <w:sz w:val="20"/>
          <w:szCs w:val="20"/>
        </w:rPr>
        <w:t>3.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69149459"/>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569149459"/>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divId w:val="900217304"/>
        <w:rPr>
          <w:rFonts w:eastAsia="Times New Roman"/>
        </w:rPr>
      </w:pPr>
      <w:r>
        <w:rPr>
          <w:rFonts w:ascii="Arial" w:eastAsia="Times New Roman" w:hAnsi="Arial" w:cs="Arial"/>
          <w:b/>
          <w:bCs/>
          <w:color w:val="0046AD"/>
          <w:sz w:val="20"/>
          <w:szCs w:val="20"/>
        </w:rPr>
        <w:t>Disaggregation of Revenues</w:t>
      </w:r>
    </w:p>
    <w:p w:rsidR="00000000" w:rsidRDefault="001E2972">
      <w:pPr>
        <w:ind w:firstLine="720"/>
        <w:jc w:val="both"/>
        <w:divId w:val="978723525"/>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reportable segments; therefore,</w:t>
      </w:r>
      <w:r>
        <w:rPr>
          <w:rFonts w:ascii="Arial" w:eastAsia="Times New Roman" w:hAnsi="Arial" w:cs="Arial"/>
          <w:color w:val="000000"/>
          <w:sz w:val="20"/>
          <w:szCs w:val="20"/>
        </w:rPr>
        <w:t xml:space="preserve"> we disaggregate revenues from contracts with customers into major service lines. We have determined that disaggregating revenues into these categories best depicts how the nature, amount, timing, and uncertainty of revenues and cash flows are affected by </w:t>
      </w:r>
      <w:r>
        <w:rPr>
          <w:rFonts w:ascii="Arial" w:eastAsia="Times New Roman" w:hAnsi="Arial" w:cs="Arial"/>
          <w:color w:val="000000"/>
          <w:sz w:val="20"/>
          <w:szCs w:val="20"/>
        </w:rPr>
        <w:t>economic factors. Our reportable segments are Business &amp; Industry (“B&amp;I”), Technology and Manufacturing (“T&amp;M”), Education, Aviation, and Technical Solutions, as described in Note 10, “Segment Information.”</w:t>
      </w:r>
    </w:p>
    <w:tbl>
      <w:tblPr>
        <w:tblW w:w="4992" w:type="pct"/>
        <w:tblCellMar>
          <w:top w:w="15" w:type="dxa"/>
          <w:left w:w="15" w:type="dxa"/>
          <w:bottom w:w="15" w:type="dxa"/>
          <w:right w:w="15" w:type="dxa"/>
        </w:tblCellMar>
        <w:tblLook w:val="04A0" w:firstRow="1" w:lastRow="0" w:firstColumn="1" w:lastColumn="0" w:noHBand="0" w:noVBand="1"/>
      </w:tblPr>
      <w:tblGrid>
        <w:gridCol w:w="78"/>
        <w:gridCol w:w="678"/>
        <w:gridCol w:w="37"/>
        <w:gridCol w:w="36"/>
        <w:gridCol w:w="36"/>
        <w:gridCol w:w="36"/>
        <w:gridCol w:w="104"/>
        <w:gridCol w:w="418"/>
        <w:gridCol w:w="36"/>
        <w:gridCol w:w="36"/>
        <w:gridCol w:w="36"/>
        <w:gridCol w:w="36"/>
        <w:gridCol w:w="104"/>
        <w:gridCol w:w="418"/>
        <w:gridCol w:w="36"/>
        <w:gridCol w:w="36"/>
        <w:gridCol w:w="36"/>
        <w:gridCol w:w="36"/>
        <w:gridCol w:w="105"/>
        <w:gridCol w:w="661"/>
        <w:gridCol w:w="36"/>
        <w:gridCol w:w="36"/>
        <w:gridCol w:w="36"/>
        <w:gridCol w:w="36"/>
        <w:gridCol w:w="105"/>
        <w:gridCol w:w="531"/>
        <w:gridCol w:w="36"/>
        <w:gridCol w:w="36"/>
        <w:gridCol w:w="36"/>
        <w:gridCol w:w="36"/>
        <w:gridCol w:w="105"/>
        <w:gridCol w:w="631"/>
        <w:gridCol w:w="36"/>
        <w:gridCol w:w="36"/>
        <w:gridCol w:w="36"/>
        <w:gridCol w:w="36"/>
        <w:gridCol w:w="104"/>
        <w:gridCol w:w="543"/>
        <w:gridCol w:w="36"/>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8"/>
        <w:gridCol w:w="1147"/>
      </w:tblGrid>
      <w:tr w:rsidR="00000000">
        <w:trPr>
          <w:divId w:val="1329672999"/>
        </w:trPr>
        <w:tc>
          <w:tcPr>
            <w:tcW w:w="50" w:type="pct"/>
            <w:vAlign w:val="center"/>
            <w:hideMark/>
          </w:tcPr>
          <w:p w:rsidR="00000000" w:rsidRDefault="001E2972">
            <w:pPr>
              <w:ind w:firstLine="720"/>
              <w:jc w:val="both"/>
              <w:rPr>
                <w:rFonts w:eastAsia="Times New Roman"/>
              </w:rPr>
            </w:pPr>
          </w:p>
        </w:tc>
        <w:tc>
          <w:tcPr>
            <w:tcW w:w="43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4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8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7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8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29672999"/>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Three Months Ended 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Six Months Ended April 30, 2021</w:t>
            </w:r>
          </w:p>
        </w:tc>
        <w:tc>
          <w:tcPr>
            <w:tcW w:w="0" w:type="auto"/>
            <w:vAlign w:val="center"/>
            <w:hideMark/>
          </w:tcPr>
          <w:p w:rsidR="00000000" w:rsidRDefault="001E2972">
            <w:pPr>
              <w:rPr>
                <w:rFonts w:eastAsia="Times New Roman"/>
                <w:sz w:val="20"/>
                <w:szCs w:val="20"/>
              </w:rPr>
            </w:pPr>
          </w:p>
        </w:tc>
      </w:tr>
      <w:tr w:rsidR="00000000">
        <w:trPr>
          <w:divId w:val="1329672999"/>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rPr>
          <w:divId w:val="1329672999"/>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2"/>
            <w:vAlign w:val="center"/>
            <w:hideMark/>
          </w:tcPr>
          <w:p w:rsidR="00000000" w:rsidRDefault="001E2972">
            <w:pPr>
              <w:rPr>
                <w:rFonts w:eastAsia="Times New Roman"/>
                <w:sz w:val="20"/>
                <w:szCs w:val="20"/>
              </w:rPr>
            </w:pPr>
          </w:p>
        </w:tc>
        <w:tc>
          <w:tcPr>
            <w:tcW w:w="0" w:type="auto"/>
            <w:vAlign w:val="center"/>
            <w:hideMark/>
          </w:tcPr>
          <w:p w:rsidR="00000000" w:rsidRDefault="001E2972">
            <w:pPr>
              <w:rPr>
                <w:rFonts w:eastAsia="Times New Roman"/>
                <w:sz w:val="20"/>
                <w:szCs w:val="20"/>
              </w:rPr>
            </w:pPr>
          </w:p>
        </w:tc>
      </w:tr>
      <w:tr w:rsidR="00000000">
        <w:trPr>
          <w:divId w:val="132967299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1E2972">
        <w:trPr>
          <w:divId w:val="1329672999"/>
        </w:trPr>
        <w:tc>
          <w:tcPr>
            <w:tcW w:w="0" w:type="auto"/>
            <w:gridSpan w:val="3"/>
            <w:shd w:val="clear" w:color="auto" w:fill="FFFFFF"/>
            <w:tcMar>
              <w:top w:w="30" w:type="dxa"/>
              <w:left w:w="20" w:type="dxa"/>
              <w:bottom w:w="30" w:type="dxa"/>
              <w:right w:w="20" w:type="dxa"/>
            </w:tcMar>
            <w:vAlign w:val="bottom"/>
            <w:hideMark/>
          </w:tcPr>
          <w:p w:rsidR="00000000" w:rsidRDefault="001E2972">
            <w:pPr>
              <w:divId w:val="83890183"/>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644.4 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197.3 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187.6 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29.1 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1,058.4 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1,291.3 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394.2 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372.4 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58.2 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$2,116.1 </w:t>
            </w:r>
          </w:p>
        </w:tc>
      </w:tr>
      <w:tr w:rsidR="001E2972">
        <w:trPr>
          <w:divId w:val="1329672999"/>
        </w:trPr>
        <w:tc>
          <w:tcPr>
            <w:tcW w:w="0" w:type="auto"/>
            <w:gridSpan w:val="3"/>
            <w:shd w:val="clear" w:color="auto" w:fill="DCE2EF"/>
            <w:tcMar>
              <w:top w:w="30" w:type="dxa"/>
              <w:left w:w="20" w:type="dxa"/>
              <w:bottom w:w="30" w:type="dxa"/>
              <w:right w:w="20" w:type="dxa"/>
            </w:tcMar>
            <w:vAlign w:val="bottom"/>
            <w:hideMark/>
          </w:tcPr>
          <w:p w:rsidR="00000000" w:rsidRDefault="001E2972">
            <w:pPr>
              <w:divId w:val="1796408130"/>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68.3 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10.0 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61.9 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140.5 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137.3 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21.7 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117.3 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276.7 </w:t>
            </w:r>
          </w:p>
        </w:tc>
      </w:tr>
      <w:tr w:rsidR="001E2972">
        <w:trPr>
          <w:divId w:val="1329672999"/>
        </w:trPr>
        <w:tc>
          <w:tcPr>
            <w:tcW w:w="0" w:type="auto"/>
            <w:gridSpan w:val="3"/>
            <w:shd w:val="clear" w:color="auto" w:fill="FFFFFF"/>
            <w:tcMar>
              <w:top w:w="30" w:type="dxa"/>
              <w:left w:w="20" w:type="dxa"/>
              <w:bottom w:w="30" w:type="dxa"/>
              <w:right w:w="20" w:type="dxa"/>
            </w:tcMar>
            <w:vAlign w:val="bottom"/>
            <w:hideMark/>
          </w:tcPr>
          <w:p w:rsidR="00000000" w:rsidRDefault="001E2972">
            <w:pPr>
              <w:divId w:val="2117747472"/>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83.4 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39.0 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6.8 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155.5 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176.8 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79.6 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50.8 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13.7 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320.9 </w:t>
            </w:r>
          </w:p>
        </w:tc>
      </w:tr>
      <w:tr w:rsidR="001E2972">
        <w:trPr>
          <w:divId w:val="1329672999"/>
        </w:trPr>
        <w:tc>
          <w:tcPr>
            <w:tcW w:w="0" w:type="auto"/>
            <w:gridSpan w:val="3"/>
            <w:shd w:val="clear" w:color="auto" w:fill="DCE2EF"/>
            <w:tcMar>
              <w:top w:w="30" w:type="dxa"/>
              <w:left w:w="20" w:type="dxa"/>
              <w:bottom w:w="30" w:type="dxa"/>
              <w:right w:w="20" w:type="dxa"/>
            </w:tcMar>
            <w:vAlign w:val="bottom"/>
            <w:hideMark/>
          </w:tcPr>
          <w:p w:rsidR="00000000" w:rsidRDefault="001E2972">
            <w:pPr>
              <w:divId w:val="1249147265"/>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238.8 238.8 </w:t>
            </w:r>
          </w:p>
        </w:tc>
      </w:tr>
      <w:tr w:rsidR="001E2972">
        <w:trPr>
          <w:divId w:val="1329672999"/>
        </w:trPr>
        <w:tc>
          <w:tcPr>
            <w:tcW w:w="0" w:type="auto"/>
            <w:gridSpan w:val="3"/>
            <w:shd w:val="clear" w:color="auto" w:fill="FFFFFF"/>
            <w:tcMar>
              <w:top w:w="30" w:type="dxa"/>
              <w:left w:w="20" w:type="dxa"/>
              <w:bottom w:w="30" w:type="dxa"/>
              <w:right w:w="20" w:type="dxa"/>
            </w:tcMar>
            <w:vAlign w:val="bottom"/>
            <w:hideMark/>
          </w:tcPr>
          <w:p w:rsidR="00000000" w:rsidRDefault="001E2972">
            <w:pPr>
              <w:divId w:val="41681211"/>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50.5 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50.6 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102.2 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102.5 </w:t>
            </w:r>
          </w:p>
        </w:tc>
      </w:tr>
      <w:tr w:rsidR="001E2972">
        <w:trPr>
          <w:divId w:val="1329672999"/>
        </w:trPr>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796.2 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246.3 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214.2 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148.3 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1,530.5 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1,605.6 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423.6 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291.5 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$238.8 $3,055.0 </w:t>
            </w:r>
          </w:p>
        </w:tc>
      </w:tr>
      <w:tr w:rsidR="00000000">
        <w:trPr>
          <w:divId w:val="132967299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5"/>
                <w:szCs w:val="15"/>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(33.1)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r>
              <w:rPr>
                <w:rFonts w:ascii="Arial" w:eastAsia="Times New Roman" w:hAnsi="Arial" w:cs="Arial"/>
                <w:color w:val="000000"/>
                <w:sz w:val="15"/>
                <w:szCs w:val="15"/>
              </w:rPr>
              <w:t>(65.2)</w:t>
            </w:r>
          </w:p>
        </w:tc>
      </w:tr>
      <w:tr w:rsidR="00000000">
        <w:trPr>
          <w:divId w:val="132967299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1,497.4 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r>
              <w:rPr>
                <w:rFonts w:ascii="Arial" w:eastAsia="Times New Roman" w:hAnsi="Arial" w:cs="Arial"/>
                <w:color w:val="000000"/>
                <w:sz w:val="15"/>
                <w:szCs w:val="15"/>
              </w:rPr>
              <w:t>$2,989.8 </w:t>
            </w:r>
          </w:p>
        </w:tc>
      </w:tr>
    </w:tbl>
    <w:p w:rsidR="00000000" w:rsidRDefault="001E2972">
      <w:pPr>
        <w:ind w:firstLine="720"/>
        <w:divId w:val="18819388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678"/>
        <w:gridCol w:w="37"/>
        <w:gridCol w:w="36"/>
        <w:gridCol w:w="36"/>
        <w:gridCol w:w="36"/>
        <w:gridCol w:w="104"/>
        <w:gridCol w:w="418"/>
        <w:gridCol w:w="36"/>
        <w:gridCol w:w="36"/>
        <w:gridCol w:w="36"/>
        <w:gridCol w:w="36"/>
        <w:gridCol w:w="104"/>
        <w:gridCol w:w="418"/>
        <w:gridCol w:w="36"/>
        <w:gridCol w:w="36"/>
        <w:gridCol w:w="36"/>
        <w:gridCol w:w="36"/>
        <w:gridCol w:w="105"/>
        <w:gridCol w:w="661"/>
        <w:gridCol w:w="36"/>
        <w:gridCol w:w="36"/>
        <w:gridCol w:w="36"/>
        <w:gridCol w:w="36"/>
        <w:gridCol w:w="105"/>
        <w:gridCol w:w="526"/>
        <w:gridCol w:w="36"/>
        <w:gridCol w:w="36"/>
        <w:gridCol w:w="36"/>
        <w:gridCol w:w="36"/>
        <w:gridCol w:w="105"/>
        <w:gridCol w:w="631"/>
        <w:gridCol w:w="36"/>
        <w:gridCol w:w="36"/>
        <w:gridCol w:w="36"/>
        <w:gridCol w:w="36"/>
        <w:gridCol w:w="104"/>
        <w:gridCol w:w="543"/>
        <w:gridCol w:w="36"/>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8"/>
        <w:gridCol w:w="1147"/>
      </w:tblGrid>
      <w:tr w:rsidR="00000000">
        <w:trPr>
          <w:divId w:val="1998416716"/>
        </w:trPr>
        <w:tc>
          <w:tcPr>
            <w:tcW w:w="50" w:type="pct"/>
            <w:vAlign w:val="center"/>
            <w:hideMark/>
          </w:tcPr>
          <w:p w:rsidR="00000000" w:rsidRDefault="001E2972">
            <w:pPr>
              <w:ind w:firstLine="720"/>
              <w:rPr>
                <w:rFonts w:eastAsia="Times New Roman"/>
              </w:rPr>
            </w:pPr>
          </w:p>
        </w:tc>
        <w:tc>
          <w:tcPr>
            <w:tcW w:w="4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3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3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7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5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6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3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4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8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998416716"/>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Three Months Ended April 30, 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Six Months Ended April 30, 2020</w:t>
            </w:r>
          </w:p>
        </w:tc>
        <w:tc>
          <w:tcPr>
            <w:tcW w:w="0" w:type="auto"/>
            <w:vAlign w:val="center"/>
            <w:hideMark/>
          </w:tcPr>
          <w:p w:rsidR="00000000" w:rsidRDefault="001E2972">
            <w:pPr>
              <w:rPr>
                <w:rFonts w:eastAsia="Times New Roman"/>
                <w:sz w:val="20"/>
                <w:szCs w:val="20"/>
              </w:rPr>
            </w:pPr>
          </w:p>
        </w:tc>
      </w:tr>
      <w:tr w:rsidR="00000000">
        <w:trPr>
          <w:divId w:val="1998416716"/>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rPr>
          <w:divId w:val="1998416716"/>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2"/>
            <w:vAlign w:val="center"/>
            <w:hideMark/>
          </w:tcPr>
          <w:p w:rsidR="00000000" w:rsidRDefault="001E2972">
            <w:pPr>
              <w:rPr>
                <w:rFonts w:eastAsia="Times New Roman"/>
                <w:sz w:val="20"/>
                <w:szCs w:val="20"/>
              </w:rPr>
            </w:pPr>
          </w:p>
        </w:tc>
        <w:tc>
          <w:tcPr>
            <w:tcW w:w="0" w:type="auto"/>
            <w:vAlign w:val="center"/>
            <w:hideMark/>
          </w:tcPr>
          <w:p w:rsidR="00000000" w:rsidRDefault="001E2972">
            <w:pPr>
              <w:rPr>
                <w:rFonts w:eastAsia="Times New Roman"/>
                <w:sz w:val="20"/>
                <w:szCs w:val="20"/>
              </w:rPr>
            </w:pPr>
          </w:p>
        </w:tc>
      </w:tr>
      <w:tr w:rsidR="00000000">
        <w:trPr>
          <w:divId w:val="1998416716"/>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1E2972">
        <w:trPr>
          <w:divId w:val="1998416716"/>
        </w:trPr>
        <w:tc>
          <w:tcPr>
            <w:tcW w:w="0" w:type="auto"/>
            <w:gridSpan w:val="3"/>
            <w:shd w:val="clear" w:color="auto" w:fill="FFFFFF"/>
            <w:tcMar>
              <w:top w:w="30" w:type="dxa"/>
              <w:left w:w="20" w:type="dxa"/>
              <w:bottom w:w="30" w:type="dxa"/>
              <w:right w:w="20" w:type="dxa"/>
            </w:tcMar>
            <w:vAlign w:val="bottom"/>
            <w:hideMark/>
          </w:tcPr>
          <w:p w:rsidR="00000000" w:rsidRDefault="001E2972">
            <w:pPr>
              <w:divId w:val="662440914"/>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597.0 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190.3 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177.5 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31.9 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996.7 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1,190.5 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376.0 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363.7 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66.7 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$1,996.9 </w:t>
            </w:r>
          </w:p>
        </w:tc>
      </w:tr>
      <w:tr w:rsidR="001E2972">
        <w:trPr>
          <w:divId w:val="1998416716"/>
        </w:trPr>
        <w:tc>
          <w:tcPr>
            <w:tcW w:w="0" w:type="auto"/>
            <w:gridSpan w:val="3"/>
            <w:shd w:val="clear" w:color="auto" w:fill="DCE2EF"/>
            <w:tcMar>
              <w:top w:w="30" w:type="dxa"/>
              <w:left w:w="20" w:type="dxa"/>
              <w:bottom w:w="30" w:type="dxa"/>
              <w:right w:w="20" w:type="dxa"/>
            </w:tcMar>
            <w:vAlign w:val="bottom"/>
            <w:hideMark/>
          </w:tcPr>
          <w:p w:rsidR="00000000" w:rsidRDefault="001E2972">
            <w:pPr>
              <w:divId w:val="1959212767"/>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97.1 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71.3 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176.4 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222.9 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396.1 </w:t>
            </w:r>
          </w:p>
        </w:tc>
      </w:tr>
      <w:tr w:rsidR="001E2972">
        <w:trPr>
          <w:divId w:val="1998416716"/>
        </w:trPr>
        <w:tc>
          <w:tcPr>
            <w:tcW w:w="0" w:type="auto"/>
            <w:gridSpan w:val="3"/>
            <w:shd w:val="clear" w:color="auto" w:fill="FFFFFF"/>
            <w:tcMar>
              <w:top w:w="30" w:type="dxa"/>
              <w:left w:w="20" w:type="dxa"/>
              <w:bottom w:w="30" w:type="dxa"/>
              <w:right w:w="20" w:type="dxa"/>
            </w:tcMar>
            <w:vAlign w:val="bottom"/>
            <w:hideMark/>
          </w:tcPr>
          <w:p w:rsidR="00000000" w:rsidRDefault="001E2972">
            <w:pPr>
              <w:divId w:val="448666125"/>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91.3 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35.9 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22.0 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157.1 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192.8 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76.1 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43.0 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18.5 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330.3 </w:t>
            </w:r>
          </w:p>
        </w:tc>
      </w:tr>
      <w:tr w:rsidR="001E2972">
        <w:trPr>
          <w:divId w:val="1998416716"/>
        </w:trPr>
        <w:tc>
          <w:tcPr>
            <w:tcW w:w="0" w:type="auto"/>
            <w:gridSpan w:val="3"/>
            <w:shd w:val="clear" w:color="auto" w:fill="DCE2EF"/>
            <w:tcMar>
              <w:top w:w="30" w:type="dxa"/>
              <w:left w:w="20" w:type="dxa"/>
              <w:bottom w:w="30" w:type="dxa"/>
              <w:right w:w="20" w:type="dxa"/>
            </w:tcMar>
            <w:vAlign w:val="bottom"/>
            <w:hideMark/>
          </w:tcPr>
          <w:p w:rsidR="00000000" w:rsidRDefault="001E2972">
            <w:pPr>
              <w:divId w:val="2104301351"/>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122.3 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122.3 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264.3 264.3 </w:t>
            </w:r>
          </w:p>
        </w:tc>
      </w:tr>
      <w:tr w:rsidR="001E2972">
        <w:trPr>
          <w:divId w:val="1998416716"/>
        </w:trPr>
        <w:tc>
          <w:tcPr>
            <w:tcW w:w="0" w:type="auto"/>
            <w:gridSpan w:val="3"/>
            <w:shd w:val="clear" w:color="auto" w:fill="FFFFFF"/>
            <w:tcMar>
              <w:top w:w="30" w:type="dxa"/>
              <w:left w:w="20" w:type="dxa"/>
              <w:bottom w:w="30" w:type="dxa"/>
              <w:right w:w="20" w:type="dxa"/>
            </w:tcMar>
            <w:vAlign w:val="bottom"/>
            <w:hideMark/>
          </w:tcPr>
          <w:p w:rsidR="00000000" w:rsidRDefault="001E2972">
            <w:pPr>
              <w:divId w:val="1260067057"/>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73.7 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73.8 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182.0 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 182.3 </w:t>
            </w:r>
          </w:p>
        </w:tc>
      </w:tr>
      <w:tr w:rsidR="001E2972">
        <w:trPr>
          <w:divId w:val="1998416716"/>
        </w:trPr>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785.6 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233.7 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200.1 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184.7 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122.3 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1,526.4 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1,606.5 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467.6 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408.0 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423.5 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$264.3 $3,170.0 </w:t>
            </w:r>
          </w:p>
        </w:tc>
      </w:tr>
      <w:tr w:rsidR="00000000">
        <w:trPr>
          <w:divId w:val="1998416716"/>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5"/>
                <w:szCs w:val="15"/>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(30.4)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r>
              <w:rPr>
                <w:rFonts w:ascii="Arial" w:eastAsia="Times New Roman" w:hAnsi="Arial" w:cs="Arial"/>
                <w:color w:val="000000"/>
                <w:sz w:val="15"/>
                <w:szCs w:val="15"/>
              </w:rPr>
              <w:t>(61.0)</w:t>
            </w:r>
          </w:p>
        </w:tc>
      </w:tr>
      <w:tr w:rsidR="00000000">
        <w:trPr>
          <w:divId w:val="1998416716"/>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5"/>
                <w:szCs w:val="15"/>
              </w:rPr>
              <w:t>1,496.0 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2"/>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r>
              <w:rPr>
                <w:rFonts w:ascii="Arial" w:eastAsia="Times New Roman" w:hAnsi="Arial" w:cs="Arial"/>
                <w:color w:val="000000"/>
                <w:sz w:val="15"/>
                <w:szCs w:val="15"/>
              </w:rPr>
              <w:t>$3,109.0 </w:t>
            </w:r>
          </w:p>
        </w:tc>
      </w:tr>
    </w:tbl>
    <w:p w:rsidR="00000000" w:rsidRDefault="001E2972">
      <w:pPr>
        <w:ind w:hanging="180"/>
        <w:jc w:val="both"/>
        <w:divId w:val="191601311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w:t>
      </w:r>
      <w:r>
        <w:rPr>
          <w:rFonts w:ascii="Arial" w:eastAsia="Times New Roman" w:hAnsi="Arial" w:cs="Arial"/>
          <w:color w:val="000000"/>
          <w:sz w:val="18"/>
          <w:szCs w:val="18"/>
        </w:rPr>
        <w:t xml:space="preserve"> buildings, retail stores, and stadiums and arenas. These arrangements are often structured as monthly fixed-price, square-foot, cost-plus, and work order contracts. </w:t>
      </w:r>
    </w:p>
    <w:p w:rsidR="00000000" w:rsidRDefault="001E2972">
      <w:pPr>
        <w:ind w:hanging="180"/>
        <w:jc w:val="both"/>
        <w:divId w:val="81422701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w:t>
      </w:r>
      <w:r>
        <w:rPr>
          <w:rFonts w:ascii="Arial" w:eastAsia="Times New Roman" w:hAnsi="Arial" w:cs="Arial"/>
          <w:color w:val="000000"/>
          <w:sz w:val="18"/>
          <w:szCs w:val="18"/>
        </w:rPr>
        <w:t>us locations, including airports and other transportation centers, commercial office buildings, educational institutions, health facilities, hotels, and stadiums and arenas. These arrangements are structured as management reimbursement, leased location, an</w:t>
      </w:r>
      <w:r>
        <w:rPr>
          <w:rFonts w:ascii="Arial" w:eastAsia="Times New Roman" w:hAnsi="Arial" w:cs="Arial"/>
          <w:color w:val="000000"/>
          <w:sz w:val="18"/>
          <w:szCs w:val="18"/>
        </w:rPr>
        <w:t xml:space="preserve">d allowance contracts. Certain of these arrangements are considered service concession agreements and are accounted for under the guidance of ASU </w:t>
      </w:r>
    </w:p>
    <w:p w:rsidR="00000000" w:rsidRDefault="001E2972">
      <w:pPr>
        <w:jc w:val="center"/>
        <w:divId w:val="706874935"/>
        <w:rPr>
          <w:rFonts w:eastAsia="Times New Roman"/>
        </w:rPr>
      </w:pPr>
      <w:r>
        <w:rPr>
          <w:rFonts w:ascii="Arial" w:eastAsia="Times New Roman" w:hAnsi="Arial" w:cs="Arial"/>
          <w:color w:val="000000"/>
          <w:sz w:val="20"/>
          <w:szCs w:val="20"/>
        </w:rPr>
        <w:t>9</w:t>
      </w:r>
    </w:p>
    <w:p w:rsidR="00000000" w:rsidRDefault="001E2972">
      <w:pPr>
        <w:rPr>
          <w:rFonts w:eastAsia="Times New Roman"/>
        </w:rPr>
      </w:pPr>
      <w:r>
        <w:rPr>
          <w:rFonts w:eastAsia="Times New Roman"/>
        </w:rPr>
        <w:pict>
          <v:rect id="_x0000_i1039" style="width:0;height:1.5pt" o:hralign="center" o:hrstd="t" o:hr="t" fillcolor="#a0a0a0" stroked="f"/>
        </w:pict>
      </w:r>
    </w:p>
    <w:p w:rsidR="00000000" w:rsidRDefault="001E2972">
      <w:pPr>
        <w:jc w:val="both"/>
        <w:divId w:val="561792931"/>
        <w:rPr>
          <w:rFonts w:eastAsia="Times New Roman"/>
        </w:rPr>
      </w:pPr>
    </w:p>
    <w:p w:rsidR="00000000" w:rsidRDefault="001E2972">
      <w:pPr>
        <w:jc w:val="both"/>
        <w:divId w:val="1598488637"/>
        <w:rPr>
          <w:rFonts w:eastAsia="Times New Roman"/>
        </w:rPr>
      </w:pPr>
      <w:r>
        <w:rPr>
          <w:rFonts w:ascii="Arial" w:eastAsia="Times New Roman" w:hAnsi="Arial" w:cs="Arial"/>
          <w:color w:val="000000"/>
          <w:sz w:val="18"/>
          <w:szCs w:val="18"/>
        </w:rPr>
        <w:t xml:space="preserve">2017-10, </w:t>
      </w:r>
      <w:r>
        <w:rPr>
          <w:rFonts w:ascii="Arial" w:eastAsia="Times New Roman" w:hAnsi="Arial" w:cs="Arial"/>
          <w:i/>
          <w:iCs/>
          <w:color w:val="000000"/>
          <w:sz w:val="18"/>
          <w:szCs w:val="18"/>
        </w:rPr>
        <w:t>Service Concession Arrangements (Topic 853): Determining th</w:t>
      </w:r>
      <w:r>
        <w:rPr>
          <w:rFonts w:ascii="Arial" w:eastAsia="Times New Roman" w:hAnsi="Arial" w:cs="Arial"/>
          <w:i/>
          <w:iCs/>
          <w:color w:val="000000"/>
          <w:sz w:val="18"/>
          <w:szCs w:val="18"/>
        </w:rPr>
        <w:t>e Customer of the Operation Services</w:t>
      </w:r>
      <w:r>
        <w:rPr>
          <w:rFonts w:ascii="Arial" w:eastAsia="Times New Roman" w:hAnsi="Arial" w:cs="Arial"/>
          <w:color w:val="000000"/>
          <w:sz w:val="18"/>
          <w:szCs w:val="18"/>
        </w:rPr>
        <w:t xml:space="preserve">; accordingly, rent expense related to these arrangements is recorded as a reduction of the related parking service revenues. </w:t>
      </w:r>
    </w:p>
    <w:p w:rsidR="00000000" w:rsidRDefault="001E2972">
      <w:pPr>
        <w:ind w:hanging="180"/>
        <w:jc w:val="both"/>
        <w:divId w:val="48293515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w:t>
      </w:r>
      <w:r>
        <w:rPr>
          <w:rFonts w:ascii="Arial" w:eastAsia="Times New Roman" w:hAnsi="Arial" w:cs="Arial"/>
          <w:color w:val="000000"/>
          <w:sz w:val="18"/>
          <w:szCs w:val="18"/>
        </w:rPr>
        <w:t>es and solutions relating to a broad range of facilities and infrastructure systems that are designed to extend the useful life of facility fixed assets, improve equipment operating efficiencies, reduce energy consumption, lower overall operational costs f</w:t>
      </w:r>
      <w:r>
        <w:rPr>
          <w:rFonts w:ascii="Arial" w:eastAsia="Times New Roman" w:hAnsi="Arial" w:cs="Arial"/>
          <w:color w:val="000000"/>
          <w:sz w:val="18"/>
          <w:szCs w:val="18"/>
        </w:rPr>
        <w:t>or clients, and enhance the sustainability of client locations. These arrangements are generally structured as monthly fixed-price, cost-plus, and work order contracts.</w:t>
      </w:r>
    </w:p>
    <w:p w:rsidR="00000000" w:rsidRDefault="001E2972">
      <w:pPr>
        <w:ind w:hanging="180"/>
        <w:jc w:val="both"/>
        <w:divId w:val="145825529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electrica</w:t>
      </w:r>
      <w:r>
        <w:rPr>
          <w:rFonts w:ascii="Arial" w:eastAsia="Times New Roman" w:hAnsi="Arial" w:cs="Arial"/>
          <w:color w:val="000000"/>
          <w:sz w:val="18"/>
          <w:szCs w:val="18"/>
        </w:rPr>
        <w:t>l, HVAC, lighting, and other general maintenance and repair services for clients in the public and private sectors and are generally structured as Energy Savings, Fixed-Price Repair, and Refurbishment contracts. We also franchise certain operations under f</w:t>
      </w:r>
      <w:r>
        <w:rPr>
          <w:rFonts w:ascii="Arial" w:eastAsia="Times New Roman" w:hAnsi="Arial" w:cs="Arial"/>
          <w:color w:val="000000"/>
          <w:sz w:val="18"/>
          <w:szCs w:val="18"/>
        </w:rPr>
        <w:t xml:space="preserve">ranchise agreements relating to our Linc Network and TEGG brands, pursuant to franchise contracts. </w:t>
      </w:r>
    </w:p>
    <w:p w:rsidR="00000000" w:rsidRDefault="001E2972">
      <w:pPr>
        <w:ind w:hanging="180"/>
        <w:jc w:val="both"/>
        <w:divId w:val="1737700707"/>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Airline Services arrangements support airlines and airports with services such as passenger assistance, catering logistics, and airplane cabin maintenance. These arrangements are often structured as monthly fixed-price, cost-plus, transaction price, and ho</w:t>
      </w:r>
      <w:r>
        <w:rPr>
          <w:rFonts w:ascii="Arial" w:eastAsia="Times New Roman" w:hAnsi="Arial" w:cs="Arial"/>
          <w:color w:val="000000"/>
          <w:sz w:val="18"/>
          <w:szCs w:val="18"/>
        </w:rPr>
        <w:t>urly contracts.</w:t>
      </w:r>
    </w:p>
    <w:p w:rsidR="00000000" w:rsidRDefault="001E2972">
      <w:pPr>
        <w:jc w:val="both"/>
        <w:divId w:val="760218447"/>
        <w:rPr>
          <w:rFonts w:eastAsia="Times New Roman"/>
        </w:rPr>
      </w:pPr>
      <w:r>
        <w:rPr>
          <w:rFonts w:ascii="Arial" w:eastAsia="Times New Roman" w:hAnsi="Arial" w:cs="Arial"/>
          <w:b/>
          <w:bCs/>
          <w:color w:val="0046AD"/>
          <w:sz w:val="20"/>
          <w:szCs w:val="20"/>
        </w:rPr>
        <w:t>Contract Types</w:t>
      </w:r>
    </w:p>
    <w:p w:rsidR="00000000" w:rsidRDefault="001E2972">
      <w:pPr>
        <w:ind w:firstLine="720"/>
        <w:jc w:val="both"/>
        <w:divId w:val="158153539"/>
        <w:rPr>
          <w:rFonts w:eastAsia="Times New Roman"/>
        </w:rPr>
      </w:pPr>
      <w:r>
        <w:rPr>
          <w:rFonts w:ascii="Arial" w:eastAsia="Times New Roman" w:hAnsi="Arial" w:cs="Arial"/>
          <w:color w:val="000000"/>
          <w:sz w:val="20"/>
          <w:szCs w:val="20"/>
        </w:rPr>
        <w:t>We have arrangements under various contract types, as described in Note 2, “Basis of Presentation and Significant Accounting Policies,” in our Annual Report on Form 10-K for the year ended October 31, 2020.</w:t>
      </w:r>
    </w:p>
    <w:p w:rsidR="00000000" w:rsidRDefault="001E2972">
      <w:pPr>
        <w:ind w:firstLine="720"/>
        <w:jc w:val="both"/>
        <w:divId w:val="109276517"/>
        <w:rPr>
          <w:rFonts w:eastAsia="Times New Roman"/>
        </w:rPr>
      </w:pPr>
      <w:r>
        <w:rPr>
          <w:rFonts w:ascii="Arial" w:eastAsia="Times New Roman" w:hAnsi="Arial" w:cs="Arial"/>
          <w:color w:val="000000"/>
          <w:sz w:val="20"/>
          <w:szCs w:val="20"/>
        </w:rPr>
        <w:t>Certain arrangemen</w:t>
      </w:r>
      <w:r>
        <w:rPr>
          <w:rFonts w:ascii="Arial" w:eastAsia="Times New Roman" w:hAnsi="Arial" w:cs="Arial"/>
          <w:color w:val="000000"/>
          <w:sz w:val="20"/>
          <w:szCs w:val="20"/>
        </w:rPr>
        <w:t>ts involve variable consideration (primarily per transaction fees, reimbursable expenses, and sales-based royalties). We do not estimate the variable consideration for these arrangements; rather, we recognize these variable fees as they are earned.</w:t>
      </w:r>
    </w:p>
    <w:p w:rsidR="00000000" w:rsidRDefault="001E2972">
      <w:pPr>
        <w:ind w:firstLine="720"/>
        <w:jc w:val="both"/>
        <w:divId w:val="1996301457"/>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 fixed-price; square-foot; cost-plus; work orders; transaction-price; hourly; mana</w:t>
      </w:r>
      <w:r>
        <w:rPr>
          <w:rFonts w:ascii="Arial" w:eastAsia="Times New Roman" w:hAnsi="Arial" w:cs="Arial"/>
          <w:color w:val="000000"/>
          <w:sz w:val="20"/>
          <w:szCs w:val="20"/>
        </w:rPr>
        <w:t>gement reimbursement; leased location; allowance; energy savings contracts; and fixed-price repair and refurbishment contracts, as well as our franchise and royalty fee arrangements. We recognize revenue as the services are performed using a measure of pro</w:t>
      </w:r>
      <w:r>
        <w:rPr>
          <w:rFonts w:ascii="Arial" w:eastAsia="Times New Roman" w:hAnsi="Arial" w:cs="Arial"/>
          <w:color w:val="000000"/>
          <w:sz w:val="20"/>
          <w:szCs w:val="20"/>
        </w:rPr>
        <w:t xml:space="preserve">gress that is determined by the contract type. Generally, most of our contracts are cancelable by either party without a substantive penalty, and the majority have a notification period of 30 to 60 days. </w:t>
      </w:r>
    </w:p>
    <w:p w:rsidR="00000000" w:rsidRDefault="001E2972">
      <w:pPr>
        <w:ind w:firstLine="720"/>
        <w:jc w:val="both"/>
        <w:divId w:val="1818914635"/>
        <w:rPr>
          <w:rFonts w:eastAsia="Times New Roman"/>
        </w:rPr>
      </w:pPr>
      <w:r>
        <w:rPr>
          <w:rFonts w:ascii="Arial" w:eastAsia="Times New Roman" w:hAnsi="Arial" w:cs="Arial"/>
          <w:color w:val="000000"/>
          <w:sz w:val="20"/>
          <w:szCs w:val="20"/>
        </w:rPr>
        <w:t>We primarily account for our performance obligation</w:t>
      </w:r>
      <w:r>
        <w:rPr>
          <w:rFonts w:ascii="Arial" w:eastAsia="Times New Roman" w:hAnsi="Arial" w:cs="Arial"/>
          <w:color w:val="000000"/>
          <w:sz w:val="20"/>
          <w:szCs w:val="20"/>
        </w:rPr>
        <w:t>s under the series guidance, using the as-invoiced practical expedient when applicable. We apply the as-invoiced practical expedient to record revenue as the services are provided, given the nature of the services provided and the frequency of billing unde</w:t>
      </w:r>
      <w:r>
        <w:rPr>
          <w:rFonts w:ascii="Arial" w:eastAsia="Times New Roman" w:hAnsi="Arial" w:cs="Arial"/>
          <w:color w:val="000000"/>
          <w:sz w:val="20"/>
          <w:szCs w:val="20"/>
        </w:rPr>
        <w:t xml:space="preserve">r the customer contracts. Under this practical expedient, we recognize revenue in an amount that corresponds directly with the value to the customer of our performance completed to date and for which we have the right to invoice the customer. </w:t>
      </w:r>
    </w:p>
    <w:p w:rsidR="00000000" w:rsidRDefault="001E2972">
      <w:pPr>
        <w:jc w:val="both"/>
        <w:divId w:val="861893875"/>
        <w:rPr>
          <w:rFonts w:eastAsia="Times New Roman"/>
        </w:rPr>
      </w:pPr>
      <w:r>
        <w:rPr>
          <w:rFonts w:ascii="Arial" w:eastAsia="Times New Roman" w:hAnsi="Arial" w:cs="Arial"/>
          <w:b/>
          <w:bCs/>
          <w:color w:val="0046AD"/>
          <w:sz w:val="20"/>
          <w:szCs w:val="20"/>
        </w:rPr>
        <w:t>Remaining Pe</w:t>
      </w:r>
      <w:r>
        <w:rPr>
          <w:rFonts w:ascii="Arial" w:eastAsia="Times New Roman" w:hAnsi="Arial" w:cs="Arial"/>
          <w:b/>
          <w:bCs/>
          <w:color w:val="0046AD"/>
          <w:sz w:val="20"/>
          <w:szCs w:val="20"/>
        </w:rPr>
        <w:t>rformance Obligations</w:t>
      </w:r>
    </w:p>
    <w:p w:rsidR="00000000" w:rsidRDefault="001E2972">
      <w:pPr>
        <w:ind w:firstLine="720"/>
        <w:jc w:val="both"/>
        <w:divId w:val="676419804"/>
        <w:rPr>
          <w:rFonts w:eastAsia="Times New Roman"/>
        </w:rPr>
      </w:pPr>
      <w:r>
        <w:rPr>
          <w:rFonts w:ascii="Arial" w:eastAsia="Times New Roman" w:hAnsi="Arial" w:cs="Arial"/>
          <w:color w:val="000000"/>
          <w:sz w:val="20"/>
          <w:szCs w:val="20"/>
        </w:rPr>
        <w:t>At April 30, 2021, performance obligations that were unsatisfied or partially unsatisfied for which we expect to recognize revenue totaled $282.4 million. We expect to recognize revenue on approximately 70% of the remaining performanc</w:t>
      </w:r>
      <w:r>
        <w:rPr>
          <w:rFonts w:ascii="Arial" w:eastAsia="Times New Roman" w:hAnsi="Arial" w:cs="Arial"/>
          <w:color w:val="000000"/>
          <w:sz w:val="20"/>
          <w:szCs w:val="20"/>
        </w:rPr>
        <w:t>e obligations over the next 12 months, with the remainder recognized thereafter, based on our estimates of project timing.</w:t>
      </w:r>
    </w:p>
    <w:p w:rsidR="00000000" w:rsidRDefault="001E2972">
      <w:pPr>
        <w:ind w:firstLine="720"/>
        <w:jc w:val="both"/>
        <w:divId w:val="148206886"/>
        <w:rPr>
          <w:rFonts w:eastAsia="Times New Roman"/>
        </w:rPr>
      </w:pPr>
      <w:r>
        <w:rPr>
          <w:rFonts w:ascii="Arial" w:eastAsia="Times New Roman" w:hAnsi="Arial" w:cs="Arial"/>
          <w:color w:val="000000"/>
          <w:sz w:val="20"/>
          <w:szCs w:val="20"/>
        </w:rPr>
        <w:t xml:space="preserve">These amounts exclude variable consideration primarily related to: (i) contracts where we have determined that the contract consists </w:t>
      </w:r>
      <w:r>
        <w:rPr>
          <w:rFonts w:ascii="Arial" w:eastAsia="Times New Roman" w:hAnsi="Arial" w:cs="Arial"/>
          <w:color w:val="000000"/>
          <w:sz w:val="20"/>
          <w:szCs w:val="20"/>
        </w:rPr>
        <w:t>of a series of distinct service periods and revenues are based on future performance that cannot be estimated at contract inception; (ii) parking contracts where we and the customer share the gross revenues or operating profit for the location; and (iii) c</w:t>
      </w:r>
      <w:r>
        <w:rPr>
          <w:rFonts w:ascii="Arial" w:eastAsia="Times New Roman" w:hAnsi="Arial" w:cs="Arial"/>
          <w:color w:val="000000"/>
          <w:sz w:val="20"/>
          <w:szCs w:val="20"/>
        </w:rPr>
        <w:t>ontracts where transaction prices include performance incentives that are based on future performance and therefore cannot be estimated at contract inception. We apply the practical expedient that permits exclusion of information about the remaining perfor</w:t>
      </w:r>
      <w:r>
        <w:rPr>
          <w:rFonts w:ascii="Arial" w:eastAsia="Times New Roman" w:hAnsi="Arial" w:cs="Arial"/>
          <w:color w:val="000000"/>
          <w:sz w:val="20"/>
          <w:szCs w:val="20"/>
        </w:rPr>
        <w:t>mance obligations with original expected durations of one year or less.</w:t>
      </w:r>
    </w:p>
    <w:p w:rsidR="00000000" w:rsidRDefault="001E2972">
      <w:pPr>
        <w:divId w:val="1808740670"/>
        <w:rPr>
          <w:rFonts w:eastAsia="Times New Roman"/>
        </w:rPr>
      </w:pPr>
      <w:r>
        <w:rPr>
          <w:rFonts w:ascii="Arial" w:eastAsia="Times New Roman" w:hAnsi="Arial" w:cs="Arial"/>
          <w:b/>
          <w:bCs/>
          <w:color w:val="164FA2"/>
          <w:sz w:val="20"/>
          <w:szCs w:val="20"/>
        </w:rPr>
        <w:t xml:space="preserve">Contract Balances </w:t>
      </w:r>
    </w:p>
    <w:p w:rsidR="00000000" w:rsidRDefault="001E2972">
      <w:pPr>
        <w:ind w:firstLine="720"/>
        <w:jc w:val="both"/>
        <w:divId w:val="723992237"/>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w:t>
      </w:r>
      <w:r>
        <w:rPr>
          <w:rFonts w:ascii="Arial" w:eastAsia="Times New Roman" w:hAnsi="Arial" w:cs="Arial"/>
          <w:color w:val="000000"/>
          <w:sz w:val="20"/>
          <w:szCs w:val="20"/>
        </w:rPr>
        <w:t>nue recognition may differ from the timing of invoicing to customers.</w:t>
      </w:r>
    </w:p>
    <w:p w:rsidR="00000000" w:rsidRDefault="001E2972">
      <w:pPr>
        <w:ind w:firstLine="720"/>
        <w:jc w:val="both"/>
        <w:divId w:val="235630868"/>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Billed and unbilled trade receivables represent</w:t>
      </w:r>
      <w:r>
        <w:rPr>
          <w:rFonts w:ascii="Arial" w:eastAsia="Times New Roman" w:hAnsi="Arial" w:cs="Arial"/>
          <w:color w:val="000000"/>
          <w:sz w:val="20"/>
          <w:szCs w:val="20"/>
        </w:rPr>
        <w:t xml:space="preserve"> amounts from work completed in which we </w:t>
      </w:r>
    </w:p>
    <w:p w:rsidR="00000000" w:rsidRDefault="001E2972">
      <w:pPr>
        <w:jc w:val="center"/>
        <w:divId w:val="871848690"/>
        <w:rPr>
          <w:rFonts w:eastAsia="Times New Roman"/>
        </w:rPr>
      </w:pPr>
      <w:r>
        <w:rPr>
          <w:rFonts w:ascii="Arial" w:eastAsia="Times New Roman" w:hAnsi="Arial" w:cs="Arial"/>
          <w:color w:val="000000"/>
          <w:sz w:val="20"/>
          <w:szCs w:val="20"/>
        </w:rPr>
        <w:t>10</w:t>
      </w:r>
    </w:p>
    <w:p w:rsidR="00000000" w:rsidRDefault="001E2972">
      <w:pPr>
        <w:rPr>
          <w:rFonts w:eastAsia="Times New Roman"/>
        </w:rPr>
      </w:pPr>
      <w:r>
        <w:rPr>
          <w:rFonts w:eastAsia="Times New Roman"/>
        </w:rPr>
        <w:pict>
          <v:rect id="_x0000_i1040" style="width:0;height:1.5pt" o:hralign="center" o:hrstd="t" o:hr="t" fillcolor="#a0a0a0" stroked="f"/>
        </w:pict>
      </w:r>
    </w:p>
    <w:p w:rsidR="00000000" w:rsidRDefault="001E2972">
      <w:pPr>
        <w:jc w:val="both"/>
        <w:divId w:val="1276136450"/>
        <w:rPr>
          <w:rFonts w:eastAsia="Times New Roman"/>
        </w:rPr>
      </w:pPr>
    </w:p>
    <w:p w:rsidR="00000000" w:rsidRDefault="001E2972">
      <w:pPr>
        <w:jc w:val="both"/>
        <w:divId w:val="1659115040"/>
        <w:rPr>
          <w:rFonts w:eastAsia="Times New Roman"/>
        </w:rPr>
      </w:pPr>
      <w:r>
        <w:rPr>
          <w:rFonts w:ascii="Arial" w:eastAsia="Times New Roman" w:hAnsi="Arial" w:cs="Arial"/>
          <w:color w:val="000000"/>
          <w:sz w:val="20"/>
          <w:szCs w:val="20"/>
        </w:rPr>
        <w:t>have an unconditional right to bill our customer. Costs incurred in excess of amounts billed typically arise when the revenue recognized on projects exceeds the amount bill</w:t>
      </w:r>
      <w:r>
        <w:rPr>
          <w:rFonts w:ascii="Arial" w:eastAsia="Times New Roman" w:hAnsi="Arial" w:cs="Arial"/>
          <w:color w:val="000000"/>
          <w:sz w:val="20"/>
          <w:szCs w:val="20"/>
        </w:rPr>
        <w:t>ed to the customer. These amounts are transferred to billed trade receivables when the rights become unconditional. Contract assets also include the capitalization of incremental costs of obtaining a contract with a customer, primarily commissions. Commiss</w:t>
      </w:r>
      <w:r>
        <w:rPr>
          <w:rFonts w:ascii="Arial" w:eastAsia="Times New Roman" w:hAnsi="Arial" w:cs="Arial"/>
          <w:color w:val="000000"/>
          <w:sz w:val="20"/>
          <w:szCs w:val="20"/>
        </w:rPr>
        <w:t>ions expense is recognized on a straight-line basis over a weighted average expected customer relationship period.</w:t>
      </w:r>
    </w:p>
    <w:p w:rsidR="00000000" w:rsidRDefault="001E2972">
      <w:pPr>
        <w:ind w:firstLine="720"/>
        <w:jc w:val="both"/>
        <w:divId w:val="1671055387"/>
        <w:rPr>
          <w:rFonts w:eastAsia="Times New Roman"/>
        </w:rPr>
      </w:pPr>
      <w:r>
        <w:rPr>
          <w:rFonts w:ascii="Arial" w:eastAsia="Times New Roman" w:hAnsi="Arial" w:cs="Arial"/>
          <w:color w:val="000000"/>
          <w:sz w:val="20"/>
          <w:szCs w:val="20"/>
        </w:rPr>
        <w:t>Contract liabilities consist of deferred revenue and advance payments and billings in excess of revenue recognized. We generally classify con</w:t>
      </w:r>
      <w:r>
        <w:rPr>
          <w:rFonts w:ascii="Arial" w:eastAsia="Times New Roman" w:hAnsi="Arial" w:cs="Arial"/>
          <w:color w:val="000000"/>
          <w:sz w:val="20"/>
          <w:szCs w:val="20"/>
        </w:rPr>
        <w:t>tract liabilities as current since the related contracts are generally for a period of one year or less. Contract liabilities decrease as we recognize revenue from the satisfaction of the related performance obligation.</w:t>
      </w:r>
    </w:p>
    <w:p w:rsidR="00000000" w:rsidRDefault="001E2972">
      <w:pPr>
        <w:ind w:firstLine="720"/>
        <w:jc w:val="both"/>
        <w:divId w:val="1308168220"/>
        <w:rPr>
          <w:rFonts w:eastAsia="Times New Roman"/>
        </w:rPr>
      </w:pPr>
      <w:r>
        <w:rPr>
          <w:rFonts w:ascii="Arial" w:eastAsia="Times New Roman" w:hAnsi="Arial" w:cs="Arial"/>
          <w:color w:val="000000"/>
          <w:sz w:val="20"/>
          <w:szCs w:val="20"/>
        </w:rPr>
        <w:t>The following tables present the bal</w:t>
      </w:r>
      <w:r>
        <w:rPr>
          <w:rFonts w:ascii="Arial" w:eastAsia="Times New Roman" w:hAnsi="Arial" w:cs="Arial"/>
          <w:color w:val="000000"/>
          <w:sz w:val="20"/>
          <w:szCs w:val="20"/>
        </w:rPr>
        <w:t xml:space="preserve">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7"/>
        <w:gridCol w:w="39"/>
        <w:gridCol w:w="36"/>
        <w:gridCol w:w="36"/>
        <w:gridCol w:w="36"/>
        <w:gridCol w:w="121"/>
        <w:gridCol w:w="1464"/>
        <w:gridCol w:w="36"/>
        <w:gridCol w:w="36"/>
        <w:gridCol w:w="36"/>
        <w:gridCol w:w="36"/>
        <w:gridCol w:w="122"/>
        <w:gridCol w:w="1465"/>
        <w:gridCol w:w="36"/>
      </w:tblGrid>
      <w:tr w:rsidR="00000000">
        <w:trPr>
          <w:divId w:val="680861869"/>
          <w:jc w:val="center"/>
        </w:trPr>
        <w:tc>
          <w:tcPr>
            <w:tcW w:w="50" w:type="pct"/>
            <w:vAlign w:val="center"/>
            <w:hideMark/>
          </w:tcPr>
          <w:p w:rsidR="00000000" w:rsidRDefault="001E2972">
            <w:pPr>
              <w:ind w:firstLine="720"/>
              <w:jc w:val="both"/>
              <w:rPr>
                <w:rFonts w:eastAsia="Times New Roman"/>
              </w:rPr>
            </w:pPr>
          </w:p>
        </w:tc>
        <w:tc>
          <w:tcPr>
            <w:tcW w:w="289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93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93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680861869"/>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20"/>
                <w:szCs w:val="20"/>
              </w:rPr>
              <w:t>October 31, 2020</w:t>
            </w:r>
          </w:p>
        </w:tc>
      </w:tr>
      <w:tr w:rsidR="00000000">
        <w:trPr>
          <w:divId w:val="680861869"/>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680861869"/>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divId w:val="137694267"/>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812.5 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835.8 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680861869"/>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divId w:val="764110147"/>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100.6 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53.9 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680861869"/>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divId w:val="1539053512"/>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37.7 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52.2 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680861869"/>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divId w:val="1701130809"/>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49453904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rsidR="00000000" w:rsidRDefault="001E2972">
      <w:pPr>
        <w:ind w:hanging="180"/>
        <w:jc w:val="both"/>
        <w:divId w:val="219243894"/>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1E2972">
      <w:pPr>
        <w:ind w:hanging="180"/>
        <w:jc w:val="both"/>
        <w:divId w:val="13796471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six months ended April 30, 2021, we capitalized $8.6 million of new costs and amortized $6.6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trPr>
          <w:divId w:val="23404531"/>
        </w:trPr>
        <w:tc>
          <w:tcPr>
            <w:tcW w:w="50" w:type="pct"/>
            <w:vAlign w:val="center"/>
            <w:hideMark/>
          </w:tcPr>
          <w:p w:rsidR="00000000" w:rsidRDefault="001E2972">
            <w:pPr>
              <w:ind w:hanging="180"/>
              <w:jc w:val="both"/>
              <w:rPr>
                <w:rFonts w:eastAsia="Times New Roman"/>
              </w:rPr>
            </w:pPr>
          </w:p>
        </w:tc>
        <w:tc>
          <w:tcPr>
            <w:tcW w:w="383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0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340453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w:t>
            </w:r>
            <w:r>
              <w:rPr>
                <w:rFonts w:ascii="Arial" w:eastAsia="Times New Roman" w:hAnsi="Arial" w:cs="Arial"/>
                <w:b/>
                <w:bCs/>
                <w:color w:val="000000"/>
                <w:sz w:val="18"/>
                <w:szCs w:val="18"/>
              </w:rPr>
              <w:br/>
              <w:t>April 30, 2021</w:t>
            </w:r>
          </w:p>
        </w:tc>
      </w:tr>
      <w:tr w:rsidR="00000000">
        <w:trPr>
          <w:divId w:val="23404531"/>
        </w:trPr>
        <w:tc>
          <w:tcPr>
            <w:tcW w:w="0" w:type="auto"/>
            <w:gridSpan w:val="3"/>
            <w:shd w:val="clear" w:color="auto" w:fill="DCE2EF"/>
            <w:tcMar>
              <w:top w:w="30" w:type="dxa"/>
              <w:left w:w="20" w:type="dxa"/>
              <w:bottom w:w="30" w:type="dxa"/>
              <w:right w:w="20" w:type="dxa"/>
            </w:tcMar>
            <w:vAlign w:val="bottom"/>
            <w:hideMark/>
          </w:tcPr>
          <w:p w:rsidR="00000000" w:rsidRDefault="001E2972">
            <w:pPr>
              <w:divId w:val="1291935583"/>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23404531"/>
        </w:trPr>
        <w:tc>
          <w:tcPr>
            <w:tcW w:w="0" w:type="auto"/>
            <w:gridSpan w:val="3"/>
            <w:shd w:val="clear" w:color="auto" w:fill="FFFFF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23404531"/>
        </w:trPr>
        <w:tc>
          <w:tcPr>
            <w:tcW w:w="0" w:type="auto"/>
            <w:gridSpan w:val="3"/>
            <w:shd w:val="clear" w:color="auto" w:fill="DCE2E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23404531"/>
        </w:trPr>
        <w:tc>
          <w:tcPr>
            <w:tcW w:w="0" w:type="auto"/>
            <w:gridSpan w:val="3"/>
            <w:shd w:val="clear" w:color="auto" w:fill="FFFFFF"/>
            <w:tcMar>
              <w:top w:w="30" w:type="dxa"/>
              <w:left w:w="20" w:type="dxa"/>
              <w:bottom w:w="30" w:type="dxa"/>
              <w:right w:w="20" w:type="dxa"/>
            </w:tcMar>
            <w:vAlign w:val="bottom"/>
            <w:hideMark/>
          </w:tcPr>
          <w:p w:rsidR="00000000" w:rsidRDefault="001E2972">
            <w:pPr>
              <w:ind w:hanging="180"/>
              <w:divId w:val="1697466492"/>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1E2972">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(61.0)</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23404531"/>
        </w:trPr>
        <w:tc>
          <w:tcPr>
            <w:tcW w:w="0" w:type="auto"/>
            <w:gridSpan w:val="3"/>
            <w:shd w:val="clear" w:color="auto" w:fill="DCE2EF"/>
            <w:tcMar>
              <w:top w:w="30" w:type="dxa"/>
              <w:left w:w="20" w:type="dxa"/>
              <w:bottom w:w="30" w:type="dxa"/>
              <w:right w:w="20" w:type="dxa"/>
            </w:tcMar>
            <w:vAlign w:val="bottom"/>
            <w:hideMark/>
          </w:tcPr>
          <w:p w:rsidR="00000000" w:rsidRDefault="001E2972">
            <w:pPr>
              <w:ind w:hanging="180"/>
              <w:divId w:val="1825662417"/>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rsidR="00000000" w:rsidRDefault="001E2972">
            <w:pPr>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47.6 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123832742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rsidR="00000000" w:rsidRDefault="001E2972">
      <w:pPr>
        <w:jc w:val="center"/>
        <w:divId w:val="1695769263"/>
        <w:rPr>
          <w:rFonts w:eastAsia="Times New Roman"/>
        </w:rPr>
      </w:pPr>
      <w:r>
        <w:rPr>
          <w:rFonts w:ascii="Arial" w:eastAsia="Times New Roman" w:hAnsi="Arial" w:cs="Arial"/>
          <w:color w:val="000000"/>
          <w:sz w:val="20"/>
          <w:szCs w:val="20"/>
        </w:rPr>
        <w:t>11</w:t>
      </w:r>
    </w:p>
    <w:p w:rsidR="00000000" w:rsidRDefault="001E2972">
      <w:pPr>
        <w:rPr>
          <w:rFonts w:eastAsia="Times New Roman"/>
        </w:rPr>
      </w:pPr>
      <w:r>
        <w:rPr>
          <w:rFonts w:eastAsia="Times New Roman"/>
        </w:rPr>
        <w:pict>
          <v:rect id="_x0000_i1041" style="width:0;height:1.5pt" o:hralign="center" o:hrstd="t" o:hr="t" fillcolor="#a0a0a0" stroked="f"/>
        </w:pict>
      </w:r>
    </w:p>
    <w:p w:rsidR="00000000" w:rsidRDefault="001E2972">
      <w:pPr>
        <w:jc w:val="both"/>
        <w:divId w:val="210969376"/>
        <w:rPr>
          <w:rFonts w:eastAsia="Times New Roman"/>
        </w:rPr>
      </w:pPr>
    </w:p>
    <w:p w:rsidR="00000000" w:rsidRDefault="001E2972">
      <w:pPr>
        <w:divId w:val="1076319987"/>
        <w:rPr>
          <w:rFonts w:eastAsia="Times New Roman"/>
        </w:rPr>
      </w:pPr>
      <w:r>
        <w:rPr>
          <w:rFonts w:ascii="Arial" w:eastAsia="Times New Roman" w:hAnsi="Arial" w:cs="Arial"/>
          <w:b/>
          <w:bCs/>
          <w:color w:val="0046AD"/>
          <w:sz w:val="20"/>
          <w:szCs w:val="20"/>
        </w:rPr>
        <w:t>4. NET INCOME (LOSS)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59864486"/>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5986448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309867075"/>
        <w:rPr>
          <w:rFonts w:eastAsia="Times New Roman"/>
        </w:rPr>
      </w:pPr>
      <w:r>
        <w:rPr>
          <w:rFonts w:ascii="Arial" w:eastAsia="Times New Roman" w:hAnsi="Arial" w:cs="Arial"/>
          <w:b/>
          <w:bCs/>
          <w:color w:val="0046AD"/>
          <w:sz w:val="20"/>
          <w:szCs w:val="20"/>
        </w:rPr>
        <w:t>Basic and Diluted Net Income (Loss)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550"/>
        <w:gridCol w:w="39"/>
        <w:gridCol w:w="126"/>
        <w:gridCol w:w="960"/>
        <w:gridCol w:w="36"/>
        <w:gridCol w:w="36"/>
        <w:gridCol w:w="36"/>
        <w:gridCol w:w="36"/>
        <w:gridCol w:w="126"/>
        <w:gridCol w:w="914"/>
        <w:gridCol w:w="36"/>
        <w:gridCol w:w="36"/>
        <w:gridCol w:w="36"/>
        <w:gridCol w:w="36"/>
        <w:gridCol w:w="126"/>
        <w:gridCol w:w="915"/>
        <w:gridCol w:w="36"/>
        <w:gridCol w:w="36"/>
        <w:gridCol w:w="36"/>
        <w:gridCol w:w="36"/>
        <w:gridCol w:w="126"/>
        <w:gridCol w:w="916"/>
        <w:gridCol w:w="36"/>
      </w:tblGrid>
      <w:tr w:rsidR="00000000">
        <w:trPr>
          <w:divId w:val="1292517743"/>
        </w:trPr>
        <w:tc>
          <w:tcPr>
            <w:tcW w:w="50" w:type="pct"/>
            <w:vAlign w:val="center"/>
            <w:hideMark/>
          </w:tcPr>
          <w:p w:rsidR="00000000" w:rsidRDefault="001E2972">
            <w:pPr>
              <w:jc w:val="both"/>
              <w:rPr>
                <w:rFonts w:eastAsia="Times New Roman"/>
              </w:rPr>
            </w:pPr>
          </w:p>
        </w:tc>
        <w:tc>
          <w:tcPr>
            <w:tcW w:w="217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292517743"/>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Six Months Ended April 30,</w:t>
            </w:r>
          </w:p>
        </w:tc>
      </w:tr>
      <w:tr w:rsidR="00000000">
        <w:trPr>
          <w:divId w:val="1292517743"/>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2020</w:t>
            </w:r>
          </w:p>
        </w:tc>
      </w:tr>
      <w:tr w:rsidR="00000000">
        <w:trPr>
          <w:divId w:val="1292517743"/>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Income (loss)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(136.8)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(108.9)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9"/>
                <w:szCs w:val="19"/>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9"/>
                <w:szCs w:val="19"/>
              </w:rPr>
              <w:t>Net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(136.8)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(108.8)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Height w:val="280"/>
        </w:trPr>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DCE2EF"/>
            <w:tcMar>
              <w:top w:w="30" w:type="dxa"/>
              <w:left w:w="20" w:type="dxa"/>
              <w:bottom w:w="30" w:type="dxa"/>
              <w:right w:w="20" w:type="dxa"/>
            </w:tcMar>
            <w:vAlign w:val="bottom"/>
            <w:hideMark/>
          </w:tcPr>
          <w:p w:rsidR="00000000" w:rsidRDefault="001E2972">
            <w:pPr>
              <w:divId w:val="1459450916"/>
              <w:rPr>
                <w:rFonts w:eastAsia="Times New Roman"/>
              </w:rPr>
            </w:pPr>
            <w:r>
              <w:rPr>
                <w:rFonts w:ascii="Arial" w:eastAsia="Times New Roman" w:hAnsi="Arial" w:cs="Arial"/>
                <w:b/>
                <w:bCs/>
                <w:color w:val="000000"/>
                <w:sz w:val="19"/>
                <w:szCs w:val="19"/>
              </w:rPr>
              <w:t xml:space="preserve">Weighted-average common and common </w:t>
            </w:r>
          </w:p>
          <w:p w:rsidR="00000000" w:rsidRDefault="001E2972">
            <w:pPr>
              <w:ind w:firstLine="180"/>
              <w:divId w:val="744034889"/>
              <w:rPr>
                <w:rFonts w:eastAsia="Times New Roman"/>
              </w:rPr>
            </w:pPr>
            <w:r>
              <w:rPr>
                <w:rFonts w:ascii="Arial" w:eastAsia="Times New Roman" w:hAnsi="Arial" w:cs="Arial"/>
                <w:b/>
                <w:bCs/>
                <w:color w:val="000000"/>
                <w:sz w:val="19"/>
                <w:szCs w:val="19"/>
              </w:rPr>
              <w:t>  equivalent 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67.3 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67.2 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FFFFFF"/>
            <w:tcMar>
              <w:top w:w="30" w:type="dxa"/>
              <w:left w:w="20" w:type="dxa"/>
              <w:bottom w:w="30" w:type="dxa"/>
              <w:right w:w="20" w:type="dxa"/>
            </w:tcMar>
            <w:vAlign w:val="bottom"/>
            <w:hideMark/>
          </w:tcPr>
          <w:p w:rsidR="00000000" w:rsidRDefault="001E2972">
            <w:pPr>
              <w:divId w:val="415977881"/>
              <w:rPr>
                <w:rFonts w:eastAsia="Times New Roman"/>
              </w:rPr>
            </w:pPr>
            <w:r>
              <w:rPr>
                <w:rFonts w:ascii="Arial" w:eastAsia="Times New Roman" w:hAnsi="Arial" w:cs="Arial"/>
                <w:color w:val="000000"/>
                <w:sz w:val="19"/>
                <w:szCs w:val="19"/>
              </w:rPr>
              <w:t>Effect of dilutive securitie</w:t>
            </w:r>
            <w:r>
              <w:rPr>
                <w:rFonts w:ascii="Arial" w:eastAsia="Times New Roman" w:hAnsi="Arial" w:cs="Arial"/>
                <w:color w:val="000000"/>
                <w:sz w:val="19"/>
                <w:szCs w:val="19"/>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Restricted stock units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vAlign w:val="center"/>
            <w:hideMark/>
          </w:tcPr>
          <w:p w:rsidR="00000000" w:rsidRDefault="001E2972">
            <w:pPr>
              <w:jc w:val="right"/>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Performance shares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DCE2EF"/>
            <w:tcMar>
              <w:top w:w="30" w:type="dxa"/>
              <w:left w:w="20" w:type="dxa"/>
              <w:bottom w:w="30" w:type="dxa"/>
              <w:right w:w="20" w:type="dxa"/>
            </w:tcMar>
            <w:vAlign w:val="bottom"/>
            <w:hideMark/>
          </w:tcPr>
          <w:p w:rsidR="00000000" w:rsidRDefault="001E2972">
            <w:pPr>
              <w:divId w:val="1938638350"/>
              <w:rPr>
                <w:rFonts w:eastAsia="Times New Roman"/>
              </w:rPr>
            </w:pPr>
            <w:r>
              <w:rPr>
                <w:rFonts w:ascii="Arial" w:eastAsia="Times New Roman" w:hAnsi="Arial" w:cs="Arial"/>
                <w:b/>
                <w:bCs/>
                <w:color w:val="000000"/>
                <w:sz w:val="19"/>
                <w:szCs w:val="19"/>
              </w:rPr>
              <w:t>Weighted-average common and common</w:t>
            </w:r>
          </w:p>
          <w:p w:rsidR="00000000" w:rsidRDefault="001E2972">
            <w:pPr>
              <w:ind w:firstLine="180"/>
              <w:divId w:val="855079001"/>
              <w:rPr>
                <w:rFonts w:eastAsia="Times New Roman"/>
              </w:rPr>
            </w:pPr>
            <w:r>
              <w:rPr>
                <w:rFonts w:ascii="Arial" w:eastAsia="Times New Roman" w:hAnsi="Arial" w:cs="Arial"/>
                <w:b/>
                <w:bCs/>
                <w:color w:val="000000"/>
                <w:sz w:val="19"/>
                <w:szCs w:val="19"/>
              </w:rPr>
              <w:t>  equivalent shares outstanding — Diluted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66.9 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Height w:val="280"/>
        </w:trPr>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9"/>
                <w:szCs w:val="19"/>
              </w:rPr>
              <w:t>Net income (loss) per common share — Basic</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0.46 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(2.05)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1.57 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(1.63)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Net income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(2.05)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Height w:val="280"/>
        </w:trPr>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9"/>
                <w:szCs w:val="19"/>
              </w:rPr>
              <w:t>Net income (loss) per common share — Diluted</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292517743"/>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 xml:space="preserve">Income (loss) from continuing operations </w:t>
            </w: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0.46 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(2.05)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1.56 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(1.63)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292517743"/>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9"/>
                <w:szCs w:val="19"/>
              </w:rPr>
              <w:t>Net income (loss)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0.46 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(2.05)</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1.56 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(1.63)</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155734918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Excludes the impact of potentially dilutive outstanding share-based securities that are excluded from the calculation of diluted loss per share in periods when we have a </w:t>
      </w:r>
      <w:r>
        <w:rPr>
          <w:rFonts w:ascii="Arial" w:eastAsia="Times New Roman" w:hAnsi="Arial" w:cs="Arial"/>
          <w:color w:val="000000"/>
          <w:sz w:val="18"/>
          <w:szCs w:val="18"/>
        </w:rPr>
        <w:t xml:space="preserve">loss, as their inclusion would have an anti-dilutive effect. Such impact is included in the table below. </w:t>
      </w:r>
    </w:p>
    <w:p w:rsidR="00000000" w:rsidRDefault="001E2972">
      <w:pPr>
        <w:jc w:val="both"/>
        <w:divId w:val="1658262707"/>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3589"/>
        <w:gridCol w:w="37"/>
        <w:gridCol w:w="59"/>
        <w:gridCol w:w="989"/>
        <w:gridCol w:w="38"/>
        <w:gridCol w:w="37"/>
        <w:gridCol w:w="37"/>
        <w:gridCol w:w="36"/>
        <w:gridCol w:w="41"/>
        <w:gridCol w:w="989"/>
        <w:gridCol w:w="37"/>
        <w:gridCol w:w="36"/>
        <w:gridCol w:w="36"/>
        <w:gridCol w:w="36"/>
        <w:gridCol w:w="42"/>
        <w:gridCol w:w="990"/>
        <w:gridCol w:w="38"/>
        <w:gridCol w:w="37"/>
        <w:gridCol w:w="37"/>
        <w:gridCol w:w="36"/>
        <w:gridCol w:w="43"/>
        <w:gridCol w:w="990"/>
        <w:gridCol w:w="37"/>
      </w:tblGrid>
      <w:tr w:rsidR="00000000">
        <w:trPr>
          <w:divId w:val="366293488"/>
          <w:jc w:val="center"/>
        </w:trPr>
        <w:tc>
          <w:tcPr>
            <w:tcW w:w="50" w:type="pct"/>
            <w:vAlign w:val="center"/>
            <w:hideMark/>
          </w:tcPr>
          <w:p w:rsidR="00000000" w:rsidRDefault="001E2972">
            <w:pPr>
              <w:jc w:val="both"/>
              <w:rPr>
                <w:rFonts w:eastAsia="Times New Roman"/>
              </w:rPr>
            </w:pPr>
          </w:p>
        </w:tc>
        <w:tc>
          <w:tcPr>
            <w:tcW w:w="217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366293488"/>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Six Months Ended April 30,</w:t>
            </w:r>
          </w:p>
        </w:tc>
      </w:tr>
      <w:tr w:rsidR="00000000">
        <w:trPr>
          <w:divId w:val="366293488"/>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9"/>
                <w:szCs w:val="19"/>
              </w:rPr>
              <w:t>2020</w:t>
            </w:r>
          </w:p>
        </w:tc>
      </w:tr>
      <w:tr w:rsidR="00000000">
        <w:trPr>
          <w:divId w:val="366293488"/>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9"/>
                <w:szCs w:val="19"/>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9"/>
                <w:szCs w:val="19"/>
              </w:rPr>
              <w:t>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1668553316"/>
        <w:rPr>
          <w:rFonts w:eastAsia="Times New Roman"/>
        </w:rPr>
      </w:pPr>
    </w:p>
    <w:p w:rsidR="00000000" w:rsidRDefault="001E2972">
      <w:pPr>
        <w:jc w:val="center"/>
        <w:divId w:val="2092585067"/>
        <w:rPr>
          <w:rFonts w:eastAsia="Times New Roman"/>
        </w:rPr>
      </w:pPr>
      <w:r>
        <w:rPr>
          <w:rFonts w:ascii="Arial" w:eastAsia="Times New Roman" w:hAnsi="Arial" w:cs="Arial"/>
          <w:color w:val="000000"/>
          <w:sz w:val="20"/>
          <w:szCs w:val="20"/>
        </w:rPr>
        <w:t>12</w:t>
      </w:r>
    </w:p>
    <w:p w:rsidR="00000000" w:rsidRDefault="001E2972">
      <w:pPr>
        <w:rPr>
          <w:rFonts w:eastAsia="Times New Roman"/>
        </w:rPr>
      </w:pPr>
      <w:r>
        <w:rPr>
          <w:rFonts w:eastAsia="Times New Roman"/>
        </w:rPr>
        <w:pict>
          <v:rect id="_x0000_i1042" style="width:0;height:1.5pt" o:hralign="center" o:hrstd="t" o:hr="t" fillcolor="#a0a0a0" stroked="f"/>
        </w:pict>
      </w:r>
    </w:p>
    <w:p w:rsidR="00000000" w:rsidRDefault="001E2972">
      <w:pPr>
        <w:jc w:val="both"/>
        <w:divId w:val="1350329832"/>
        <w:rPr>
          <w:rFonts w:eastAsia="Times New Roman"/>
        </w:rPr>
      </w:pPr>
    </w:p>
    <w:p w:rsidR="00000000" w:rsidRDefault="001E2972">
      <w:pPr>
        <w:jc w:val="both"/>
        <w:divId w:val="116074699"/>
        <w:rPr>
          <w:rFonts w:eastAsia="Times New Roman"/>
        </w:rPr>
      </w:pPr>
      <w:r>
        <w:rPr>
          <w:rFonts w:ascii="Arial" w:eastAsia="Times New Roman" w:hAnsi="Arial" w:cs="Arial"/>
          <w:b/>
          <w:bCs/>
          <w:color w:val="0046AD"/>
          <w:sz w:val="20"/>
          <w:szCs w:val="20"/>
        </w:rPr>
        <w:t>5.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83372537"/>
        </w:trPr>
        <w:tc>
          <w:tcPr>
            <w:tcW w:w="5" w:type="pct"/>
            <w:vAlign w:val="center"/>
            <w:hideMark/>
          </w:tcPr>
          <w:p w:rsidR="00000000" w:rsidRDefault="001E2972">
            <w:pPr>
              <w:jc w:val="both"/>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8337253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divId w:val="143664575"/>
        <w:rPr>
          <w:rFonts w:eastAsia="Times New Roman"/>
        </w:rPr>
      </w:pPr>
      <w:r>
        <w:rPr>
          <w:rFonts w:ascii="Arial" w:eastAsia="Times New Roman" w:hAnsi="Arial" w:cs="Arial"/>
          <w:b/>
          <w:bCs/>
          <w:color w:val="0046AD"/>
          <w:sz w:val="20"/>
          <w:szCs w:val="20"/>
        </w:rPr>
        <w:t>Fair Value Hierarchy of Our Financial Instruments</w:t>
      </w:r>
    </w:p>
    <w:p w:rsidR="00000000" w:rsidRDefault="001E2972">
      <w:pPr>
        <w:jc w:val="both"/>
        <w:divId w:val="294914662"/>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2"/>
        <w:gridCol w:w="4132"/>
        <w:gridCol w:w="37"/>
        <w:gridCol w:w="71"/>
        <w:gridCol w:w="969"/>
        <w:gridCol w:w="36"/>
        <w:gridCol w:w="36"/>
        <w:gridCol w:w="36"/>
        <w:gridCol w:w="36"/>
        <w:gridCol w:w="132"/>
        <w:gridCol w:w="1233"/>
        <w:gridCol w:w="36"/>
        <w:gridCol w:w="36"/>
        <w:gridCol w:w="36"/>
        <w:gridCol w:w="36"/>
        <w:gridCol w:w="133"/>
        <w:gridCol w:w="1233"/>
        <w:gridCol w:w="36"/>
      </w:tblGrid>
      <w:tr w:rsidR="00000000">
        <w:trPr>
          <w:divId w:val="1432628842"/>
        </w:trPr>
        <w:tc>
          <w:tcPr>
            <w:tcW w:w="50" w:type="pct"/>
            <w:vAlign w:val="center"/>
            <w:hideMark/>
          </w:tcPr>
          <w:p w:rsidR="00000000" w:rsidRDefault="001E2972">
            <w:pPr>
              <w:jc w:val="both"/>
              <w:rPr>
                <w:rFonts w:eastAsia="Times New Roman"/>
              </w:rPr>
            </w:pPr>
          </w:p>
        </w:tc>
        <w:tc>
          <w:tcPr>
            <w:tcW w:w="25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2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8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8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43262884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4"/>
                <w:szCs w:val="14"/>
                <w:u w:val="single"/>
              </w:rPr>
              <w:t>(in millions)</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20"/>
                <w:szCs w:val="20"/>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20"/>
                <w:szCs w:val="20"/>
              </w:rPr>
              <w:t>October 31, 2020</w:t>
            </w:r>
          </w:p>
        </w:tc>
      </w:tr>
      <w:tr w:rsidR="00000000">
        <w:trPr>
          <w:divId w:val="1432628842"/>
        </w:trPr>
        <w:tc>
          <w:tcPr>
            <w:tcW w:w="0" w:type="auto"/>
            <w:gridSpan w:val="3"/>
            <w:shd w:val="clear" w:color="auto" w:fill="DCE2EF"/>
            <w:tcMar>
              <w:top w:w="30" w:type="dxa"/>
              <w:left w:w="20" w:type="dxa"/>
              <w:bottom w:w="30" w:type="dxa"/>
              <w:right w:w="20" w:type="dxa"/>
            </w:tcMar>
            <w:vAlign w:val="bottom"/>
            <w:hideMark/>
          </w:tcPr>
          <w:p w:rsidR="00000000" w:rsidRDefault="001E2972">
            <w:pPr>
              <w:divId w:val="2105609449"/>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435.7 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394.2 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432628842"/>
        </w:trPr>
        <w:tc>
          <w:tcPr>
            <w:tcW w:w="0" w:type="auto"/>
            <w:gridSpan w:val="3"/>
            <w:shd w:val="clear" w:color="auto" w:fill="FFFFFF"/>
            <w:tcMar>
              <w:top w:w="30" w:type="dxa"/>
              <w:left w:w="20" w:type="dxa"/>
              <w:bottom w:w="30" w:type="dxa"/>
              <w:right w:w="20" w:type="dxa"/>
            </w:tcMar>
            <w:vAlign w:val="bottom"/>
            <w:hideMark/>
          </w:tcPr>
          <w:p w:rsidR="00000000" w:rsidRDefault="001E2972">
            <w:pPr>
              <w:divId w:val="1423600267"/>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432628842"/>
        </w:trPr>
        <w:tc>
          <w:tcPr>
            <w:tcW w:w="0" w:type="auto"/>
            <w:gridSpan w:val="3"/>
            <w:shd w:val="clear" w:color="auto" w:fill="DCE2EF"/>
            <w:tcMar>
              <w:top w:w="30" w:type="dxa"/>
              <w:left w:w="20" w:type="dxa"/>
              <w:bottom w:w="30" w:type="dxa"/>
              <w:right w:w="20" w:type="dxa"/>
            </w:tcMar>
            <w:vAlign w:val="bottom"/>
            <w:hideMark/>
          </w:tcPr>
          <w:p w:rsidR="00000000" w:rsidRDefault="001E2972">
            <w:pPr>
              <w:divId w:val="228812161"/>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2.9 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432628842"/>
        </w:trPr>
        <w:tc>
          <w:tcPr>
            <w:tcW w:w="0" w:type="auto"/>
            <w:gridSpan w:val="3"/>
            <w:shd w:val="clear" w:color="auto" w:fill="FFFFFF"/>
            <w:tcMar>
              <w:top w:w="30" w:type="dxa"/>
              <w:left w:w="20" w:type="dxa"/>
              <w:bottom w:w="30" w:type="dxa"/>
              <w:right w:w="20" w:type="dxa"/>
            </w:tcMar>
            <w:vAlign w:val="bottom"/>
            <w:hideMark/>
          </w:tcPr>
          <w:p w:rsidR="00000000" w:rsidRDefault="001E2972">
            <w:pPr>
              <w:divId w:val="938374649"/>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645.1 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725.3 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432628842"/>
        </w:trPr>
        <w:tc>
          <w:tcPr>
            <w:tcW w:w="0" w:type="auto"/>
            <w:gridSpan w:val="3"/>
            <w:shd w:val="clear" w:color="auto" w:fill="DCE2EF"/>
            <w:tcMar>
              <w:top w:w="30" w:type="dxa"/>
              <w:left w:w="20" w:type="dxa"/>
              <w:bottom w:w="30" w:type="dxa"/>
              <w:right w:w="20" w:type="dxa"/>
            </w:tcMar>
            <w:vAlign w:val="bottom"/>
            <w:hideMark/>
          </w:tcPr>
          <w:p w:rsidR="00000000" w:rsidRDefault="001E2972">
            <w:pPr>
              <w:divId w:val="86922943"/>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9.5 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20"/>
                <w:szCs w:val="20"/>
              </w:rPr>
              <w:t>15.5 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78862181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rsidR="00000000" w:rsidRDefault="001E2972">
      <w:pPr>
        <w:ind w:hanging="180"/>
        <w:jc w:val="both"/>
        <w:divId w:val="179918248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6, “Insurance,” for further information.</w:t>
      </w:r>
    </w:p>
    <w:p w:rsidR="00000000" w:rsidRDefault="001E2972">
      <w:pPr>
        <w:ind w:hanging="180"/>
        <w:jc w:val="both"/>
        <w:divId w:val="14813484"/>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rsidR="00000000" w:rsidRDefault="001E2972">
      <w:pPr>
        <w:ind w:hanging="180"/>
        <w:jc w:val="both"/>
        <w:divId w:val="169688081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 term loan. Due to variable interest rates,</w:t>
      </w:r>
      <w:r>
        <w:rPr>
          <w:rFonts w:ascii="Arial" w:eastAsia="Times New Roman" w:hAnsi="Arial" w:cs="Arial"/>
          <w:color w:val="000000"/>
          <w:sz w:val="18"/>
          <w:szCs w:val="18"/>
        </w:rPr>
        <w:t xml:space="preserve"> the carrying value of outstanding borrowings under our line of credit and term loan approximates the fair value. See Note 7, “Credit Facility,” for further information.</w:t>
      </w:r>
    </w:p>
    <w:p w:rsidR="00000000" w:rsidRDefault="001E2972">
      <w:pPr>
        <w:ind w:hanging="180"/>
        <w:jc w:val="both"/>
        <w:divId w:val="975065230"/>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w:t>
      </w:r>
      <w:r>
        <w:rPr>
          <w:rFonts w:ascii="Arial" w:eastAsia="Times New Roman" w:hAnsi="Arial" w:cs="Arial"/>
          <w:color w:val="000000"/>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color w:val="000000"/>
          <w:sz w:val="18"/>
          <w:szCs w:val="18"/>
        </w:rPr>
        <w:t>or the London Interbank Offered Rate (“LIBOR”) forward rates at the end of the period. At April 30, 2021 and October 31, 2020, our interest rate swaps are included in “Other noncurrent liabilities” on the accompanying unaudited Consolidated Balance Sheets.</w:t>
      </w:r>
      <w:r>
        <w:rPr>
          <w:rFonts w:ascii="Arial" w:eastAsia="Times New Roman" w:hAnsi="Arial" w:cs="Arial"/>
          <w:color w:val="000000"/>
          <w:sz w:val="18"/>
          <w:szCs w:val="18"/>
        </w:rPr>
        <w:t xml:space="preserve"> See Note 7, “Credit Facility,” for further information.</w:t>
      </w:r>
    </w:p>
    <w:p w:rsidR="00000000" w:rsidRDefault="001E2972">
      <w:pPr>
        <w:ind w:firstLine="720"/>
        <w:jc w:val="both"/>
        <w:divId w:val="1991907077"/>
        <w:rPr>
          <w:rFonts w:eastAsia="Times New Roman"/>
        </w:rPr>
      </w:pPr>
      <w:r>
        <w:rPr>
          <w:rFonts w:ascii="Arial" w:eastAsia="Times New Roman" w:hAnsi="Arial" w:cs="Arial"/>
          <w:color w:val="000000"/>
          <w:sz w:val="20"/>
          <w:szCs w:val="20"/>
        </w:rPr>
        <w:t>The Company does not currently have any financial assets or liabilities recorded at fair value using Level 3 inputs, and there were no transfers to or from Level 3 financial assets or liabilities during the six months ended April 30, 2021.</w:t>
      </w:r>
    </w:p>
    <w:p w:rsidR="00000000" w:rsidRDefault="001E2972">
      <w:pPr>
        <w:jc w:val="both"/>
        <w:divId w:val="783621218"/>
        <w:rPr>
          <w:rFonts w:eastAsia="Times New Roman"/>
        </w:rPr>
      </w:pPr>
      <w:r>
        <w:rPr>
          <w:rFonts w:ascii="Arial" w:eastAsia="Times New Roman" w:hAnsi="Arial" w:cs="Arial"/>
          <w:b/>
          <w:bCs/>
          <w:i/>
          <w:iCs/>
          <w:color w:val="0046AD"/>
          <w:sz w:val="20"/>
          <w:szCs w:val="20"/>
        </w:rPr>
        <w:t>Non-Financial As</w:t>
      </w:r>
      <w:r>
        <w:rPr>
          <w:rFonts w:ascii="Arial" w:eastAsia="Times New Roman" w:hAnsi="Arial" w:cs="Arial"/>
          <w:b/>
          <w:bCs/>
          <w:i/>
          <w:iCs/>
          <w:color w:val="0046AD"/>
          <w:sz w:val="20"/>
          <w:szCs w:val="20"/>
        </w:rPr>
        <w:t>sets Measured at Fair Value on a Non-Recurring Basis</w:t>
      </w:r>
    </w:p>
    <w:p w:rsidR="00000000" w:rsidRDefault="001E2972">
      <w:pPr>
        <w:ind w:firstLine="720"/>
        <w:jc w:val="both"/>
        <w:divId w:val="2088187567"/>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w:t>
      </w:r>
      <w:r>
        <w:rPr>
          <w:rFonts w:ascii="Arial" w:eastAsia="Times New Roman" w:hAnsi="Arial" w:cs="Arial"/>
          <w:color w:val="000000"/>
          <w:sz w:val="20"/>
          <w:szCs w:val="20"/>
        </w:rPr>
        <w:t xml:space="preserve"> goodwill; intangible assets; property, plant and equipment; lease-related ROU assets; and long-lived assets that have been reduced to fair value when they are held for sale. If certain triggering events occur, or if an annual impairment test is required, </w:t>
      </w:r>
      <w:r>
        <w:rPr>
          <w:rFonts w:ascii="Arial" w:eastAsia="Times New Roman" w:hAnsi="Arial" w:cs="Arial"/>
          <w:color w:val="000000"/>
          <w:sz w:val="20"/>
          <w:szCs w:val="20"/>
        </w:rPr>
        <w:t xml:space="preserve">we would evaluate these non-financial assets for impairment. If an impairment were to occur, then the asset would be recorded at the estimated fair value, using primarily unobservable Level 3 inputs. </w:t>
      </w:r>
    </w:p>
    <w:p w:rsidR="00000000" w:rsidRDefault="001E2972">
      <w:pPr>
        <w:ind w:firstLine="720"/>
        <w:jc w:val="both"/>
        <w:divId w:val="2054495505"/>
        <w:rPr>
          <w:rFonts w:eastAsia="Times New Roman"/>
        </w:rPr>
      </w:pPr>
      <w:r>
        <w:rPr>
          <w:rFonts w:ascii="Arial" w:eastAsia="Times New Roman" w:hAnsi="Arial" w:cs="Arial"/>
          <w:color w:val="000000"/>
          <w:sz w:val="20"/>
          <w:szCs w:val="20"/>
        </w:rPr>
        <w:t>We did not identify impairment to such non-financial as</w:t>
      </w:r>
      <w:r>
        <w:rPr>
          <w:rFonts w:ascii="Arial" w:eastAsia="Times New Roman" w:hAnsi="Arial" w:cs="Arial"/>
          <w:color w:val="000000"/>
          <w:sz w:val="20"/>
          <w:szCs w:val="20"/>
        </w:rPr>
        <w:t>sets for the three and six months ended April 30, 2021. During the second quarter of 2020, given the general deterioration in economic and market conditions arising from the Pandemic, we identified a triggering event and recognized impairment of goodwill a</w:t>
      </w:r>
      <w:r>
        <w:rPr>
          <w:rFonts w:ascii="Arial" w:eastAsia="Times New Roman" w:hAnsi="Arial" w:cs="Arial"/>
          <w:color w:val="000000"/>
          <w:sz w:val="20"/>
          <w:szCs w:val="20"/>
        </w:rPr>
        <w:t xml:space="preserve">nd intangible assets, as further described below. </w:t>
      </w:r>
    </w:p>
    <w:p w:rsidR="00000000" w:rsidRDefault="001E2972">
      <w:pPr>
        <w:ind w:firstLine="720"/>
        <w:jc w:val="both"/>
        <w:divId w:val="947129313"/>
        <w:rPr>
          <w:rFonts w:eastAsia="Times New Roman"/>
        </w:rPr>
      </w:pPr>
      <w:r>
        <w:rPr>
          <w:rFonts w:ascii="Arial" w:eastAsia="Times New Roman" w:hAnsi="Arial" w:cs="Arial"/>
          <w:i/>
          <w:iCs/>
          <w:color w:val="0046AD"/>
          <w:sz w:val="20"/>
          <w:szCs w:val="20"/>
        </w:rPr>
        <w:t>Goodwill</w:t>
      </w:r>
    </w:p>
    <w:p w:rsidR="00000000" w:rsidRDefault="001E2972">
      <w:pPr>
        <w:ind w:firstLine="720"/>
        <w:jc w:val="both"/>
        <w:divId w:val="1183132066"/>
        <w:rPr>
          <w:rFonts w:eastAsia="Times New Roman"/>
        </w:rPr>
      </w:pPr>
      <w:r>
        <w:rPr>
          <w:rFonts w:ascii="Arial" w:eastAsia="Times New Roman" w:hAnsi="Arial" w:cs="Arial"/>
          <w:color w:val="000000"/>
          <w:sz w:val="20"/>
          <w:szCs w:val="20"/>
        </w:rPr>
        <w:t>During the second quarter of 2020, we recognized a non-cash impairment charge totaling $163.8 million in three goodwill reporting units ($99.3 million related to Education, $55.5 million related t</w:t>
      </w:r>
      <w:r>
        <w:rPr>
          <w:rFonts w:ascii="Arial" w:eastAsia="Times New Roman" w:hAnsi="Arial" w:cs="Arial"/>
          <w:color w:val="000000"/>
          <w:sz w:val="20"/>
          <w:szCs w:val="20"/>
        </w:rPr>
        <w:t>o Aviation, and $9.0 million related to our U.K. Technical Solutions business) as part of an interim impairment test performed as a result of a triggering event arising from the Pandemic. The fair values of the goodwill reporting units were determined usin</w:t>
      </w:r>
      <w:r>
        <w:rPr>
          <w:rFonts w:ascii="Arial" w:eastAsia="Times New Roman" w:hAnsi="Arial" w:cs="Arial"/>
          <w:color w:val="000000"/>
          <w:sz w:val="20"/>
          <w:szCs w:val="20"/>
        </w:rPr>
        <w:t>g a combination of the market approach and income approach. The market approach estimates the fair value of a reporting unit by using market comparables for reasonably similar public companies and a control premium. The income approach estimates fair value</w:t>
      </w:r>
      <w:r>
        <w:rPr>
          <w:rFonts w:ascii="Arial" w:eastAsia="Times New Roman" w:hAnsi="Arial" w:cs="Arial"/>
          <w:color w:val="000000"/>
          <w:sz w:val="20"/>
          <w:szCs w:val="20"/>
        </w:rPr>
        <w:t xml:space="preserve"> of a reporting unit by using discounted cash flows that included significant </w:t>
      </w:r>
    </w:p>
    <w:p w:rsidR="00000000" w:rsidRDefault="001E2972">
      <w:pPr>
        <w:jc w:val="center"/>
        <w:divId w:val="1252471344"/>
        <w:rPr>
          <w:rFonts w:eastAsia="Times New Roman"/>
        </w:rPr>
      </w:pPr>
      <w:r>
        <w:rPr>
          <w:rFonts w:ascii="Arial" w:eastAsia="Times New Roman" w:hAnsi="Arial" w:cs="Arial"/>
          <w:color w:val="000000"/>
          <w:sz w:val="20"/>
          <w:szCs w:val="20"/>
        </w:rPr>
        <w:t>13</w:t>
      </w:r>
    </w:p>
    <w:p w:rsidR="00000000" w:rsidRDefault="001E2972">
      <w:pPr>
        <w:rPr>
          <w:rFonts w:eastAsia="Times New Roman"/>
        </w:rPr>
      </w:pPr>
      <w:r>
        <w:rPr>
          <w:rFonts w:eastAsia="Times New Roman"/>
        </w:rPr>
        <w:pict>
          <v:rect id="_x0000_i1043" style="width:0;height:1.5pt" o:hralign="center" o:hrstd="t" o:hr="t" fillcolor="#a0a0a0" stroked="f"/>
        </w:pict>
      </w:r>
    </w:p>
    <w:p w:rsidR="00000000" w:rsidRDefault="001E2972">
      <w:pPr>
        <w:jc w:val="both"/>
        <w:divId w:val="549150051"/>
        <w:rPr>
          <w:rFonts w:eastAsia="Times New Roman"/>
        </w:rPr>
      </w:pPr>
    </w:p>
    <w:p w:rsidR="00000000" w:rsidRDefault="001E2972">
      <w:pPr>
        <w:jc w:val="both"/>
        <w:divId w:val="1851336652"/>
        <w:rPr>
          <w:rFonts w:eastAsia="Times New Roman"/>
        </w:rPr>
      </w:pPr>
      <w:r>
        <w:rPr>
          <w:rFonts w:ascii="Arial" w:eastAsia="Times New Roman" w:hAnsi="Arial" w:cs="Arial"/>
          <w:color w:val="000000"/>
          <w:sz w:val="20"/>
          <w:szCs w:val="20"/>
        </w:rPr>
        <w:t>management assumptions, such as revenue growth rates, operating margins, weighted average cost of capital, and future economic and opera</w:t>
      </w:r>
      <w:r>
        <w:rPr>
          <w:rFonts w:ascii="Arial" w:eastAsia="Times New Roman" w:hAnsi="Arial" w:cs="Arial"/>
          <w:color w:val="000000"/>
          <w:sz w:val="20"/>
          <w:szCs w:val="20"/>
        </w:rPr>
        <w:t>ting conditions. The impairment charge is included in “Impairment loss” on our unaudited Consolidated Statements of Comprehensive Income (Loss) for the three and six months ended April 30, 2020 and is not tax deductible.</w:t>
      </w:r>
    </w:p>
    <w:p w:rsidR="00000000" w:rsidRDefault="001E2972">
      <w:pPr>
        <w:ind w:firstLine="720"/>
        <w:jc w:val="both"/>
        <w:divId w:val="1104500334"/>
        <w:rPr>
          <w:rFonts w:eastAsia="Times New Roman"/>
        </w:rPr>
      </w:pPr>
      <w:r>
        <w:rPr>
          <w:rFonts w:ascii="Arial" w:eastAsia="Times New Roman" w:hAnsi="Arial" w:cs="Arial"/>
          <w:i/>
          <w:iCs/>
          <w:color w:val="0046AD"/>
          <w:sz w:val="20"/>
          <w:szCs w:val="20"/>
        </w:rPr>
        <w:t>Intangible Assets</w:t>
      </w:r>
    </w:p>
    <w:p w:rsidR="00000000" w:rsidRDefault="001E2972">
      <w:pPr>
        <w:ind w:firstLine="720"/>
        <w:jc w:val="both"/>
        <w:divId w:val="1817214490"/>
        <w:rPr>
          <w:rFonts w:eastAsia="Times New Roman"/>
        </w:rPr>
      </w:pPr>
      <w:r>
        <w:rPr>
          <w:rFonts w:ascii="Arial" w:eastAsia="Times New Roman" w:hAnsi="Arial" w:cs="Arial"/>
          <w:color w:val="000000"/>
          <w:sz w:val="20"/>
          <w:szCs w:val="20"/>
        </w:rPr>
        <w:t>During the second</w:t>
      </w:r>
      <w:r>
        <w:rPr>
          <w:rFonts w:ascii="Arial" w:eastAsia="Times New Roman" w:hAnsi="Arial" w:cs="Arial"/>
          <w:color w:val="000000"/>
          <w:sz w:val="20"/>
          <w:szCs w:val="20"/>
        </w:rPr>
        <w:t xml:space="preserve"> quarter of 2020 and in connection with the goodwill triggering event previously mentioned, we recognized net impairment charges of $5.6 million related to Aviation (consisting of a $13.8 million reduction in the gross carrying amount of the underlying cus</w:t>
      </w:r>
      <w:r>
        <w:rPr>
          <w:rFonts w:ascii="Arial" w:eastAsia="Times New Roman" w:hAnsi="Arial" w:cs="Arial"/>
          <w:color w:val="000000"/>
          <w:sz w:val="20"/>
          <w:szCs w:val="20"/>
        </w:rPr>
        <w:t>tomer relationships less $8.2 million of accumulated amortization) and $3.4 million related to our U.K. Technical Solutions business (consisting of an $8.7 million reduction in the gross carrying amount of the underlying customer relationships less $5.3 mi</w:t>
      </w:r>
      <w:r>
        <w:rPr>
          <w:rFonts w:ascii="Arial" w:eastAsia="Times New Roman" w:hAnsi="Arial" w:cs="Arial"/>
          <w:color w:val="000000"/>
          <w:sz w:val="20"/>
          <w:szCs w:val="20"/>
        </w:rPr>
        <w:t>llion of accumulated amortization). The fair value of customer contracts and relationships was determined based on discounted cash flows associated with the customer relationships that included significant management assumptions, including expected proceed</w:t>
      </w:r>
      <w:r>
        <w:rPr>
          <w:rFonts w:ascii="Arial" w:eastAsia="Times New Roman" w:hAnsi="Arial" w:cs="Arial"/>
          <w:color w:val="000000"/>
          <w:sz w:val="20"/>
          <w:szCs w:val="20"/>
        </w:rPr>
        <w:t xml:space="preserve">s. These impairment charges are included in “Impairment loss” on our unaudited Consolidated Statements of Comprehensive Income (Loss) for the three and six months ended April 30, 2020. </w:t>
      </w:r>
    </w:p>
    <w:p w:rsidR="00000000" w:rsidRDefault="001E2972">
      <w:pPr>
        <w:divId w:val="1447653886"/>
        <w:rPr>
          <w:rFonts w:eastAsia="Times New Roman"/>
        </w:rPr>
      </w:pPr>
    </w:p>
    <w:p w:rsidR="00000000" w:rsidRDefault="001E2972">
      <w:pPr>
        <w:divId w:val="1151826557"/>
        <w:rPr>
          <w:rFonts w:eastAsia="Times New Roman"/>
        </w:rPr>
      </w:pPr>
      <w:r>
        <w:rPr>
          <w:rFonts w:ascii="Arial" w:eastAsia="Times New Roman" w:hAnsi="Arial" w:cs="Arial"/>
          <w:b/>
          <w:bCs/>
          <w:color w:val="0046AD"/>
          <w:sz w:val="20"/>
          <w:szCs w:val="20"/>
        </w:rPr>
        <w:t>6.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461068261"/>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46106826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412308779"/>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Beyond the retained exposures, we have varying primary policy limits ranging between $1.0 million and $5.0 million per occurrence. To cover gene</w:t>
      </w:r>
      <w:r>
        <w:rPr>
          <w:rFonts w:ascii="Arial" w:eastAsia="Times New Roman" w:hAnsi="Arial" w:cs="Arial"/>
          <w:color w:val="000000"/>
          <w:sz w:val="20"/>
          <w:szCs w:val="20"/>
        </w:rPr>
        <w:t>ral liability and automobile liability losses above these primary limits, we maintain commercial umbrella insurance policies that provide aggregate limits of $200.0 million. Our insurance policies generally cover workers’ compensation losses to the full ex</w:t>
      </w:r>
      <w:r>
        <w:rPr>
          <w:rFonts w:ascii="Arial" w:eastAsia="Times New Roman" w:hAnsi="Arial" w:cs="Arial"/>
          <w:color w:val="000000"/>
          <w:sz w:val="20"/>
          <w:szCs w:val="20"/>
        </w:rPr>
        <w:t>tent of statutory requirements. Additionally, to cover property damage risks above our retained limits, we maintain policies that provide per occurrence limits of $75.0 million. We are also self-insured for certain employee medical and dental plans. We mai</w:t>
      </w:r>
      <w:r>
        <w:rPr>
          <w:rFonts w:ascii="Arial" w:eastAsia="Times New Roman" w:hAnsi="Arial" w:cs="Arial"/>
          <w:color w:val="000000"/>
          <w:sz w:val="20"/>
          <w:szCs w:val="20"/>
        </w:rPr>
        <w:t>ntain stop-loss insurance for our self-insured medical plan under which we retain up to $0.5 million of exposure on a per-participant, per-year basis with respect to claims.</w:t>
      </w:r>
    </w:p>
    <w:p w:rsidR="00000000" w:rsidRDefault="001E2972">
      <w:pPr>
        <w:ind w:firstLine="720"/>
        <w:jc w:val="both"/>
        <w:divId w:val="1221793029"/>
        <w:rPr>
          <w:rFonts w:eastAsia="Times New Roman"/>
        </w:rPr>
      </w:pPr>
      <w:r>
        <w:rPr>
          <w:rFonts w:ascii="Arial" w:eastAsia="Times New Roman" w:hAnsi="Arial" w:cs="Arial"/>
          <w:color w:val="000000"/>
          <w:sz w:val="20"/>
          <w:szCs w:val="20"/>
        </w:rPr>
        <w:t xml:space="preserve">We maintain our reserves for workers’ compensation, general liability, automobile </w:t>
      </w:r>
      <w:r>
        <w:rPr>
          <w:rFonts w:ascii="Arial" w:eastAsia="Times New Roman" w:hAnsi="Arial" w:cs="Arial"/>
          <w:color w:val="000000"/>
          <w:sz w:val="20"/>
          <w:szCs w:val="20"/>
        </w:rPr>
        <w:t xml:space="preserve">liability, and property damage insurance claims based upon known trends and events and the actuarial estimates of required reserves considering the most recently completed actuarial reports. We use all available information to develop our best estimate of </w:t>
      </w:r>
      <w:r>
        <w:rPr>
          <w:rFonts w:ascii="Arial" w:eastAsia="Times New Roman" w:hAnsi="Arial" w:cs="Arial"/>
          <w:color w:val="000000"/>
          <w:sz w:val="20"/>
          <w:szCs w:val="20"/>
        </w:rPr>
        <w:t>insurance claims reserves as information is obtained. The results of actuarial reviews are used to estimate our insurance rates and insurance reserves for future periods and to adjust reserves, if appropriate, for prior years.</w:t>
      </w:r>
    </w:p>
    <w:p w:rsidR="00000000" w:rsidRDefault="001E2972">
      <w:pPr>
        <w:jc w:val="both"/>
        <w:divId w:val="1819959000"/>
        <w:rPr>
          <w:rFonts w:eastAsia="Times New Roman"/>
        </w:rPr>
      </w:pPr>
      <w:r>
        <w:rPr>
          <w:rFonts w:ascii="Arial" w:eastAsia="Times New Roman" w:hAnsi="Arial" w:cs="Arial"/>
          <w:b/>
          <w:bCs/>
          <w:color w:val="0046AD"/>
          <w:sz w:val="20"/>
          <w:szCs w:val="20"/>
        </w:rPr>
        <w:t xml:space="preserve">Actuarial Review and Interim </w:t>
      </w:r>
      <w:r>
        <w:rPr>
          <w:rFonts w:ascii="Arial" w:eastAsia="Times New Roman" w:hAnsi="Arial" w:cs="Arial"/>
          <w:b/>
          <w:bCs/>
          <w:color w:val="0046AD"/>
          <w:sz w:val="20"/>
          <w:szCs w:val="20"/>
        </w:rPr>
        <w:t>Update Performed During 2021</w:t>
      </w:r>
    </w:p>
    <w:p w:rsidR="00000000" w:rsidRDefault="001E2972">
      <w:pPr>
        <w:ind w:firstLine="720"/>
        <w:jc w:val="both"/>
        <w:divId w:val="885138218"/>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w:t>
      </w:r>
      <w:r>
        <w:rPr>
          <w:rFonts w:ascii="Arial" w:eastAsia="Times New Roman" w:hAnsi="Arial" w:cs="Arial"/>
          <w:color w:val="000000"/>
          <w:sz w:val="20"/>
          <w:szCs w:val="20"/>
        </w:rPr>
        <w:t>s we obtain additional information that affects the assumptions and estimates used in our reserve liability calculations, we adjust our self-insurance rates and reserves for future periods and, if appropriate, adjust our reserves for claims incurred in pri</w:t>
      </w:r>
      <w:r>
        <w:rPr>
          <w:rFonts w:ascii="Arial" w:eastAsia="Times New Roman" w:hAnsi="Arial" w:cs="Arial"/>
          <w:color w:val="000000"/>
          <w:sz w:val="20"/>
          <w:szCs w:val="20"/>
        </w:rPr>
        <w:t xml:space="preserve">or accounting periods. </w:t>
      </w:r>
    </w:p>
    <w:p w:rsidR="00000000" w:rsidRDefault="001E2972">
      <w:pPr>
        <w:ind w:firstLine="720"/>
        <w:jc w:val="both"/>
        <w:divId w:val="223227433"/>
        <w:rPr>
          <w:rFonts w:eastAsia="Times New Roman"/>
        </w:rPr>
      </w:pPr>
      <w:r>
        <w:rPr>
          <w:rFonts w:ascii="Arial" w:eastAsia="Times New Roman" w:hAnsi="Arial" w:cs="Arial"/>
          <w:color w:val="000000"/>
          <w:sz w:val="20"/>
          <w:szCs w:val="20"/>
        </w:rPr>
        <w:t>During the first quarter of 2021, we performed a comprehensive actuarial review of the majority of our casualty insurance programs to evaluate changes made to claims reserves and claims payment activity for the period of May 1, 2020 through October 31, 202</w:t>
      </w:r>
      <w:r>
        <w:rPr>
          <w:rFonts w:ascii="Arial" w:eastAsia="Times New Roman" w:hAnsi="Arial" w:cs="Arial"/>
          <w:color w:val="000000"/>
          <w:sz w:val="20"/>
          <w:szCs w:val="20"/>
        </w:rPr>
        <w:t>0 (the “Actuarial Review”). The Actuarial Review was comprehensive in nature and was based on loss development patterns, trend assumptions, and underlying expected loss costs during the period analyzed.</w:t>
      </w:r>
    </w:p>
    <w:p w:rsidR="00000000" w:rsidRDefault="001E2972">
      <w:pPr>
        <w:ind w:firstLine="720"/>
        <w:jc w:val="both"/>
        <w:divId w:val="1905527591"/>
        <w:rPr>
          <w:rFonts w:eastAsia="Times New Roman"/>
        </w:rPr>
      </w:pPr>
      <w:r>
        <w:rPr>
          <w:rFonts w:ascii="Arial" w:eastAsia="Times New Roman" w:hAnsi="Arial" w:cs="Arial"/>
          <w:color w:val="000000"/>
          <w:sz w:val="20"/>
          <w:szCs w:val="20"/>
        </w:rPr>
        <w:t>During the second quarter of 2021, we performed an in</w:t>
      </w:r>
      <w:r>
        <w:rPr>
          <w:rFonts w:ascii="Arial" w:eastAsia="Times New Roman" w:hAnsi="Arial" w:cs="Arial"/>
          <w:color w:val="000000"/>
          <w:sz w:val="20"/>
          <w:szCs w:val="20"/>
        </w:rPr>
        <w:t xml:space="preserve">terim actuarial update of the majority of our casualty insurance programs that considered changes in claims development and claims payment activity for the period of November 1, 2020 through January 31, 2021 (the “Interim Update”). This Interim Update was </w:t>
      </w:r>
      <w:r>
        <w:rPr>
          <w:rFonts w:ascii="Arial" w:eastAsia="Times New Roman" w:hAnsi="Arial" w:cs="Arial"/>
          <w:color w:val="000000"/>
          <w:sz w:val="20"/>
          <w:szCs w:val="20"/>
        </w:rPr>
        <w:t xml:space="preserve">abbreviated in nature based on actual versus expected developments during the periods analyzed and relied on the key assumptions in the Actuarial Review (most notably loss development patterns, trend assumptions, and underlying expected loss costs). </w:t>
      </w:r>
    </w:p>
    <w:p w:rsidR="00000000" w:rsidRDefault="001E2972">
      <w:pPr>
        <w:jc w:val="center"/>
        <w:divId w:val="1514684533"/>
        <w:rPr>
          <w:rFonts w:eastAsia="Times New Roman"/>
        </w:rPr>
      </w:pPr>
      <w:r>
        <w:rPr>
          <w:rFonts w:ascii="Arial" w:eastAsia="Times New Roman" w:hAnsi="Arial" w:cs="Arial"/>
          <w:color w:val="000000"/>
          <w:sz w:val="20"/>
          <w:szCs w:val="20"/>
        </w:rPr>
        <w:t>14</w:t>
      </w:r>
    </w:p>
    <w:p w:rsidR="00000000" w:rsidRDefault="001E2972">
      <w:pPr>
        <w:rPr>
          <w:rFonts w:eastAsia="Times New Roman"/>
        </w:rPr>
      </w:pPr>
      <w:r>
        <w:rPr>
          <w:rFonts w:eastAsia="Times New Roman"/>
        </w:rPr>
        <w:pict>
          <v:rect id="_x0000_i1044" style="width:0;height:1.5pt" o:hralign="center" o:hrstd="t" o:hr="t" fillcolor="#a0a0a0" stroked="f"/>
        </w:pict>
      </w:r>
    </w:p>
    <w:p w:rsidR="00000000" w:rsidRDefault="001E2972">
      <w:pPr>
        <w:jc w:val="both"/>
        <w:divId w:val="1922831928"/>
        <w:rPr>
          <w:rFonts w:eastAsia="Times New Roman"/>
        </w:rPr>
      </w:pPr>
    </w:p>
    <w:p w:rsidR="00000000" w:rsidRDefault="001E2972">
      <w:pPr>
        <w:ind w:firstLine="720"/>
        <w:jc w:val="both"/>
        <w:divId w:val="325285136"/>
        <w:rPr>
          <w:rFonts w:eastAsia="Times New Roman"/>
        </w:rPr>
      </w:pPr>
      <w:r>
        <w:rPr>
          <w:rFonts w:ascii="Arial" w:eastAsia="Times New Roman" w:hAnsi="Arial" w:cs="Arial"/>
          <w:color w:val="000000"/>
          <w:sz w:val="20"/>
          <w:szCs w:val="20"/>
        </w:rPr>
        <w:t>Based on the results of the Actuarial Review and Interim Update at April 30, 2021, we decreased our total reserves for known claims as well as our estimate of the loss amounts associated with incurred but not reported cl</w:t>
      </w:r>
      <w:r>
        <w:rPr>
          <w:rFonts w:ascii="Arial" w:eastAsia="Times New Roman" w:hAnsi="Arial" w:cs="Arial"/>
          <w:color w:val="000000"/>
          <w:sz w:val="20"/>
          <w:szCs w:val="20"/>
        </w:rPr>
        <w:t>aims (“IBNR claims”) by $17.4 million during the six months ended April 30, 2021; $11.4 million of that amount relates to prior years. During the six months ended April 30, 2020, we decreased our total reserves related to prior year claims by $6.6 million.</w:t>
      </w:r>
      <w:r>
        <w:rPr>
          <w:rFonts w:ascii="Arial" w:eastAsia="Times New Roman" w:hAnsi="Arial" w:cs="Arial"/>
          <w:color w:val="000000"/>
          <w:sz w:val="20"/>
          <w:szCs w:val="20"/>
        </w:rPr>
        <w:t xml:space="preserve"> We will continue to assess ongoing developments, which may result in further adjustments to reserves. </w:t>
      </w:r>
    </w:p>
    <w:p w:rsidR="00000000" w:rsidRDefault="001E2972">
      <w:pPr>
        <w:jc w:val="both"/>
        <w:divId w:val="113641668"/>
        <w:rPr>
          <w:rFonts w:eastAsia="Times New Roman"/>
        </w:rPr>
      </w:pPr>
      <w:r>
        <w:rPr>
          <w:rFonts w:ascii="Arial" w:eastAsia="Times New Roman" w:hAnsi="Arial" w:cs="Arial"/>
          <w:b/>
          <w:bCs/>
          <w:color w:val="0046AD"/>
          <w:sz w:val="20"/>
          <w:szCs w:val="20"/>
        </w:rPr>
        <w:t xml:space="preserve">Insurance 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227040591"/>
        </w:trPr>
        <w:tc>
          <w:tcPr>
            <w:tcW w:w="50" w:type="pct"/>
            <w:vAlign w:val="center"/>
            <w:hideMark/>
          </w:tcPr>
          <w:p w:rsidR="00000000" w:rsidRDefault="001E2972">
            <w:pPr>
              <w:jc w:val="both"/>
              <w:rPr>
                <w:rFonts w:eastAsia="Times New Roman"/>
              </w:rPr>
            </w:pPr>
          </w:p>
        </w:tc>
        <w:tc>
          <w:tcPr>
            <w:tcW w:w="31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2704059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October 31, 2020</w:t>
            </w:r>
          </w:p>
        </w:tc>
      </w:tr>
      <w:tr w:rsidR="00000000">
        <w:trPr>
          <w:divId w:val="227040591"/>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227040591"/>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227040591"/>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firstLine="720"/>
        <w:jc w:val="both"/>
        <w:divId w:val="1425807960"/>
        <w:rPr>
          <w:rFonts w:eastAsia="Times New Roman"/>
        </w:rPr>
      </w:pPr>
      <w:r>
        <w:rPr>
          <w:rFonts w:ascii="Arial" w:eastAsia="Times New Roman" w:hAnsi="Arial" w:cs="Arial"/>
          <w:color w:val="000000"/>
          <w:sz w:val="20"/>
          <w:szCs w:val="20"/>
        </w:rPr>
        <w:t>At April 30, 2021 and October </w:t>
      </w:r>
      <w:r>
        <w:rPr>
          <w:rFonts w:ascii="Arial" w:eastAsia="Times New Roman" w:hAnsi="Arial" w:cs="Arial"/>
          <w:color w:val="000000"/>
          <w:sz w:val="20"/>
          <w:szCs w:val="20"/>
        </w:rPr>
        <w:t>31, 2020, insurance recoverables are included in both “Other current assets” and “Other noncurrent assets” on the accompanying unaudited Consolidated Balance Sheets.</w:t>
      </w:r>
    </w:p>
    <w:p w:rsidR="00000000" w:rsidRDefault="001E2972">
      <w:pPr>
        <w:jc w:val="both"/>
        <w:divId w:val="1068921272"/>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539167164"/>
        </w:trPr>
        <w:tc>
          <w:tcPr>
            <w:tcW w:w="50" w:type="pct"/>
            <w:vAlign w:val="center"/>
            <w:hideMark/>
          </w:tcPr>
          <w:p w:rsidR="00000000" w:rsidRDefault="001E2972">
            <w:pPr>
              <w:jc w:val="both"/>
              <w:rPr>
                <w:rFonts w:eastAsia="Times New Roman"/>
              </w:rPr>
            </w:pPr>
          </w:p>
        </w:tc>
        <w:tc>
          <w:tcPr>
            <w:tcW w:w="315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539167164"/>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October 31, 2020</w:t>
            </w:r>
          </w:p>
        </w:tc>
      </w:tr>
      <w:tr w:rsidR="00000000">
        <w:trPr>
          <w:divId w:val="53916716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53916716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82.6 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53916716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53916716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225.7 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jc w:val="both"/>
        <w:divId w:val="30502681"/>
        <w:rPr>
          <w:rFonts w:eastAsia="Times New Roman"/>
        </w:rPr>
      </w:pPr>
    </w:p>
    <w:p w:rsidR="00000000" w:rsidRDefault="001E2972">
      <w:pPr>
        <w:jc w:val="both"/>
        <w:divId w:val="1144005793"/>
        <w:rPr>
          <w:rFonts w:eastAsia="Times New Roman"/>
        </w:rPr>
      </w:pPr>
      <w:r>
        <w:rPr>
          <w:rFonts w:ascii="Arial" w:eastAsia="Times New Roman" w:hAnsi="Arial" w:cs="Arial"/>
          <w:b/>
          <w:bCs/>
          <w:color w:val="0046AD"/>
          <w:sz w:val="20"/>
          <w:szCs w:val="20"/>
        </w:rPr>
        <w:t xml:space="preserve">7. </w:t>
      </w:r>
      <w:r>
        <w:rPr>
          <w:rFonts w:ascii="Arial" w:eastAsia="Times New Roman" w:hAnsi="Arial" w:cs="Arial"/>
          <w:b/>
          <w:bCs/>
          <w:color w:val="0046AD"/>
          <w:sz w:val="20"/>
          <w:szCs w:val="20"/>
        </w:rPr>
        <w:t>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947588378"/>
        </w:trPr>
        <w:tc>
          <w:tcPr>
            <w:tcW w:w="5" w:type="pct"/>
            <w:vAlign w:val="center"/>
            <w:hideMark/>
          </w:tcPr>
          <w:p w:rsidR="00000000" w:rsidRDefault="001E2972">
            <w:pPr>
              <w:jc w:val="both"/>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94758837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556667669"/>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syndicated credit facility (the “Credit Facility”), consisting of a $900.0 </w:t>
      </w:r>
      <w:r>
        <w:rPr>
          <w:rFonts w:ascii="Arial" w:eastAsia="Times New Roman" w:hAnsi="Arial" w:cs="Arial"/>
          <w:color w:val="000000"/>
          <w:sz w:val="20"/>
          <w:szCs w:val="20"/>
        </w:rPr>
        <w:t>million revolving line of credit and an $800.0 million amortizing term loan, both of which are scheduled to mature on September 1, 2022. In accordance with the terms of the Credit Facility, the revolving line of credit was reduced to $800.0 million on Sept</w:t>
      </w:r>
      <w:r>
        <w:rPr>
          <w:rFonts w:ascii="Arial" w:eastAsia="Times New Roman" w:hAnsi="Arial" w:cs="Arial"/>
          <w:color w:val="000000"/>
          <w:sz w:val="20"/>
          <w:szCs w:val="20"/>
        </w:rPr>
        <w:t>ember 1, 2018. The Credit Facility also provides for the issuance of up to $300.0 million for standby letters of credit and the issuance of up to $75.0 million in swingline advances. The obligations under the Credit Facility are secured on a first-priority</w:t>
      </w:r>
      <w:r>
        <w:rPr>
          <w:rFonts w:ascii="Arial" w:eastAsia="Times New Roman" w:hAnsi="Arial" w:cs="Arial"/>
          <w:color w:val="000000"/>
          <w:sz w:val="20"/>
          <w:szCs w:val="20"/>
        </w:rPr>
        <w:t xml:space="preserve"> basis by a lien on substantially all of our assets and properties, subject to certain exceptions. To further enhance our financial flexibility as a precautionary measure in response to uncertainty arising from the Pandemic, we amended our Credit Facility </w:t>
      </w:r>
      <w:r>
        <w:rPr>
          <w:rFonts w:ascii="Arial" w:eastAsia="Times New Roman" w:hAnsi="Arial" w:cs="Arial"/>
          <w:color w:val="000000"/>
          <w:sz w:val="20"/>
          <w:szCs w:val="20"/>
        </w:rPr>
        <w:t xml:space="preserve">(the “Amendment”) on May 28, 2020. </w:t>
      </w:r>
    </w:p>
    <w:p w:rsidR="00000000" w:rsidRDefault="001E2972">
      <w:pPr>
        <w:ind w:firstLine="720"/>
        <w:jc w:val="both"/>
        <w:divId w:val="620308154"/>
        <w:rPr>
          <w:rFonts w:eastAsia="Times New Roman"/>
        </w:rPr>
      </w:pPr>
      <w:r>
        <w:rPr>
          <w:rFonts w:ascii="Arial" w:eastAsia="Times New Roman" w:hAnsi="Arial" w:cs="Arial"/>
          <w:color w:val="000000"/>
          <w:sz w:val="20"/>
          <w:szCs w:val="20"/>
        </w:rPr>
        <w:t>The Amendment modified the financial covenants under the Credit Facility, including: (i) replacing a maximum total leverage ratio with a maximum total net leverage ratio that varies on a quarterly basis and adjusts to 4.</w:t>
      </w:r>
      <w:r>
        <w:rPr>
          <w:rFonts w:ascii="Arial" w:eastAsia="Times New Roman" w:hAnsi="Arial" w:cs="Arial"/>
          <w:color w:val="000000"/>
          <w:sz w:val="20"/>
          <w:szCs w:val="20"/>
        </w:rPr>
        <w:t>00 to 1.00 by the quarter ending October 31, 2022; (ii) modifying the minimum fixed charge coverage ratio on a quarterly basis, which adjusts to 1.25 to 1.00 as of the quarter ending April 30, 2022; and (iii) adding a minimum liquidity (defined in the Amen</w:t>
      </w:r>
      <w:r>
        <w:rPr>
          <w:rFonts w:ascii="Arial" w:eastAsia="Times New Roman" w:hAnsi="Arial" w:cs="Arial"/>
          <w:color w:val="000000"/>
          <w:sz w:val="20"/>
          <w:szCs w:val="20"/>
        </w:rPr>
        <w:t>dment as domestic cash plus available revolving loans) of $250.0 million. These financial covenants were effective with the quarter ended April 30, 2020. Our borrowing capacity is subject to, and limited by, compliance with these covenants. At April 30, 20</w:t>
      </w:r>
      <w:r>
        <w:rPr>
          <w:rFonts w:ascii="Arial" w:eastAsia="Times New Roman" w:hAnsi="Arial" w:cs="Arial"/>
          <w:color w:val="000000"/>
          <w:sz w:val="20"/>
          <w:szCs w:val="20"/>
        </w:rPr>
        <w:t xml:space="preserve">21, we were in compliance with these covenants. </w:t>
      </w:r>
    </w:p>
    <w:p w:rsidR="00000000" w:rsidRDefault="001E2972">
      <w:pPr>
        <w:ind w:firstLine="720"/>
        <w:jc w:val="both"/>
        <w:divId w:val="1033765951"/>
        <w:rPr>
          <w:rFonts w:eastAsia="Times New Roman"/>
        </w:rPr>
      </w:pPr>
      <w:r>
        <w:rPr>
          <w:rFonts w:ascii="Arial" w:eastAsia="Times New Roman" w:hAnsi="Arial" w:cs="Arial"/>
          <w:color w:val="000000"/>
          <w:sz w:val="20"/>
          <w:szCs w:val="20"/>
        </w:rPr>
        <w:t>The Amendment also changed the interest rate, interest margins, and commitment fees applicable to loans and commitments under the Credit Facility. Prior to the Amendment, borrowings under the Credit Facility</w:t>
      </w:r>
      <w:r>
        <w:rPr>
          <w:rFonts w:ascii="Arial" w:eastAsia="Times New Roman" w:hAnsi="Arial" w:cs="Arial"/>
          <w:color w:val="000000"/>
          <w:sz w:val="20"/>
          <w:szCs w:val="20"/>
        </w:rPr>
        <w:t xml:space="preserve"> bore interest at a rate equal to 1-month LIBOR plus a spread that was based upon our leverage ratio. The spread ranged from 1.00% to 2.25% for Eurocurrency loans and 0.00% to 1.25% for base rate loans. We were also charged a commitment fee, which was paid</w:t>
      </w:r>
      <w:r>
        <w:rPr>
          <w:rFonts w:ascii="Arial" w:eastAsia="Times New Roman" w:hAnsi="Arial" w:cs="Arial"/>
          <w:color w:val="000000"/>
          <w:sz w:val="20"/>
          <w:szCs w:val="20"/>
        </w:rPr>
        <w:t xml:space="preserve"> quarterly in arrears and was based on our leverage ratio, that ranged from 0.200% to 0.350% on the average daily unused portion of the revolving line of credit. For purposes of this calculation, irrevocable standby letters of credit, which are issued prim</w:t>
      </w:r>
      <w:r>
        <w:rPr>
          <w:rFonts w:ascii="Arial" w:eastAsia="Times New Roman" w:hAnsi="Arial" w:cs="Arial"/>
          <w:color w:val="000000"/>
          <w:sz w:val="20"/>
          <w:szCs w:val="20"/>
        </w:rPr>
        <w:t>arily in conjunction with our insurance programs, and cash borrowings were included as outstanding under the line of credit.</w:t>
      </w:r>
    </w:p>
    <w:p w:rsidR="00000000" w:rsidRDefault="001E2972">
      <w:pPr>
        <w:ind w:firstLine="720"/>
        <w:jc w:val="both"/>
        <w:divId w:val="1757705157"/>
        <w:rPr>
          <w:rFonts w:eastAsia="Times New Roman"/>
        </w:rPr>
      </w:pPr>
      <w:r>
        <w:rPr>
          <w:rFonts w:ascii="Arial" w:eastAsia="Times New Roman" w:hAnsi="Arial" w:cs="Arial"/>
          <w:color w:val="000000"/>
          <w:sz w:val="20"/>
          <w:szCs w:val="20"/>
        </w:rPr>
        <w:t>Subsequent to the Amendment, borrowings under the Credit Facility bear interest at a rate equal to 1-month LIBOR plus a spread that</w:t>
      </w:r>
      <w:r>
        <w:rPr>
          <w:rFonts w:ascii="Arial" w:eastAsia="Times New Roman" w:hAnsi="Arial" w:cs="Arial"/>
          <w:color w:val="000000"/>
          <w:sz w:val="20"/>
          <w:szCs w:val="20"/>
        </w:rPr>
        <w:t xml:space="preserve"> is based upon our total leverage ratio. The spread ranges from 1.00% to 2.75% for revolving Eurocurrency loans and 0.00% to 1.75% for revolving base rate loans. At April 30, 2021, the weighted </w:t>
      </w:r>
    </w:p>
    <w:p w:rsidR="00000000" w:rsidRDefault="001E2972">
      <w:pPr>
        <w:jc w:val="center"/>
        <w:divId w:val="1892379367"/>
        <w:rPr>
          <w:rFonts w:eastAsia="Times New Roman"/>
        </w:rPr>
      </w:pPr>
      <w:r>
        <w:rPr>
          <w:rFonts w:ascii="Arial" w:eastAsia="Times New Roman" w:hAnsi="Arial" w:cs="Arial"/>
          <w:color w:val="000000"/>
          <w:sz w:val="20"/>
          <w:szCs w:val="20"/>
        </w:rPr>
        <w:t>15</w:t>
      </w:r>
    </w:p>
    <w:p w:rsidR="00000000" w:rsidRDefault="001E2972">
      <w:pPr>
        <w:rPr>
          <w:rFonts w:eastAsia="Times New Roman"/>
        </w:rPr>
      </w:pPr>
      <w:r>
        <w:rPr>
          <w:rFonts w:eastAsia="Times New Roman"/>
        </w:rPr>
        <w:pict>
          <v:rect id="_x0000_i1045" style="width:0;height:1.5pt" o:hralign="center" o:hrstd="t" o:hr="t" fillcolor="#a0a0a0" stroked="f"/>
        </w:pict>
      </w:r>
    </w:p>
    <w:p w:rsidR="00000000" w:rsidRDefault="001E2972">
      <w:pPr>
        <w:jc w:val="both"/>
        <w:divId w:val="715201033"/>
        <w:rPr>
          <w:rFonts w:eastAsia="Times New Roman"/>
        </w:rPr>
      </w:pPr>
    </w:p>
    <w:p w:rsidR="00000000" w:rsidRDefault="001E2972">
      <w:pPr>
        <w:jc w:val="both"/>
        <w:divId w:val="239339002"/>
        <w:rPr>
          <w:rFonts w:eastAsia="Times New Roman"/>
        </w:rPr>
      </w:pPr>
      <w:r>
        <w:rPr>
          <w:rFonts w:ascii="Arial" w:eastAsia="Times New Roman" w:hAnsi="Arial" w:cs="Arial"/>
          <w:color w:val="000000"/>
          <w:sz w:val="20"/>
          <w:szCs w:val="20"/>
        </w:rPr>
        <w:t>average interest rat</w:t>
      </w:r>
      <w:r>
        <w:rPr>
          <w:rFonts w:ascii="Arial" w:eastAsia="Times New Roman" w:hAnsi="Arial" w:cs="Arial"/>
          <w:color w:val="000000"/>
          <w:sz w:val="20"/>
          <w:szCs w:val="20"/>
        </w:rPr>
        <w:t>e on our outstanding borrowings was 2.12%. We are also charged a commitment fee, which is paid quarterly in arrears and is based on our total leverage ratio, that ranges from 0.200% to 0.450% on the average daily unused portion of the revolving line of cre</w:t>
      </w:r>
      <w:r>
        <w:rPr>
          <w:rFonts w:ascii="Arial" w:eastAsia="Times New Roman" w:hAnsi="Arial" w:cs="Arial"/>
          <w:color w:val="000000"/>
          <w:sz w:val="20"/>
          <w:szCs w:val="20"/>
        </w:rPr>
        <w:t xml:space="preserve">dit. For purposes of this calculation, irrevocable standby letters of credit, which are issued primarily in conjunction with our insurance programs, and cash borrowings are included as outstanding under the revolving line of credit. </w:t>
      </w:r>
    </w:p>
    <w:p w:rsidR="00000000" w:rsidRDefault="001E2972">
      <w:pPr>
        <w:ind w:firstLine="720"/>
        <w:jc w:val="both"/>
        <w:divId w:val="1315989961"/>
        <w:rPr>
          <w:rFonts w:eastAsia="Times New Roman"/>
        </w:rPr>
      </w:pPr>
      <w:r>
        <w:rPr>
          <w:rFonts w:ascii="Arial" w:eastAsia="Times New Roman" w:hAnsi="Arial" w:cs="Arial"/>
          <w:color w:val="000000"/>
          <w:sz w:val="20"/>
          <w:szCs w:val="20"/>
        </w:rPr>
        <w:t>The Credit Facility al</w:t>
      </w:r>
      <w:r>
        <w:rPr>
          <w:rFonts w:ascii="Arial" w:eastAsia="Times New Roman" w:hAnsi="Arial" w:cs="Arial"/>
          <w:color w:val="000000"/>
          <w:sz w:val="20"/>
          <w:szCs w:val="20"/>
        </w:rPr>
        <w:t>so includes customary events of default, such as: failure to pay principal, interest, or fees when due; failure to comply with covenants; the occurrence of certain material judgments; and a change in control of the Company. If certain events of default occ</w:t>
      </w:r>
      <w:r>
        <w:rPr>
          <w:rFonts w:ascii="Arial" w:eastAsia="Times New Roman" w:hAnsi="Arial" w:cs="Arial"/>
          <w:color w:val="000000"/>
          <w:sz w:val="20"/>
          <w:szCs w:val="20"/>
        </w:rPr>
        <w:t>ur, including certain cross-defaults, insolvency, change in control, or violation of specific covenants, the lenders can terminate or suspend our access to the Credit Facility, declare all amounts outstanding (including all accrued interest and unpaid fees</w:t>
      </w:r>
      <w:r>
        <w:rPr>
          <w:rFonts w:ascii="Arial" w:eastAsia="Times New Roman" w:hAnsi="Arial" w:cs="Arial"/>
          <w:color w:val="000000"/>
          <w:sz w:val="20"/>
          <w:szCs w:val="20"/>
        </w:rPr>
        <w:t xml:space="preserve">) to be immediately due and payable, and require that we cash collateralize the outstanding standby letters of credit. </w:t>
      </w:r>
    </w:p>
    <w:p w:rsidR="00000000" w:rsidRDefault="001E2972">
      <w:pPr>
        <w:ind w:firstLine="720"/>
        <w:jc w:val="both"/>
        <w:divId w:val="1680350763"/>
        <w:rPr>
          <w:rFonts w:eastAsia="Times New Roman"/>
        </w:rPr>
      </w:pPr>
      <w:r>
        <w:rPr>
          <w:rFonts w:ascii="Arial" w:eastAsia="Times New Roman" w:hAnsi="Arial" w:cs="Arial"/>
          <w:color w:val="000000"/>
          <w:sz w:val="20"/>
          <w:szCs w:val="20"/>
        </w:rPr>
        <w:t>Total deferred financing costs related to the Credit Facility of $18.7 million, consisting of $13.4 million related to the term loan and</w:t>
      </w:r>
      <w:r>
        <w:rPr>
          <w:rFonts w:ascii="Arial" w:eastAsia="Times New Roman" w:hAnsi="Arial" w:cs="Arial"/>
          <w:color w:val="000000"/>
          <w:sz w:val="20"/>
          <w:szCs w:val="20"/>
        </w:rPr>
        <w:t xml:space="preserve"> $5.2 million related to the line of credit, are being amortized to interest expense over the term of the Credit Facility. We incurred total fees of $4.6 million in conjunction with the Amendment, the majority of which we capitalized in the quarter ended J</w:t>
      </w:r>
      <w:r>
        <w:rPr>
          <w:rFonts w:ascii="Arial" w:eastAsia="Times New Roman" w:hAnsi="Arial" w:cs="Arial"/>
          <w:color w:val="000000"/>
          <w:sz w:val="20"/>
          <w:szCs w:val="20"/>
        </w:rPr>
        <w:t>uly 31, 2020, and are amortizing over the remaining term of the Credit Facility.</w:t>
      </w:r>
    </w:p>
    <w:p w:rsidR="00000000" w:rsidRDefault="001E2972">
      <w:pPr>
        <w:divId w:val="1879465571"/>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1"/>
        <w:gridCol w:w="1282"/>
        <w:gridCol w:w="36"/>
        <w:gridCol w:w="36"/>
        <w:gridCol w:w="36"/>
        <w:gridCol w:w="36"/>
        <w:gridCol w:w="122"/>
        <w:gridCol w:w="1283"/>
        <w:gridCol w:w="36"/>
      </w:tblGrid>
      <w:tr w:rsidR="00000000">
        <w:trPr>
          <w:divId w:val="1683699043"/>
        </w:trPr>
        <w:tc>
          <w:tcPr>
            <w:tcW w:w="50" w:type="pct"/>
            <w:vAlign w:val="center"/>
            <w:hideMark/>
          </w:tcPr>
          <w:p w:rsidR="00000000" w:rsidRDefault="001E2972">
            <w:pPr>
              <w:rPr>
                <w:rFonts w:eastAsia="Times New Roman"/>
              </w:rPr>
            </w:pPr>
          </w:p>
        </w:tc>
        <w:tc>
          <w:tcPr>
            <w:tcW w:w="311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82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683699043"/>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April 30, 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October 31, 2020</w:t>
            </w:r>
          </w:p>
        </w:tc>
      </w:tr>
      <w:tr w:rsidR="00000000">
        <w:trPr>
          <w:divId w:val="1683699043"/>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Current portion of long-term debt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683699043"/>
        </w:trPr>
        <w:tc>
          <w:tcPr>
            <w:tcW w:w="0" w:type="auto"/>
            <w:gridSpan w:val="3"/>
            <w:shd w:val="clear" w:color="auto" w:fill="FFFFF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DCE2E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FFFFFF"/>
            <w:tcMar>
              <w:top w:w="30" w:type="dxa"/>
              <w:left w:w="51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Height w:val="280"/>
        </w:trPr>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683699043"/>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683699043"/>
        </w:trPr>
        <w:tc>
          <w:tcPr>
            <w:tcW w:w="0" w:type="auto"/>
            <w:gridSpan w:val="3"/>
            <w:shd w:val="clear" w:color="auto" w:fill="DCE2E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500.0 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560.0 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FFFFF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DCE2EF"/>
            <w:tcMar>
              <w:top w:w="30" w:type="dxa"/>
              <w:left w:w="51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499.1 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557.7 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FFFFFF"/>
            <w:tcMar>
              <w:top w:w="30" w:type="dxa"/>
              <w:left w:w="20" w:type="dxa"/>
              <w:bottom w:w="30" w:type="dxa"/>
              <w:right w:w="20" w:type="dxa"/>
            </w:tcMar>
            <w:vAlign w:val="bottom"/>
            <w:hideMark/>
          </w:tcPr>
          <w:p w:rsidR="00000000" w:rsidRDefault="001E2972">
            <w:pPr>
              <w:divId w:val="583105583"/>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2"/>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25.1 </w:t>
            </w:r>
          </w:p>
        </w:tc>
        <w:tc>
          <w:tcPr>
            <w:tcW w:w="0" w:type="auto"/>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45.3 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683699043"/>
        </w:trPr>
        <w:tc>
          <w:tcPr>
            <w:tcW w:w="0" w:type="auto"/>
            <w:gridSpan w:val="3"/>
            <w:shd w:val="clear" w:color="auto" w:fill="DCE2EF"/>
            <w:tcMar>
              <w:top w:w="30" w:type="dxa"/>
              <w:left w:w="245"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524.2 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603.0 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53708875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$149.2 million at April 30, 2021. </w:t>
      </w:r>
    </w:p>
    <w:p w:rsidR="00000000" w:rsidRDefault="001E2972">
      <w:pPr>
        <w:ind w:hanging="180"/>
        <w:jc w:val="both"/>
        <w:divId w:val="70753111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April 30, 2021, we had borrowing capacity of $622.1 million, reflecting covenant restrictions.</w:t>
      </w:r>
    </w:p>
    <w:p w:rsidR="00000000" w:rsidRDefault="001E2972">
      <w:pPr>
        <w:divId w:val="797727345"/>
        <w:rPr>
          <w:rFonts w:eastAsia="Times New Roman"/>
        </w:rPr>
      </w:pPr>
      <w:r>
        <w:rPr>
          <w:rFonts w:ascii="Arial" w:eastAsia="Times New Roman" w:hAnsi="Arial" w:cs="Arial"/>
          <w:b/>
          <w:bCs/>
          <w:color w:val="0046AD"/>
          <w:sz w:val="20"/>
          <w:szCs w:val="20"/>
        </w:rPr>
        <w:t>Term Loan Maturities</w:t>
      </w:r>
    </w:p>
    <w:p w:rsidR="00000000" w:rsidRDefault="001E2972">
      <w:pPr>
        <w:ind w:firstLine="720"/>
        <w:jc w:val="both"/>
        <w:divId w:val="897589053"/>
        <w:rPr>
          <w:rFonts w:eastAsia="Times New Roman"/>
        </w:rPr>
      </w:pPr>
      <w:r>
        <w:rPr>
          <w:rFonts w:ascii="Arial" w:eastAsia="Times New Roman" w:hAnsi="Arial" w:cs="Arial"/>
          <w:color w:val="000000"/>
          <w:sz w:val="20"/>
          <w:szCs w:val="20"/>
        </w:rPr>
        <w:t>During the three and six months ended April 30, 2021, we made principal payments under the term loan of $30.0 million and $60.0 million, respectively. As of April 30, 2021,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5646"/>
        <w:gridCol w:w="37"/>
        <w:gridCol w:w="36"/>
        <w:gridCol w:w="36"/>
        <w:gridCol w:w="36"/>
        <w:gridCol w:w="121"/>
        <w:gridCol w:w="1027"/>
        <w:gridCol w:w="36"/>
        <w:gridCol w:w="36"/>
        <w:gridCol w:w="36"/>
        <w:gridCol w:w="36"/>
        <w:gridCol w:w="121"/>
        <w:gridCol w:w="1028"/>
        <w:gridCol w:w="36"/>
      </w:tblGrid>
      <w:tr w:rsidR="00000000">
        <w:trPr>
          <w:divId w:val="2082947482"/>
        </w:trPr>
        <w:tc>
          <w:tcPr>
            <w:tcW w:w="50" w:type="pct"/>
            <w:vAlign w:val="center"/>
            <w:hideMark/>
          </w:tcPr>
          <w:p w:rsidR="00000000" w:rsidRDefault="001E2972">
            <w:pPr>
              <w:ind w:firstLine="720"/>
              <w:jc w:val="both"/>
              <w:rPr>
                <w:rFonts w:eastAsia="Times New Roman"/>
              </w:rPr>
            </w:pPr>
          </w:p>
        </w:tc>
        <w:tc>
          <w:tcPr>
            <w:tcW w:w="342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6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6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8294748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2022</w:t>
            </w:r>
          </w:p>
        </w:tc>
      </w:tr>
      <w:tr w:rsidR="00000000">
        <w:trPr>
          <w:divId w:val="2082947482"/>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560.0 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divId w:val="1080953245"/>
        <w:rPr>
          <w:rFonts w:eastAsia="Times New Roman"/>
        </w:rPr>
      </w:pPr>
      <w:r>
        <w:rPr>
          <w:rFonts w:ascii="Arial" w:eastAsia="Times New Roman" w:hAnsi="Arial" w:cs="Arial"/>
          <w:b/>
          <w:bCs/>
          <w:color w:val="0046AD"/>
          <w:sz w:val="20"/>
          <w:szCs w:val="20"/>
        </w:rPr>
        <w:t>Interest Rate Swaps</w:t>
      </w:r>
    </w:p>
    <w:p w:rsidR="00000000" w:rsidRDefault="001E2972">
      <w:pPr>
        <w:ind w:firstLine="720"/>
        <w:jc w:val="both"/>
        <w:divId w:val="1252202812"/>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 throughout the life</w:t>
      </w:r>
      <w:r>
        <w:rPr>
          <w:rFonts w:ascii="Arial" w:eastAsia="Times New Roman" w:hAnsi="Arial" w:cs="Arial"/>
          <w:color w:val="000000"/>
          <w:sz w:val="20"/>
          <w:szCs w:val="20"/>
        </w:rPr>
        <w:t xml:space="preserve"> of the agreement. We initially report the mark-to-market gain or loss on a derivative as a component of accumulated other comprehensive loss (“AOCL”) and subsequently reclassify the gain or loss into earnings when the hedged transactions occur and affect </w:t>
      </w:r>
      <w:r>
        <w:rPr>
          <w:rFonts w:ascii="Arial" w:eastAsia="Times New Roman" w:hAnsi="Arial" w:cs="Arial"/>
          <w:color w:val="000000"/>
          <w:sz w:val="20"/>
          <w:szCs w:val="20"/>
        </w:rPr>
        <w:t>earnings. Interest payables and receivables under the swap agreements are accrued and recorded as adjustments to interest expense. All of our interest rate swaps have been designated and accounted for as cash flow hedges from inception. See Note 5, “Fair V</w:t>
      </w:r>
      <w:r>
        <w:rPr>
          <w:rFonts w:ascii="Arial" w:eastAsia="Times New Roman" w:hAnsi="Arial" w:cs="Arial"/>
          <w:color w:val="000000"/>
          <w:sz w:val="20"/>
          <w:szCs w:val="20"/>
        </w:rPr>
        <w:t>alue of Financial Instruments,” regarding the valuation of our interest rate swaps.</w:t>
      </w:r>
    </w:p>
    <w:p w:rsidR="00000000" w:rsidRDefault="001E2972">
      <w:pPr>
        <w:jc w:val="center"/>
        <w:divId w:val="719983744"/>
        <w:rPr>
          <w:rFonts w:eastAsia="Times New Roman"/>
        </w:rPr>
      </w:pPr>
      <w:r>
        <w:rPr>
          <w:rFonts w:ascii="Arial" w:eastAsia="Times New Roman" w:hAnsi="Arial" w:cs="Arial"/>
          <w:color w:val="000000"/>
          <w:sz w:val="20"/>
          <w:szCs w:val="20"/>
        </w:rPr>
        <w:t>16</w:t>
      </w:r>
    </w:p>
    <w:p w:rsidR="00000000" w:rsidRDefault="001E2972">
      <w:pPr>
        <w:rPr>
          <w:rFonts w:eastAsia="Times New Roman"/>
        </w:rPr>
      </w:pPr>
      <w:r>
        <w:rPr>
          <w:rFonts w:eastAsia="Times New Roman"/>
        </w:rPr>
        <w:pict>
          <v:rect id="_x0000_i1046" style="width:0;height:1.5pt" o:hralign="center" o:hrstd="t" o:hr="t" fillcolor="#a0a0a0" stroked="f"/>
        </w:pict>
      </w:r>
    </w:p>
    <w:p w:rsidR="00000000" w:rsidRDefault="001E2972">
      <w:pPr>
        <w:jc w:val="both"/>
        <w:divId w:val="186046853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trPr>
          <w:divId w:val="485629113"/>
        </w:trPr>
        <w:tc>
          <w:tcPr>
            <w:tcW w:w="50" w:type="pct"/>
            <w:vAlign w:val="center"/>
            <w:hideMark/>
          </w:tcPr>
          <w:p w:rsidR="00000000" w:rsidRDefault="001E2972">
            <w:pPr>
              <w:jc w:val="both"/>
              <w:rPr>
                <w:rFonts w:eastAsia="Times New Roman"/>
              </w:rPr>
            </w:pPr>
          </w:p>
        </w:tc>
        <w:tc>
          <w:tcPr>
            <w:tcW w:w="116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16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16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16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485629113"/>
        </w:trPr>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Maturity Date</w:t>
            </w:r>
          </w:p>
        </w:tc>
      </w:tr>
      <w:tr w:rsidR="00000000">
        <w:trPr>
          <w:divId w:val="485629113"/>
        </w:trPr>
        <w:tc>
          <w:tcPr>
            <w:tcW w:w="0" w:type="auto"/>
            <w:gridSpan w:val="3"/>
            <w:vAlign w:val="center"/>
            <w:hideMark/>
          </w:tcPr>
          <w:p w:rsidR="00000000" w:rsidRDefault="001E2972">
            <w:pPr>
              <w:jc w:val="center"/>
              <w:rPr>
                <w:rFonts w:eastAsia="Times New Roman"/>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485629113"/>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 xml:space="preserve">$ </w:t>
            </w:r>
            <w:r>
              <w:rPr>
                <w:rFonts w:ascii="Arial" w:eastAsia="Times New Roman" w:hAnsi="Arial" w:cs="Arial"/>
                <w:color w:val="000000"/>
                <w:sz w:val="18"/>
                <w:szCs w:val="18"/>
              </w:rPr>
              <w:t>90.0 million</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October 31, 2021</w:t>
            </w:r>
          </w:p>
        </w:tc>
      </w:tr>
      <w:tr w:rsidR="00000000">
        <w:trPr>
          <w:divId w:val="485629113"/>
        </w:trPr>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2.86%</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April 30, 2022</w:t>
            </w:r>
          </w:p>
        </w:tc>
      </w:tr>
      <w:tr w:rsidR="00000000">
        <w:trPr>
          <w:divId w:val="485629113"/>
        </w:trPr>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September 1, 2022</w:t>
            </w:r>
          </w:p>
        </w:tc>
      </w:tr>
    </w:tbl>
    <w:p w:rsidR="00000000" w:rsidRDefault="001E2972">
      <w:pPr>
        <w:ind w:firstLine="720"/>
        <w:jc w:val="both"/>
        <w:divId w:val="2085683398"/>
        <w:rPr>
          <w:rFonts w:eastAsia="Times New Roman"/>
        </w:rPr>
      </w:pPr>
      <w:r>
        <w:rPr>
          <w:rFonts w:ascii="Arial" w:eastAsia="Times New Roman" w:hAnsi="Arial" w:cs="Arial"/>
          <w:color w:val="000000"/>
          <w:sz w:val="20"/>
          <w:szCs w:val="20"/>
        </w:rPr>
        <w:t>At April </w:t>
      </w:r>
      <w:r>
        <w:rPr>
          <w:rFonts w:ascii="Arial" w:eastAsia="Times New Roman" w:hAnsi="Arial" w:cs="Arial"/>
          <w:color w:val="000000"/>
          <w:sz w:val="20"/>
          <w:szCs w:val="20"/>
        </w:rPr>
        <w:t>30, 2021 and October 31, 2020, amounts recorded in AOCL for interest rate swaps were a loss of $1.3 million, net of taxes of $0.1 million, and a loss of $3.3 million, net of taxes of $0.9 million, respectively. These amounts included the gain associated wi</w:t>
      </w:r>
      <w:r>
        <w:rPr>
          <w:rFonts w:ascii="Arial" w:eastAsia="Times New Roman" w:hAnsi="Arial" w:cs="Arial"/>
          <w:color w:val="000000"/>
          <w:sz w:val="20"/>
          <w:szCs w:val="20"/>
        </w:rPr>
        <w:t>th the interest rate swaps we terminated in 2018, which is being amortized to interest expense as interest payments are made over the term of our Credit Facility. During the three and six months ended April 30, 2021, we amortized $1.2 million, net of taxes</w:t>
      </w:r>
      <w:r>
        <w:rPr>
          <w:rFonts w:ascii="Arial" w:eastAsia="Times New Roman" w:hAnsi="Arial" w:cs="Arial"/>
          <w:color w:val="000000"/>
          <w:sz w:val="20"/>
          <w:szCs w:val="20"/>
        </w:rPr>
        <w:t xml:space="preserve"> of $0.4 million, and $2.3 million, net of taxes of $0.9 million, respectively, of this gain to interest expense. During the three and six months ended April 30, 2020, we amortized $1.2 million, net of taxes of $0.5 million, and $2.4 million, net of taxes </w:t>
      </w:r>
      <w:r>
        <w:rPr>
          <w:rFonts w:ascii="Arial" w:eastAsia="Times New Roman" w:hAnsi="Arial" w:cs="Arial"/>
          <w:color w:val="000000"/>
          <w:sz w:val="20"/>
          <w:szCs w:val="20"/>
        </w:rPr>
        <w:t>of $0.9 million, respectively. At April 30, 2021, the total amount expected to be reclassified from AOCL to earnings during the next twelve months is a loss of $1.6 million, net of a tax benefit of $0.4 million.</w:t>
      </w:r>
    </w:p>
    <w:p w:rsidR="00000000" w:rsidRDefault="001E2972">
      <w:pPr>
        <w:ind w:firstLine="720"/>
        <w:jc w:val="both"/>
        <w:divId w:val="755982673"/>
        <w:rPr>
          <w:rFonts w:eastAsia="Times New Roman"/>
        </w:rPr>
      </w:pPr>
    </w:p>
    <w:p w:rsidR="00000000" w:rsidRDefault="001E2972">
      <w:pPr>
        <w:divId w:val="250044571"/>
        <w:rPr>
          <w:rFonts w:eastAsia="Times New Roman"/>
        </w:rPr>
      </w:pPr>
      <w:r>
        <w:rPr>
          <w:rFonts w:ascii="Arial" w:eastAsia="Times New Roman" w:hAnsi="Arial" w:cs="Arial"/>
          <w:b/>
          <w:bCs/>
          <w:color w:val="0046AD"/>
          <w:sz w:val="20"/>
          <w:szCs w:val="20"/>
        </w:rPr>
        <w:t xml:space="preserve">8. 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433866234"/>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433866234"/>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divId w:val="482812822"/>
        <w:rPr>
          <w:rFonts w:eastAsia="Times New Roman"/>
        </w:rPr>
      </w:pPr>
      <w:r>
        <w:rPr>
          <w:rFonts w:ascii="Arial" w:eastAsia="Times New Roman" w:hAnsi="Arial" w:cs="Arial"/>
          <w:b/>
          <w:bCs/>
          <w:color w:val="0046AD"/>
          <w:sz w:val="20"/>
          <w:szCs w:val="20"/>
        </w:rPr>
        <w:t>Letters of Credit and Surety Bonds</w:t>
      </w:r>
    </w:p>
    <w:p w:rsidR="00000000" w:rsidRDefault="001E2972">
      <w:pPr>
        <w:ind w:firstLine="720"/>
        <w:jc w:val="both"/>
        <w:divId w:val="1335456239"/>
        <w:rPr>
          <w:rFonts w:eastAsia="Times New Roman"/>
        </w:rPr>
      </w:pPr>
      <w:r>
        <w:rPr>
          <w:rFonts w:ascii="Arial" w:eastAsia="Times New Roman" w:hAnsi="Arial" w:cs="Arial"/>
          <w:color w:val="000000"/>
          <w:sz w:val="20"/>
          <w:szCs w:val="20"/>
        </w:rPr>
        <w:t>We use letters of credit and surety bonds to secure certain commitments related to insurance programs and for other purposes. As of April 30, 2021, these letters of credit and surety bonds totaled $149.2 million a</w:t>
      </w:r>
      <w:r>
        <w:rPr>
          <w:rFonts w:ascii="Arial" w:eastAsia="Times New Roman" w:hAnsi="Arial" w:cs="Arial"/>
          <w:color w:val="000000"/>
          <w:sz w:val="20"/>
          <w:szCs w:val="20"/>
        </w:rPr>
        <w:t xml:space="preserve">nd $600.7 million, respectively. </w:t>
      </w:r>
    </w:p>
    <w:p w:rsidR="00000000" w:rsidRDefault="001E2972">
      <w:pPr>
        <w:jc w:val="both"/>
        <w:divId w:val="244999327"/>
        <w:rPr>
          <w:rFonts w:eastAsia="Times New Roman"/>
        </w:rPr>
      </w:pPr>
      <w:r>
        <w:rPr>
          <w:rFonts w:ascii="Arial" w:eastAsia="Times New Roman" w:hAnsi="Arial" w:cs="Arial"/>
          <w:b/>
          <w:bCs/>
          <w:color w:val="0046AD"/>
          <w:sz w:val="20"/>
          <w:szCs w:val="20"/>
        </w:rPr>
        <w:t>Guarantees</w:t>
      </w:r>
    </w:p>
    <w:p w:rsidR="00000000" w:rsidRDefault="001E2972">
      <w:pPr>
        <w:ind w:firstLine="720"/>
        <w:jc w:val="both"/>
        <w:divId w:val="1171794410"/>
        <w:rPr>
          <w:rFonts w:eastAsia="Times New Roman"/>
        </w:rPr>
      </w:pPr>
      <w:r>
        <w:rPr>
          <w:rFonts w:ascii="Arial" w:eastAsia="Times New Roman" w:hAnsi="Arial" w:cs="Arial"/>
          <w:color w:val="000000"/>
          <w:sz w:val="20"/>
          <w:szCs w:val="20"/>
        </w:rPr>
        <w:t>In some instances, we offer clients guaranteed energy savings under certain energy savings contracts. At April 30, 2021, total guarantees were $206.5 million and extend through 2041. We accrue for the estimated cost of guarantees when it is probable that a</w:t>
      </w:r>
      <w:r>
        <w:rPr>
          <w:rFonts w:ascii="Arial" w:eastAsia="Times New Roman" w:hAnsi="Arial" w:cs="Arial"/>
          <w:color w:val="000000"/>
          <w:sz w:val="20"/>
          <w:szCs w:val="20"/>
        </w:rPr>
        <w:t xml:space="preserve"> liability has been incurred and the amount can be reasonably estimated. Historically, we have not incurred any material losses in connection with these guarantees. </w:t>
      </w:r>
    </w:p>
    <w:p w:rsidR="00000000" w:rsidRDefault="001E2972">
      <w:pPr>
        <w:divId w:val="2081634515"/>
        <w:rPr>
          <w:rFonts w:eastAsia="Times New Roman"/>
        </w:rPr>
      </w:pPr>
      <w:r>
        <w:rPr>
          <w:rFonts w:ascii="Arial" w:eastAsia="Times New Roman" w:hAnsi="Arial" w:cs="Arial"/>
          <w:b/>
          <w:bCs/>
          <w:color w:val="0046AD"/>
          <w:sz w:val="20"/>
          <w:szCs w:val="20"/>
        </w:rPr>
        <w:t>Sales Taxes</w:t>
      </w:r>
    </w:p>
    <w:p w:rsidR="00000000" w:rsidRDefault="001E2972">
      <w:pPr>
        <w:ind w:firstLine="720"/>
        <w:jc w:val="both"/>
        <w:divId w:val="2107262978"/>
        <w:rPr>
          <w:rFonts w:eastAsia="Times New Roman"/>
        </w:rPr>
      </w:pPr>
      <w:r>
        <w:rPr>
          <w:rFonts w:ascii="Arial" w:eastAsia="Times New Roman" w:hAnsi="Arial" w:cs="Arial"/>
          <w:color w:val="000000"/>
          <w:sz w:val="20"/>
          <w:szCs w:val="20"/>
        </w:rPr>
        <w:t>We collect sales tax from clients and remit those collections to the applicabl</w:t>
      </w:r>
      <w:r>
        <w:rPr>
          <w:rFonts w:ascii="Arial" w:eastAsia="Times New Roman" w:hAnsi="Arial" w:cs="Arial"/>
          <w:color w:val="000000"/>
          <w:sz w:val="20"/>
          <w:szCs w:val="20"/>
        </w:rPr>
        <w:t xml:space="preserve">e states. When clients fail to pay their invoices, including the amount of any sales tax that we paid on their behalf, in some cases we are entitled to seek a refund of that amount of sales tax from the applicable state. </w:t>
      </w:r>
    </w:p>
    <w:p w:rsidR="00000000" w:rsidRDefault="001E2972">
      <w:pPr>
        <w:ind w:firstLine="720"/>
        <w:jc w:val="both"/>
        <w:divId w:val="538006176"/>
        <w:rPr>
          <w:rFonts w:eastAsia="Times New Roman"/>
        </w:rPr>
      </w:pPr>
      <w:r>
        <w:rPr>
          <w:rFonts w:ascii="Arial" w:eastAsia="Times New Roman" w:hAnsi="Arial" w:cs="Arial"/>
          <w:color w:val="000000"/>
          <w:sz w:val="20"/>
          <w:szCs w:val="20"/>
        </w:rPr>
        <w:t>Sales tax laws and regulations ena</w:t>
      </w:r>
      <w:r>
        <w:rPr>
          <w:rFonts w:ascii="Arial" w:eastAsia="Times New Roman" w:hAnsi="Arial" w:cs="Arial"/>
          <w:color w:val="000000"/>
          <w:sz w:val="20"/>
          <w:szCs w:val="20"/>
        </w:rPr>
        <w:t>cted by the various states are subject to interpretation, and our compliance with such laws is routinely subject to audit and review by such states. Audit risk is concentrated in several states that are conducting ongoing audits. The outcomes of ongoing an</w:t>
      </w:r>
      <w:r>
        <w:rPr>
          <w:rFonts w:ascii="Arial" w:eastAsia="Times New Roman" w:hAnsi="Arial" w:cs="Arial"/>
          <w:color w:val="000000"/>
          <w:sz w:val="20"/>
          <w:szCs w:val="20"/>
        </w:rPr>
        <w:t xml:space="preserve">d any future audits and changes in the states’ interpretation of the sales tax laws and regulations could materially adversely impact our results of operations. </w:t>
      </w:r>
    </w:p>
    <w:p w:rsidR="00000000" w:rsidRDefault="001E2972">
      <w:pPr>
        <w:jc w:val="both"/>
        <w:divId w:val="1725174296"/>
        <w:rPr>
          <w:rFonts w:eastAsia="Times New Roman"/>
        </w:rPr>
      </w:pPr>
      <w:r>
        <w:rPr>
          <w:rFonts w:ascii="Arial" w:eastAsia="Times New Roman" w:hAnsi="Arial" w:cs="Arial"/>
          <w:b/>
          <w:bCs/>
          <w:color w:val="0046AD"/>
          <w:sz w:val="20"/>
          <w:szCs w:val="20"/>
        </w:rPr>
        <w:t>Legal Matters</w:t>
      </w:r>
    </w:p>
    <w:p w:rsidR="00000000" w:rsidRDefault="001E2972">
      <w:pPr>
        <w:ind w:firstLine="720"/>
        <w:jc w:val="both"/>
        <w:divId w:val="1047334349"/>
        <w:rPr>
          <w:rFonts w:eastAsia="Times New Roman"/>
        </w:rPr>
      </w:pPr>
      <w:r>
        <w:rPr>
          <w:rFonts w:ascii="Arial" w:eastAsia="Times New Roman" w:hAnsi="Arial" w:cs="Arial"/>
          <w:color w:val="000000"/>
          <w:sz w:val="20"/>
          <w:szCs w:val="20"/>
        </w:rPr>
        <w:t xml:space="preserve">We are a party to a number of lawsuits, claims, and proceedings incident to the </w:t>
      </w:r>
      <w:r>
        <w:rPr>
          <w:rFonts w:ascii="Arial" w:eastAsia="Times New Roman" w:hAnsi="Arial" w:cs="Arial"/>
          <w:color w:val="000000"/>
          <w:sz w:val="20"/>
          <w:szCs w:val="20"/>
        </w:rPr>
        <w:t>operation of our business, including those pertaining to labor and employment, contracts, personal injury, and other matters, some of which allege substantial monetary damages. Some of these actions may be brought as class actions on behalf of a class or p</w:t>
      </w:r>
      <w:r>
        <w:rPr>
          <w:rFonts w:ascii="Arial" w:eastAsia="Times New Roman" w:hAnsi="Arial" w:cs="Arial"/>
          <w:color w:val="000000"/>
          <w:sz w:val="20"/>
          <w:szCs w:val="20"/>
        </w:rPr>
        <w:t>urported class of employees.</w:t>
      </w:r>
    </w:p>
    <w:p w:rsidR="00000000" w:rsidRDefault="001E2972">
      <w:pPr>
        <w:ind w:firstLine="720"/>
        <w:jc w:val="both"/>
        <w:divId w:val="2102682946"/>
        <w:rPr>
          <w:rFonts w:eastAsia="Times New Roman"/>
        </w:rPr>
      </w:pPr>
      <w:r>
        <w:rPr>
          <w:rFonts w:ascii="Arial" w:eastAsia="Times New Roman" w:hAnsi="Arial" w:cs="Arial"/>
          <w:color w:val="000000"/>
          <w:sz w:val="20"/>
          <w:szCs w:val="20"/>
        </w:rPr>
        <w:t>At April 30, 2021, the total amount accrued for probable litigation losses where a reasonable estimate of the loss could be made was $14.6 million. We do not accrue for contingent losses that, in our judgment, are considered to</w:t>
      </w:r>
      <w:r>
        <w:rPr>
          <w:rFonts w:ascii="Arial" w:eastAsia="Times New Roman" w:hAnsi="Arial" w:cs="Arial"/>
          <w:color w:val="000000"/>
          <w:sz w:val="20"/>
          <w:szCs w:val="20"/>
        </w:rPr>
        <w:t xml:space="preserve"> be reasonably possible but not probable. The estimation of reasonably possible losses also requires the analysis of multiple possible outcomes that often depend on judgments about potential actions by third parties. Our management currently estimates the </w:t>
      </w:r>
      <w:r>
        <w:rPr>
          <w:rFonts w:ascii="Arial" w:eastAsia="Times New Roman" w:hAnsi="Arial" w:cs="Arial"/>
          <w:color w:val="000000"/>
          <w:sz w:val="20"/>
          <w:szCs w:val="20"/>
        </w:rPr>
        <w:t>range of loss for all reasonably possible losses for which a reasonable estimate of the loss can be made is between zero and $8 million. Factors underlying this estimated range of loss may change from time to time, and actual results may vary significantly</w:t>
      </w:r>
      <w:r>
        <w:rPr>
          <w:rFonts w:ascii="Arial" w:eastAsia="Times New Roman" w:hAnsi="Arial" w:cs="Arial"/>
          <w:color w:val="000000"/>
          <w:sz w:val="20"/>
          <w:szCs w:val="20"/>
        </w:rPr>
        <w:t xml:space="preserve"> from this estimate. The amounts above do not include any accrual or loss estimates with respect to the Bucio case, which are detailed below.</w:t>
      </w:r>
    </w:p>
    <w:p w:rsidR="00000000" w:rsidRDefault="001E2972">
      <w:pPr>
        <w:jc w:val="center"/>
        <w:divId w:val="885681011"/>
        <w:rPr>
          <w:rFonts w:eastAsia="Times New Roman"/>
        </w:rPr>
      </w:pPr>
      <w:r>
        <w:rPr>
          <w:rFonts w:ascii="Arial" w:eastAsia="Times New Roman" w:hAnsi="Arial" w:cs="Arial"/>
          <w:color w:val="000000"/>
          <w:sz w:val="20"/>
          <w:szCs w:val="20"/>
        </w:rPr>
        <w:t>17</w:t>
      </w:r>
    </w:p>
    <w:p w:rsidR="00000000" w:rsidRDefault="001E2972">
      <w:pPr>
        <w:rPr>
          <w:rFonts w:eastAsia="Times New Roman"/>
        </w:rPr>
      </w:pPr>
      <w:r>
        <w:rPr>
          <w:rFonts w:eastAsia="Times New Roman"/>
        </w:rPr>
        <w:pict>
          <v:rect id="_x0000_i1047" style="width:0;height:1.5pt" o:hralign="center" o:hrstd="t" o:hr="t" fillcolor="#a0a0a0" stroked="f"/>
        </w:pict>
      </w:r>
    </w:p>
    <w:p w:rsidR="00000000" w:rsidRDefault="001E2972">
      <w:pPr>
        <w:jc w:val="both"/>
        <w:divId w:val="632711036"/>
        <w:rPr>
          <w:rFonts w:eastAsia="Times New Roman"/>
        </w:rPr>
      </w:pPr>
    </w:p>
    <w:p w:rsidR="00000000" w:rsidRDefault="001E2972">
      <w:pPr>
        <w:ind w:firstLine="720"/>
        <w:jc w:val="both"/>
        <w:divId w:val="1490361041"/>
        <w:rPr>
          <w:rFonts w:eastAsia="Times New Roman"/>
        </w:rPr>
      </w:pPr>
      <w:r>
        <w:rPr>
          <w:rFonts w:ascii="Arial" w:eastAsia="Times New Roman" w:hAnsi="Arial" w:cs="Arial"/>
          <w:color w:val="000000"/>
          <w:sz w:val="20"/>
          <w:szCs w:val="20"/>
        </w:rPr>
        <w:t>Litigation outcomes are difficult to predict and the estimation of proba</w:t>
      </w:r>
      <w:r>
        <w:rPr>
          <w:rFonts w:ascii="Arial" w:eastAsia="Times New Roman" w:hAnsi="Arial" w:cs="Arial"/>
          <w:color w:val="000000"/>
          <w:sz w:val="20"/>
          <w:szCs w:val="20"/>
        </w:rPr>
        <w:t>ble losses requires the analysis of multiple possible outcomes that often depend on judgments about potential actions by third parties. If one or more matters are resolved in a particular period in an amount in excess of, or in a manner different than, wha</w:t>
      </w:r>
      <w:r>
        <w:rPr>
          <w:rFonts w:ascii="Arial" w:eastAsia="Times New Roman" w:hAnsi="Arial" w:cs="Arial"/>
          <w:color w:val="000000"/>
          <w:sz w:val="20"/>
          <w:szCs w:val="20"/>
        </w:rPr>
        <w:t>t we anticipated, this could have a material adverse effect on our financial position, results of operations, or cash flows.</w:t>
      </w:r>
    </w:p>
    <w:p w:rsidR="00000000" w:rsidRDefault="001E2972">
      <w:pPr>
        <w:ind w:firstLine="720"/>
        <w:jc w:val="both"/>
        <w:divId w:val="1575629449"/>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w:t>
      </w:r>
      <w:r>
        <w:rPr>
          <w:rFonts w:ascii="Arial" w:eastAsia="Times New Roman" w:hAnsi="Arial" w:cs="Arial"/>
          <w:color w:val="000000"/>
          <w:sz w:val="20"/>
          <w:szCs w:val="20"/>
        </w:rPr>
        <w:t>robable matters or the range of losses for reasonably possible matters. Therefore, our accrual for probable losses and our estimated range of loss for reasonably possible losses do not represent our maximum possible exposure.</w:t>
      </w:r>
    </w:p>
    <w:p w:rsidR="00000000" w:rsidRDefault="001E2972">
      <w:pPr>
        <w:jc w:val="both"/>
        <w:divId w:val="1091047064"/>
        <w:rPr>
          <w:rFonts w:eastAsia="Times New Roman"/>
        </w:rPr>
      </w:pPr>
      <w:r>
        <w:rPr>
          <w:rFonts w:ascii="Arial" w:eastAsia="Times New Roman" w:hAnsi="Arial" w:cs="Arial"/>
          <w:b/>
          <w:bCs/>
          <w:i/>
          <w:iCs/>
          <w:color w:val="0046AD"/>
          <w:sz w:val="20"/>
          <w:szCs w:val="20"/>
        </w:rPr>
        <w:t>Certain Legal Proceedings</w:t>
      </w:r>
    </w:p>
    <w:p w:rsidR="00000000" w:rsidRDefault="001E2972">
      <w:pPr>
        <w:ind w:firstLine="720"/>
        <w:jc w:val="both"/>
        <w:divId w:val="1495487857"/>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nature of any other re</w:t>
      </w:r>
      <w:r>
        <w:rPr>
          <w:rFonts w:ascii="Arial" w:eastAsia="Times New Roman" w:hAnsi="Arial" w:cs="Arial"/>
          <w:color w:val="000000"/>
          <w:sz w:val="20"/>
          <w:szCs w:val="20"/>
        </w:rPr>
        <w:t>lief sought in the proceeding; if such damages and other relief are specified, our view of the merits of the claims; whether the action is or purports to be a class action, and our view of the likelihood that a class will be certified by the court; the jur</w:t>
      </w:r>
      <w:r>
        <w:rPr>
          <w:rFonts w:ascii="Arial" w:eastAsia="Times New Roman" w:hAnsi="Arial" w:cs="Arial"/>
          <w:color w:val="000000"/>
          <w:sz w:val="20"/>
          <w:szCs w:val="20"/>
        </w:rPr>
        <w:t xml:space="preserve">isdiction in which the proceeding is pending; and the potential impact of the proceeding on our reputation. </w:t>
      </w:r>
    </w:p>
    <w:p w:rsidR="00000000" w:rsidRDefault="001E2972">
      <w:pPr>
        <w:ind w:firstLine="720"/>
        <w:jc w:val="both"/>
        <w:divId w:val="1752047215"/>
        <w:rPr>
          <w:rFonts w:eastAsia="Times New Roman"/>
        </w:rPr>
      </w:pPr>
      <w:r>
        <w:rPr>
          <w:rFonts w:ascii="Arial" w:eastAsia="Times New Roman" w:hAnsi="Arial" w:cs="Arial"/>
          <w:i/>
          <w:iCs/>
          <w:color w:val="000000"/>
          <w:sz w:val="20"/>
          <w:szCs w:val="20"/>
        </w:rPr>
        <w:t>The Consolidated Cases of Bucio and Martinez v. ABM Janitorial Services filed on April 7, 2006, pending in the Superior Court of California, County</w:t>
      </w:r>
      <w:r>
        <w:rPr>
          <w:rFonts w:ascii="Arial" w:eastAsia="Times New Roman" w:hAnsi="Arial" w:cs="Arial"/>
          <w:i/>
          <w:iCs/>
          <w:color w:val="000000"/>
          <w:sz w:val="20"/>
          <w:szCs w:val="20"/>
        </w:rPr>
        <w:t xml:space="preserve"> of San Francisco (the “Bucio case”) </w:t>
      </w:r>
    </w:p>
    <w:p w:rsidR="00000000" w:rsidRDefault="001E2972">
      <w:pPr>
        <w:ind w:firstLine="720"/>
        <w:jc w:val="both"/>
        <w:divId w:val="571089228"/>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is a class action pending in San Francisco Superior Court that alleges we failed to provide legally required meal periods and make additional premium payments for such meal periods, pay split shift premi</w:t>
      </w:r>
      <w:r>
        <w:rPr>
          <w:rFonts w:ascii="Arial" w:eastAsia="Times New Roman" w:hAnsi="Arial" w:cs="Arial"/>
          <w:color w:val="000000"/>
          <w:sz w:val="20"/>
          <w:szCs w:val="20"/>
        </w:rPr>
        <w:t>ums when owed, and reimburse janitors for travel expenses. There is also a claim for penalties under the California Labor Code Private Attorneys General Act (“PAGA”). On April 19, 2011, the trial court held a hearing on plaintiffs’ motion to certify the cl</w:t>
      </w:r>
      <w:r>
        <w:rPr>
          <w:rFonts w:ascii="Arial" w:eastAsia="Times New Roman" w:hAnsi="Arial" w:cs="Arial"/>
          <w:color w:val="000000"/>
          <w:sz w:val="20"/>
          <w:szCs w:val="20"/>
        </w:rPr>
        <w:t xml:space="preserve">ass. At the conclusion of that hearing, the trial court denied plaintiffs’ motion to certify the class. On May 11, 2011, the plaintiffs filed a motion to reconsider, which was denied. The plaintiffs appealed the class certification issues. The trial court </w:t>
      </w:r>
      <w:r>
        <w:rPr>
          <w:rFonts w:ascii="Arial" w:eastAsia="Times New Roman" w:hAnsi="Arial" w:cs="Arial"/>
          <w:color w:val="000000"/>
          <w:sz w:val="20"/>
          <w:szCs w:val="20"/>
        </w:rPr>
        <w:t>stayed the underlying lawsuit pending the decision in the appeal. The Court of Appeal of the State of California, First Appellate District (the “Court of Appeal”), heard oral arguments on November 7, 2017. On December 11, 2017, the Court of Appeal reversed</w:t>
      </w:r>
      <w:r>
        <w:rPr>
          <w:rFonts w:ascii="Arial" w:eastAsia="Times New Roman" w:hAnsi="Arial" w:cs="Arial"/>
          <w:color w:val="000000"/>
          <w:sz w:val="20"/>
          <w:szCs w:val="20"/>
        </w:rPr>
        <w:t xml:space="preserve"> the trial court’s order denying class certification and remanded the matter for certification of a meal period, travel expense reimbursement, and split shift class. The case was remitted to the trial court for further proceedings on class certification, d</w:t>
      </w:r>
      <w:r>
        <w:rPr>
          <w:rFonts w:ascii="Arial" w:eastAsia="Times New Roman" w:hAnsi="Arial" w:cs="Arial"/>
          <w:color w:val="000000"/>
          <w:sz w:val="20"/>
          <w:szCs w:val="20"/>
        </w:rPr>
        <w:t xml:space="preserve">iscovery, dispositive motions, and trial. </w:t>
      </w:r>
    </w:p>
    <w:p w:rsidR="00000000" w:rsidRDefault="001E2972">
      <w:pPr>
        <w:ind w:firstLine="720"/>
        <w:jc w:val="both"/>
        <w:divId w:val="1605570287"/>
        <w:rPr>
          <w:rFonts w:eastAsia="Times New Roman"/>
        </w:rPr>
      </w:pPr>
      <w:r>
        <w:rPr>
          <w:rFonts w:ascii="Arial" w:eastAsia="Times New Roman" w:hAnsi="Arial" w:cs="Arial"/>
          <w:color w:val="000000"/>
          <w:sz w:val="20"/>
          <w:szCs w:val="20"/>
        </w:rPr>
        <w:t>On September 20, 2018, the trial court entered an order defining four certified subclasses of janitors who were employed by the legacy ABM janitorial companies in California at any time between April 7, 2002 and A</w:t>
      </w:r>
      <w:r>
        <w:rPr>
          <w:rFonts w:ascii="Arial" w:eastAsia="Times New Roman" w:hAnsi="Arial" w:cs="Arial"/>
          <w:color w:val="000000"/>
          <w:sz w:val="20"/>
          <w:szCs w:val="20"/>
        </w:rPr>
        <w:t>pril 30, 2013, on claims based on alleged previous automatic deduction practices for meal breaks, unpaid meal premiums, unpaid split shift premiums, and unreimbursed business expenses, such as mileage reimbursement for use of personal vehicles to travel be</w:t>
      </w:r>
      <w:r>
        <w:rPr>
          <w:rFonts w:ascii="Arial" w:eastAsia="Times New Roman" w:hAnsi="Arial" w:cs="Arial"/>
          <w:color w:val="000000"/>
          <w:sz w:val="20"/>
          <w:szCs w:val="20"/>
        </w:rPr>
        <w:t>tween worksites. On February 1, 2019, the trial court held that the discovery related to PAGA claims allegedly arising after April 30, 2013 would be stayed until after the class and PAGA claims accruing prior to April 30, 2013 had been tried. The parties e</w:t>
      </w:r>
      <w:r>
        <w:rPr>
          <w:rFonts w:ascii="Arial" w:eastAsia="Times New Roman" w:hAnsi="Arial" w:cs="Arial"/>
          <w:color w:val="000000"/>
          <w:sz w:val="20"/>
          <w:szCs w:val="20"/>
        </w:rPr>
        <w:t>ngaged in mediation in July 2019, which did not result in settlement of the case. On October 17, 2019, the plaintiffs filed a motion asking the trial court to certify additional classes based on an alleged failure to maintain time records, an alleged failu</w:t>
      </w:r>
      <w:r>
        <w:rPr>
          <w:rFonts w:ascii="Arial" w:eastAsia="Times New Roman" w:hAnsi="Arial" w:cs="Arial"/>
          <w:color w:val="000000"/>
          <w:sz w:val="20"/>
          <w:szCs w:val="20"/>
        </w:rPr>
        <w:t>re to provide accurate wage statements, and an alleged practice of combining meal and rest breaks. The trial court denied the plaintiffs’ motion to certify additional classes on December 26, 2019. The case was re-assigned to a new judge on January 6, 2020.</w:t>
      </w:r>
      <w:r>
        <w:rPr>
          <w:rFonts w:ascii="Arial" w:eastAsia="Times New Roman" w:hAnsi="Arial" w:cs="Arial"/>
          <w:color w:val="000000"/>
          <w:sz w:val="20"/>
          <w:szCs w:val="20"/>
        </w:rPr>
        <w:t xml:space="preserve"> ABM filed motions for summary adjudication as to certain of plaintiffs’ class claims, and the trial court denied those motions in November 2020. The parties engaged in another mediation in January 2021, which did not result in a settlement of the case. Pl</w:t>
      </w:r>
      <w:r>
        <w:rPr>
          <w:rFonts w:ascii="Arial" w:eastAsia="Times New Roman" w:hAnsi="Arial" w:cs="Arial"/>
          <w:color w:val="000000"/>
          <w:sz w:val="20"/>
          <w:szCs w:val="20"/>
        </w:rPr>
        <w:t xml:space="preserve">aintiffs filed motions for summary adjudication and/or summary judgment on some claims in December 2020. </w:t>
      </w:r>
    </w:p>
    <w:p w:rsidR="00000000" w:rsidRDefault="001E2972">
      <w:pPr>
        <w:ind w:firstLine="720"/>
        <w:jc w:val="both"/>
        <w:divId w:val="75909277"/>
        <w:rPr>
          <w:rFonts w:eastAsia="Times New Roman"/>
        </w:rPr>
      </w:pPr>
      <w:r>
        <w:rPr>
          <w:rFonts w:ascii="Arial" w:eastAsia="Times New Roman" w:hAnsi="Arial" w:cs="Arial"/>
          <w:color w:val="000000"/>
          <w:sz w:val="20"/>
          <w:szCs w:val="20"/>
        </w:rPr>
        <w:t xml:space="preserve">In February and March 2021, the parties engaged in expert discovery which provided detailed information regarding the plaintiffs’ damage calculations </w:t>
      </w:r>
      <w:r>
        <w:rPr>
          <w:rFonts w:ascii="Arial" w:eastAsia="Times New Roman" w:hAnsi="Arial" w:cs="Arial"/>
          <w:color w:val="000000"/>
          <w:sz w:val="20"/>
          <w:szCs w:val="20"/>
        </w:rPr>
        <w:t xml:space="preserve">on the class claims. On February 25, 2021, the California Supreme Court issued an opinion in </w:t>
      </w:r>
      <w:r>
        <w:rPr>
          <w:rFonts w:ascii="Arial" w:eastAsia="Times New Roman" w:hAnsi="Arial" w:cs="Arial"/>
          <w:i/>
          <w:iCs/>
          <w:color w:val="000000"/>
          <w:sz w:val="20"/>
          <w:szCs w:val="20"/>
        </w:rPr>
        <w:t>Donohue v. AMN Services</w:t>
      </w:r>
      <w:r>
        <w:rPr>
          <w:rFonts w:ascii="Arial" w:eastAsia="Times New Roman" w:hAnsi="Arial" w:cs="Arial"/>
          <w:color w:val="000000"/>
          <w:sz w:val="20"/>
          <w:szCs w:val="20"/>
        </w:rPr>
        <w:t>, which addresses the standard for adjudicating meal period claims under California law and we believe is supportive of ABM’s legal position</w:t>
      </w:r>
      <w:r>
        <w:rPr>
          <w:rFonts w:ascii="Arial" w:eastAsia="Times New Roman" w:hAnsi="Arial" w:cs="Arial"/>
          <w:color w:val="000000"/>
          <w:sz w:val="20"/>
          <w:szCs w:val="20"/>
        </w:rPr>
        <w:t xml:space="preserve">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On May 5, 2021, the trial court denied all of the plaintiffs’ December 2020 motions for summary adjudication and/or summary judgment and the case was assigned to a new judge. On May 5, 2021, the trial court ordered the parties to attend</w:t>
      </w:r>
      <w:r>
        <w:rPr>
          <w:rFonts w:ascii="Arial" w:eastAsia="Times New Roman" w:hAnsi="Arial" w:cs="Arial"/>
          <w:color w:val="000000"/>
          <w:sz w:val="20"/>
          <w:szCs w:val="20"/>
        </w:rPr>
        <w:t xml:space="preserve"> a mandatory settlement conference before a separate judge on June 11, 2021. The Company filed a motion to decertify the classes on May 24, 2021, which is set for a hearing on June 28, 2021. The current trial date is July 12, 2021.</w:t>
      </w:r>
    </w:p>
    <w:p w:rsidR="00000000" w:rsidRDefault="001E2972">
      <w:pPr>
        <w:jc w:val="center"/>
        <w:divId w:val="987831393"/>
        <w:rPr>
          <w:rFonts w:eastAsia="Times New Roman"/>
        </w:rPr>
      </w:pPr>
      <w:r>
        <w:rPr>
          <w:rFonts w:ascii="Arial" w:eastAsia="Times New Roman" w:hAnsi="Arial" w:cs="Arial"/>
          <w:color w:val="000000"/>
          <w:sz w:val="20"/>
          <w:szCs w:val="20"/>
        </w:rPr>
        <w:t>18</w:t>
      </w:r>
    </w:p>
    <w:p w:rsidR="00000000" w:rsidRDefault="001E2972">
      <w:pPr>
        <w:rPr>
          <w:rFonts w:eastAsia="Times New Roman"/>
        </w:rPr>
      </w:pPr>
      <w:r>
        <w:rPr>
          <w:rFonts w:eastAsia="Times New Roman"/>
        </w:rPr>
        <w:pict>
          <v:rect id="_x0000_i1048" style="width:0;height:1.5pt" o:hralign="center" o:hrstd="t" o:hr="t" fillcolor="#a0a0a0" stroked="f"/>
        </w:pict>
      </w:r>
    </w:p>
    <w:p w:rsidR="00000000" w:rsidRDefault="001E2972">
      <w:pPr>
        <w:jc w:val="both"/>
        <w:divId w:val="262763788"/>
        <w:rPr>
          <w:rFonts w:eastAsia="Times New Roman"/>
        </w:rPr>
      </w:pPr>
    </w:p>
    <w:p w:rsidR="00000000" w:rsidRDefault="001E2972">
      <w:pPr>
        <w:ind w:firstLine="720"/>
        <w:jc w:val="both"/>
        <w:divId w:val="1279752251"/>
        <w:rPr>
          <w:rFonts w:eastAsia="Times New Roman"/>
        </w:rPr>
      </w:pPr>
      <w:r>
        <w:rPr>
          <w:rFonts w:ascii="Arial" w:eastAsia="Times New Roman" w:hAnsi="Arial" w:cs="Arial"/>
          <w:color w:val="000000"/>
          <w:sz w:val="20"/>
          <w:szCs w:val="20"/>
        </w:rPr>
        <w:t>The Company denies that it has liability to the plaintiffs in this case and we believe we have strong legal arguments as to liability, damages, and to decertification of the classes. However, to the extent trial proceeds, and the plaintif</w:t>
      </w:r>
      <w:r>
        <w:rPr>
          <w:rFonts w:ascii="Arial" w:eastAsia="Times New Roman" w:hAnsi="Arial" w:cs="Arial"/>
          <w:color w:val="000000"/>
          <w:sz w:val="20"/>
          <w:szCs w:val="20"/>
        </w:rPr>
        <w:t xml:space="preserve">fs are successful on all certified class claims, ABM estimates that, based on the plaintiffs’ theories and damages model (with which the Company does not agree), the class claims damages award could range up to $160 million. That said, if plaintiffs’ most </w:t>
      </w:r>
      <w:r>
        <w:rPr>
          <w:rFonts w:ascii="Arial" w:eastAsia="Times New Roman" w:hAnsi="Arial" w:cs="Arial"/>
          <w:color w:val="000000"/>
          <w:sz w:val="20"/>
          <w:szCs w:val="20"/>
        </w:rPr>
        <w:t>aggressive damages models and theories are credited, the class damages award could be significantly in excess of $160 million. The PAGA claims and the plaintiffs’ claim for attorneys’ fees are not currently estimable, but an award of penalties under PAGA c</w:t>
      </w:r>
      <w:r>
        <w:rPr>
          <w:rFonts w:ascii="Arial" w:eastAsia="Times New Roman" w:hAnsi="Arial" w:cs="Arial"/>
          <w:color w:val="000000"/>
          <w:sz w:val="20"/>
          <w:szCs w:val="20"/>
        </w:rPr>
        <w:t>ould be material as the statute provides for penalties per class member per pay period in which a violation of the California Labor Code has been proven, and Plaintiffs are seeking multiple PAGA penalties per class member per pay period. There is a wide ra</w:t>
      </w:r>
      <w:r>
        <w:rPr>
          <w:rFonts w:ascii="Arial" w:eastAsia="Times New Roman" w:hAnsi="Arial" w:cs="Arial"/>
          <w:color w:val="000000"/>
          <w:sz w:val="20"/>
          <w:szCs w:val="20"/>
        </w:rPr>
        <w:t>nge of potential exposure in this case in the event of an adverse verdict. Based on the expert discovery described above, the recent court rulings, and the range of potential exposure, the Company recorded a reserve of $30 million for the quarter. ended Ap</w:t>
      </w:r>
      <w:r>
        <w:rPr>
          <w:rFonts w:ascii="Arial" w:eastAsia="Times New Roman" w:hAnsi="Arial" w:cs="Arial"/>
          <w:color w:val="000000"/>
          <w:sz w:val="20"/>
          <w:szCs w:val="20"/>
        </w:rPr>
        <w:t xml:space="preserve">ril 30, 2021. </w:t>
      </w:r>
    </w:p>
    <w:p w:rsidR="00000000" w:rsidRDefault="001E2972">
      <w:pPr>
        <w:ind w:firstLine="720"/>
        <w:jc w:val="both"/>
        <w:divId w:val="517624806"/>
        <w:rPr>
          <w:rFonts w:eastAsia="Times New Roman"/>
        </w:rPr>
      </w:pPr>
      <w:r>
        <w:rPr>
          <w:rFonts w:ascii="Arial" w:eastAsia="Times New Roman" w:hAnsi="Arial" w:cs="Arial"/>
          <w:color w:val="000000"/>
          <w:sz w:val="20"/>
          <w:szCs w:val="20"/>
        </w:rPr>
        <w:t>As noted previously, litigation outcomes are difficult to predict, and the estimation of probable losses requires an analysis of multiple possible outcomes that often depend on judgments about potential actions by third parties. Accordingly,</w:t>
      </w:r>
      <w:r>
        <w:rPr>
          <w:rFonts w:ascii="Arial" w:eastAsia="Times New Roman" w:hAnsi="Arial" w:cs="Arial"/>
          <w:color w:val="000000"/>
          <w:sz w:val="20"/>
          <w:szCs w:val="20"/>
        </w:rPr>
        <w:t xml:space="preserve"> the recorded reserve of $30 million for the quarter ended April 30, 2021 is based on a host of factors, considerations, and judgments, and the ultimate resolution of this matter could result in a loss in excess of the recorded reserve. Whether the ultimat</w:t>
      </w:r>
      <w:r>
        <w:rPr>
          <w:rFonts w:ascii="Arial" w:eastAsia="Times New Roman" w:hAnsi="Arial" w:cs="Arial"/>
          <w:color w:val="000000"/>
          <w:sz w:val="20"/>
          <w:szCs w:val="20"/>
        </w:rPr>
        <w:t xml:space="preserve">e resolution results in a loss in excess of the reserve already recorded will depend on many factors, including (but not limited to) settlement discussions, the unpredictable nature of juries, and court rulings. While we believe we have strong defenses to </w:t>
      </w:r>
      <w:r>
        <w:rPr>
          <w:rFonts w:ascii="Arial" w:eastAsia="Times New Roman" w:hAnsi="Arial" w:cs="Arial"/>
          <w:color w:val="000000"/>
          <w:sz w:val="20"/>
          <w:szCs w:val="20"/>
        </w:rPr>
        <w:t xml:space="preserve">the claims in this proceeding and will continue to vigorously defend ourselves, there can be no assurance that the final resolution of this matter will not have a material adverse effect on our business, financial condition, results of operations, or cash </w:t>
      </w:r>
      <w:r>
        <w:rPr>
          <w:rFonts w:ascii="Arial" w:eastAsia="Times New Roman" w:hAnsi="Arial" w:cs="Arial"/>
          <w:color w:val="000000"/>
          <w:sz w:val="20"/>
          <w:szCs w:val="20"/>
        </w:rPr>
        <w:t xml:space="preserve">flows. </w:t>
      </w:r>
    </w:p>
    <w:p w:rsidR="00000000" w:rsidRDefault="001E2972">
      <w:pPr>
        <w:divId w:val="1040326921"/>
        <w:rPr>
          <w:rFonts w:eastAsia="Times New Roman"/>
        </w:rPr>
      </w:pPr>
    </w:p>
    <w:p w:rsidR="00000000" w:rsidRDefault="001E2972">
      <w:pPr>
        <w:jc w:val="both"/>
        <w:divId w:val="2052345408"/>
        <w:rPr>
          <w:rFonts w:eastAsia="Times New Roman"/>
        </w:rPr>
      </w:pPr>
      <w:r>
        <w:rPr>
          <w:rFonts w:ascii="Arial" w:eastAsia="Times New Roman" w:hAnsi="Arial" w:cs="Arial"/>
          <w:b/>
          <w:bCs/>
          <w:color w:val="0046AD"/>
          <w:sz w:val="20"/>
          <w:szCs w:val="20"/>
        </w:rPr>
        <w:t xml:space="preserve">9.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75343901"/>
        </w:trPr>
        <w:tc>
          <w:tcPr>
            <w:tcW w:w="5" w:type="pct"/>
            <w:vAlign w:val="center"/>
            <w:hideMark/>
          </w:tcPr>
          <w:p w:rsidR="00000000" w:rsidRDefault="001E2972">
            <w:pPr>
              <w:jc w:val="both"/>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17534390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681395464"/>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and six months ended April 30, 2021, we had effective tax rat</w:t>
      </w:r>
      <w:r>
        <w:rPr>
          <w:rFonts w:ascii="Arial" w:eastAsia="Times New Roman" w:hAnsi="Arial" w:cs="Arial"/>
          <w:color w:val="000000"/>
          <w:sz w:val="20"/>
          <w:szCs w:val="20"/>
        </w:rPr>
        <w:t>es of 27.3% and 26.9%, respectively, resulting in provisions for taxes of $11.7 million and $38.9 million, respectively. During the three and six months ended April 30, 2020, we had effective tax rates of (8.4)% and (21.4)%, respectively, resulting in prov</w:t>
      </w:r>
      <w:r>
        <w:rPr>
          <w:rFonts w:ascii="Arial" w:eastAsia="Times New Roman" w:hAnsi="Arial" w:cs="Arial"/>
          <w:color w:val="000000"/>
          <w:sz w:val="20"/>
          <w:szCs w:val="20"/>
        </w:rPr>
        <w:t>isions for taxes of $10.6 million and $19.2 million, respectively. The effective tax rate for the three and six months ended April 30, 2020, excluding an impairment loss of non-deductible goodwill of $163.8 million, was 28.1% and 25.9% respectively. The di</w:t>
      </w:r>
      <w:r>
        <w:rPr>
          <w:rFonts w:ascii="Arial" w:eastAsia="Times New Roman" w:hAnsi="Arial" w:cs="Arial"/>
          <w:color w:val="000000"/>
          <w:sz w:val="20"/>
          <w:szCs w:val="20"/>
        </w:rPr>
        <w:t>fference between the effective tax rate and statutory rate is primarily related to tax credits. The rate difference between periods is driven by increased income in 2021.</w:t>
      </w:r>
    </w:p>
    <w:p w:rsidR="00000000" w:rsidRDefault="001E2972">
      <w:pPr>
        <w:ind w:firstLine="720"/>
        <w:jc w:val="both"/>
        <w:divId w:val="1738745187"/>
        <w:rPr>
          <w:rFonts w:eastAsia="Times New Roman"/>
        </w:rPr>
      </w:pPr>
      <w:r>
        <w:rPr>
          <w:rFonts w:ascii="Arial" w:eastAsia="Times New Roman" w:hAnsi="Arial" w:cs="Arial"/>
          <w:color w:val="000000"/>
          <w:sz w:val="20"/>
          <w:szCs w:val="20"/>
        </w:rPr>
        <w:t xml:space="preserve">Our effective tax rate for the three months ended April 30, 2021 was not impacted by </w:t>
      </w:r>
      <w:r>
        <w:rPr>
          <w:rFonts w:ascii="Arial" w:eastAsia="Times New Roman" w:hAnsi="Arial" w:cs="Arial"/>
          <w:color w:val="000000"/>
          <w:sz w:val="20"/>
          <w:szCs w:val="20"/>
        </w:rPr>
        <w:t>any significant discrete items. Our effective tax rate for the three months ended April 30, 2020 was impacted by an impairment loss of non-deductible goodwill as described in Note 5.</w:t>
      </w:r>
    </w:p>
    <w:p w:rsidR="00000000" w:rsidRDefault="001E2972">
      <w:pPr>
        <w:ind w:firstLine="720"/>
        <w:jc w:val="both"/>
        <w:divId w:val="1529372483"/>
        <w:rPr>
          <w:rFonts w:eastAsia="Times New Roman"/>
        </w:rPr>
      </w:pPr>
      <w:r>
        <w:rPr>
          <w:rFonts w:ascii="Arial" w:eastAsia="Times New Roman" w:hAnsi="Arial" w:cs="Arial"/>
          <w:color w:val="000000"/>
          <w:sz w:val="20"/>
          <w:szCs w:val="20"/>
        </w:rPr>
        <w:t>Our effective tax rate for the six months ended April 30, 2021 was not im</w:t>
      </w:r>
      <w:r>
        <w:rPr>
          <w:rFonts w:ascii="Arial" w:eastAsia="Times New Roman" w:hAnsi="Arial" w:cs="Arial"/>
          <w:color w:val="000000"/>
          <w:sz w:val="20"/>
          <w:szCs w:val="20"/>
        </w:rPr>
        <w:t>pacted by any significant discrete items. Our effective tax rate for the six months ended April 30, 2020 was impacted by an impairment loss of non-deductible goodwill as described in Note 5 and a $1.5 million tax provision related to the Work Opportunity T</w:t>
      </w:r>
      <w:r>
        <w:rPr>
          <w:rFonts w:ascii="Arial" w:eastAsia="Times New Roman" w:hAnsi="Arial" w:cs="Arial"/>
          <w:color w:val="000000"/>
          <w:sz w:val="20"/>
          <w:szCs w:val="20"/>
        </w:rPr>
        <w:t>ax Credit (“WOTC”).</w:t>
      </w:r>
    </w:p>
    <w:p w:rsidR="00000000" w:rsidRDefault="001E2972">
      <w:pPr>
        <w:ind w:firstLine="720"/>
        <w:jc w:val="both"/>
        <w:divId w:val="919292539"/>
        <w:rPr>
          <w:rFonts w:eastAsia="Times New Roman"/>
        </w:rPr>
      </w:pPr>
      <w:r>
        <w:rPr>
          <w:rFonts w:ascii="Arial" w:eastAsia="Times New Roman" w:hAnsi="Arial" w:cs="Arial"/>
          <w:color w:val="000000"/>
          <w:sz w:val="20"/>
          <w:szCs w:val="20"/>
        </w:rPr>
        <w:t>In response to COVID-19, Congress enacted the Coronavirus Aid, Relief, and Economic Security Act (“CARES Act”) on March 27, 2020. The CARES Act provides various tax provisions, including payroll tax provisions, which we have evaluated f</w:t>
      </w:r>
      <w:r>
        <w:rPr>
          <w:rFonts w:ascii="Arial" w:eastAsia="Times New Roman" w:hAnsi="Arial" w:cs="Arial"/>
          <w:color w:val="000000"/>
          <w:sz w:val="20"/>
          <w:szCs w:val="20"/>
        </w:rPr>
        <w:t>or applicability. Through December 31, 2020, we deferred approximately $132 million of payroll tax, which the CARES Act requires to be remitted in equal parts by December 31, 2021 and December 31, 2022. The impact of the income tax provisions was not mater</w:t>
      </w:r>
      <w:r>
        <w:rPr>
          <w:rFonts w:ascii="Arial" w:eastAsia="Times New Roman" w:hAnsi="Arial" w:cs="Arial"/>
          <w:color w:val="000000"/>
          <w:sz w:val="20"/>
          <w:szCs w:val="20"/>
        </w:rPr>
        <w:t xml:space="preserve">ial. </w:t>
      </w:r>
    </w:p>
    <w:p w:rsidR="00000000" w:rsidRDefault="001E2972">
      <w:pPr>
        <w:ind w:firstLine="720"/>
        <w:jc w:val="both"/>
        <w:divId w:val="1998997506"/>
        <w:rPr>
          <w:rFonts w:eastAsia="Times New Roman"/>
        </w:rPr>
      </w:pPr>
      <w:r>
        <w:rPr>
          <w:rFonts w:ascii="Arial" w:eastAsia="Times New Roman" w:hAnsi="Arial" w:cs="Arial"/>
          <w:color w:val="000000"/>
          <w:sz w:val="20"/>
          <w:szCs w:val="20"/>
        </w:rPr>
        <w:t xml:space="preserve">We plan to reinvest our foreign earnings to fund future non-U.S. growth and expansion, and we do not anticipate remitting such earnings to the United States. While U.S. federal tax expense has been recognized as a result of the Tax Cuts and Jobs Act </w:t>
      </w:r>
      <w:r>
        <w:rPr>
          <w:rFonts w:ascii="Arial" w:eastAsia="Times New Roman" w:hAnsi="Arial" w:cs="Arial"/>
          <w:color w:val="000000"/>
          <w:sz w:val="20"/>
          <w:szCs w:val="20"/>
        </w:rPr>
        <w:t xml:space="preserve">of 2017, no deferred tax liabilities with respect to federal and state income taxes or foreign withholding taxes have been recognized. </w:t>
      </w:r>
    </w:p>
    <w:p w:rsidR="00000000" w:rsidRDefault="001E2972">
      <w:pPr>
        <w:divId w:val="421226708"/>
        <w:rPr>
          <w:rFonts w:eastAsia="Times New Roman"/>
        </w:rPr>
      </w:pPr>
    </w:p>
    <w:p w:rsidR="00000000" w:rsidRDefault="001E2972">
      <w:pPr>
        <w:divId w:val="937837071"/>
        <w:rPr>
          <w:rFonts w:eastAsia="Times New Roman"/>
        </w:rPr>
      </w:pPr>
    </w:p>
    <w:p w:rsidR="00000000" w:rsidRDefault="001E2972">
      <w:pPr>
        <w:jc w:val="center"/>
        <w:divId w:val="1445920968"/>
        <w:rPr>
          <w:rFonts w:eastAsia="Times New Roman"/>
        </w:rPr>
      </w:pPr>
      <w:r>
        <w:rPr>
          <w:rFonts w:ascii="Arial" w:eastAsia="Times New Roman" w:hAnsi="Arial" w:cs="Arial"/>
          <w:color w:val="000000"/>
          <w:sz w:val="20"/>
          <w:szCs w:val="20"/>
        </w:rPr>
        <w:t>19</w:t>
      </w:r>
    </w:p>
    <w:p w:rsidR="00000000" w:rsidRDefault="001E2972">
      <w:pPr>
        <w:rPr>
          <w:rFonts w:eastAsia="Times New Roman"/>
        </w:rPr>
      </w:pPr>
      <w:r>
        <w:rPr>
          <w:rFonts w:eastAsia="Times New Roman"/>
        </w:rPr>
        <w:pict>
          <v:rect id="_x0000_i1049" style="width:0;height:1.5pt" o:hralign="center" o:hrstd="t" o:hr="t" fillcolor="#a0a0a0" stroked="f"/>
        </w:pict>
      </w:r>
    </w:p>
    <w:p w:rsidR="00000000" w:rsidRDefault="001E2972">
      <w:pPr>
        <w:jc w:val="both"/>
        <w:divId w:val="1030645373"/>
        <w:rPr>
          <w:rFonts w:eastAsia="Times New Roman"/>
        </w:rPr>
      </w:pPr>
    </w:p>
    <w:p w:rsidR="00000000" w:rsidRDefault="001E2972">
      <w:pPr>
        <w:divId w:val="2054116874"/>
        <w:rPr>
          <w:rFonts w:eastAsia="Times New Roman"/>
        </w:rPr>
      </w:pPr>
      <w:r>
        <w:rPr>
          <w:rFonts w:ascii="Arial" w:eastAsia="Times New Roman" w:hAnsi="Arial" w:cs="Arial"/>
          <w:b/>
          <w:bCs/>
          <w:color w:val="0046AD"/>
          <w:sz w:val="20"/>
          <w:szCs w:val="20"/>
        </w:rPr>
        <w:t xml:space="preserve">10.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03149272"/>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0314927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689137950"/>
        <w:rPr>
          <w:rFonts w:eastAsia="Times New Roman"/>
        </w:rPr>
      </w:pPr>
      <w:r>
        <w:rPr>
          <w:rFonts w:ascii="Arial" w:eastAsia="Times New Roman" w:hAnsi="Arial" w:cs="Arial"/>
          <w:color w:val="000000"/>
          <w:sz w:val="20"/>
          <w:szCs w:val="20"/>
        </w:rPr>
        <w:t xml:space="preserve">Our current reportable segments consist of B&amp;I, T&amp;M, Education, Aviation, and Technical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9"/>
        <w:gridCol w:w="5833"/>
        <w:gridCol w:w="37"/>
      </w:tblGrid>
      <w:tr w:rsidR="00000000">
        <w:trPr>
          <w:divId w:val="1689285044"/>
        </w:trPr>
        <w:tc>
          <w:tcPr>
            <w:tcW w:w="50" w:type="pct"/>
            <w:vAlign w:val="center"/>
            <w:hideMark/>
          </w:tcPr>
          <w:p w:rsidR="00000000" w:rsidRDefault="001E2972">
            <w:pPr>
              <w:ind w:firstLine="720"/>
              <w:jc w:val="both"/>
              <w:rPr>
                <w:rFonts w:eastAsia="Times New Roman"/>
              </w:rPr>
            </w:pPr>
          </w:p>
        </w:tc>
        <w:tc>
          <w:tcPr>
            <w:tcW w:w="137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51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689285044"/>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68928504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1E2972">
            <w:pPr>
              <w:jc w:val="center"/>
              <w:divId w:val="169608933"/>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divId w:val="1987587048"/>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sports and entertainment venues, and traditional hospitals and non-acute healthcare facilities. B&amp;I also provides</w:t>
            </w:r>
            <w:r>
              <w:rPr>
                <w:rFonts w:ascii="Arial" w:eastAsia="Times New Roman" w:hAnsi="Arial" w:cs="Arial"/>
                <w:color w:val="000000"/>
                <w:sz w:val="18"/>
                <w:szCs w:val="18"/>
              </w:rPr>
              <w:t xml:space="preserve"> vehicle maintenance and other services to rental car providers.</w:t>
            </w:r>
          </w:p>
        </w:tc>
      </w:tr>
      <w:tr w:rsidR="00000000">
        <w:trPr>
          <w:divId w:val="168928504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1E2972">
            <w:pPr>
              <w:jc w:val="center"/>
              <w:divId w:val="79328545"/>
              <w:rPr>
                <w:rFonts w:eastAsia="Times New Roman"/>
              </w:rPr>
            </w:pPr>
            <w:r>
              <w:rPr>
                <w:rFonts w:ascii="Arial" w:eastAsia="Times New Roman" w:hAnsi="Arial" w:cs="Arial"/>
                <w:color w:val="000000"/>
                <w:sz w:val="18"/>
                <w:szCs w:val="18"/>
              </w:rPr>
              <w:t>T&amp;M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divId w:val="792602618"/>
              <w:rPr>
                <w:rFonts w:eastAsia="Times New Roman"/>
              </w:rPr>
            </w:pPr>
            <w:r>
              <w:rPr>
                <w:rFonts w:ascii="Arial" w:eastAsia="Times New Roman" w:hAnsi="Arial" w:cs="Arial"/>
                <w:color w:val="000000"/>
                <w:sz w:val="18"/>
                <w:szCs w:val="18"/>
              </w:rPr>
              <w:t>T&amp;</w:t>
            </w:r>
            <w:r>
              <w:rPr>
                <w:rFonts w:ascii="Arial" w:eastAsia="Times New Roman" w:hAnsi="Arial" w:cs="Arial"/>
                <w:color w:val="000000"/>
                <w:sz w:val="18"/>
                <w:szCs w:val="18"/>
              </w:rPr>
              <w:t>M provides janitorial, facilities engineering, and parking services to industrial and high-tech manufacturing facilities.</w:t>
            </w:r>
          </w:p>
        </w:tc>
      </w:tr>
      <w:tr w:rsidR="00000000">
        <w:trPr>
          <w:divId w:val="168928504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1E2972">
            <w:pPr>
              <w:jc w:val="center"/>
              <w:divId w:val="1195121463"/>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divId w:val="627392747"/>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w:t>
            </w:r>
            <w:r>
              <w:rPr>
                <w:rFonts w:ascii="Arial" w:eastAsia="Times New Roman" w:hAnsi="Arial" w:cs="Arial"/>
                <w:color w:val="000000"/>
                <w:sz w:val="18"/>
                <w:szCs w:val="18"/>
              </w:rPr>
              <w:t>lic school districts, private schools, colleges, and universities.</w:t>
            </w:r>
          </w:p>
        </w:tc>
      </w:tr>
      <w:tr w:rsidR="00000000">
        <w:trPr>
          <w:divId w:val="168928504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1E2972">
            <w:pPr>
              <w:jc w:val="center"/>
              <w:divId w:val="609582884"/>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divId w:val="869298380"/>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w:t>
            </w:r>
            <w:r>
              <w:rPr>
                <w:rFonts w:ascii="Arial" w:eastAsia="Times New Roman" w:hAnsi="Arial" w:cs="Arial"/>
                <w:color w:val="000000"/>
                <w:sz w:val="18"/>
                <w:szCs w:val="18"/>
              </w:rPr>
              <w:t>n.</w:t>
            </w:r>
          </w:p>
        </w:tc>
      </w:tr>
      <w:tr w:rsidR="00000000">
        <w:trPr>
          <w:divId w:val="1689285044"/>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1E2972">
            <w:pPr>
              <w:jc w:val="center"/>
              <w:divId w:val="1839274705"/>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divId w:val="1130320870"/>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domestically and internationally.</w:t>
            </w:r>
          </w:p>
        </w:tc>
      </w:tr>
    </w:tbl>
    <w:p w:rsidR="00000000" w:rsidRDefault="001E2972">
      <w:pPr>
        <w:jc w:val="center"/>
        <w:divId w:val="655106893"/>
        <w:rPr>
          <w:rFonts w:eastAsia="Times New Roman"/>
        </w:rPr>
      </w:pPr>
      <w:r>
        <w:rPr>
          <w:rFonts w:ascii="Arial" w:eastAsia="Times New Roman" w:hAnsi="Arial" w:cs="Arial"/>
          <w:color w:val="000000"/>
          <w:sz w:val="20"/>
          <w:szCs w:val="20"/>
        </w:rPr>
        <w:t>20</w:t>
      </w:r>
    </w:p>
    <w:p w:rsidR="00000000" w:rsidRDefault="001E2972">
      <w:pPr>
        <w:rPr>
          <w:rFonts w:eastAsia="Times New Roman"/>
        </w:rPr>
      </w:pPr>
      <w:r>
        <w:rPr>
          <w:rFonts w:eastAsia="Times New Roman"/>
        </w:rPr>
        <w:pict>
          <v:rect id="_x0000_i1050" style="width:0;height:1.5pt" o:hralign="center" o:hrstd="t" o:hr="t" fillcolor="#a0a0a0" stroked="f"/>
        </w:pict>
      </w:r>
    </w:p>
    <w:p w:rsidR="00000000" w:rsidRDefault="001E2972">
      <w:pPr>
        <w:jc w:val="both"/>
        <w:divId w:val="650333092"/>
        <w:rPr>
          <w:rFonts w:eastAsia="Times New Roman"/>
        </w:rPr>
      </w:pPr>
    </w:p>
    <w:p w:rsidR="00000000" w:rsidRDefault="001E2972">
      <w:pPr>
        <w:jc w:val="both"/>
        <w:divId w:val="1821192998"/>
        <w:rPr>
          <w:rFonts w:eastAsia="Times New Roman"/>
        </w:rPr>
      </w:pPr>
      <w:r>
        <w:rPr>
          <w:rFonts w:ascii="Arial" w:eastAsia="Times New Roman" w:hAnsi="Arial" w:cs="Arial"/>
          <w:b/>
          <w:bCs/>
          <w:i/>
          <w:iCs/>
          <w:color w:val="0046AD"/>
          <w:sz w:val="20"/>
          <w:szCs w:val="20"/>
        </w:rPr>
        <w:t>Financial Information by Reportable Segment</w:t>
      </w:r>
    </w:p>
    <w:tbl>
      <w:tblPr>
        <w:tblW w:w="4985" w:type="pct"/>
        <w:tblCellMar>
          <w:top w:w="15" w:type="dxa"/>
          <w:left w:w="15" w:type="dxa"/>
          <w:bottom w:w="15" w:type="dxa"/>
          <w:right w:w="15" w:type="dxa"/>
        </w:tblCellMar>
        <w:tblLook w:val="04A0" w:firstRow="1" w:lastRow="0" w:firstColumn="1" w:lastColumn="0" w:noHBand="0" w:noVBand="1"/>
      </w:tblPr>
      <w:tblGrid>
        <w:gridCol w:w="40"/>
        <w:gridCol w:w="3823"/>
        <w:gridCol w:w="38"/>
        <w:gridCol w:w="121"/>
        <w:gridCol w:w="1012"/>
        <w:gridCol w:w="36"/>
        <w:gridCol w:w="36"/>
        <w:gridCol w:w="36"/>
        <w:gridCol w:w="36"/>
        <w:gridCol w:w="121"/>
        <w:gridCol w:w="761"/>
        <w:gridCol w:w="36"/>
        <w:gridCol w:w="36"/>
        <w:gridCol w:w="36"/>
        <w:gridCol w:w="36"/>
        <w:gridCol w:w="121"/>
        <w:gridCol w:w="869"/>
        <w:gridCol w:w="36"/>
        <w:gridCol w:w="36"/>
        <w:gridCol w:w="36"/>
        <w:gridCol w:w="36"/>
        <w:gridCol w:w="121"/>
        <w:gridCol w:w="786"/>
        <w:gridCol w:w="36"/>
      </w:tblGrid>
      <w:tr w:rsidR="00000000">
        <w:trPr>
          <w:divId w:val="1129326339"/>
        </w:trPr>
        <w:tc>
          <w:tcPr>
            <w:tcW w:w="50" w:type="pct"/>
            <w:vAlign w:val="center"/>
            <w:hideMark/>
          </w:tcPr>
          <w:p w:rsidR="00000000" w:rsidRDefault="001E2972">
            <w:pPr>
              <w:jc w:val="both"/>
              <w:rPr>
                <w:rFonts w:eastAsia="Times New Roman"/>
              </w:rPr>
            </w:pPr>
          </w:p>
        </w:tc>
        <w:tc>
          <w:tcPr>
            <w:tcW w:w="234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0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8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53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129326339"/>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r>
      <w:tr w:rsidR="00000000">
        <w:trPr>
          <w:divId w:val="1129326339"/>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796.2 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785.6 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1,605.6 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1,606.5 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246.3 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233.7 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495.5 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467.6 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214.2 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408.0 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148.3 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184.7 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291.5 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125.5 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122.3 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238.8 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264.3 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(33.1)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(30.4)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(65.2)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(61.0)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59.2 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171.0 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97.4 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53.8 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divId w:val="1603687023"/>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divId w:val="345331056"/>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(54.9)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divId w:val="980382894"/>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(39.5)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(123.4)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0" w:type="dxa"/>
              <w:bottom w:w="30" w:type="dxa"/>
              <w:right w:w="20" w:type="dxa"/>
            </w:tcMar>
            <w:hideMark/>
          </w:tcPr>
          <w:p w:rsidR="00000000" w:rsidRDefault="001E2972">
            <w:pPr>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0" w:type="dxa"/>
              <w:bottom w:w="30" w:type="dxa"/>
              <w:right w:w="20" w:type="dxa"/>
            </w:tcMar>
            <w:hideMark/>
          </w:tcPr>
          <w:p w:rsidR="00000000" w:rsidRDefault="001E2972">
            <w:pPr>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(116.7)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1129326339"/>
        </w:trPr>
        <w:tc>
          <w:tcPr>
            <w:tcW w:w="0" w:type="auto"/>
            <w:gridSpan w:val="3"/>
            <w:shd w:val="clear" w:color="auto" w:fill="FFFFFF"/>
            <w:tcMar>
              <w:top w:w="30" w:type="dxa"/>
              <w:left w:w="200" w:type="dxa"/>
              <w:bottom w:w="30" w:type="dxa"/>
              <w:right w:w="20" w:type="dxa"/>
            </w:tcMar>
            <w:hideMark/>
          </w:tcPr>
          <w:p w:rsidR="00000000" w:rsidRDefault="001E2972">
            <w:pPr>
              <w:ind w:hanging="180"/>
              <w:rPr>
                <w:rFonts w:eastAsia="Times New Roman"/>
              </w:rPr>
            </w:pPr>
            <w:r>
              <w:rPr>
                <w:rFonts w:ascii="Arial" w:eastAsia="Times New Roman" w:hAnsi="Arial" w:cs="Arial"/>
                <w:color w:val="000000"/>
                <w:sz w:val="18"/>
                <w:szCs w:val="18"/>
              </w:rPr>
              <w:t>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(126.2)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hanging="180"/>
        <w:jc w:val="both"/>
        <w:divId w:val="78395863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6"/>
          <w:szCs w:val="16"/>
        </w:rPr>
        <w:t xml:space="preserve"> Reflects impairment charges totaling $99.3 million on goodwill during the three and six months ended April 30, 2020.</w:t>
      </w:r>
    </w:p>
    <w:p w:rsidR="00000000" w:rsidRDefault="001E2972">
      <w:pPr>
        <w:ind w:hanging="180"/>
        <w:jc w:val="both"/>
        <w:divId w:val="146075916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6"/>
          <w:szCs w:val="16"/>
        </w:rPr>
        <w:t xml:space="preserve"> Reflects impairment charges totaling $61.1 million on goodwill and intangible assets during the three and six months ended April 30, 2</w:t>
      </w:r>
      <w:r>
        <w:rPr>
          <w:rFonts w:ascii="Arial" w:eastAsia="Times New Roman" w:hAnsi="Arial" w:cs="Arial"/>
          <w:color w:val="000000"/>
          <w:sz w:val="16"/>
          <w:szCs w:val="16"/>
        </w:rPr>
        <w:t>020.</w:t>
      </w:r>
    </w:p>
    <w:p w:rsidR="00000000" w:rsidRDefault="001E2972">
      <w:pPr>
        <w:ind w:hanging="180"/>
        <w:jc w:val="both"/>
        <w:divId w:val="813523218"/>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Reflects impairment charges totaling $12.4 million on goodwill and intangible assets during the three and six months ended April 30, 2020.</w:t>
      </w:r>
    </w:p>
    <w:p w:rsidR="00000000" w:rsidRDefault="001E2972">
      <w:pPr>
        <w:ind w:firstLine="720"/>
        <w:jc w:val="both"/>
        <w:divId w:val="249239633"/>
        <w:rPr>
          <w:rFonts w:eastAsia="Times New Roman"/>
        </w:rPr>
      </w:pPr>
      <w:r>
        <w:rPr>
          <w:rFonts w:ascii="Arial" w:eastAsia="Times New Roman" w:hAnsi="Arial" w:cs="Arial"/>
          <w:color w:val="000000"/>
          <w:sz w:val="20"/>
          <w:szCs w:val="20"/>
        </w:rPr>
        <w:t>The accounting policies for our segments are the same as those disclosed within our significant accounting p</w:t>
      </w:r>
      <w:r>
        <w:rPr>
          <w:rFonts w:ascii="Arial" w:eastAsia="Times New Roman" w:hAnsi="Arial" w:cs="Arial"/>
          <w:color w:val="000000"/>
          <w:sz w:val="20"/>
          <w:szCs w:val="20"/>
        </w:rPr>
        <w:t>olicies in Note 2, “Basis of Presentation and Significant Accounting Policies.” Our management evaluates the performance of each reportable segment based on its respective operating profit results, which include the allocation of certain centrally incurred</w:t>
      </w:r>
      <w:r>
        <w:rPr>
          <w:rFonts w:ascii="Arial" w:eastAsia="Times New Roman" w:hAnsi="Arial" w:cs="Arial"/>
          <w:color w:val="000000"/>
          <w:sz w:val="20"/>
          <w:szCs w:val="20"/>
        </w:rPr>
        <w:t xml:space="preserve"> costs. Corporate expenses not allocated to segments include certain CEO and other finance and human resource departmental expenses, certain information technology costs, share-based compensation, certain legal costs and settlements, restructuring and rela</w:t>
      </w:r>
      <w:r>
        <w:rPr>
          <w:rFonts w:ascii="Arial" w:eastAsia="Times New Roman" w:hAnsi="Arial" w:cs="Arial"/>
          <w:color w:val="000000"/>
          <w:sz w:val="20"/>
          <w:szCs w:val="20"/>
        </w:rPr>
        <w:t>ted costs, certain actuarial adjustments to self-insurance reserves, and direct acquisition costs. Management does not review asset information by segment, therefore we do not present assets in this note.</w:t>
      </w:r>
    </w:p>
    <w:p w:rsidR="00000000" w:rsidRDefault="001E2972">
      <w:pPr>
        <w:jc w:val="center"/>
        <w:divId w:val="1729840288"/>
        <w:rPr>
          <w:rFonts w:eastAsia="Times New Roman"/>
        </w:rPr>
      </w:pPr>
      <w:r>
        <w:rPr>
          <w:rFonts w:ascii="Arial" w:eastAsia="Times New Roman" w:hAnsi="Arial" w:cs="Arial"/>
          <w:color w:val="000000"/>
          <w:sz w:val="20"/>
          <w:szCs w:val="20"/>
        </w:rPr>
        <w:t>21</w:t>
      </w:r>
    </w:p>
    <w:p w:rsidR="00000000" w:rsidRDefault="001E2972">
      <w:pPr>
        <w:rPr>
          <w:rFonts w:eastAsia="Times New Roman"/>
        </w:rPr>
      </w:pPr>
      <w:r>
        <w:rPr>
          <w:rFonts w:eastAsia="Times New Roman"/>
        </w:rPr>
        <w:pict>
          <v:rect id="_x0000_i1051" style="width:0;height:1.5pt" o:hralign="center" o:hrstd="t" o:hr="t" fillcolor="#a0a0a0" stroked="f"/>
        </w:pict>
      </w:r>
    </w:p>
    <w:p w:rsidR="00000000" w:rsidRDefault="001E2972">
      <w:pPr>
        <w:jc w:val="both"/>
        <w:divId w:val="639724361"/>
        <w:rPr>
          <w:rFonts w:eastAsia="Times New Roman"/>
        </w:rPr>
      </w:pPr>
    </w:p>
    <w:p w:rsidR="00000000" w:rsidRDefault="001E2972">
      <w:pPr>
        <w:jc w:val="both"/>
        <w:divId w:val="1427920026"/>
        <w:rPr>
          <w:rFonts w:eastAsia="Times New Roman"/>
        </w:rPr>
      </w:pPr>
      <w:r>
        <w:rPr>
          <w:rFonts w:ascii="Arial" w:eastAsia="Times New Roman" w:hAnsi="Arial" w:cs="Arial"/>
          <w:b/>
          <w:bCs/>
          <w:color w:val="0046AD"/>
          <w:sz w:val="20"/>
          <w:szCs w:val="20"/>
        </w:rPr>
        <w:t>ITEM 2. MA</w:t>
      </w:r>
      <w:r>
        <w:rPr>
          <w:rFonts w:ascii="Arial" w:eastAsia="Times New Roman" w:hAnsi="Arial" w:cs="Arial"/>
          <w:b/>
          <w:bCs/>
          <w:color w:val="0046AD"/>
          <w:sz w:val="20"/>
          <w:szCs w:val="20"/>
        </w:rPr>
        <w:t>NAGEMENT’S DISCUSSION AND ANALYSIS OF FINANCIAL CONDITION AND RESULTS OF OPERATIONS.</w:t>
      </w:r>
    </w:p>
    <w:p w:rsidR="00000000" w:rsidRDefault="001E2972">
      <w:pPr>
        <w:ind w:firstLine="720"/>
        <w:jc w:val="both"/>
        <w:divId w:val="819613784"/>
        <w:rPr>
          <w:rFonts w:eastAsia="Times New Roman"/>
        </w:rPr>
      </w:pPr>
      <w:r>
        <w:rPr>
          <w:rFonts w:ascii="Arial" w:eastAsia="Times New Roman" w:hAnsi="Arial" w:cs="Arial"/>
          <w:color w:val="000000"/>
          <w:sz w:val="20"/>
          <w:szCs w:val="20"/>
        </w:rPr>
        <w:t>The following Management’s Discussion and Analysis of Financial Condition and Results of Operations (“MD&amp;A”) is intended to facilitate an understanding of the results of o</w:t>
      </w:r>
      <w:r>
        <w:rPr>
          <w:rFonts w:ascii="Arial" w:eastAsia="Times New Roman" w:hAnsi="Arial" w:cs="Arial"/>
          <w:color w:val="000000"/>
          <w:sz w:val="20"/>
          <w:szCs w:val="20"/>
        </w:rPr>
        <w:t xml:space="preserve">perations and financial condition of ABM. This MD&amp;A is provided as a supplement to, and should be read in conjunction with, our Financial Statements and our Annual Report on Form 10-K for the year ended October 31, 2020, which has been filed with the SEC. </w:t>
      </w:r>
      <w:r>
        <w:rPr>
          <w:rFonts w:ascii="Arial" w:eastAsia="Times New Roman" w:hAnsi="Arial" w:cs="Arial"/>
          <w:color w:val="000000"/>
          <w:sz w:val="20"/>
          <w:szCs w:val="20"/>
        </w:rPr>
        <w:t>This MD&amp;A contains forward-looking statements about our business, operations, and industry that involve risks and uncertainties, such as statements regarding our plans, objectives, expectations, and intentions. Our future results and financial condition ma</w:t>
      </w:r>
      <w:r>
        <w:rPr>
          <w:rFonts w:ascii="Arial" w:eastAsia="Times New Roman" w:hAnsi="Arial" w:cs="Arial"/>
          <w:color w:val="000000"/>
          <w:sz w:val="20"/>
          <w:szCs w:val="20"/>
        </w:rPr>
        <w:t>y be materially different from those we currently anticipate. See “Forward-Looking Statements” for more information.</w:t>
      </w:r>
    </w:p>
    <w:p w:rsidR="00000000" w:rsidRDefault="001E2972">
      <w:pPr>
        <w:ind w:firstLine="720"/>
        <w:jc w:val="both"/>
        <w:divId w:val="1533567046"/>
        <w:rPr>
          <w:rFonts w:eastAsia="Times New Roman"/>
        </w:rPr>
      </w:pPr>
      <w:r>
        <w:rPr>
          <w:rFonts w:ascii="Arial" w:eastAsia="Times New Roman" w:hAnsi="Arial" w:cs="Arial"/>
          <w:color w:val="000000"/>
          <w:sz w:val="20"/>
          <w:szCs w:val="20"/>
        </w:rPr>
        <w:t>Throughout the MD&amp;A, amounts and percentages may not recalculate due to rounding. Unless otherwise indicated, all information in the MD&amp;A a</w:t>
      </w:r>
      <w:r>
        <w:rPr>
          <w:rFonts w:ascii="Arial" w:eastAsia="Times New Roman" w:hAnsi="Arial" w:cs="Arial"/>
          <w:color w:val="000000"/>
          <w:sz w:val="20"/>
          <w:szCs w:val="20"/>
        </w:rPr>
        <w:t xml:space="preserve">nd references to years are based on our fiscal years, which end on October 31. </w:t>
      </w:r>
    </w:p>
    <w:p w:rsidR="00000000" w:rsidRDefault="001E2972">
      <w:pPr>
        <w:divId w:val="2040428732"/>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65512892"/>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16551289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690060572"/>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49530147"/>
        </w:trPr>
        <w:tc>
          <w:tcPr>
            <w:tcW w:w="5" w:type="pct"/>
            <w:vAlign w:val="center"/>
            <w:hideMark/>
          </w:tcPr>
          <w:p w:rsidR="00000000" w:rsidRDefault="001E2972">
            <w:pPr>
              <w:ind w:firstLine="720"/>
              <w:jc w:val="both"/>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4953014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06239776"/>
        <w:rPr>
          <w:rFonts w:eastAsia="Times New Roman"/>
        </w:rPr>
      </w:pPr>
      <w:r>
        <w:rPr>
          <w:rFonts w:ascii="Arial" w:eastAsia="Times New Roman" w:hAnsi="Arial" w:cs="Arial"/>
          <w:b/>
          <w:bCs/>
          <w:color w:val="0046AD"/>
          <w:sz w:val="20"/>
          <w:szCs w:val="20"/>
        </w:rPr>
        <w:t>COVID-19 Pandemic</w:t>
      </w:r>
    </w:p>
    <w:p w:rsidR="00000000" w:rsidRDefault="001E2972">
      <w:pPr>
        <w:ind w:firstLine="720"/>
        <w:jc w:val="both"/>
        <w:divId w:val="770659577"/>
        <w:rPr>
          <w:rFonts w:eastAsia="Times New Roman"/>
        </w:rPr>
      </w:pPr>
      <w:r>
        <w:rPr>
          <w:rFonts w:ascii="Arial" w:eastAsia="Times New Roman" w:hAnsi="Arial" w:cs="Arial"/>
          <w:color w:val="000000"/>
          <w:sz w:val="20"/>
          <w:szCs w:val="20"/>
        </w:rPr>
        <w:t>COVID-19 has resulted in a worldwide health Pandemic. To date, COVID-19 has surfaced in regions all around the world and resulted in business slowdowns and shutdowns, as well as global travel restrictions. We, along with many of our clients, have been impa</w:t>
      </w:r>
      <w:r>
        <w:rPr>
          <w:rFonts w:ascii="Arial" w:eastAsia="Times New Roman" w:hAnsi="Arial" w:cs="Arial"/>
          <w:color w:val="000000"/>
          <w:sz w:val="20"/>
          <w:szCs w:val="20"/>
        </w:rPr>
        <w:t>cted by recommendations and/or mandates from federal, state, and local authorities to practice social distancing, to refrain from gathering in groups, and, in some areas, to refrain from non-essential movements outside of homes. The Pandemic has also creat</w:t>
      </w:r>
      <w:r>
        <w:rPr>
          <w:rFonts w:ascii="Arial" w:eastAsia="Times New Roman" w:hAnsi="Arial" w:cs="Arial"/>
          <w:color w:val="000000"/>
          <w:sz w:val="20"/>
          <w:szCs w:val="20"/>
        </w:rPr>
        <w:t>ed unanticipated circumstances and uncertainty, disruption, and significant volatility in the broader economy. These factors have led to lower demand for some of our services in certain end-markets, particularly in our Aviation segment. Refer to “Consolida</w:t>
      </w:r>
      <w:r>
        <w:rPr>
          <w:rFonts w:ascii="Arial" w:eastAsia="Times New Roman" w:hAnsi="Arial" w:cs="Arial"/>
          <w:color w:val="000000"/>
          <w:sz w:val="20"/>
          <w:szCs w:val="20"/>
        </w:rPr>
        <w:t xml:space="preserve">ted Results of Operations” and “Results of Operations by Segment” for additional information related to the impact of the Pandemic on our financial results. </w:t>
      </w:r>
    </w:p>
    <w:p w:rsidR="00000000" w:rsidRDefault="001E2972">
      <w:pPr>
        <w:ind w:firstLine="720"/>
        <w:jc w:val="both"/>
        <w:divId w:val="8992453"/>
        <w:rPr>
          <w:rFonts w:eastAsia="Times New Roman"/>
        </w:rPr>
      </w:pPr>
      <w:r>
        <w:rPr>
          <w:rFonts w:ascii="Arial" w:eastAsia="Times New Roman" w:hAnsi="Arial" w:cs="Arial"/>
          <w:color w:val="000000"/>
          <w:sz w:val="20"/>
          <w:szCs w:val="20"/>
        </w:rPr>
        <w:t>Given the unprecedented and uncertain nature and potential duration of this situation, we cannot r</w:t>
      </w:r>
      <w:r>
        <w:rPr>
          <w:rFonts w:ascii="Arial" w:eastAsia="Times New Roman" w:hAnsi="Arial" w:cs="Arial"/>
          <w:color w:val="000000"/>
          <w:sz w:val="20"/>
          <w:szCs w:val="20"/>
        </w:rPr>
        <w:t>easonably estimate the full extent of the impact the Pandemic will have on our financial condition, results of operations, or cash flows. The ultimate extent of the effects of the Pandemic on our company is highly uncertain and will depend on future develo</w:t>
      </w:r>
      <w:r>
        <w:rPr>
          <w:rFonts w:ascii="Arial" w:eastAsia="Times New Roman" w:hAnsi="Arial" w:cs="Arial"/>
          <w:color w:val="000000"/>
          <w:sz w:val="20"/>
          <w:szCs w:val="20"/>
        </w:rPr>
        <w:t xml:space="preserve">pments, and we may continue to experience adverse effects on our business, consolidated results of operations, financial position, and cash flows resulting from a recessionary economic environment that may persist. </w:t>
      </w:r>
    </w:p>
    <w:p w:rsidR="00000000" w:rsidRDefault="001E2972">
      <w:pPr>
        <w:ind w:firstLine="720"/>
        <w:jc w:val="both"/>
        <w:divId w:val="1196425811"/>
        <w:rPr>
          <w:rFonts w:eastAsia="Times New Roman"/>
        </w:rPr>
      </w:pPr>
      <w:r>
        <w:rPr>
          <w:rFonts w:ascii="Arial" w:eastAsia="Times New Roman" w:hAnsi="Arial" w:cs="Arial"/>
          <w:color w:val="000000"/>
          <w:sz w:val="20"/>
          <w:szCs w:val="20"/>
        </w:rPr>
        <w:t>Our priority has been and continues to b</w:t>
      </w:r>
      <w:r>
        <w:rPr>
          <w:rFonts w:ascii="Arial" w:eastAsia="Times New Roman" w:hAnsi="Arial" w:cs="Arial"/>
          <w:color w:val="000000"/>
          <w:sz w:val="20"/>
          <w:szCs w:val="20"/>
        </w:rPr>
        <w:t>e the health, safety, and support of our employees, our clients, and the communities that we serve. We have also taken actions to strengthen our liquidity, cash flows, and financial position to help mitigate potential future impacts on our operations and f</w:t>
      </w:r>
      <w:r>
        <w:rPr>
          <w:rFonts w:ascii="Arial" w:eastAsia="Times New Roman" w:hAnsi="Arial" w:cs="Arial"/>
          <w:color w:val="000000"/>
          <w:sz w:val="20"/>
          <w:szCs w:val="20"/>
        </w:rPr>
        <w:t>inancial performance. These priorities and measures include, but are not limited to, the following:</w:t>
      </w:r>
    </w:p>
    <w:p w:rsidR="00000000" w:rsidRDefault="001E2972">
      <w:pPr>
        <w:ind w:firstLine="720"/>
        <w:jc w:val="both"/>
        <w:divId w:val="557976440"/>
        <w:rPr>
          <w:rFonts w:eastAsia="Times New Roman"/>
        </w:rPr>
      </w:pPr>
      <w:r>
        <w:rPr>
          <w:rFonts w:ascii="Arial" w:eastAsia="Times New Roman" w:hAnsi="Arial" w:cs="Arial"/>
          <w:i/>
          <w:iCs/>
          <w:color w:val="0046AD"/>
          <w:sz w:val="20"/>
          <w:szCs w:val="20"/>
        </w:rPr>
        <w:t>Health and Safety of our Employees and Clients</w:t>
      </w:r>
    </w:p>
    <w:p w:rsidR="00000000" w:rsidRDefault="001E2972">
      <w:pPr>
        <w:ind w:firstLine="720"/>
        <w:jc w:val="both"/>
        <w:divId w:val="58790355"/>
        <w:rPr>
          <w:rFonts w:eastAsia="Times New Roman"/>
        </w:rPr>
      </w:pPr>
      <w:r>
        <w:rPr>
          <w:rFonts w:ascii="Arial" w:eastAsia="Times New Roman" w:hAnsi="Arial" w:cs="Arial"/>
          <w:color w:val="000000"/>
          <w:sz w:val="20"/>
          <w:szCs w:val="20"/>
        </w:rPr>
        <w:t>As the Pandemic has developed, we have taken steps to support our employees and clients based on recommendati</w:t>
      </w:r>
      <w:r>
        <w:rPr>
          <w:rFonts w:ascii="Arial" w:eastAsia="Times New Roman" w:hAnsi="Arial" w:cs="Arial"/>
          <w:color w:val="000000"/>
          <w:sz w:val="20"/>
          <w:szCs w:val="20"/>
        </w:rPr>
        <w:t>ons from various global experts, including the World Health Organization, the Centers for Disease Control and Prevention, the Occupational Safety and Health Administration, and the U.K. National Health Service. To help protect our employees and our clients</w:t>
      </w:r>
      <w:r>
        <w:rPr>
          <w:rFonts w:ascii="Arial" w:eastAsia="Times New Roman" w:hAnsi="Arial" w:cs="Arial"/>
          <w:color w:val="000000"/>
          <w:sz w:val="20"/>
          <w:szCs w:val="20"/>
        </w:rPr>
        <w:t>, face masks and other personal protective equipment (“PPE”) are being used by our employees. We have also encouraged our employees to practice social distancing and wash hands frequently. Additionally, we transitioned many office-based employees to a remo</w:t>
      </w:r>
      <w:r>
        <w:rPr>
          <w:rFonts w:ascii="Arial" w:eastAsia="Times New Roman" w:hAnsi="Arial" w:cs="Arial"/>
          <w:color w:val="000000"/>
          <w:sz w:val="20"/>
          <w:szCs w:val="20"/>
        </w:rPr>
        <w:t xml:space="preserve">te work environment, suspended non-essential travel, and adopted technologies to allow employees to effectively perform their functions remotely. </w:t>
      </w:r>
    </w:p>
    <w:p w:rsidR="00000000" w:rsidRDefault="001E2972">
      <w:pPr>
        <w:ind w:firstLine="720"/>
        <w:divId w:val="1735394170"/>
        <w:rPr>
          <w:rFonts w:eastAsia="Times New Roman"/>
        </w:rPr>
      </w:pPr>
      <w:r>
        <w:rPr>
          <w:rFonts w:ascii="Arial" w:eastAsia="Times New Roman" w:hAnsi="Arial" w:cs="Arial"/>
          <w:i/>
          <w:iCs/>
          <w:color w:val="0046AD"/>
          <w:sz w:val="20"/>
          <w:szCs w:val="20"/>
        </w:rPr>
        <w:t>Client Focus</w:t>
      </w:r>
    </w:p>
    <w:p w:rsidR="00000000" w:rsidRDefault="001E2972">
      <w:pPr>
        <w:ind w:firstLine="720"/>
        <w:jc w:val="both"/>
        <w:divId w:val="1974481435"/>
        <w:rPr>
          <w:rFonts w:eastAsia="Times New Roman"/>
        </w:rPr>
      </w:pPr>
      <w:r>
        <w:rPr>
          <w:rFonts w:ascii="Arial" w:eastAsia="Times New Roman" w:hAnsi="Arial" w:cs="Arial"/>
          <w:color w:val="000000"/>
          <w:sz w:val="20"/>
          <w:szCs w:val="20"/>
        </w:rPr>
        <w:t xml:space="preserve">Over the past few years, we have focused on consolidating purchasing activities to leverage our scale and identify preferred suppliers. While we have seen a reduction in the availability of supplies and an </w:t>
      </w:r>
    </w:p>
    <w:p w:rsidR="00000000" w:rsidRDefault="001E2972">
      <w:pPr>
        <w:jc w:val="center"/>
        <w:divId w:val="1048643863"/>
        <w:rPr>
          <w:rFonts w:eastAsia="Times New Roman"/>
        </w:rPr>
      </w:pPr>
      <w:r>
        <w:rPr>
          <w:rFonts w:ascii="Arial" w:eastAsia="Times New Roman" w:hAnsi="Arial" w:cs="Arial"/>
          <w:color w:val="000000"/>
          <w:sz w:val="20"/>
          <w:szCs w:val="20"/>
        </w:rPr>
        <w:t>22</w:t>
      </w:r>
    </w:p>
    <w:p w:rsidR="00000000" w:rsidRDefault="001E2972">
      <w:pPr>
        <w:rPr>
          <w:rFonts w:eastAsia="Times New Roman"/>
        </w:rPr>
      </w:pPr>
      <w:r>
        <w:rPr>
          <w:rFonts w:eastAsia="Times New Roman"/>
        </w:rPr>
        <w:pict>
          <v:rect id="_x0000_i1052" style="width:0;height:1.5pt" o:hralign="center" o:hrstd="t" o:hr="t" fillcolor="#a0a0a0" stroked="f"/>
        </w:pict>
      </w:r>
    </w:p>
    <w:p w:rsidR="00000000" w:rsidRDefault="001E2972">
      <w:pPr>
        <w:jc w:val="both"/>
        <w:divId w:val="1071387982"/>
        <w:rPr>
          <w:rFonts w:eastAsia="Times New Roman"/>
        </w:rPr>
      </w:pPr>
    </w:p>
    <w:p w:rsidR="00000000" w:rsidRDefault="001E2972">
      <w:pPr>
        <w:jc w:val="both"/>
        <w:divId w:val="694693046"/>
        <w:rPr>
          <w:rFonts w:eastAsia="Times New Roman"/>
        </w:rPr>
      </w:pPr>
      <w:r>
        <w:rPr>
          <w:rFonts w:ascii="Arial" w:eastAsia="Times New Roman" w:hAnsi="Arial" w:cs="Arial"/>
          <w:color w:val="000000"/>
          <w:sz w:val="20"/>
          <w:szCs w:val="20"/>
        </w:rPr>
        <w:t>increase</w:t>
      </w:r>
      <w:r>
        <w:rPr>
          <w:rFonts w:ascii="Arial" w:eastAsia="Times New Roman" w:hAnsi="Arial" w:cs="Arial"/>
          <w:color w:val="000000"/>
          <w:sz w:val="20"/>
          <w:szCs w:val="20"/>
        </w:rPr>
        <w:t xml:space="preserve"> in costs, our procurement efforts have helped create a positive supply chain for our company and clients during the Pandemic. We will continue to monitor our supply chain for potential impacts as future developments unfold. </w:t>
      </w:r>
    </w:p>
    <w:p w:rsidR="00000000" w:rsidRDefault="001E2972">
      <w:pPr>
        <w:ind w:firstLine="720"/>
        <w:jc w:val="both"/>
        <w:divId w:val="1395659136"/>
        <w:rPr>
          <w:rFonts w:eastAsia="Times New Roman"/>
        </w:rPr>
      </w:pPr>
      <w:r>
        <w:rPr>
          <w:rFonts w:ascii="Arial" w:eastAsia="Times New Roman" w:hAnsi="Arial" w:cs="Arial"/>
          <w:color w:val="000000"/>
          <w:sz w:val="20"/>
          <w:szCs w:val="20"/>
        </w:rPr>
        <w:t>The Pandemic continues to crea</w:t>
      </w:r>
      <w:r>
        <w:rPr>
          <w:rFonts w:ascii="Arial" w:eastAsia="Times New Roman" w:hAnsi="Arial" w:cs="Arial"/>
          <w:color w:val="000000"/>
          <w:sz w:val="20"/>
          <w:szCs w:val="20"/>
        </w:rPr>
        <w:t xml:space="preserve">te a dynamic client environment, and we are working diligently to ensure our clients’ changing staffing and service needs are met. We developed new cleaning initiatives in accordance with various protocols issued by global experts, including deep cleaning </w:t>
      </w:r>
      <w:r>
        <w:rPr>
          <w:rFonts w:ascii="Arial" w:eastAsia="Times New Roman" w:hAnsi="Arial" w:cs="Arial"/>
          <w:color w:val="000000"/>
          <w:sz w:val="20"/>
          <w:szCs w:val="20"/>
        </w:rPr>
        <w:t xml:space="preserve">services, special project cleaning services, and other work orders. </w:t>
      </w:r>
    </w:p>
    <w:p w:rsidR="00000000" w:rsidRDefault="001E2972">
      <w:pPr>
        <w:ind w:firstLine="720"/>
        <w:jc w:val="both"/>
        <w:divId w:val="1461680933"/>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rPr>
        <w:t>T</w:t>
      </w:r>
      <w:r>
        <w:rPr>
          <w:rFonts w:ascii="Arial" w:eastAsia="Times New Roman" w:hAnsi="Arial" w:cs="Arial"/>
          <w:color w:val="000000"/>
          <w:sz w:val="13"/>
          <w:szCs w:val="13"/>
        </w:rPr>
        <w:t>M</w:t>
      </w:r>
      <w:r>
        <w:rPr>
          <w:rFonts w:ascii="Arial" w:eastAsia="Times New Roman" w:hAnsi="Arial" w:cs="Arial"/>
          <w:color w:val="000000"/>
          <w:sz w:val="20"/>
          <w:szCs w:val="20"/>
        </w:rPr>
        <w:t xml:space="preserve"> Program (“EnhancedClean”), an innovative solution that helps provide clients with healthy spaces. We designed EnhancedClean under the guida</w:t>
      </w:r>
      <w:r>
        <w:rPr>
          <w:rFonts w:ascii="Arial" w:eastAsia="Times New Roman" w:hAnsi="Arial" w:cs="Arial"/>
          <w:color w:val="000000"/>
          <w:sz w:val="20"/>
          <w:szCs w:val="20"/>
        </w:rPr>
        <w:t>nce of experts on infectious diseases and industrial hygiene to help provide our clients with processes that use hospital-grade disinfectants, specialized equipment, and innovative solutions and technology. These solutions include: hygiene and safety proto</w:t>
      </w:r>
      <w:r>
        <w:rPr>
          <w:rFonts w:ascii="Arial" w:eastAsia="Times New Roman" w:hAnsi="Arial" w:cs="Arial"/>
          <w:color w:val="000000"/>
          <w:sz w:val="20"/>
          <w:szCs w:val="20"/>
        </w:rPr>
        <w:t>cols, utilization of disinfecting procedures and products for high-touch surfaces, employment of PPE, and communication and training protocols.</w:t>
      </w:r>
    </w:p>
    <w:p w:rsidR="00000000" w:rsidRDefault="001E2972">
      <w:pPr>
        <w:ind w:firstLine="720"/>
        <w:jc w:val="both"/>
        <w:divId w:val="1620260446"/>
        <w:rPr>
          <w:rFonts w:eastAsia="Times New Roman"/>
        </w:rPr>
      </w:pPr>
      <w:r>
        <w:rPr>
          <w:rFonts w:ascii="Arial" w:eastAsia="Times New Roman" w:hAnsi="Arial" w:cs="Arial"/>
          <w:i/>
          <w:iCs/>
          <w:color w:val="0046AD"/>
          <w:sz w:val="20"/>
          <w:szCs w:val="20"/>
        </w:rPr>
        <w:t>Management of Direct Labor</w:t>
      </w:r>
    </w:p>
    <w:p w:rsidR="00000000" w:rsidRDefault="001E2972">
      <w:pPr>
        <w:ind w:firstLine="720"/>
        <w:jc w:val="both"/>
        <w:divId w:val="1411580105"/>
        <w:rPr>
          <w:rFonts w:eastAsia="Times New Roman"/>
        </w:rPr>
      </w:pPr>
      <w:r>
        <w:rPr>
          <w:rFonts w:ascii="Arial" w:eastAsia="Times New Roman" w:hAnsi="Arial" w:cs="Arial"/>
          <w:color w:val="000000"/>
          <w:sz w:val="20"/>
          <w:szCs w:val="20"/>
        </w:rPr>
        <w:t>As we adapt to the changing demand environment resulting from the Pandemic, we contin</w:t>
      </w:r>
      <w:r>
        <w:rPr>
          <w:rFonts w:ascii="Arial" w:eastAsia="Times New Roman" w:hAnsi="Arial" w:cs="Arial"/>
          <w:color w:val="000000"/>
          <w:sz w:val="20"/>
          <w:szCs w:val="20"/>
        </w:rPr>
        <w:t>ue to actively manage direct labor and related personnel costs, including furloughs or reduced hours for certain frontline employees in markets significantly impacted by business slowdowns and shutdowns.</w:t>
      </w:r>
    </w:p>
    <w:p w:rsidR="00000000" w:rsidRDefault="001E2972">
      <w:pPr>
        <w:ind w:firstLine="720"/>
        <w:jc w:val="both"/>
        <w:divId w:val="976954231"/>
        <w:rPr>
          <w:rFonts w:eastAsia="Times New Roman"/>
        </w:rPr>
      </w:pPr>
      <w:r>
        <w:rPr>
          <w:rFonts w:ascii="Arial" w:eastAsia="Times New Roman" w:hAnsi="Arial" w:cs="Arial"/>
          <w:i/>
          <w:iCs/>
          <w:color w:val="0046AD"/>
          <w:sz w:val="20"/>
          <w:szCs w:val="20"/>
        </w:rPr>
        <w:t>Liquidity, Cash Flows, and Financial Position</w:t>
      </w:r>
    </w:p>
    <w:p w:rsidR="00000000" w:rsidRDefault="001E2972">
      <w:pPr>
        <w:ind w:firstLine="720"/>
        <w:jc w:val="both"/>
        <w:divId w:val="548493261"/>
        <w:rPr>
          <w:rFonts w:eastAsia="Times New Roman"/>
        </w:rPr>
      </w:pPr>
      <w:r>
        <w:rPr>
          <w:rFonts w:ascii="Arial" w:eastAsia="Times New Roman" w:hAnsi="Arial" w:cs="Arial"/>
          <w:color w:val="000000"/>
          <w:sz w:val="20"/>
          <w:szCs w:val="20"/>
        </w:rPr>
        <w:t xml:space="preserve">As of </w:t>
      </w:r>
      <w:r>
        <w:rPr>
          <w:rFonts w:ascii="Arial" w:eastAsia="Times New Roman" w:hAnsi="Arial" w:cs="Arial"/>
          <w:color w:val="000000"/>
          <w:sz w:val="20"/>
          <w:szCs w:val="20"/>
        </w:rPr>
        <w:t>April 30, 2021, we had $435.7 million of cash and cash equivalents, and we had net cash provided by operating activities of $171.2 million during the six months ended April 30, 2021. We have taken and continue to take actions to help preserve cash, increas</w:t>
      </w:r>
      <w:r>
        <w:rPr>
          <w:rFonts w:ascii="Arial" w:eastAsia="Times New Roman" w:hAnsi="Arial" w:cs="Arial"/>
          <w:color w:val="000000"/>
          <w:sz w:val="20"/>
          <w:szCs w:val="20"/>
        </w:rPr>
        <w:t>e liquidity, and strengthen our financial position, including:</w:t>
      </w:r>
    </w:p>
    <w:p w:rsidR="00000000" w:rsidRDefault="001E2972">
      <w:pPr>
        <w:ind w:hanging="360"/>
        <w:jc w:val="both"/>
        <w:divId w:val="2083942801"/>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 xml:space="preserve">Amending our Credit Facility on May 28, 2020, to further enhance our financial flexibility as a precautionary measure in response to uncertainty arising from the Pandemic (refer to “Liquidity </w:t>
      </w:r>
      <w:r>
        <w:rPr>
          <w:rFonts w:ascii="Arial" w:eastAsia="Times New Roman" w:hAnsi="Arial" w:cs="Arial"/>
          <w:color w:val="000000"/>
          <w:sz w:val="20"/>
          <w:szCs w:val="20"/>
        </w:rPr>
        <w:t>and Capital Resources” for more information);</w:t>
      </w:r>
    </w:p>
    <w:p w:rsidR="00000000" w:rsidRDefault="001E2972">
      <w:pPr>
        <w:ind w:hanging="360"/>
        <w:jc w:val="both"/>
        <w:divId w:val="1775587287"/>
        <w:rPr>
          <w:rFonts w:eastAsia="Times New Roman"/>
        </w:rPr>
      </w:pPr>
      <w:r>
        <w:rPr>
          <w:rFonts w:ascii="Arial" w:eastAsia="Times New Roman" w:hAnsi="Arial" w:cs="Arial"/>
          <w:color w:val="000000"/>
          <w:sz w:val="20"/>
          <w:szCs w:val="20"/>
        </w:rPr>
        <w:t xml:space="preserve">•Focusing on collection of client receivables and monitoring the adequacy of our reserves; </w:t>
      </w:r>
    </w:p>
    <w:p w:rsidR="00000000" w:rsidRDefault="001E2972">
      <w:pPr>
        <w:ind w:hanging="360"/>
        <w:jc w:val="both"/>
        <w:divId w:val="32198183"/>
        <w:rPr>
          <w:rFonts w:eastAsia="Times New Roman"/>
        </w:rPr>
      </w:pPr>
      <w:r>
        <w:rPr>
          <w:rFonts w:ascii="Arial" w:eastAsia="Times New Roman" w:hAnsi="Arial" w:cs="Arial"/>
          <w:color w:val="000000"/>
          <w:sz w:val="20"/>
          <w:szCs w:val="20"/>
        </w:rPr>
        <w:t xml:space="preserve">•Extending vendor payment terms where possible; </w:t>
      </w:r>
    </w:p>
    <w:p w:rsidR="00000000" w:rsidRDefault="001E2972">
      <w:pPr>
        <w:ind w:hanging="360"/>
        <w:jc w:val="both"/>
        <w:divId w:val="15888794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Utilizing certain governmental relief efforts (as further described below); and </w:t>
      </w:r>
    </w:p>
    <w:p w:rsidR="00000000" w:rsidRDefault="001E2972">
      <w:pPr>
        <w:ind w:hanging="360"/>
        <w:jc w:val="both"/>
        <w:divId w:val="312608185"/>
        <w:rPr>
          <w:rFonts w:eastAsia="Times New Roman"/>
        </w:rPr>
      </w:pPr>
      <w:r>
        <w:rPr>
          <w:rFonts w:ascii="Arial" w:eastAsia="Times New Roman" w:hAnsi="Arial" w:cs="Arial"/>
          <w:color w:val="000000"/>
          <w:sz w:val="20"/>
          <w:szCs w:val="20"/>
        </w:rPr>
        <w:t>•Suspending share repurchases under our share repurchase program.</w:t>
      </w:r>
    </w:p>
    <w:p w:rsidR="00000000" w:rsidRDefault="001E2972">
      <w:pPr>
        <w:ind w:firstLine="720"/>
        <w:jc w:val="both"/>
        <w:divId w:val="212739991"/>
        <w:rPr>
          <w:rFonts w:eastAsia="Times New Roman"/>
        </w:rPr>
      </w:pPr>
      <w:r>
        <w:rPr>
          <w:rFonts w:ascii="Arial" w:eastAsia="Times New Roman" w:hAnsi="Arial" w:cs="Arial"/>
          <w:color w:val="000000"/>
          <w:sz w:val="20"/>
          <w:szCs w:val="20"/>
        </w:rPr>
        <w:t>In response to the Pandemic, Congress enacted the CARES Act on March 27, 2020. The CARES Act provides various</w:t>
      </w:r>
      <w:r>
        <w:rPr>
          <w:rFonts w:ascii="Arial" w:eastAsia="Times New Roman" w:hAnsi="Arial" w:cs="Arial"/>
          <w:color w:val="000000"/>
          <w:sz w:val="20"/>
          <w:szCs w:val="20"/>
        </w:rPr>
        <w:t xml:space="preserve"> tax provisions, including payroll tax provisions, which we have evaluated for applicability. Through December 31, 2020, we deferred approximately $132 million of payroll tax, which the CARES Act requires to be remitted in equal parts by December 31, 2021 </w:t>
      </w:r>
      <w:r>
        <w:rPr>
          <w:rFonts w:ascii="Arial" w:eastAsia="Times New Roman" w:hAnsi="Arial" w:cs="Arial"/>
          <w:color w:val="000000"/>
          <w:sz w:val="20"/>
          <w:szCs w:val="20"/>
        </w:rPr>
        <w:t>and December 31, 2022. The impact of the income tax provisions was not material. Additionally, we received grants under the United Kingdom’s job retention scheme to reimburse us for a portion of certain furloughed employees’ salaries.</w:t>
      </w:r>
    </w:p>
    <w:p w:rsidR="00000000" w:rsidRDefault="001E2972">
      <w:pPr>
        <w:ind w:firstLine="720"/>
        <w:jc w:val="both"/>
        <w:divId w:val="1891108136"/>
        <w:rPr>
          <w:rFonts w:eastAsia="Times New Roman"/>
        </w:rPr>
      </w:pPr>
      <w:r>
        <w:rPr>
          <w:rFonts w:ascii="Arial" w:eastAsia="Times New Roman" w:hAnsi="Arial" w:cs="Arial"/>
          <w:color w:val="000000"/>
          <w:sz w:val="20"/>
          <w:szCs w:val="20"/>
        </w:rPr>
        <w:t>As a result of the ac</w:t>
      </w:r>
      <w:r>
        <w:rPr>
          <w:rFonts w:ascii="Arial" w:eastAsia="Times New Roman" w:hAnsi="Arial" w:cs="Arial"/>
          <w:color w:val="000000"/>
          <w:sz w:val="20"/>
          <w:szCs w:val="20"/>
        </w:rPr>
        <w:t>tions taken above, we were able to strengthen our cash flow during the second quarter. As of April 30, 2021, this resulted in a borrowing capacity of $622.1 million, reflecting covenant restrictions, in addition to the cash and cash equivalents amount note</w:t>
      </w:r>
      <w:r>
        <w:rPr>
          <w:rFonts w:ascii="Arial" w:eastAsia="Times New Roman" w:hAnsi="Arial" w:cs="Arial"/>
          <w:color w:val="000000"/>
          <w:sz w:val="20"/>
          <w:szCs w:val="20"/>
        </w:rPr>
        <w:t>d above.</w:t>
      </w:r>
    </w:p>
    <w:p w:rsidR="00000000" w:rsidRDefault="001E2972">
      <w:pPr>
        <w:divId w:val="1721320502"/>
        <w:rPr>
          <w:rFonts w:eastAsia="Times New Roman"/>
        </w:rPr>
      </w:pPr>
      <w:r>
        <w:rPr>
          <w:rFonts w:ascii="Arial" w:eastAsia="Times New Roman" w:hAnsi="Arial" w:cs="Arial"/>
          <w:b/>
          <w:bCs/>
          <w:color w:val="0046AD"/>
          <w:sz w:val="20"/>
          <w:szCs w:val="20"/>
        </w:rPr>
        <w:t>Insurance</w:t>
      </w:r>
    </w:p>
    <w:p w:rsidR="00000000" w:rsidRDefault="001E2972">
      <w:pPr>
        <w:ind w:firstLine="720"/>
        <w:jc w:val="both"/>
        <w:divId w:val="1450515752"/>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w:t>
      </w:r>
      <w:r>
        <w:rPr>
          <w:rFonts w:ascii="Arial" w:eastAsia="Times New Roman" w:hAnsi="Arial" w:cs="Arial"/>
          <w:color w:val="000000"/>
          <w:sz w:val="20"/>
          <w:szCs w:val="20"/>
        </w:rPr>
        <w:t>n additional information that affects the assumptions and estimates used in our reserve liability calculations, we adjust our self-insurance rates and reserves for future periods and, if appropriate, adjust our reserves for claims incurred in prior account</w:t>
      </w:r>
      <w:r>
        <w:rPr>
          <w:rFonts w:ascii="Arial" w:eastAsia="Times New Roman" w:hAnsi="Arial" w:cs="Arial"/>
          <w:color w:val="000000"/>
          <w:sz w:val="20"/>
          <w:szCs w:val="20"/>
        </w:rPr>
        <w:t xml:space="preserve">ing periods. </w:t>
      </w:r>
    </w:p>
    <w:p w:rsidR="00000000" w:rsidRDefault="001E2972">
      <w:pPr>
        <w:ind w:firstLine="720"/>
        <w:jc w:val="both"/>
        <w:divId w:val="619998105"/>
        <w:rPr>
          <w:rFonts w:eastAsia="Times New Roman"/>
        </w:rPr>
      </w:pPr>
      <w:r>
        <w:rPr>
          <w:rFonts w:ascii="Arial" w:eastAsia="Times New Roman" w:hAnsi="Arial" w:cs="Arial"/>
          <w:color w:val="000000"/>
          <w:sz w:val="20"/>
          <w:szCs w:val="20"/>
        </w:rPr>
        <w:t xml:space="preserve">During the first quarter of 2021, we performed a comprehensive actuarial review of the majority of our casualty insurance programs to evaluate changes made to claims reserves and claims payment activity for the </w:t>
      </w:r>
    </w:p>
    <w:p w:rsidR="00000000" w:rsidRDefault="001E2972">
      <w:pPr>
        <w:jc w:val="center"/>
        <w:divId w:val="1711802117"/>
        <w:rPr>
          <w:rFonts w:eastAsia="Times New Roman"/>
        </w:rPr>
      </w:pPr>
      <w:r>
        <w:rPr>
          <w:rFonts w:ascii="Arial" w:eastAsia="Times New Roman" w:hAnsi="Arial" w:cs="Arial"/>
          <w:color w:val="000000"/>
          <w:sz w:val="20"/>
          <w:szCs w:val="20"/>
        </w:rPr>
        <w:t>23</w:t>
      </w:r>
    </w:p>
    <w:p w:rsidR="00000000" w:rsidRDefault="001E2972">
      <w:pPr>
        <w:rPr>
          <w:rFonts w:eastAsia="Times New Roman"/>
        </w:rPr>
      </w:pPr>
      <w:r>
        <w:rPr>
          <w:rFonts w:eastAsia="Times New Roman"/>
        </w:rPr>
        <w:pict>
          <v:rect id="_x0000_i1053" style="width:0;height:1.5pt" o:hralign="center" o:hrstd="t" o:hr="t" fillcolor="#a0a0a0" stroked="f"/>
        </w:pict>
      </w:r>
    </w:p>
    <w:p w:rsidR="00000000" w:rsidRDefault="001E2972">
      <w:pPr>
        <w:jc w:val="both"/>
        <w:divId w:val="296304621"/>
        <w:rPr>
          <w:rFonts w:eastAsia="Times New Roman"/>
        </w:rPr>
      </w:pPr>
    </w:p>
    <w:p w:rsidR="00000000" w:rsidRDefault="001E2972">
      <w:pPr>
        <w:jc w:val="both"/>
        <w:divId w:val="1495292509"/>
        <w:rPr>
          <w:rFonts w:eastAsia="Times New Roman"/>
        </w:rPr>
      </w:pPr>
      <w:r>
        <w:rPr>
          <w:rFonts w:ascii="Arial" w:eastAsia="Times New Roman" w:hAnsi="Arial" w:cs="Arial"/>
          <w:color w:val="000000"/>
          <w:sz w:val="20"/>
          <w:szCs w:val="20"/>
        </w:rPr>
        <w:t>period of May 1, 2020 through October 31, 2020. The Actuarial Review was comprehensive in nature and was based on loss development patterns, trend assumptions, and underlying expected loss costs during the period analyzed.</w:t>
      </w:r>
    </w:p>
    <w:p w:rsidR="00000000" w:rsidRDefault="001E2972">
      <w:pPr>
        <w:ind w:firstLine="720"/>
        <w:jc w:val="both"/>
        <w:divId w:val="1066804833"/>
        <w:rPr>
          <w:rFonts w:eastAsia="Times New Roman"/>
        </w:rPr>
      </w:pPr>
      <w:r>
        <w:rPr>
          <w:rFonts w:ascii="Arial" w:eastAsia="Times New Roman" w:hAnsi="Arial" w:cs="Arial"/>
          <w:color w:val="000000"/>
          <w:sz w:val="20"/>
          <w:szCs w:val="20"/>
        </w:rPr>
        <w:t>During the second qua</w:t>
      </w:r>
      <w:r>
        <w:rPr>
          <w:rFonts w:ascii="Arial" w:eastAsia="Times New Roman" w:hAnsi="Arial" w:cs="Arial"/>
          <w:color w:val="000000"/>
          <w:sz w:val="20"/>
          <w:szCs w:val="20"/>
        </w:rPr>
        <w:t>rter of 2021, we performed an interim actuarial update of the majority of our casualty insurance programs that considered changes in claims development and claims payment activity for the period of November 1, 2020 through January 31, 2021. This Interim Up</w:t>
      </w:r>
      <w:r>
        <w:rPr>
          <w:rFonts w:ascii="Arial" w:eastAsia="Times New Roman" w:hAnsi="Arial" w:cs="Arial"/>
          <w:color w:val="000000"/>
          <w:sz w:val="20"/>
          <w:szCs w:val="20"/>
        </w:rPr>
        <w:t>date was abbreviated in nature based on actual versus expected developments during the periods analyzed and relied on the key assumptions in the Actuarial Review (most notably loss development patterns, trend assumptions, and underlying expected loss costs</w:t>
      </w:r>
      <w:r>
        <w:rPr>
          <w:rFonts w:ascii="Arial" w:eastAsia="Times New Roman" w:hAnsi="Arial" w:cs="Arial"/>
          <w:color w:val="000000"/>
          <w:sz w:val="20"/>
          <w:szCs w:val="20"/>
        </w:rPr>
        <w:t xml:space="preserve">). </w:t>
      </w:r>
    </w:p>
    <w:p w:rsidR="00000000" w:rsidRDefault="001E2972">
      <w:pPr>
        <w:ind w:firstLine="720"/>
        <w:jc w:val="both"/>
        <w:divId w:val="1724328059"/>
        <w:rPr>
          <w:rFonts w:eastAsia="Times New Roman"/>
        </w:rPr>
      </w:pPr>
      <w:r>
        <w:rPr>
          <w:rFonts w:ascii="Arial" w:eastAsia="Times New Roman" w:hAnsi="Arial" w:cs="Arial"/>
          <w:color w:val="000000"/>
          <w:sz w:val="20"/>
          <w:szCs w:val="20"/>
        </w:rPr>
        <w:t>The claims management strategies and programs that we have implemented have resulted in improvements. Furthermore, we continue to adjust our reserves consistent with known fact patterns. The Actuarial Review and Interim Update again demonstrated that t</w:t>
      </w:r>
      <w:r>
        <w:rPr>
          <w:rFonts w:ascii="Arial" w:eastAsia="Times New Roman" w:hAnsi="Arial" w:cs="Arial"/>
          <w:color w:val="000000"/>
          <w:sz w:val="20"/>
          <w:szCs w:val="20"/>
        </w:rPr>
        <w:t xml:space="preserve">he changes we have made to our risk management programs continue to positively impact the frequency and severity of claims. Based on the results of the Actuarial Review and Interim Update at April 30, 2021, we decreased our total reserves for known claims </w:t>
      </w:r>
      <w:r>
        <w:rPr>
          <w:rFonts w:ascii="Arial" w:eastAsia="Times New Roman" w:hAnsi="Arial" w:cs="Arial"/>
          <w:color w:val="000000"/>
          <w:sz w:val="20"/>
          <w:szCs w:val="20"/>
        </w:rPr>
        <w:t>as well as our estimate of the loss amounts associated with IBNR claims by $17.4 million during the six months ended April 30, 2021; $11.4 million of that amount relates to prior years. During the six months ended April 30, 2020, we decreased our total res</w:t>
      </w:r>
      <w:r>
        <w:rPr>
          <w:rFonts w:ascii="Arial" w:eastAsia="Times New Roman" w:hAnsi="Arial" w:cs="Arial"/>
          <w:color w:val="000000"/>
          <w:sz w:val="20"/>
          <w:szCs w:val="20"/>
        </w:rPr>
        <w:t xml:space="preserve">erves related to prior year claims by $6.6 million. We will continue to assess ongoing developments, which may result in further adjustments to reserves. </w:t>
      </w:r>
    </w:p>
    <w:p w:rsidR="00000000" w:rsidRDefault="001E2972">
      <w:pPr>
        <w:divId w:val="355690620"/>
        <w:rPr>
          <w:rFonts w:eastAsia="Times New Roman"/>
        </w:rPr>
      </w:pPr>
      <w:r>
        <w:rPr>
          <w:rFonts w:ascii="Arial" w:eastAsia="Times New Roman" w:hAnsi="Arial" w:cs="Arial"/>
          <w:b/>
          <w:bCs/>
          <w:color w:val="0046AD"/>
          <w:sz w:val="20"/>
          <w:szCs w:val="20"/>
        </w:rPr>
        <w:t xml:space="preserve">Segment Reporting </w:t>
      </w:r>
    </w:p>
    <w:p w:rsidR="00000000" w:rsidRDefault="001E2972">
      <w:pPr>
        <w:ind w:firstLine="720"/>
        <w:jc w:val="both"/>
        <w:divId w:val="2046561457"/>
        <w:rPr>
          <w:rFonts w:eastAsia="Times New Roman"/>
        </w:rPr>
      </w:pPr>
      <w:r>
        <w:rPr>
          <w:rFonts w:ascii="Arial" w:eastAsia="Times New Roman" w:hAnsi="Arial" w:cs="Arial"/>
          <w:color w:val="000000"/>
          <w:sz w:val="20"/>
          <w:szCs w:val="20"/>
        </w:rPr>
        <w:t>Our current reportable segments consist of B&amp;I, T&amp;M, Education, Aviation, and Tech</w:t>
      </w:r>
      <w:r>
        <w:rPr>
          <w:rFonts w:ascii="Arial" w:eastAsia="Times New Roman" w:hAnsi="Arial" w:cs="Arial"/>
          <w:color w:val="000000"/>
          <w:sz w:val="20"/>
          <w:szCs w:val="20"/>
        </w:rPr>
        <w:t xml:space="preserve">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9"/>
        <w:gridCol w:w="37"/>
      </w:tblGrid>
      <w:tr w:rsidR="00000000">
        <w:trPr>
          <w:divId w:val="843936863"/>
        </w:trPr>
        <w:tc>
          <w:tcPr>
            <w:tcW w:w="50" w:type="pct"/>
            <w:vAlign w:val="center"/>
            <w:hideMark/>
          </w:tcPr>
          <w:p w:rsidR="00000000" w:rsidRDefault="001E2972">
            <w:pPr>
              <w:ind w:firstLine="720"/>
              <w:jc w:val="both"/>
              <w:rPr>
                <w:rFonts w:eastAsia="Times New Roman"/>
              </w:rPr>
            </w:pPr>
          </w:p>
        </w:tc>
        <w:tc>
          <w:tcPr>
            <w:tcW w:w="111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377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843936863"/>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843936863"/>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rPr>
                <w:rFonts w:eastAsia="Times New Roman"/>
              </w:rPr>
            </w:pPr>
            <w:r>
              <w:rPr>
                <w:rFonts w:ascii="Arial" w:eastAsia="Times New Roman" w:hAnsi="Arial" w:cs="Arial"/>
                <w:color w:val="000000"/>
                <w:sz w:val="18"/>
                <w:szCs w:val="18"/>
              </w:rPr>
              <w:t>B&amp;I, our largest reportable segment, encompasses janitorial, facilities engineering, and parking services for commercial rea</w:t>
            </w:r>
            <w:r>
              <w:rPr>
                <w:rFonts w:ascii="Arial" w:eastAsia="Times New Roman" w:hAnsi="Arial" w:cs="Arial"/>
                <w:color w:val="000000"/>
                <w:sz w:val="18"/>
                <w:szCs w:val="18"/>
              </w:rPr>
              <w:t>l estate properties, sports and entertainment venues, and traditional hospitals and non-acute healthcare facilities. B&amp;I also provides vehicle maintenance and other services to rental car providers.</w:t>
            </w:r>
          </w:p>
        </w:tc>
      </w:tr>
      <w:tr w:rsidR="00000000">
        <w:trPr>
          <w:divId w:val="843936863"/>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rPr>
                <w:rFonts w:eastAsia="Times New Roman"/>
              </w:rPr>
            </w:pPr>
            <w:r>
              <w:rPr>
                <w:rFonts w:ascii="Arial" w:eastAsia="Times New Roman" w:hAnsi="Arial" w:cs="Arial"/>
                <w:color w:val="000000"/>
                <w:sz w:val="18"/>
                <w:szCs w:val="18"/>
              </w:rPr>
              <w:t>T&amp;M provides janitorial, facilities engineering, and parking services to industrial and high-tech manufacturing facilities.</w:t>
            </w:r>
          </w:p>
        </w:tc>
      </w:tr>
      <w:tr w:rsidR="00000000">
        <w:trPr>
          <w:divId w:val="843936863"/>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rPr>
                <w:rFonts w:eastAsia="Times New Roman"/>
              </w:rPr>
            </w:pPr>
            <w:r>
              <w:rPr>
                <w:rFonts w:ascii="Arial" w:eastAsia="Times New Roman" w:hAnsi="Arial" w:cs="Arial"/>
                <w:color w:val="000000"/>
                <w:sz w:val="18"/>
                <w:szCs w:val="18"/>
              </w:rPr>
              <w:t>Education delivers janitorial, custodial, landscaping and grounds, facilities engineering, and parki</w:t>
            </w:r>
            <w:r>
              <w:rPr>
                <w:rFonts w:ascii="Arial" w:eastAsia="Times New Roman" w:hAnsi="Arial" w:cs="Arial"/>
                <w:color w:val="000000"/>
                <w:sz w:val="18"/>
                <w:szCs w:val="18"/>
              </w:rPr>
              <w:t>ng services for public school districts, private schools, colleges, and universities.</w:t>
            </w:r>
          </w:p>
        </w:tc>
      </w:tr>
      <w:tr w:rsidR="00000000">
        <w:trPr>
          <w:divId w:val="843936863"/>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rPr>
                <w:rFonts w:eastAsia="Times New Roman"/>
              </w:rPr>
            </w:pPr>
            <w:r>
              <w:rPr>
                <w:rFonts w:ascii="Arial" w:eastAsia="Times New Roman" w:hAnsi="Arial" w:cs="Arial"/>
                <w:color w:val="000000"/>
                <w:sz w:val="18"/>
                <w:szCs w:val="18"/>
              </w:rPr>
              <w:t>Aviation supports airlines and airpo</w:t>
            </w:r>
            <w:r>
              <w:rPr>
                <w:rFonts w:ascii="Arial" w:eastAsia="Times New Roman" w:hAnsi="Arial" w:cs="Arial"/>
                <w:color w:val="000000"/>
                <w:sz w:val="18"/>
                <w:szCs w:val="18"/>
              </w:rPr>
              <w:t>rts with services ranging from parking and janitorial to passenger assistance, catering logistics, air cabin maintenance, and transportation.</w:t>
            </w:r>
          </w:p>
        </w:tc>
      </w:tr>
      <w:tr w:rsidR="00000000">
        <w:trPr>
          <w:divId w:val="843936863"/>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1E2972">
            <w:pPr>
              <w:jc w:val="both"/>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w:t>
            </w:r>
            <w:r>
              <w:rPr>
                <w:rFonts w:ascii="Arial" w:eastAsia="Times New Roman" w:hAnsi="Arial" w:cs="Arial"/>
                <w:color w:val="000000"/>
                <w:sz w:val="18"/>
                <w:szCs w:val="18"/>
              </w:rPr>
              <w:t>ically and internationally.</w:t>
            </w:r>
          </w:p>
        </w:tc>
      </w:tr>
    </w:tbl>
    <w:p w:rsidR="00000000" w:rsidRDefault="001E2972">
      <w:pPr>
        <w:jc w:val="both"/>
        <w:divId w:val="324283842"/>
        <w:rPr>
          <w:rFonts w:eastAsia="Times New Roman"/>
        </w:rPr>
      </w:pPr>
    </w:p>
    <w:p w:rsidR="00000000" w:rsidRDefault="001E2972">
      <w:pPr>
        <w:jc w:val="both"/>
        <w:divId w:val="1985968943"/>
        <w:rPr>
          <w:rFonts w:eastAsia="Times New Roman"/>
        </w:rPr>
      </w:pPr>
    </w:p>
    <w:p w:rsidR="00000000" w:rsidRDefault="001E2972">
      <w:pPr>
        <w:jc w:val="center"/>
        <w:divId w:val="1957177029"/>
        <w:rPr>
          <w:rFonts w:eastAsia="Times New Roman"/>
        </w:rPr>
      </w:pPr>
      <w:r>
        <w:rPr>
          <w:rFonts w:ascii="Arial" w:eastAsia="Times New Roman" w:hAnsi="Arial" w:cs="Arial"/>
          <w:color w:val="000000"/>
          <w:sz w:val="20"/>
          <w:szCs w:val="20"/>
        </w:rPr>
        <w:t>24</w:t>
      </w:r>
    </w:p>
    <w:p w:rsidR="00000000" w:rsidRDefault="001E2972">
      <w:pPr>
        <w:rPr>
          <w:rFonts w:eastAsia="Times New Roman"/>
        </w:rPr>
      </w:pPr>
      <w:r>
        <w:rPr>
          <w:rFonts w:eastAsia="Times New Roman"/>
        </w:rPr>
        <w:pict>
          <v:rect id="_x0000_i1059" style="width:0;height:1.5pt" o:hralign="center" o:hrstd="t" o:hr="t" fillcolor="#a0a0a0" stroked="f"/>
        </w:pict>
      </w:r>
    </w:p>
    <w:p w:rsidR="00000000" w:rsidRDefault="001E2972">
      <w:pPr>
        <w:jc w:val="both"/>
        <w:divId w:val="1333072331"/>
        <w:rPr>
          <w:rFonts w:eastAsia="Times New Roman"/>
        </w:rPr>
      </w:pPr>
    </w:p>
    <w:p w:rsidR="00000000" w:rsidRDefault="001E2972">
      <w:pPr>
        <w:jc w:val="both"/>
        <w:divId w:val="67195267"/>
        <w:rPr>
          <w:rFonts w:eastAsia="Times New Roman"/>
        </w:rPr>
      </w:pPr>
      <w:r>
        <w:rPr>
          <w:rFonts w:ascii="Arial" w:eastAsia="Times New Roman" w:hAnsi="Arial" w:cs="Arial"/>
          <w:b/>
          <w:bCs/>
          <w:color w:val="0046AD"/>
          <w:sz w:val="20"/>
          <w:szCs w:val="20"/>
        </w:rPr>
        <w:t>Key Financial Highlights</w:t>
      </w:r>
    </w:p>
    <w:p w:rsidR="00000000" w:rsidRDefault="001E2972">
      <w:pPr>
        <w:ind w:hanging="360"/>
        <w:jc w:val="both"/>
        <w:divId w:val="826746398"/>
        <w:rPr>
          <w:rFonts w:eastAsia="Times New Roman"/>
        </w:rPr>
      </w:pPr>
      <w:r>
        <w:rPr>
          <w:rFonts w:ascii="Arial" w:eastAsia="Times New Roman" w:hAnsi="Arial" w:cs="Arial"/>
          <w:color w:val="000000"/>
          <w:sz w:val="20"/>
          <w:szCs w:val="20"/>
        </w:rPr>
        <w:t xml:space="preserve">•Revenues increased by $1.4 million, or 0.1%, during the three months ended April 30, 2021, as compared to the three months ended April 30, 2020, primarily due to an increase in work orders as </w:t>
      </w:r>
      <w:r>
        <w:rPr>
          <w:rFonts w:ascii="Arial" w:eastAsia="Times New Roman" w:hAnsi="Arial" w:cs="Arial"/>
          <w:color w:val="000000"/>
          <w:sz w:val="20"/>
          <w:szCs w:val="20"/>
        </w:rPr>
        <w:t>a result of the Pandemic, and the expansion of certain accounts and new business within B&amp;I and T&amp;M. However, this increase was offset by Pandemic-related disruptions across our businesses.</w:t>
      </w:r>
    </w:p>
    <w:p w:rsidR="00000000" w:rsidRDefault="001E2972">
      <w:pPr>
        <w:ind w:hanging="360"/>
        <w:jc w:val="both"/>
        <w:divId w:val="1895118914"/>
        <w:rPr>
          <w:rFonts w:eastAsia="Times New Roman"/>
        </w:rPr>
      </w:pPr>
      <w:r>
        <w:rPr>
          <w:rFonts w:ascii="Arial" w:eastAsia="Times New Roman" w:hAnsi="Arial" w:cs="Arial"/>
          <w:color w:val="000000"/>
          <w:sz w:val="20"/>
          <w:szCs w:val="20"/>
        </w:rPr>
        <w:t>•We had an operating profit of $50.3 million during the three mont</w:t>
      </w:r>
      <w:r>
        <w:rPr>
          <w:rFonts w:ascii="Arial" w:eastAsia="Times New Roman" w:hAnsi="Arial" w:cs="Arial"/>
          <w:color w:val="000000"/>
          <w:sz w:val="20"/>
          <w:szCs w:val="20"/>
        </w:rPr>
        <w:t>hs ended April 30, 2021, as compared to an operating loss of $116.7 million during the three months ended April 30, 2020. This change was primarily driven by the absence of impairment charges recorded on goodwill and intangible assets totaling $172.8 milli</w:t>
      </w:r>
      <w:r>
        <w:rPr>
          <w:rFonts w:ascii="Arial" w:eastAsia="Times New Roman" w:hAnsi="Arial" w:cs="Arial"/>
          <w:color w:val="000000"/>
          <w:sz w:val="20"/>
          <w:szCs w:val="20"/>
        </w:rPr>
        <w:t xml:space="preserve">on during the three months ended April 30, 2020. This change was also positively impacted by an increase in work orders with higher margins as a result of the Pandemic (primarily within B&amp;I and T&amp;M) and the management of direct labor and related personnel </w:t>
      </w:r>
      <w:r>
        <w:rPr>
          <w:rFonts w:ascii="Arial" w:eastAsia="Times New Roman" w:hAnsi="Arial" w:cs="Arial"/>
          <w:color w:val="000000"/>
          <w:sz w:val="20"/>
          <w:szCs w:val="20"/>
        </w:rPr>
        <w:t xml:space="preserve">costs during the Pandemic. These benefits were partially offset by account compression resulting from Pandemic-related disruptions in certain markets and increased legal costs and settlements. </w:t>
      </w:r>
    </w:p>
    <w:p w:rsidR="00000000" w:rsidRDefault="001E2972">
      <w:pPr>
        <w:ind w:hanging="360"/>
        <w:jc w:val="both"/>
        <w:divId w:val="1398281040"/>
        <w:rPr>
          <w:rFonts w:eastAsia="Times New Roman"/>
        </w:rPr>
      </w:pPr>
      <w:r>
        <w:rPr>
          <w:rFonts w:ascii="Arial" w:eastAsia="Times New Roman" w:hAnsi="Arial" w:cs="Arial"/>
          <w:color w:val="000000"/>
          <w:sz w:val="20"/>
          <w:szCs w:val="20"/>
        </w:rPr>
        <w:t>•Our effective tax rate on income from continuing operations w</w:t>
      </w:r>
      <w:r>
        <w:rPr>
          <w:rFonts w:ascii="Arial" w:eastAsia="Times New Roman" w:hAnsi="Arial" w:cs="Arial"/>
          <w:color w:val="000000"/>
          <w:sz w:val="20"/>
          <w:szCs w:val="20"/>
        </w:rPr>
        <w:t>as 27.3% for the three months ended April 30, 2021, as compared to (8.4)% for the three months ended April 30, 2020. Our effective tax rate for the three months ended April 30, 2020 was impacted by a non-deductible impairment loss of $163.8 million.</w:t>
      </w:r>
    </w:p>
    <w:p w:rsidR="00000000" w:rsidRDefault="001E2972">
      <w:pPr>
        <w:ind w:hanging="360"/>
        <w:jc w:val="both"/>
        <w:divId w:val="1636138111"/>
        <w:rPr>
          <w:rFonts w:eastAsia="Times New Roman"/>
        </w:rPr>
      </w:pPr>
      <w:r>
        <w:rPr>
          <w:rFonts w:ascii="Arial" w:eastAsia="Times New Roman" w:hAnsi="Arial" w:cs="Arial"/>
          <w:color w:val="000000"/>
          <w:sz w:val="20"/>
          <w:szCs w:val="20"/>
        </w:rPr>
        <w:t>•Net c</w:t>
      </w:r>
      <w:r>
        <w:rPr>
          <w:rFonts w:ascii="Arial" w:eastAsia="Times New Roman" w:hAnsi="Arial" w:cs="Arial"/>
          <w:color w:val="000000"/>
          <w:sz w:val="20"/>
          <w:szCs w:val="20"/>
        </w:rPr>
        <w:t>ash provided by operating activities was $171.2 million during the six months ended April 30, 2021. This includes the deferred remittance of payroll taxes under the CARES Act.</w:t>
      </w:r>
    </w:p>
    <w:p w:rsidR="00000000" w:rsidRDefault="001E2972">
      <w:pPr>
        <w:ind w:hanging="360"/>
        <w:jc w:val="both"/>
        <w:divId w:val="1157190873"/>
        <w:rPr>
          <w:rFonts w:eastAsia="Times New Roman"/>
        </w:rPr>
      </w:pPr>
      <w:r>
        <w:rPr>
          <w:rFonts w:ascii="Arial" w:eastAsia="Times New Roman" w:hAnsi="Arial" w:cs="Arial"/>
          <w:color w:val="000000"/>
          <w:sz w:val="20"/>
          <w:szCs w:val="20"/>
        </w:rPr>
        <w:t>•Dividends of $25.4 million were paid to shareholders and dividends totaling $0.</w:t>
      </w:r>
      <w:r>
        <w:rPr>
          <w:rFonts w:ascii="Arial" w:eastAsia="Times New Roman" w:hAnsi="Arial" w:cs="Arial"/>
          <w:color w:val="000000"/>
          <w:sz w:val="20"/>
          <w:szCs w:val="20"/>
        </w:rPr>
        <w:t>380 per common share were declared during the six months ended April 30, 2021.</w:t>
      </w:r>
    </w:p>
    <w:p w:rsidR="00000000" w:rsidRDefault="001E2972">
      <w:pPr>
        <w:ind w:hanging="360"/>
        <w:jc w:val="both"/>
        <w:divId w:val="819155594"/>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 xml:space="preserve">At April 30, 2021, total outstanding borrowings under our Credit Facility were $645.1 million. At April 30, 2021, we had up to $622.1 million of borrowing capacity, reflecting </w:t>
      </w:r>
      <w:r>
        <w:rPr>
          <w:rFonts w:ascii="Arial" w:eastAsia="Times New Roman" w:hAnsi="Arial" w:cs="Arial"/>
          <w:color w:val="000000"/>
          <w:sz w:val="20"/>
          <w:szCs w:val="20"/>
        </w:rPr>
        <w:t>covenant restrictions.</w:t>
      </w:r>
    </w:p>
    <w:p w:rsidR="00000000" w:rsidRDefault="001E2972">
      <w:pPr>
        <w:jc w:val="center"/>
        <w:divId w:val="114719720"/>
        <w:rPr>
          <w:rFonts w:eastAsia="Times New Roman"/>
        </w:rPr>
      </w:pPr>
      <w:r>
        <w:rPr>
          <w:rFonts w:ascii="Arial" w:eastAsia="Times New Roman" w:hAnsi="Arial" w:cs="Arial"/>
          <w:color w:val="000000"/>
          <w:sz w:val="20"/>
          <w:szCs w:val="20"/>
        </w:rPr>
        <w:t>25</w:t>
      </w:r>
    </w:p>
    <w:p w:rsidR="00000000" w:rsidRDefault="001E2972">
      <w:pPr>
        <w:rPr>
          <w:rFonts w:eastAsia="Times New Roman"/>
        </w:rPr>
      </w:pPr>
      <w:r>
        <w:rPr>
          <w:rFonts w:eastAsia="Times New Roman"/>
        </w:rPr>
        <w:pict>
          <v:rect id="_x0000_i1060" style="width:0;height:1.5pt" o:hralign="center" o:hrstd="t" o:hr="t" fillcolor="#a0a0a0" stroked="f"/>
        </w:pict>
      </w:r>
    </w:p>
    <w:p w:rsidR="00000000" w:rsidRDefault="001E2972">
      <w:pPr>
        <w:jc w:val="both"/>
        <w:divId w:val="691221233"/>
        <w:rPr>
          <w:rFonts w:eastAsia="Times New Roman"/>
        </w:rPr>
      </w:pPr>
    </w:p>
    <w:p w:rsidR="00000000" w:rsidRDefault="001E2972">
      <w:pPr>
        <w:divId w:val="2027367984"/>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68229937"/>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6822993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857816034"/>
        <w:rPr>
          <w:rFonts w:eastAsia="Times New Roman"/>
        </w:rPr>
      </w:pPr>
      <w:r>
        <w:rPr>
          <w:rFonts w:ascii="Arial" w:eastAsia="Times New Roman" w:hAnsi="Arial" w:cs="Arial"/>
          <w:b/>
          <w:bCs/>
          <w:i/>
          <w:iCs/>
          <w:color w:val="0046AD"/>
          <w:sz w:val="20"/>
          <w:szCs w:val="20"/>
          <w:shd w:val="clear" w:color="auto" w:fill="FFFFFF"/>
        </w:rPr>
        <w:t>Three Months Ended April 30, 2021 Compared with the Three Months Ended April 30, 2020</w:t>
      </w:r>
    </w:p>
    <w:p w:rsidR="00000000" w:rsidRDefault="001E2972">
      <w:pPr>
        <w:divId w:val="1479617342"/>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934"/>
        <w:gridCol w:w="40"/>
        <w:gridCol w:w="121"/>
        <w:gridCol w:w="957"/>
        <w:gridCol w:w="163"/>
        <w:gridCol w:w="36"/>
        <w:gridCol w:w="36"/>
        <w:gridCol w:w="36"/>
        <w:gridCol w:w="121"/>
        <w:gridCol w:w="896"/>
        <w:gridCol w:w="163"/>
        <w:gridCol w:w="36"/>
        <w:gridCol w:w="36"/>
        <w:gridCol w:w="36"/>
        <w:gridCol w:w="122"/>
        <w:gridCol w:w="665"/>
        <w:gridCol w:w="37"/>
        <w:gridCol w:w="37"/>
        <w:gridCol w:w="37"/>
        <w:gridCol w:w="36"/>
        <w:gridCol w:w="63"/>
        <w:gridCol w:w="619"/>
        <w:gridCol w:w="38"/>
      </w:tblGrid>
      <w:tr w:rsidR="00000000">
        <w:trPr>
          <w:divId w:val="1081489515"/>
        </w:trPr>
        <w:tc>
          <w:tcPr>
            <w:tcW w:w="50" w:type="pct"/>
            <w:vAlign w:val="center"/>
            <w:hideMark/>
          </w:tcPr>
          <w:p w:rsidR="00000000" w:rsidRDefault="001E2972">
            <w:pPr>
              <w:rPr>
                <w:rFonts w:eastAsia="Times New Roman"/>
              </w:rPr>
            </w:pPr>
          </w:p>
        </w:tc>
        <w:tc>
          <w:tcPr>
            <w:tcW w:w="2423"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081489515"/>
        </w:trPr>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8148951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 / (Decrease)</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0.1%</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1,274.5 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1,306.1 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(2.4)%</w:t>
            </w:r>
          </w:p>
        </w:tc>
      </w:tr>
      <w:tr w:rsidR="00000000">
        <w:trPr>
          <w:divId w:val="1081489515"/>
        </w:trPr>
        <w:tc>
          <w:tcPr>
            <w:tcW w:w="0" w:type="auto"/>
            <w:gridSpan w:val="3"/>
            <w:shd w:val="clear" w:color="auto" w:fill="DCE2EF"/>
            <w:tcMar>
              <w:top w:w="30" w:type="dxa"/>
              <w:left w:w="14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14.9 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12.7 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220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161.9 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35.6%</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(14.5)%</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Impairment loss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(75.8)%</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25.5%</w:t>
            </w:r>
          </w:p>
        </w:tc>
      </w:tr>
      <w:tr w:rsidR="00000000">
        <w:trPr>
          <w:divId w:val="1081489515"/>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(126.2)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10.3%</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(loss)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Net income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81489515"/>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814895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bl>
    <w:p w:rsidR="00000000" w:rsidRDefault="001E2972">
      <w:pPr>
        <w:divId w:val="2028361160"/>
        <w:rPr>
          <w:rFonts w:eastAsia="Times New Roman"/>
        </w:rPr>
      </w:pPr>
      <w:r>
        <w:rPr>
          <w:rFonts w:ascii="Arial" w:eastAsia="Times New Roman" w:hAnsi="Arial" w:cs="Arial"/>
          <w:color w:val="000000"/>
          <w:sz w:val="18"/>
          <w:szCs w:val="18"/>
        </w:rPr>
        <w:t>*Not meaningful</w:t>
      </w:r>
    </w:p>
    <w:p w:rsidR="00000000" w:rsidRDefault="001E2972">
      <w:pPr>
        <w:divId w:val="29772117"/>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1E2972">
      <w:pPr>
        <w:ind w:firstLine="720"/>
        <w:jc w:val="both"/>
        <w:divId w:val="1544974863"/>
        <w:rPr>
          <w:rFonts w:eastAsia="Times New Roman"/>
        </w:rPr>
      </w:pPr>
      <w:r>
        <w:rPr>
          <w:rFonts w:ascii="Arial" w:eastAsia="Times New Roman" w:hAnsi="Arial" w:cs="Arial"/>
          <w:color w:val="000000"/>
          <w:sz w:val="20"/>
          <w:szCs w:val="20"/>
        </w:rPr>
        <w:t>Revenues increased by $1.4 million, or 0.1%, durin</w:t>
      </w:r>
      <w:r>
        <w:rPr>
          <w:rFonts w:ascii="Arial" w:eastAsia="Times New Roman" w:hAnsi="Arial" w:cs="Arial"/>
          <w:color w:val="000000"/>
          <w:sz w:val="20"/>
          <w:szCs w:val="20"/>
        </w:rPr>
        <w:t xml:space="preserve">g the three months ended April 30, 2021, as compared to the three months ended April 30, 2020. This increase was primarily due to an increase in work orders as a result of the Pandemic, and the expansion of certain accounts and new business within B&amp;I and </w:t>
      </w:r>
      <w:r>
        <w:rPr>
          <w:rFonts w:ascii="Arial" w:eastAsia="Times New Roman" w:hAnsi="Arial" w:cs="Arial"/>
          <w:color w:val="000000"/>
          <w:sz w:val="20"/>
          <w:szCs w:val="20"/>
        </w:rPr>
        <w:t>T&amp;M. However, this increase was offset by Pandemic-related disruptions across our businesses.</w:t>
      </w:r>
    </w:p>
    <w:p w:rsidR="00000000" w:rsidRDefault="001E2972">
      <w:pPr>
        <w:jc w:val="both"/>
        <w:divId w:val="1388798028"/>
        <w:rPr>
          <w:rFonts w:eastAsia="Times New Roman"/>
        </w:rPr>
      </w:pPr>
      <w:r>
        <w:rPr>
          <w:rFonts w:ascii="Arial" w:eastAsia="Times New Roman" w:hAnsi="Arial" w:cs="Arial"/>
          <w:b/>
          <w:bCs/>
          <w:i/>
          <w:iCs/>
          <w:color w:val="0046AD"/>
          <w:sz w:val="20"/>
          <w:szCs w:val="20"/>
        </w:rPr>
        <w:t>Operating Expenses</w:t>
      </w:r>
    </w:p>
    <w:p w:rsidR="00000000" w:rsidRDefault="001E2972">
      <w:pPr>
        <w:ind w:firstLine="720"/>
        <w:jc w:val="both"/>
        <w:divId w:val="1834567786"/>
        <w:rPr>
          <w:rFonts w:eastAsia="Times New Roman"/>
        </w:rPr>
      </w:pPr>
      <w:r>
        <w:rPr>
          <w:rFonts w:ascii="Arial" w:eastAsia="Times New Roman" w:hAnsi="Arial" w:cs="Arial"/>
          <w:color w:val="000000"/>
          <w:sz w:val="20"/>
          <w:szCs w:val="20"/>
        </w:rPr>
        <w:t>Operating expenses decreased by $31.6 million, or 2.4%, during the three months ended April 30, 2021, as compared to the three months ended April 30, 2020. Gross margin increased by 220 bps to 14.9% in the three months ended April 30, 2021 from 12.7% in th</w:t>
      </w:r>
      <w:r>
        <w:rPr>
          <w:rFonts w:ascii="Arial" w:eastAsia="Times New Roman" w:hAnsi="Arial" w:cs="Arial"/>
          <w:color w:val="000000"/>
          <w:sz w:val="20"/>
          <w:szCs w:val="20"/>
        </w:rPr>
        <w:t>e three months ended April 30, 2020. The increase in gross margin was primarily associated with an increase in work orders with higher margins as a result of the Pandemic (primarily within B&amp;I and T&amp;M) and the management of direct labor and related personn</w:t>
      </w:r>
      <w:r>
        <w:rPr>
          <w:rFonts w:ascii="Arial" w:eastAsia="Times New Roman" w:hAnsi="Arial" w:cs="Arial"/>
          <w:color w:val="000000"/>
          <w:sz w:val="20"/>
          <w:szCs w:val="20"/>
        </w:rPr>
        <w:t>el costs during the Pandemic. The increase in gross margin was also driven by self-insurance reserve adjustments. These benefits were partially offset by account compression resulting from Pandemic-related disruptions in certain markets.</w:t>
      </w:r>
    </w:p>
    <w:p w:rsidR="00000000" w:rsidRDefault="001E2972">
      <w:pPr>
        <w:divId w:val="440035088"/>
        <w:rPr>
          <w:rFonts w:eastAsia="Times New Roman"/>
        </w:rPr>
      </w:pPr>
      <w:r>
        <w:rPr>
          <w:rFonts w:ascii="Arial" w:eastAsia="Times New Roman" w:hAnsi="Arial" w:cs="Arial"/>
          <w:b/>
          <w:bCs/>
          <w:i/>
          <w:iCs/>
          <w:color w:val="0046AD"/>
          <w:sz w:val="20"/>
          <w:szCs w:val="20"/>
        </w:rPr>
        <w:t>Selling, General a</w:t>
      </w:r>
      <w:r>
        <w:rPr>
          <w:rFonts w:ascii="Arial" w:eastAsia="Times New Roman" w:hAnsi="Arial" w:cs="Arial"/>
          <w:b/>
          <w:bCs/>
          <w:i/>
          <w:iCs/>
          <w:color w:val="0046AD"/>
          <w:sz w:val="20"/>
          <w:szCs w:val="20"/>
        </w:rPr>
        <w:t>nd Administrative Expenses</w:t>
      </w:r>
    </w:p>
    <w:p w:rsidR="00000000" w:rsidRDefault="001E2972">
      <w:pPr>
        <w:ind w:firstLine="720"/>
        <w:jc w:val="both"/>
        <w:divId w:val="1895384510"/>
        <w:rPr>
          <w:rFonts w:eastAsia="Times New Roman"/>
        </w:rPr>
      </w:pPr>
      <w:r>
        <w:rPr>
          <w:rFonts w:ascii="Arial" w:eastAsia="Times New Roman" w:hAnsi="Arial" w:cs="Arial"/>
          <w:color w:val="000000"/>
          <w:sz w:val="20"/>
          <w:szCs w:val="20"/>
        </w:rPr>
        <w:t>Selling, general and administrative expenses increased by $42.5 million, or 35.6%, during the three months ended April 30, 2021, as compared to the three months ended April 30, 2020. The increase in selling, general and administr</w:t>
      </w:r>
      <w:r>
        <w:rPr>
          <w:rFonts w:ascii="Arial" w:eastAsia="Times New Roman" w:hAnsi="Arial" w:cs="Arial"/>
          <w:color w:val="000000"/>
          <w:sz w:val="20"/>
          <w:szCs w:val="20"/>
        </w:rPr>
        <w:t>ative expenses was primarily attributable to:</w:t>
      </w:r>
    </w:p>
    <w:p w:rsidR="00000000" w:rsidRDefault="001E2972">
      <w:pPr>
        <w:ind w:hanging="360"/>
        <w:jc w:val="both"/>
        <w:divId w:val="69330705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$32.2 million increase in legal costs and settlements, of which $30 million was attributed to the accrual of a legal reserve for the Bucio case;</w:t>
      </w:r>
    </w:p>
    <w:p w:rsidR="00000000" w:rsidRDefault="001E2972">
      <w:pPr>
        <w:jc w:val="center"/>
        <w:divId w:val="1045133695"/>
        <w:rPr>
          <w:rFonts w:eastAsia="Times New Roman"/>
        </w:rPr>
      </w:pPr>
      <w:r>
        <w:rPr>
          <w:rFonts w:ascii="Arial" w:eastAsia="Times New Roman" w:hAnsi="Arial" w:cs="Arial"/>
          <w:color w:val="000000"/>
          <w:sz w:val="20"/>
          <w:szCs w:val="20"/>
        </w:rPr>
        <w:t>26</w:t>
      </w:r>
    </w:p>
    <w:p w:rsidR="00000000" w:rsidRDefault="001E2972">
      <w:pPr>
        <w:rPr>
          <w:rFonts w:eastAsia="Times New Roman"/>
        </w:rPr>
      </w:pPr>
      <w:r>
        <w:rPr>
          <w:rFonts w:eastAsia="Times New Roman"/>
        </w:rPr>
        <w:pict>
          <v:rect id="_x0000_i1061" style="width:0;height:1.5pt" o:hralign="center" o:hrstd="t" o:hr="t" fillcolor="#a0a0a0" stroked="f"/>
        </w:pict>
      </w:r>
    </w:p>
    <w:p w:rsidR="00000000" w:rsidRDefault="001E2972">
      <w:pPr>
        <w:jc w:val="both"/>
        <w:divId w:val="1525828441"/>
        <w:rPr>
          <w:rFonts w:eastAsia="Times New Roman"/>
        </w:rPr>
      </w:pPr>
    </w:p>
    <w:p w:rsidR="00000000" w:rsidRDefault="001E2972">
      <w:pPr>
        <w:ind w:hanging="360"/>
        <w:jc w:val="both"/>
        <w:divId w:val="83677561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$14.5 </w:t>
      </w:r>
      <w:r>
        <w:rPr>
          <w:rFonts w:ascii="Arial" w:eastAsia="Times New Roman" w:hAnsi="Arial" w:cs="Arial"/>
          <w:color w:val="000000"/>
          <w:sz w:val="20"/>
          <w:szCs w:val="20"/>
        </w:rPr>
        <w:t>million increase in certain technology projects and other enterprise initiatives, including marketing events; and</w:t>
      </w:r>
    </w:p>
    <w:p w:rsidR="00000000" w:rsidRDefault="001E2972">
      <w:pPr>
        <w:ind w:hanging="360"/>
        <w:jc w:val="both"/>
        <w:divId w:val="174529890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$11.7 million increase in compensation and related expenses, primarily driven by updated assessments regarding financial performance targe</w:t>
      </w:r>
      <w:r>
        <w:rPr>
          <w:rFonts w:ascii="Arial" w:eastAsia="Times New Roman" w:hAnsi="Arial" w:cs="Arial"/>
          <w:color w:val="000000"/>
          <w:sz w:val="20"/>
          <w:szCs w:val="20"/>
        </w:rPr>
        <w:t>t achievements in connection with certain performance share awards; during the three months ended April 30, 2020, we recorded a reversal of shared-based compensation expense based upon our then current assessment of probable financial achievements for such</w:t>
      </w:r>
      <w:r>
        <w:rPr>
          <w:rFonts w:ascii="Arial" w:eastAsia="Times New Roman" w:hAnsi="Arial" w:cs="Arial"/>
          <w:color w:val="000000"/>
          <w:sz w:val="20"/>
          <w:szCs w:val="20"/>
        </w:rPr>
        <w:t xml:space="preserve"> awards. </w:t>
      </w:r>
    </w:p>
    <w:p w:rsidR="00000000" w:rsidRDefault="001E2972">
      <w:pPr>
        <w:jc w:val="both"/>
        <w:divId w:val="1862090730"/>
        <w:rPr>
          <w:rFonts w:eastAsia="Times New Roman"/>
        </w:rPr>
      </w:pPr>
      <w:r>
        <w:rPr>
          <w:rFonts w:ascii="Arial" w:eastAsia="Times New Roman" w:hAnsi="Arial" w:cs="Arial"/>
          <w:color w:val="000000"/>
          <w:sz w:val="20"/>
          <w:szCs w:val="20"/>
        </w:rPr>
        <w:t>This increase was partially offset by:</w:t>
      </w:r>
    </w:p>
    <w:p w:rsidR="00000000" w:rsidRDefault="001E2972">
      <w:pPr>
        <w:ind w:hanging="360"/>
        <w:jc w:val="both"/>
        <w:divId w:val="42087994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$9.9 million decrease in bad debt expense, primarily associated with higher reserves established for client receivables in the prior year, due to increasing credit risk resulting from the Pandemic; and</w:t>
      </w:r>
    </w:p>
    <w:p w:rsidR="00000000" w:rsidRDefault="001E2972">
      <w:pPr>
        <w:ind w:hanging="360"/>
        <w:jc w:val="both"/>
        <w:divId w:val="186818108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w:t>
      </w:r>
      <w:r>
        <w:rPr>
          <w:rFonts w:ascii="Arial" w:eastAsia="Times New Roman" w:hAnsi="Arial" w:cs="Arial"/>
          <w:color w:val="000000"/>
          <w:sz w:val="20"/>
          <w:szCs w:val="20"/>
        </w:rPr>
        <w:t>he absence of a $3.9 million medical and dental insurance expense as a result of an actuarial evaluation performed in the prior year.</w:t>
      </w:r>
    </w:p>
    <w:p w:rsidR="00000000" w:rsidRDefault="001E2972">
      <w:pPr>
        <w:jc w:val="both"/>
        <w:divId w:val="563954210"/>
        <w:rPr>
          <w:rFonts w:eastAsia="Times New Roman"/>
        </w:rPr>
      </w:pPr>
      <w:r>
        <w:rPr>
          <w:rFonts w:ascii="Arial" w:eastAsia="Times New Roman" w:hAnsi="Arial" w:cs="Arial"/>
          <w:b/>
          <w:bCs/>
          <w:i/>
          <w:iCs/>
          <w:color w:val="0046AD"/>
          <w:sz w:val="20"/>
          <w:szCs w:val="20"/>
        </w:rPr>
        <w:t>Restructuring and Related Expenses</w:t>
      </w:r>
    </w:p>
    <w:p w:rsidR="00000000" w:rsidRDefault="001E2972">
      <w:pPr>
        <w:ind w:firstLine="720"/>
        <w:jc w:val="both"/>
        <w:divId w:val="708068552"/>
        <w:rPr>
          <w:rFonts w:eastAsia="Times New Roman"/>
        </w:rPr>
      </w:pPr>
      <w:r>
        <w:rPr>
          <w:rFonts w:ascii="Arial" w:eastAsia="Times New Roman" w:hAnsi="Arial" w:cs="Arial"/>
          <w:color w:val="000000"/>
          <w:sz w:val="20"/>
          <w:szCs w:val="20"/>
        </w:rPr>
        <w:t>Restructuring and related expenses decreased by $1.8 million during the three months en</w:t>
      </w:r>
      <w:r>
        <w:rPr>
          <w:rFonts w:ascii="Arial" w:eastAsia="Times New Roman" w:hAnsi="Arial" w:cs="Arial"/>
          <w:color w:val="000000"/>
          <w:sz w:val="20"/>
          <w:szCs w:val="20"/>
        </w:rPr>
        <w:t>ded April 30, 2021, as compared to the three months ended April 30, 2020. We substantially completed the restructuring program by the end of fiscal year 2020.</w:t>
      </w:r>
    </w:p>
    <w:p w:rsidR="00000000" w:rsidRDefault="001E2972">
      <w:pPr>
        <w:jc w:val="both"/>
        <w:divId w:val="981345348"/>
        <w:rPr>
          <w:rFonts w:eastAsia="Times New Roman"/>
        </w:rPr>
      </w:pPr>
      <w:r>
        <w:rPr>
          <w:rFonts w:ascii="Arial" w:eastAsia="Times New Roman" w:hAnsi="Arial" w:cs="Arial"/>
          <w:b/>
          <w:bCs/>
          <w:i/>
          <w:iCs/>
          <w:color w:val="0046AD"/>
          <w:sz w:val="20"/>
          <w:szCs w:val="20"/>
        </w:rPr>
        <w:t>Amortization of Intangible Assets</w:t>
      </w:r>
    </w:p>
    <w:p w:rsidR="00000000" w:rsidRDefault="001E2972">
      <w:pPr>
        <w:ind w:firstLine="720"/>
        <w:jc w:val="both"/>
        <w:divId w:val="1728917322"/>
        <w:rPr>
          <w:rFonts w:eastAsia="Times New Roman"/>
        </w:rPr>
      </w:pPr>
      <w:r>
        <w:rPr>
          <w:rFonts w:ascii="Arial" w:eastAsia="Times New Roman" w:hAnsi="Arial" w:cs="Arial"/>
          <w:color w:val="000000"/>
          <w:sz w:val="20"/>
          <w:szCs w:val="20"/>
        </w:rPr>
        <w:t>Amortization of intangible assets decreased by $1.8 million, or</w:t>
      </w:r>
      <w:r>
        <w:rPr>
          <w:rFonts w:ascii="Arial" w:eastAsia="Times New Roman" w:hAnsi="Arial" w:cs="Arial"/>
          <w:color w:val="000000"/>
          <w:sz w:val="20"/>
          <w:szCs w:val="20"/>
        </w:rPr>
        <w:t xml:space="preserve"> 14.5%, during the three months ended April 30, 2021, as compared to the three months ended April 30, 2020. The decrease was due to a lower intangible assets balance resulting from the impairment loss recorded in the second quarter of 2020 and to certain i</w:t>
      </w:r>
      <w:r>
        <w:rPr>
          <w:rFonts w:ascii="Arial" w:eastAsia="Times New Roman" w:hAnsi="Arial" w:cs="Arial"/>
          <w:color w:val="000000"/>
          <w:sz w:val="20"/>
          <w:szCs w:val="20"/>
        </w:rPr>
        <w:t>ntangible assets being amortized using the sum-of-the-years’-digits method, which results in declining amortization expense over the useful lives of the assets.</w:t>
      </w:r>
    </w:p>
    <w:p w:rsidR="00000000" w:rsidRDefault="001E2972">
      <w:pPr>
        <w:jc w:val="both"/>
        <w:divId w:val="1317953910"/>
        <w:rPr>
          <w:rFonts w:eastAsia="Times New Roman"/>
        </w:rPr>
      </w:pPr>
      <w:r>
        <w:rPr>
          <w:rFonts w:ascii="Arial" w:eastAsia="Times New Roman" w:hAnsi="Arial" w:cs="Arial"/>
          <w:b/>
          <w:bCs/>
          <w:i/>
          <w:iCs/>
          <w:color w:val="0046AD"/>
          <w:sz w:val="20"/>
          <w:szCs w:val="20"/>
        </w:rPr>
        <w:t>Impairment Loss</w:t>
      </w:r>
    </w:p>
    <w:p w:rsidR="00000000" w:rsidRDefault="001E2972">
      <w:pPr>
        <w:ind w:firstLine="720"/>
        <w:jc w:val="both"/>
        <w:divId w:val="534121515"/>
        <w:rPr>
          <w:rFonts w:eastAsia="Times New Roman"/>
        </w:rPr>
      </w:pPr>
      <w:r>
        <w:rPr>
          <w:rFonts w:ascii="Arial" w:eastAsia="Times New Roman" w:hAnsi="Arial" w:cs="Arial"/>
          <w:color w:val="000000"/>
          <w:sz w:val="20"/>
          <w:szCs w:val="20"/>
        </w:rPr>
        <w:t>During the three months ended April 30, 2020, we recorded impairment charges on</w:t>
      </w:r>
      <w:r>
        <w:rPr>
          <w:rFonts w:ascii="Arial" w:eastAsia="Times New Roman" w:hAnsi="Arial" w:cs="Arial"/>
          <w:color w:val="000000"/>
          <w:sz w:val="20"/>
          <w:szCs w:val="20"/>
        </w:rPr>
        <w:t xml:space="preserve"> goodwill related to our Education, Aviation, and U.K. Technical Solutions businesses totaling $163.8 million. Additionally, we recorded impairment charges on customer relationships related to our Aviation and U.K. Technical Solutions businesses totaling $</w:t>
      </w:r>
      <w:r>
        <w:rPr>
          <w:rFonts w:ascii="Arial" w:eastAsia="Times New Roman" w:hAnsi="Arial" w:cs="Arial"/>
          <w:color w:val="000000"/>
          <w:sz w:val="20"/>
          <w:szCs w:val="20"/>
        </w:rPr>
        <w:t>9.0 million. During the second quarter of 2020, these businesses were adversely impacted by the market and business conditions resulting from the Pandemic. We did not record any impairment charges to goodwill or intangible assets for the three months ended</w:t>
      </w:r>
      <w:r>
        <w:rPr>
          <w:rFonts w:ascii="Arial" w:eastAsia="Times New Roman" w:hAnsi="Arial" w:cs="Arial"/>
          <w:color w:val="000000"/>
          <w:sz w:val="20"/>
          <w:szCs w:val="20"/>
        </w:rPr>
        <w:t xml:space="preserve"> April 30, 2021.</w:t>
      </w:r>
    </w:p>
    <w:p w:rsidR="00000000" w:rsidRDefault="001E2972">
      <w:pPr>
        <w:divId w:val="1731689121"/>
        <w:rPr>
          <w:rFonts w:eastAsia="Times New Roman"/>
        </w:rPr>
      </w:pPr>
      <w:r>
        <w:rPr>
          <w:rFonts w:ascii="Arial" w:eastAsia="Times New Roman" w:hAnsi="Arial" w:cs="Arial"/>
          <w:b/>
          <w:bCs/>
          <w:i/>
          <w:iCs/>
          <w:color w:val="0046AD"/>
          <w:sz w:val="20"/>
          <w:szCs w:val="20"/>
        </w:rPr>
        <w:t>Interest Expense</w:t>
      </w:r>
    </w:p>
    <w:p w:rsidR="00000000" w:rsidRDefault="001E2972">
      <w:pPr>
        <w:ind w:firstLine="720"/>
        <w:jc w:val="both"/>
        <w:divId w:val="518470296"/>
        <w:rPr>
          <w:rFonts w:eastAsia="Times New Roman"/>
        </w:rPr>
      </w:pPr>
      <w:r>
        <w:rPr>
          <w:rFonts w:ascii="Arial" w:eastAsia="Times New Roman" w:hAnsi="Arial" w:cs="Arial"/>
          <w:color w:val="000000"/>
          <w:sz w:val="20"/>
          <w:szCs w:val="20"/>
        </w:rPr>
        <w:t>Interest expense decreased by $2.7 million, or 25.5%, during the three months ended April 30, 2021, as compared to the three months ended April 30, 2020, primarily due to lower relative interest rates in the current year a</w:t>
      </w:r>
      <w:r>
        <w:rPr>
          <w:rFonts w:ascii="Arial" w:eastAsia="Times New Roman" w:hAnsi="Arial" w:cs="Arial"/>
          <w:color w:val="000000"/>
          <w:sz w:val="20"/>
          <w:szCs w:val="20"/>
        </w:rPr>
        <w:t>nd lower outstanding borrowings under our credit facility.</w:t>
      </w:r>
    </w:p>
    <w:p w:rsidR="00000000" w:rsidRDefault="001E2972">
      <w:pPr>
        <w:divId w:val="1674642721"/>
        <w:rPr>
          <w:rFonts w:eastAsia="Times New Roman"/>
        </w:rPr>
      </w:pPr>
      <w:r>
        <w:rPr>
          <w:rFonts w:ascii="Arial" w:eastAsia="Times New Roman" w:hAnsi="Arial" w:cs="Arial"/>
          <w:b/>
          <w:bCs/>
          <w:i/>
          <w:iCs/>
          <w:color w:val="0046AD"/>
          <w:sz w:val="20"/>
          <w:szCs w:val="20"/>
        </w:rPr>
        <w:t>Income Taxes from Continuing Operations</w:t>
      </w:r>
    </w:p>
    <w:p w:rsidR="00000000" w:rsidRDefault="001E2972">
      <w:pPr>
        <w:ind w:firstLine="720"/>
        <w:jc w:val="both"/>
        <w:divId w:val="1184242769"/>
        <w:rPr>
          <w:rFonts w:eastAsia="Times New Roman"/>
        </w:rPr>
      </w:pPr>
      <w:r>
        <w:rPr>
          <w:rFonts w:ascii="Arial" w:eastAsia="Times New Roman" w:hAnsi="Arial" w:cs="Arial"/>
          <w:color w:val="000000"/>
          <w:sz w:val="20"/>
          <w:szCs w:val="20"/>
        </w:rPr>
        <w:t>Our effective tax rates on income from continuing operations for the three months ended April 30, 2021 and April 30, 2020 were 27.3% and (8.4)%, respectively</w:t>
      </w:r>
      <w:r>
        <w:rPr>
          <w:rFonts w:ascii="Arial" w:eastAsia="Times New Roman" w:hAnsi="Arial" w:cs="Arial"/>
          <w:color w:val="000000"/>
          <w:sz w:val="20"/>
          <w:szCs w:val="20"/>
        </w:rPr>
        <w:t>, resulting in provisions for taxes of $11.7 million and $10.6 million, respectively. The effective tax rate for the three months ended April 30, 2020, excluding a nondeductible impairment loss of $163.8 million, was 28.1%.</w:t>
      </w:r>
    </w:p>
    <w:p w:rsidR="00000000" w:rsidRDefault="001E2972">
      <w:pPr>
        <w:ind w:firstLine="720"/>
        <w:jc w:val="both"/>
        <w:divId w:val="1464039574"/>
        <w:rPr>
          <w:rFonts w:eastAsia="Times New Roman"/>
        </w:rPr>
      </w:pPr>
      <w:r>
        <w:rPr>
          <w:rFonts w:ascii="Arial" w:eastAsia="Times New Roman" w:hAnsi="Arial" w:cs="Arial"/>
          <w:color w:val="000000"/>
          <w:sz w:val="20"/>
          <w:szCs w:val="20"/>
        </w:rPr>
        <w:t>Our effective tax rate for the t</w:t>
      </w:r>
      <w:r>
        <w:rPr>
          <w:rFonts w:ascii="Arial" w:eastAsia="Times New Roman" w:hAnsi="Arial" w:cs="Arial"/>
          <w:color w:val="000000"/>
          <w:sz w:val="20"/>
          <w:szCs w:val="20"/>
        </w:rPr>
        <w:t>hree months ended April 30, 2021 was not impacted by any significant discrete items. Our effective tax rate for the three months ended April 30, 2020 was impacted by the non-deductible impairment loss. The difference between the effective tax rate and stat</w:t>
      </w:r>
      <w:r>
        <w:rPr>
          <w:rFonts w:ascii="Arial" w:eastAsia="Times New Roman" w:hAnsi="Arial" w:cs="Arial"/>
          <w:color w:val="000000"/>
          <w:sz w:val="20"/>
          <w:szCs w:val="20"/>
        </w:rPr>
        <w:t>utory rate is primarily related to tax credits. The rate difference between periods is driven by increased income in 2021.</w:t>
      </w:r>
    </w:p>
    <w:p w:rsidR="00000000" w:rsidRDefault="001E2972">
      <w:pPr>
        <w:jc w:val="both"/>
        <w:divId w:val="848064172"/>
        <w:rPr>
          <w:rFonts w:eastAsia="Times New Roman"/>
        </w:rPr>
      </w:pPr>
    </w:p>
    <w:p w:rsidR="00000000" w:rsidRDefault="001E2972">
      <w:pPr>
        <w:jc w:val="both"/>
        <w:divId w:val="1555192248"/>
        <w:rPr>
          <w:rFonts w:eastAsia="Times New Roman"/>
        </w:rPr>
      </w:pPr>
    </w:p>
    <w:p w:rsidR="00000000" w:rsidRDefault="001E2972">
      <w:pPr>
        <w:jc w:val="both"/>
        <w:divId w:val="41368201"/>
        <w:rPr>
          <w:rFonts w:eastAsia="Times New Roman"/>
        </w:rPr>
      </w:pPr>
    </w:p>
    <w:p w:rsidR="00000000" w:rsidRDefault="001E2972">
      <w:pPr>
        <w:jc w:val="center"/>
        <w:divId w:val="1121725988"/>
        <w:rPr>
          <w:rFonts w:eastAsia="Times New Roman"/>
        </w:rPr>
      </w:pPr>
      <w:r>
        <w:rPr>
          <w:rFonts w:ascii="Arial" w:eastAsia="Times New Roman" w:hAnsi="Arial" w:cs="Arial"/>
          <w:color w:val="000000"/>
          <w:sz w:val="20"/>
          <w:szCs w:val="20"/>
        </w:rPr>
        <w:t>27</w:t>
      </w:r>
    </w:p>
    <w:p w:rsidR="00000000" w:rsidRDefault="001E2972">
      <w:pPr>
        <w:rPr>
          <w:rFonts w:eastAsia="Times New Roman"/>
        </w:rPr>
      </w:pPr>
      <w:r>
        <w:rPr>
          <w:rFonts w:eastAsia="Times New Roman"/>
        </w:rPr>
        <w:pict>
          <v:rect id="_x0000_i1062" style="width:0;height:1.5pt" o:hralign="center" o:hrstd="t" o:hr="t" fillcolor="#a0a0a0" stroked="f"/>
        </w:pict>
      </w:r>
    </w:p>
    <w:p w:rsidR="00000000" w:rsidRDefault="001E2972">
      <w:pPr>
        <w:jc w:val="both"/>
        <w:divId w:val="1091194654"/>
        <w:rPr>
          <w:rFonts w:eastAsia="Times New Roman"/>
        </w:rPr>
      </w:pPr>
    </w:p>
    <w:p w:rsidR="00000000" w:rsidRDefault="001E2972">
      <w:pPr>
        <w:jc w:val="both"/>
        <w:divId w:val="2075925503"/>
        <w:rPr>
          <w:rFonts w:eastAsia="Times New Roman"/>
        </w:rPr>
      </w:pPr>
      <w:r>
        <w:rPr>
          <w:rFonts w:ascii="Arial" w:eastAsia="Times New Roman" w:hAnsi="Arial" w:cs="Arial"/>
          <w:b/>
          <w:bCs/>
          <w:i/>
          <w:iCs/>
          <w:color w:val="0046AD"/>
          <w:sz w:val="20"/>
          <w:szCs w:val="20"/>
        </w:rPr>
        <w:t>Interest Rate Swaps</w:t>
      </w:r>
    </w:p>
    <w:p w:rsidR="00000000" w:rsidRDefault="001E2972">
      <w:pPr>
        <w:ind w:firstLine="720"/>
        <w:jc w:val="both"/>
        <w:divId w:val="464467126"/>
        <w:rPr>
          <w:rFonts w:eastAsia="Times New Roman"/>
        </w:rPr>
      </w:pPr>
      <w:r>
        <w:rPr>
          <w:rFonts w:ascii="Arial" w:eastAsia="Times New Roman" w:hAnsi="Arial" w:cs="Arial"/>
          <w:color w:val="000000"/>
          <w:sz w:val="20"/>
          <w:szCs w:val="20"/>
        </w:rPr>
        <w:t>We had a gain of $1.6 million on interest rate swaps during the three months ended April 30, 2021, as compared to a loss of $8.7 million during the three months ended April 30, 2020, primarily due t</w:t>
      </w:r>
      <w:r>
        <w:rPr>
          <w:rFonts w:ascii="Arial" w:eastAsia="Times New Roman" w:hAnsi="Arial" w:cs="Arial"/>
          <w:color w:val="000000"/>
          <w:sz w:val="20"/>
          <w:szCs w:val="20"/>
        </w:rPr>
        <w:t xml:space="preserve">o underlying changes in the fair value of our interest rate swaps. </w:t>
      </w:r>
    </w:p>
    <w:p w:rsidR="00000000" w:rsidRDefault="001E2972">
      <w:pPr>
        <w:jc w:val="both"/>
        <w:divId w:val="1221014751"/>
        <w:rPr>
          <w:rFonts w:eastAsia="Times New Roman"/>
        </w:rPr>
      </w:pPr>
      <w:r>
        <w:rPr>
          <w:rFonts w:ascii="Arial" w:eastAsia="Times New Roman" w:hAnsi="Arial" w:cs="Arial"/>
          <w:b/>
          <w:bCs/>
          <w:i/>
          <w:iCs/>
          <w:color w:val="0046AD"/>
          <w:sz w:val="20"/>
          <w:szCs w:val="20"/>
        </w:rPr>
        <w:t>Foreign Currency Translation</w:t>
      </w:r>
    </w:p>
    <w:p w:rsidR="00000000" w:rsidRDefault="001E2972">
      <w:pPr>
        <w:ind w:firstLine="720"/>
        <w:jc w:val="both"/>
        <w:divId w:val="2020572907"/>
        <w:rPr>
          <w:rFonts w:eastAsia="Times New Roman"/>
        </w:rPr>
      </w:pPr>
      <w:r>
        <w:rPr>
          <w:rFonts w:ascii="Arial" w:eastAsia="Times New Roman" w:hAnsi="Arial" w:cs="Arial"/>
          <w:color w:val="000000"/>
          <w:sz w:val="20"/>
          <w:szCs w:val="20"/>
        </w:rPr>
        <w:t xml:space="preserve">We had a foreign currency translation gain of $1.2 million during the three months ended April 30, 2021, as compared to a foreign currency translation loss of </w:t>
      </w:r>
      <w:r>
        <w:rPr>
          <w:rFonts w:ascii="Arial" w:eastAsia="Times New Roman" w:hAnsi="Arial" w:cs="Arial"/>
          <w:color w:val="000000"/>
          <w:sz w:val="20"/>
          <w:szCs w:val="20"/>
        </w:rPr>
        <w:t>$4.2 million during the three months ended April 30, 2020. This change was due to fluctuations in the exchange rate between the U.S. Dollar (“USD”) and the Great Britain Pound (“GBP”). Future gains and losses on foreign currency translation will be depende</w:t>
      </w:r>
      <w:r>
        <w:rPr>
          <w:rFonts w:ascii="Arial" w:eastAsia="Times New Roman" w:hAnsi="Arial" w:cs="Arial"/>
          <w:color w:val="000000"/>
          <w:sz w:val="20"/>
          <w:szCs w:val="20"/>
        </w:rPr>
        <w:t xml:space="preserve">nt upon changes in the relative value of foreign currencies to the USD and the extent of our foreign assets and liabilities. </w:t>
      </w:r>
    </w:p>
    <w:p w:rsidR="00000000" w:rsidRDefault="001E2972">
      <w:pPr>
        <w:jc w:val="center"/>
        <w:divId w:val="768162811"/>
        <w:rPr>
          <w:rFonts w:eastAsia="Times New Roman"/>
        </w:rPr>
      </w:pPr>
      <w:r>
        <w:rPr>
          <w:rFonts w:ascii="Arial" w:eastAsia="Times New Roman" w:hAnsi="Arial" w:cs="Arial"/>
          <w:color w:val="000000"/>
          <w:sz w:val="20"/>
          <w:szCs w:val="20"/>
        </w:rPr>
        <w:t>28</w:t>
      </w:r>
    </w:p>
    <w:p w:rsidR="00000000" w:rsidRDefault="001E2972">
      <w:pPr>
        <w:rPr>
          <w:rFonts w:eastAsia="Times New Roman"/>
        </w:rPr>
      </w:pPr>
      <w:r>
        <w:rPr>
          <w:rFonts w:eastAsia="Times New Roman"/>
        </w:rPr>
        <w:pict>
          <v:rect id="_x0000_i1063" style="width:0;height:1.5pt" o:hralign="center" o:hrstd="t" o:hr="t" fillcolor="#a0a0a0" stroked="f"/>
        </w:pict>
      </w:r>
    </w:p>
    <w:p w:rsidR="00000000" w:rsidRDefault="001E2972">
      <w:pPr>
        <w:jc w:val="both"/>
        <w:divId w:val="189954301"/>
        <w:rPr>
          <w:rFonts w:eastAsia="Times New Roman"/>
        </w:rPr>
      </w:pPr>
    </w:p>
    <w:p w:rsidR="00000000" w:rsidRDefault="001E2972">
      <w:pPr>
        <w:divId w:val="1521819215"/>
        <w:rPr>
          <w:rFonts w:eastAsia="Times New Roman"/>
        </w:rPr>
      </w:pPr>
      <w:r>
        <w:rPr>
          <w:rFonts w:ascii="Arial" w:eastAsia="Times New Roman" w:hAnsi="Arial" w:cs="Arial"/>
          <w:b/>
          <w:bCs/>
          <w:i/>
          <w:iCs/>
          <w:color w:val="0046AD"/>
          <w:sz w:val="20"/>
          <w:szCs w:val="20"/>
        </w:rPr>
        <w:t>Segment Information</w:t>
      </w:r>
    </w:p>
    <w:p w:rsidR="00000000" w:rsidRDefault="001E2972">
      <w:pPr>
        <w:jc w:val="both"/>
        <w:divId w:val="1435320495"/>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6"/>
        <w:gridCol w:w="37"/>
        <w:gridCol w:w="37"/>
        <w:gridCol w:w="37"/>
        <w:gridCol w:w="36"/>
        <w:gridCol w:w="63"/>
        <w:gridCol w:w="619"/>
        <w:gridCol w:w="37"/>
      </w:tblGrid>
      <w:tr w:rsidR="00000000">
        <w:trPr>
          <w:divId w:val="1330449590"/>
        </w:trPr>
        <w:tc>
          <w:tcPr>
            <w:tcW w:w="50" w:type="pct"/>
            <w:vAlign w:val="center"/>
            <w:hideMark/>
          </w:tcPr>
          <w:p w:rsidR="00000000" w:rsidRDefault="001E2972">
            <w:pPr>
              <w:jc w:val="both"/>
              <w:rPr>
                <w:rFonts w:eastAsia="Times New Roman"/>
              </w:rPr>
            </w:pPr>
          </w:p>
        </w:tc>
        <w:tc>
          <w:tcPr>
            <w:tcW w:w="236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4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4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304495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 / (Decrease)</w:t>
            </w:r>
          </w:p>
        </w:tc>
      </w:tr>
      <w:tr w:rsidR="00000000">
        <w:trPr>
          <w:divId w:val="13304495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796.2 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785.6 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1.4%</w:t>
            </w:r>
          </w:p>
        </w:tc>
      </w:tr>
      <w:tr w:rsidR="00000000">
        <w:trPr>
          <w:divId w:val="13304495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Technology &amp; </w:t>
            </w:r>
            <w:r>
              <w:rPr>
                <w:rFonts w:ascii="Arial" w:eastAsia="Times New Roman" w:hAnsi="Arial" w:cs="Arial"/>
                <w:color w:val="000000"/>
                <w:sz w:val="18"/>
                <w:szCs w:val="18"/>
              </w:rPr>
              <w:t>Manufacturing</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246.3 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233.7 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5.4%</w:t>
            </w: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214.2 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7.0%</w:t>
            </w:r>
          </w:p>
        </w:tc>
      </w:tr>
      <w:tr w:rsidR="00000000">
        <w:trPr>
          <w:divId w:val="13304495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148.3 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184.7 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(19.7)%</w:t>
            </w: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125.5 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122.3 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2.6%</w:t>
            </w:r>
          </w:p>
        </w:tc>
      </w:tr>
      <w:tr w:rsidR="00000000">
        <w:trPr>
          <w:divId w:val="13304495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(33.1)</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(30.4)</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(9.0)%</w:t>
            </w:r>
          </w:p>
        </w:tc>
      </w:tr>
      <w:tr w:rsidR="00000000">
        <w:trPr>
          <w:divId w:val="1330449590"/>
        </w:trPr>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0.1%</w:t>
            </w:r>
          </w:p>
        </w:tc>
      </w:tr>
      <w:tr w:rsidR="00000000">
        <w:trPr>
          <w:divId w:val="13304495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59.2 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44.1%</w:t>
            </w:r>
          </w:p>
        </w:tc>
      </w:tr>
      <w:tr w:rsidR="00000000">
        <w:trPr>
          <w:divId w:val="13304495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7.5 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318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36.6%</w:t>
            </w:r>
          </w:p>
        </w:tc>
      </w:tr>
      <w:tr w:rsidR="00000000">
        <w:trPr>
          <w:divId w:val="13304495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10.9 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8.4 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249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99.4 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3304495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6.3 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(42.9)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(60.5)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3304495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(32.7)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3304495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8.2 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330449590"/>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1330449590"/>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13304495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(39.5)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(51.3)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330449590"/>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75.8%</w:t>
            </w:r>
          </w:p>
        </w:tc>
      </w:tr>
      <w:tr w:rsidR="00000000">
        <w:trPr>
          <w:divId w:val="1330449590"/>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1.6%</w:t>
            </w:r>
          </w:p>
        </w:tc>
      </w:tr>
      <w:tr w:rsidR="00000000">
        <w:trPr>
          <w:divId w:val="1330449590"/>
        </w:trPr>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(116.7)</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bl>
    <w:p w:rsidR="00000000" w:rsidRDefault="001E2972">
      <w:pPr>
        <w:jc w:val="both"/>
        <w:divId w:val="900209496"/>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8"/>
        <w:gridCol w:w="1059"/>
        <w:gridCol w:w="36"/>
      </w:tblGrid>
      <w:tr w:rsidR="00000000">
        <w:trPr>
          <w:divId w:val="1619792635"/>
        </w:trPr>
        <w:tc>
          <w:tcPr>
            <w:tcW w:w="50" w:type="pct"/>
            <w:vAlign w:val="center"/>
            <w:hideMark/>
          </w:tcPr>
          <w:p w:rsidR="00000000" w:rsidRDefault="001E2972">
            <w:pPr>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61979263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61979263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61979263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161979263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796.2 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785.6 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1.4%</w:t>
            </w:r>
          </w:p>
        </w:tc>
      </w:tr>
      <w:tr w:rsidR="00000000">
        <w:trPr>
          <w:divId w:val="161979263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59.2 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44.1%</w:t>
            </w:r>
          </w:p>
        </w:tc>
      </w:tr>
      <w:tr w:rsidR="00000000">
        <w:trPr>
          <w:divId w:val="1619792635"/>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7.5 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318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162358656"/>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 xml:space="preserve">I revenues increased by $10.6 million, or 1.4%, during the three months ended April 30, 2021, as compared to the three months ended April 30, 2020. The increase was primarily attributable to the targeted expansion of certain key clients and an increase in </w:t>
      </w:r>
      <w:r>
        <w:rPr>
          <w:rFonts w:ascii="Arial" w:eastAsia="Times New Roman" w:hAnsi="Arial" w:cs="Arial"/>
          <w:color w:val="000000"/>
          <w:sz w:val="20"/>
          <w:szCs w:val="20"/>
        </w:rPr>
        <w:t>work orders (primarily as a result of the Pandemic). The increase was partially offset by account compression resulting from Pandemic-related disruptions in certain markets within both our U.S. and U.K. businesses. Management reimbursement revenues for thi</w:t>
      </w:r>
      <w:r>
        <w:rPr>
          <w:rFonts w:ascii="Arial" w:eastAsia="Times New Roman" w:hAnsi="Arial" w:cs="Arial"/>
          <w:color w:val="000000"/>
          <w:sz w:val="20"/>
          <w:szCs w:val="20"/>
        </w:rPr>
        <w:t>s segment totaled $43.2 million and $61.7 million for the three months ended April 30, 2021 and 2020, respectively.</w:t>
      </w:r>
    </w:p>
    <w:p w:rsidR="00000000" w:rsidRDefault="001E2972">
      <w:pPr>
        <w:ind w:firstLine="720"/>
        <w:jc w:val="both"/>
        <w:divId w:val="1397513846"/>
        <w:rPr>
          <w:rFonts w:eastAsia="Times New Roman"/>
        </w:rPr>
      </w:pPr>
      <w:r>
        <w:rPr>
          <w:rFonts w:ascii="Arial" w:eastAsia="Times New Roman" w:hAnsi="Arial" w:cs="Arial"/>
          <w:color w:val="000000"/>
          <w:sz w:val="20"/>
          <w:szCs w:val="20"/>
        </w:rPr>
        <w:t xml:space="preserve">Operating profit increased by $26.1 million, or 44.1%, during the three months ended April 30, 2021, as compared to the three months ended April 30, 2020. Operating profit margin increased by 318 bps to 10.7% in the three months ended April 30, 2021, from </w:t>
      </w:r>
      <w:r>
        <w:rPr>
          <w:rFonts w:ascii="Arial" w:eastAsia="Times New Roman" w:hAnsi="Arial" w:cs="Arial"/>
          <w:color w:val="000000"/>
          <w:sz w:val="20"/>
          <w:szCs w:val="20"/>
        </w:rPr>
        <w:t>7.5% in the three months ended April 30, 2020. The increase in operating profit margin was primarily associated with an increase in work orders, which have higher margins. Additionally, the increase in operating profit margin was impacted by higher margins</w:t>
      </w:r>
      <w:r>
        <w:rPr>
          <w:rFonts w:ascii="Arial" w:eastAsia="Times New Roman" w:hAnsi="Arial" w:cs="Arial"/>
          <w:color w:val="000000"/>
          <w:sz w:val="20"/>
          <w:szCs w:val="20"/>
        </w:rPr>
        <w:t xml:space="preserve"> on certain accounts in both our U.S. and U.K. businesses and a decrease in bad debt expense as higher reserves were recorded in the prior year mainly associated with increasing credit risk resulting from the Pandemic. </w:t>
      </w:r>
    </w:p>
    <w:p w:rsidR="00000000" w:rsidRDefault="001E2972">
      <w:pPr>
        <w:jc w:val="center"/>
        <w:divId w:val="174416776"/>
        <w:rPr>
          <w:rFonts w:eastAsia="Times New Roman"/>
        </w:rPr>
      </w:pPr>
      <w:r>
        <w:rPr>
          <w:rFonts w:ascii="Arial" w:eastAsia="Times New Roman" w:hAnsi="Arial" w:cs="Arial"/>
          <w:color w:val="000000"/>
          <w:sz w:val="20"/>
          <w:szCs w:val="20"/>
        </w:rPr>
        <w:t>29</w:t>
      </w:r>
    </w:p>
    <w:p w:rsidR="00000000" w:rsidRDefault="001E2972">
      <w:pPr>
        <w:rPr>
          <w:rFonts w:eastAsia="Times New Roman"/>
        </w:rPr>
      </w:pPr>
      <w:r>
        <w:rPr>
          <w:rFonts w:eastAsia="Times New Roman"/>
        </w:rPr>
        <w:pict>
          <v:rect id="_x0000_i1064" style="width:0;height:1.5pt" o:hralign="center" o:hrstd="t" o:hr="t" fillcolor="#a0a0a0" stroked="f"/>
        </w:pict>
      </w:r>
    </w:p>
    <w:p w:rsidR="00000000" w:rsidRDefault="001E2972">
      <w:pPr>
        <w:jc w:val="both"/>
        <w:divId w:val="168101051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8"/>
        <w:gridCol w:w="1059"/>
        <w:gridCol w:w="36"/>
      </w:tblGrid>
      <w:tr w:rsidR="00000000">
        <w:trPr>
          <w:divId w:val="1723358937"/>
          <w:jc w:val="center"/>
        </w:trPr>
        <w:tc>
          <w:tcPr>
            <w:tcW w:w="50" w:type="pct"/>
            <w:vAlign w:val="center"/>
            <w:hideMark/>
          </w:tcPr>
          <w:p w:rsidR="00000000" w:rsidRDefault="001E2972">
            <w:pPr>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23358937"/>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723358937"/>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723358937"/>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1723358937"/>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246.3 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5.4%</w:t>
            </w:r>
          </w:p>
        </w:tc>
      </w:tr>
      <w:tr w:rsidR="00000000">
        <w:trPr>
          <w:divId w:val="1723358937"/>
          <w:jc w:val="center"/>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19.7 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36.6%</w:t>
            </w:r>
          </w:p>
        </w:tc>
      </w:tr>
      <w:tr w:rsidR="00000000">
        <w:trPr>
          <w:divId w:val="1723358937"/>
          <w:jc w:val="center"/>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10.9 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8.4 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249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589997158"/>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$12.6 million, or 5.4%, during the three months ended April 30, 2021, as compared to the three months ended April 30, 2020. The increase was primarily attributable to an increase in work orders (primarily as a result of the Pandemic</w:t>
      </w:r>
      <w:r>
        <w:rPr>
          <w:rFonts w:ascii="Arial" w:eastAsia="Times New Roman" w:hAnsi="Arial" w:cs="Arial"/>
          <w:color w:val="000000"/>
          <w:sz w:val="20"/>
          <w:szCs w:val="20"/>
        </w:rPr>
        <w:t>) and new business. This increase was partially offset by the compression of certain accounts, mainly resulting from Pandemic-related disruptions.</w:t>
      </w:r>
    </w:p>
    <w:p w:rsidR="00000000" w:rsidRDefault="001E2972">
      <w:pPr>
        <w:ind w:firstLine="720"/>
        <w:jc w:val="both"/>
        <w:divId w:val="1435705700"/>
        <w:rPr>
          <w:rFonts w:eastAsia="Times New Roman"/>
        </w:rPr>
      </w:pPr>
      <w:r>
        <w:rPr>
          <w:rFonts w:ascii="Arial" w:eastAsia="Times New Roman" w:hAnsi="Arial" w:cs="Arial"/>
          <w:color w:val="000000"/>
          <w:sz w:val="20"/>
          <w:szCs w:val="20"/>
        </w:rPr>
        <w:t>Operating profit increased by $7.2 million, or 36.6%, during the three months ended April 30, 2021, as compared to the three months ended April 30, 2020. Operating profit margin increased by 249 bps to 10.9% in the three months ended April 30, 2021, from 8</w:t>
      </w:r>
      <w:r>
        <w:rPr>
          <w:rFonts w:ascii="Arial" w:eastAsia="Times New Roman" w:hAnsi="Arial" w:cs="Arial"/>
          <w:color w:val="000000"/>
          <w:sz w:val="20"/>
          <w:szCs w:val="20"/>
        </w:rPr>
        <w:t>.4% in the three months ended April 30, 2020. The increase in operating profit margin was primarily attributable to a decrease in bad debt expense, driven by net recoveries of certain previously reserved receivables, and higher margins on work orders.</w:t>
      </w:r>
    </w:p>
    <w:tbl>
      <w:tblPr>
        <w:tblW w:w="5000" w:type="pct"/>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7"/>
        <w:gridCol w:w="1060"/>
        <w:gridCol w:w="36"/>
      </w:tblGrid>
      <w:tr w:rsidR="00000000">
        <w:trPr>
          <w:divId w:val="370418682"/>
        </w:trPr>
        <w:tc>
          <w:tcPr>
            <w:tcW w:w="50" w:type="pct"/>
            <w:vAlign w:val="center"/>
            <w:hideMark/>
          </w:tcPr>
          <w:p w:rsidR="00000000" w:rsidRDefault="001E2972">
            <w:pPr>
              <w:ind w:firstLine="720"/>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37041868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37041868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37041868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370418682"/>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7.0%</w:t>
            </w:r>
          </w:p>
        </w:tc>
      </w:tr>
      <w:tr w:rsidR="00000000">
        <w:trPr>
          <w:divId w:val="370418682"/>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(85.8)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99.4 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370418682"/>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6.3 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(42.9)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370418682"/>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370418682"/>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bl>
    <w:p w:rsidR="00000000" w:rsidRDefault="001E2972">
      <w:pPr>
        <w:jc w:val="both"/>
        <w:divId w:val="1016925562"/>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314378469"/>
        <w:rPr>
          <w:rFonts w:eastAsia="Times New Roman"/>
        </w:rPr>
      </w:pPr>
      <w:r>
        <w:rPr>
          <w:rFonts w:ascii="Arial" w:eastAsia="Times New Roman" w:hAnsi="Arial" w:cs="Arial"/>
          <w:color w:val="000000"/>
          <w:sz w:val="20"/>
          <w:szCs w:val="20"/>
        </w:rPr>
        <w:t xml:space="preserve">Education revenues increased by $14.1 million, or 7.0%, during the three months ended April 30, 2021, as compared to the three months ended April 30, 2020. The increase was primarily attributable to an increase in work orders (primarily as a result of the </w:t>
      </w:r>
      <w:r>
        <w:rPr>
          <w:rFonts w:ascii="Arial" w:eastAsia="Times New Roman" w:hAnsi="Arial" w:cs="Arial"/>
          <w:color w:val="000000"/>
          <w:sz w:val="20"/>
          <w:szCs w:val="20"/>
        </w:rPr>
        <w:t>Pandemic).</w:t>
      </w:r>
    </w:p>
    <w:p w:rsidR="00000000" w:rsidRDefault="001E2972">
      <w:pPr>
        <w:ind w:firstLine="720"/>
        <w:jc w:val="both"/>
        <w:divId w:val="943070393"/>
        <w:rPr>
          <w:rFonts w:eastAsia="Times New Roman"/>
        </w:rPr>
      </w:pPr>
      <w:r>
        <w:rPr>
          <w:rFonts w:ascii="Arial" w:eastAsia="Times New Roman" w:hAnsi="Arial" w:cs="Arial"/>
          <w:color w:val="000000"/>
          <w:sz w:val="20"/>
          <w:szCs w:val="20"/>
        </w:rPr>
        <w:t>We had an operating profit of $13.6 million during the three months ended April 30, 2021, as compared to an operating loss of $85.8 million during the three months ended April 30, 2020. Operating margin increased to 6.3% in the three months ende</w:t>
      </w:r>
      <w:r>
        <w:rPr>
          <w:rFonts w:ascii="Arial" w:eastAsia="Times New Roman" w:hAnsi="Arial" w:cs="Arial"/>
          <w:color w:val="000000"/>
          <w:sz w:val="20"/>
          <w:szCs w:val="20"/>
        </w:rPr>
        <w:t>d April 30, 2021 from (42.9)% in the three months ended April 30, 2020. The increase in operating margin was primarily attributable to the absence of prior year impairment charges of $99.3 million on goodwill due to the adverse impact of market and busines</w:t>
      </w:r>
      <w:r>
        <w:rPr>
          <w:rFonts w:ascii="Arial" w:eastAsia="Times New Roman" w:hAnsi="Arial" w:cs="Arial"/>
          <w:color w:val="000000"/>
          <w:sz w:val="20"/>
          <w:szCs w:val="20"/>
        </w:rPr>
        <w:t>s conditions resulting from the Pandemic. Additionally, the increase in operating profit margin was impacted by an increase in work orders with higher margins as a result of the Pandemic and lower reserves established for client receivables. Operating marg</w:t>
      </w:r>
      <w:r>
        <w:rPr>
          <w:rFonts w:ascii="Arial" w:eastAsia="Times New Roman" w:hAnsi="Arial" w:cs="Arial"/>
          <w:color w:val="000000"/>
          <w:sz w:val="20"/>
          <w:szCs w:val="20"/>
        </w:rPr>
        <w:t xml:space="preserve">in was negatively impacted by increased direct labor costs in concentrated geographies due to a limited labor supply in those regions that impacted certain customer contracts.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2745"/>
        <w:gridCol w:w="37"/>
        <w:gridCol w:w="121"/>
        <w:gridCol w:w="1140"/>
        <w:gridCol w:w="163"/>
        <w:gridCol w:w="36"/>
        <w:gridCol w:w="36"/>
        <w:gridCol w:w="36"/>
        <w:gridCol w:w="121"/>
        <w:gridCol w:w="1081"/>
        <w:gridCol w:w="163"/>
        <w:gridCol w:w="36"/>
        <w:gridCol w:w="36"/>
        <w:gridCol w:w="36"/>
        <w:gridCol w:w="122"/>
        <w:gridCol w:w="1081"/>
        <w:gridCol w:w="36"/>
        <w:gridCol w:w="36"/>
        <w:gridCol w:w="36"/>
        <w:gridCol w:w="36"/>
        <w:gridCol w:w="43"/>
        <w:gridCol w:w="1054"/>
        <w:gridCol w:w="37"/>
      </w:tblGrid>
      <w:tr w:rsidR="00000000">
        <w:trPr>
          <w:divId w:val="831682620"/>
        </w:trPr>
        <w:tc>
          <w:tcPr>
            <w:tcW w:w="50" w:type="pct"/>
            <w:vAlign w:val="center"/>
            <w:hideMark/>
          </w:tcPr>
          <w:p w:rsidR="00000000" w:rsidRDefault="001E2972">
            <w:pPr>
              <w:ind w:firstLine="720"/>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83168262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83168262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83168262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(Decrease) / Increase</w:t>
            </w:r>
          </w:p>
        </w:tc>
      </w:tr>
      <w:tr w:rsidR="00000000">
        <w:trPr>
          <w:divId w:val="83168262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(19.7)%</w:t>
            </w:r>
          </w:p>
        </w:tc>
      </w:tr>
      <w:tr w:rsidR="00000000">
        <w:trPr>
          <w:divId w:val="83168262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(60.5)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83168262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(32.7)</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411002173"/>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1271427540"/>
        <w:rPr>
          <w:rFonts w:eastAsia="Times New Roman"/>
        </w:rPr>
      </w:pPr>
      <w:r>
        <w:rPr>
          <w:rFonts w:ascii="Arial" w:eastAsia="Times New Roman" w:hAnsi="Arial" w:cs="Arial"/>
          <w:color w:val="000000"/>
          <w:sz w:val="20"/>
          <w:szCs w:val="20"/>
        </w:rPr>
        <w:t xml:space="preserve">Aviation revenues decreased by $36.4 million, or </w:t>
      </w:r>
      <w:r>
        <w:rPr>
          <w:rFonts w:ascii="Arial" w:eastAsia="Times New Roman" w:hAnsi="Arial" w:cs="Arial"/>
          <w:color w:val="000000"/>
          <w:sz w:val="20"/>
          <w:szCs w:val="20"/>
          <w:shd w:val="clear" w:color="auto" w:fill="FFFFFF"/>
        </w:rPr>
        <w:t>19.7%</w:t>
      </w:r>
      <w:r>
        <w:rPr>
          <w:rFonts w:ascii="Arial" w:eastAsia="Times New Roman" w:hAnsi="Arial" w:cs="Arial"/>
          <w:color w:val="000000"/>
          <w:sz w:val="20"/>
          <w:szCs w:val="20"/>
        </w:rPr>
        <w:t>, during the three months ended April </w:t>
      </w:r>
      <w:r>
        <w:rPr>
          <w:rFonts w:ascii="Arial" w:eastAsia="Times New Roman" w:hAnsi="Arial" w:cs="Arial"/>
          <w:color w:val="000000"/>
          <w:sz w:val="20"/>
          <w:szCs w:val="20"/>
        </w:rPr>
        <w:t xml:space="preserve">30, 2021, as compared to the three months ended April 30, 2020. The decrease was primarily attributable to travel restrictions and a dramatic decline in passenger demand resulting from the Pandemic. Significant volume reductions impacted janitorial, cabin </w:t>
      </w:r>
      <w:r>
        <w:rPr>
          <w:rFonts w:ascii="Arial" w:eastAsia="Times New Roman" w:hAnsi="Arial" w:cs="Arial"/>
          <w:color w:val="000000"/>
          <w:sz w:val="20"/>
          <w:szCs w:val="20"/>
        </w:rPr>
        <w:t>cleaning, transportation, parking, passenger services, and catering accounts. The decrease was partially offset by Pandemic-related cleaning services and new parking-related services. Management reimbursement revenues for this segment totaled $12.9 million</w:t>
      </w:r>
      <w:r>
        <w:rPr>
          <w:rFonts w:ascii="Arial" w:eastAsia="Times New Roman" w:hAnsi="Arial" w:cs="Arial"/>
          <w:color w:val="000000"/>
          <w:sz w:val="20"/>
          <w:szCs w:val="20"/>
        </w:rPr>
        <w:t xml:space="preserve"> and $20.7 million for the three months ended April 30, 2021 and 2020, respectively. </w:t>
      </w:r>
    </w:p>
    <w:p w:rsidR="00000000" w:rsidRDefault="001E2972">
      <w:pPr>
        <w:jc w:val="center"/>
        <w:divId w:val="53042003"/>
        <w:rPr>
          <w:rFonts w:eastAsia="Times New Roman"/>
        </w:rPr>
      </w:pPr>
      <w:r>
        <w:rPr>
          <w:rFonts w:ascii="Arial" w:eastAsia="Times New Roman" w:hAnsi="Arial" w:cs="Arial"/>
          <w:color w:val="000000"/>
          <w:sz w:val="20"/>
          <w:szCs w:val="20"/>
        </w:rPr>
        <w:t>30</w:t>
      </w:r>
    </w:p>
    <w:p w:rsidR="00000000" w:rsidRDefault="001E2972">
      <w:pPr>
        <w:rPr>
          <w:rFonts w:eastAsia="Times New Roman"/>
        </w:rPr>
      </w:pPr>
      <w:r>
        <w:rPr>
          <w:rFonts w:eastAsia="Times New Roman"/>
        </w:rPr>
        <w:pict>
          <v:rect id="_x0000_i1065" style="width:0;height:1.5pt" o:hralign="center" o:hrstd="t" o:hr="t" fillcolor="#a0a0a0" stroked="f"/>
        </w:pict>
      </w:r>
    </w:p>
    <w:p w:rsidR="00000000" w:rsidRDefault="001E2972">
      <w:pPr>
        <w:jc w:val="both"/>
        <w:divId w:val="1364668133"/>
        <w:rPr>
          <w:rFonts w:eastAsia="Times New Roman"/>
        </w:rPr>
      </w:pPr>
    </w:p>
    <w:p w:rsidR="00000000" w:rsidRDefault="001E2972">
      <w:pPr>
        <w:ind w:firstLine="720"/>
        <w:jc w:val="both"/>
        <w:divId w:val="1458521810"/>
        <w:rPr>
          <w:rFonts w:eastAsia="Times New Roman"/>
        </w:rPr>
      </w:pPr>
      <w:r>
        <w:rPr>
          <w:rFonts w:ascii="Arial" w:eastAsia="Times New Roman" w:hAnsi="Arial" w:cs="Arial"/>
          <w:color w:val="000000"/>
          <w:sz w:val="20"/>
          <w:szCs w:val="20"/>
        </w:rPr>
        <w:t>We had an operating profit of $5.8 million during the three months ended April 30, 2021, as compared to an operating loss of $60</w:t>
      </w:r>
      <w:r>
        <w:rPr>
          <w:rFonts w:ascii="Arial" w:eastAsia="Times New Roman" w:hAnsi="Arial" w:cs="Arial"/>
          <w:color w:val="000000"/>
          <w:sz w:val="20"/>
          <w:szCs w:val="20"/>
        </w:rPr>
        <w:t>.5 million during the three months ended April 30, 2020. Operating margin increased to 3.9% in the three months ended April 30, 2021 from (32.7)% in the three months ended April 30, 2020. The increase was primarily attributable to the absence of prior year</w:t>
      </w:r>
      <w:r>
        <w:rPr>
          <w:rFonts w:ascii="Arial" w:eastAsia="Times New Roman" w:hAnsi="Arial" w:cs="Arial"/>
          <w:color w:val="000000"/>
          <w:sz w:val="20"/>
          <w:szCs w:val="20"/>
        </w:rPr>
        <w:t xml:space="preserve"> impairment charges of $55.5 million on goodwill and $5.6 million on customer relationships due to the adverse impact of market and business conditions resulting from the Pandemic. Additionally, operating margin increased due to the management of direct la</w:t>
      </w:r>
      <w:r>
        <w:rPr>
          <w:rFonts w:ascii="Arial" w:eastAsia="Times New Roman" w:hAnsi="Arial" w:cs="Arial"/>
          <w:color w:val="000000"/>
          <w:sz w:val="20"/>
          <w:szCs w:val="20"/>
        </w:rPr>
        <w:t xml:space="preserve">bor and related personnel costs during the Pandemic, higher margins on Pandemic-related cleaning services, and growth in parking and transportation contracts. These increases were partially offset by Pandemic-related volume reductions.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7"/>
        <w:gridCol w:w="36"/>
        <w:gridCol w:w="36"/>
        <w:gridCol w:w="36"/>
        <w:gridCol w:w="37"/>
        <w:gridCol w:w="1060"/>
        <w:gridCol w:w="36"/>
      </w:tblGrid>
      <w:tr w:rsidR="00000000">
        <w:trPr>
          <w:divId w:val="328825147"/>
        </w:trPr>
        <w:tc>
          <w:tcPr>
            <w:tcW w:w="50" w:type="pct"/>
            <w:vAlign w:val="center"/>
            <w:hideMark/>
          </w:tcPr>
          <w:p w:rsidR="00000000" w:rsidRDefault="001E2972">
            <w:pPr>
              <w:ind w:firstLine="720"/>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328825147"/>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328825147"/>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328825147"/>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328825147"/>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2.6%</w:t>
            </w:r>
          </w:p>
        </w:tc>
      </w:tr>
      <w:tr w:rsidR="00000000">
        <w:trPr>
          <w:divId w:val="328825147"/>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328825147"/>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8.2 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978871614"/>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1644309040"/>
        <w:rPr>
          <w:rFonts w:eastAsia="Times New Roman"/>
        </w:rPr>
      </w:pPr>
      <w:r>
        <w:rPr>
          <w:rFonts w:ascii="Arial" w:eastAsia="Times New Roman" w:hAnsi="Arial" w:cs="Arial"/>
          <w:color w:val="000000"/>
          <w:sz w:val="20"/>
          <w:szCs w:val="20"/>
        </w:rPr>
        <w:t xml:space="preserve">Technical Solutions revenues increased by $3.2 million, or 2.6%, during the three months ended April 30, 2021, as compared to the three months ended April 30, 2020. This increase was primarily attributable to an increase in the volume of our U.S. and U.K. </w:t>
      </w:r>
      <w:r>
        <w:rPr>
          <w:rFonts w:ascii="Arial" w:eastAsia="Times New Roman" w:hAnsi="Arial" w:cs="Arial"/>
          <w:color w:val="000000"/>
          <w:sz w:val="20"/>
          <w:szCs w:val="20"/>
        </w:rPr>
        <w:t>businesses due to the easing of Pandemic-related lockdowns, which provided access to facilities that were previously restricted.</w:t>
      </w:r>
    </w:p>
    <w:p w:rsidR="00000000" w:rsidRDefault="001E2972">
      <w:pPr>
        <w:ind w:firstLine="720"/>
        <w:jc w:val="both"/>
        <w:divId w:val="159204199"/>
        <w:rPr>
          <w:rFonts w:eastAsia="Times New Roman"/>
        </w:rPr>
      </w:pPr>
      <w:r>
        <w:rPr>
          <w:rFonts w:ascii="Arial" w:eastAsia="Times New Roman" w:hAnsi="Arial" w:cs="Arial"/>
          <w:color w:val="000000"/>
          <w:sz w:val="20"/>
          <w:szCs w:val="20"/>
        </w:rPr>
        <w:t>We had an operating profit of $10.2 million during the three months ended April 30, 2021, as compared to an operating loss of $</w:t>
      </w:r>
      <w:r>
        <w:rPr>
          <w:rFonts w:ascii="Arial" w:eastAsia="Times New Roman" w:hAnsi="Arial" w:cs="Arial"/>
          <w:color w:val="000000"/>
          <w:sz w:val="20"/>
          <w:szCs w:val="20"/>
        </w:rPr>
        <w:t>8.4 million during the three months ended April 30, 2020. Operating margin increased to 8.2% in the three months ended April 30, 2021 from (6.9)% in the three months ended April 30, 2020. The increase in operating margin was primarily attributable to the a</w:t>
      </w:r>
      <w:r>
        <w:rPr>
          <w:rFonts w:ascii="Arial" w:eastAsia="Times New Roman" w:hAnsi="Arial" w:cs="Arial"/>
          <w:color w:val="000000"/>
          <w:sz w:val="20"/>
          <w:szCs w:val="20"/>
        </w:rPr>
        <w:t>bsence of prior year impairment charges of $9.0 million on goodwill and $3.4 million on customer relationships related to our U.K. business due to the adverse impact of market and business conditions resulting from the Pandemic. Additionally, operating mar</w:t>
      </w:r>
      <w:r>
        <w:rPr>
          <w:rFonts w:ascii="Arial" w:eastAsia="Times New Roman" w:hAnsi="Arial" w:cs="Arial"/>
          <w:color w:val="000000"/>
          <w:sz w:val="20"/>
          <w:szCs w:val="20"/>
        </w:rPr>
        <w:t>gin was positively impacted by the management of indirect operating expenses and selling expenses.</w:t>
      </w:r>
    </w:p>
    <w:tbl>
      <w:tblPr>
        <w:tblW w:w="5000" w:type="pct"/>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1"/>
        <w:gridCol w:w="1132"/>
        <w:gridCol w:w="36"/>
        <w:gridCol w:w="36"/>
        <w:gridCol w:w="36"/>
        <w:gridCol w:w="36"/>
        <w:gridCol w:w="37"/>
        <w:gridCol w:w="1138"/>
        <w:gridCol w:w="36"/>
      </w:tblGrid>
      <w:tr w:rsidR="00000000">
        <w:trPr>
          <w:divId w:val="1452820468"/>
        </w:trPr>
        <w:tc>
          <w:tcPr>
            <w:tcW w:w="50" w:type="pct"/>
            <w:vAlign w:val="center"/>
            <w:hideMark/>
          </w:tcPr>
          <w:p w:rsidR="00000000" w:rsidRDefault="001E2972">
            <w:pPr>
              <w:ind w:firstLine="720"/>
              <w:jc w:val="both"/>
              <w:rPr>
                <w:rFonts w:eastAsia="Times New Roman"/>
              </w:rPr>
            </w:pPr>
          </w:p>
        </w:tc>
        <w:tc>
          <w:tcPr>
            <w:tcW w:w="17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45282046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45282046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Three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45282046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1452820468"/>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(39.5)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bl>
    <w:p w:rsidR="00000000" w:rsidRDefault="001E2972">
      <w:pPr>
        <w:ind w:firstLine="720"/>
        <w:jc w:val="both"/>
        <w:divId w:val="1723676302"/>
        <w:rPr>
          <w:rFonts w:eastAsia="Times New Roman"/>
        </w:rPr>
      </w:pPr>
      <w:r>
        <w:rPr>
          <w:rFonts w:ascii="Arial" w:eastAsia="Times New Roman" w:hAnsi="Arial" w:cs="Arial"/>
          <w:color w:val="000000"/>
          <w:sz w:val="20"/>
          <w:szCs w:val="20"/>
        </w:rPr>
        <w:t>Corporate expenses increased by $51.3 million during the three months ended April 30, 2021, as compared to the three months ended April 30, 2020. The increase in corp</w:t>
      </w:r>
      <w:r>
        <w:rPr>
          <w:rFonts w:ascii="Arial" w:eastAsia="Times New Roman" w:hAnsi="Arial" w:cs="Arial"/>
          <w:color w:val="000000"/>
          <w:sz w:val="20"/>
          <w:szCs w:val="20"/>
        </w:rPr>
        <w:t>orate expenses was primarily attributable to:</w:t>
      </w:r>
    </w:p>
    <w:p w:rsidR="00000000" w:rsidRDefault="001E2972">
      <w:pPr>
        <w:ind w:hanging="360"/>
        <w:jc w:val="both"/>
        <w:divId w:val="195239309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$32.0 million increase in legal costs and settlements, of which $30 million was attributed to the accrual of a legal reserve for the Bucio case;</w:t>
      </w:r>
    </w:p>
    <w:p w:rsidR="00000000" w:rsidRDefault="001E2972">
      <w:pPr>
        <w:ind w:hanging="360"/>
        <w:jc w:val="both"/>
        <w:divId w:val="50752043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$14.5 million increase in certain technology projects and o</w:t>
      </w:r>
      <w:r>
        <w:rPr>
          <w:rFonts w:ascii="Arial" w:eastAsia="Times New Roman" w:hAnsi="Arial" w:cs="Arial"/>
          <w:color w:val="000000"/>
          <w:sz w:val="20"/>
          <w:szCs w:val="20"/>
        </w:rPr>
        <w:t xml:space="preserve">ther enterprise initiatives including marketing events; and </w:t>
      </w:r>
    </w:p>
    <w:p w:rsidR="00000000" w:rsidRDefault="001E2972">
      <w:pPr>
        <w:ind w:hanging="360"/>
        <w:jc w:val="both"/>
        <w:divId w:val="20761847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$13.7 million increase in compensation and related expenses, primarily driven by updated assessments regarding financial performance target achievements in connection with certain performance </w:t>
      </w:r>
      <w:r>
        <w:rPr>
          <w:rFonts w:ascii="Arial" w:eastAsia="Times New Roman" w:hAnsi="Arial" w:cs="Arial"/>
          <w:color w:val="000000"/>
          <w:sz w:val="20"/>
          <w:szCs w:val="20"/>
        </w:rPr>
        <w:t xml:space="preserve">share awards; during the three months ended April 30, 2020, we recorded a reversal of shared-based compensation expense based upon our then current assessment of probable financial achievements for such awards. </w:t>
      </w:r>
    </w:p>
    <w:p w:rsidR="00000000" w:rsidRDefault="001E2972">
      <w:pPr>
        <w:jc w:val="both"/>
        <w:divId w:val="1866406528"/>
        <w:rPr>
          <w:rFonts w:eastAsia="Times New Roman"/>
        </w:rPr>
      </w:pPr>
      <w:r>
        <w:rPr>
          <w:rFonts w:ascii="Arial" w:eastAsia="Times New Roman" w:hAnsi="Arial" w:cs="Arial"/>
          <w:color w:val="000000"/>
          <w:sz w:val="20"/>
          <w:szCs w:val="20"/>
        </w:rPr>
        <w:t>This increase was partially offset by:</w:t>
      </w:r>
    </w:p>
    <w:p w:rsidR="00000000" w:rsidRDefault="001E2972">
      <w:pPr>
        <w:ind w:hanging="360"/>
        <w:jc w:val="both"/>
        <w:divId w:val="79699728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the </w:t>
      </w:r>
      <w:r>
        <w:rPr>
          <w:rFonts w:ascii="Arial" w:eastAsia="Times New Roman" w:hAnsi="Arial" w:cs="Arial"/>
          <w:color w:val="000000"/>
          <w:sz w:val="20"/>
          <w:szCs w:val="20"/>
        </w:rPr>
        <w:t>absence of a $3.9 million medical and dental insurance expense as a result of an actuarial evaluation performed in the prior year;</w:t>
      </w:r>
    </w:p>
    <w:p w:rsidR="00000000" w:rsidRDefault="001E2972">
      <w:pPr>
        <w:ind w:hanging="360"/>
        <w:jc w:val="both"/>
        <w:divId w:val="16282039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$1.8 million decrease in restructuring and related expenses due to the completion of our restructuring program in fiscal y</w:t>
      </w:r>
      <w:r>
        <w:rPr>
          <w:rFonts w:ascii="Arial" w:eastAsia="Times New Roman" w:hAnsi="Arial" w:cs="Arial"/>
          <w:color w:val="000000"/>
          <w:sz w:val="20"/>
          <w:szCs w:val="20"/>
        </w:rPr>
        <w:t>ear 2020; and</w:t>
      </w:r>
    </w:p>
    <w:p w:rsidR="00000000" w:rsidRDefault="001E2972">
      <w:pPr>
        <w:jc w:val="center"/>
        <w:divId w:val="711269813"/>
        <w:rPr>
          <w:rFonts w:eastAsia="Times New Roman"/>
        </w:rPr>
      </w:pPr>
      <w:r>
        <w:rPr>
          <w:rFonts w:ascii="Arial" w:eastAsia="Times New Roman" w:hAnsi="Arial" w:cs="Arial"/>
          <w:color w:val="000000"/>
          <w:sz w:val="20"/>
          <w:szCs w:val="20"/>
        </w:rPr>
        <w:t>31</w:t>
      </w:r>
    </w:p>
    <w:p w:rsidR="00000000" w:rsidRDefault="001E2972">
      <w:pPr>
        <w:rPr>
          <w:rFonts w:eastAsia="Times New Roman"/>
        </w:rPr>
      </w:pPr>
      <w:r>
        <w:rPr>
          <w:rFonts w:eastAsia="Times New Roman"/>
        </w:rPr>
        <w:pict>
          <v:rect id="_x0000_i1066" style="width:0;height:1.5pt" o:hralign="center" o:hrstd="t" o:hr="t" fillcolor="#a0a0a0" stroked="f"/>
        </w:pict>
      </w:r>
    </w:p>
    <w:p w:rsidR="00000000" w:rsidRDefault="001E2972">
      <w:pPr>
        <w:jc w:val="both"/>
        <w:divId w:val="298077057"/>
        <w:rPr>
          <w:rFonts w:eastAsia="Times New Roman"/>
        </w:rPr>
      </w:pPr>
    </w:p>
    <w:p w:rsidR="00000000" w:rsidRDefault="001E2972">
      <w:pPr>
        <w:ind w:hanging="360"/>
        <w:jc w:val="both"/>
        <w:divId w:val="21713258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$1.3 </w:t>
      </w:r>
      <w:r>
        <w:rPr>
          <w:rFonts w:ascii="Arial" w:eastAsia="Times New Roman" w:hAnsi="Arial" w:cs="Arial"/>
          <w:color w:val="000000"/>
          <w:sz w:val="20"/>
          <w:szCs w:val="20"/>
        </w:rPr>
        <w:t xml:space="preserve">million reserve established for an outstanding client receivable that was being litigated in the prior year and deemed to be uncollectible. </w:t>
      </w:r>
    </w:p>
    <w:p w:rsidR="00000000" w:rsidRDefault="001E2972">
      <w:pPr>
        <w:jc w:val="center"/>
        <w:divId w:val="7030832"/>
        <w:rPr>
          <w:rFonts w:eastAsia="Times New Roman"/>
        </w:rPr>
      </w:pPr>
      <w:r>
        <w:rPr>
          <w:rFonts w:ascii="Arial" w:eastAsia="Times New Roman" w:hAnsi="Arial" w:cs="Arial"/>
          <w:color w:val="000000"/>
          <w:sz w:val="20"/>
          <w:szCs w:val="20"/>
        </w:rPr>
        <w:t>32</w:t>
      </w:r>
    </w:p>
    <w:p w:rsidR="00000000" w:rsidRDefault="001E2972">
      <w:pPr>
        <w:rPr>
          <w:rFonts w:eastAsia="Times New Roman"/>
        </w:rPr>
      </w:pPr>
      <w:r>
        <w:rPr>
          <w:rFonts w:eastAsia="Times New Roman"/>
        </w:rPr>
        <w:pict>
          <v:rect id="_x0000_i1067" style="width:0;height:1.5pt" o:hralign="center" o:hrstd="t" o:hr="t" fillcolor="#a0a0a0" stroked="f"/>
        </w:pict>
      </w:r>
    </w:p>
    <w:p w:rsidR="00000000" w:rsidRDefault="001E2972">
      <w:pPr>
        <w:jc w:val="both"/>
        <w:divId w:val="1041638744"/>
        <w:rPr>
          <w:rFonts w:eastAsia="Times New Roman"/>
        </w:rPr>
      </w:pPr>
    </w:p>
    <w:p w:rsidR="00000000" w:rsidRDefault="001E2972">
      <w:pPr>
        <w:divId w:val="640228364"/>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907910375"/>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907910375"/>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360739793"/>
        <w:rPr>
          <w:rFonts w:eastAsia="Times New Roman"/>
        </w:rPr>
      </w:pPr>
      <w:r>
        <w:rPr>
          <w:rFonts w:ascii="Arial" w:eastAsia="Times New Roman" w:hAnsi="Arial" w:cs="Arial"/>
          <w:b/>
          <w:bCs/>
          <w:i/>
          <w:iCs/>
          <w:color w:val="0046AD"/>
          <w:sz w:val="20"/>
          <w:szCs w:val="20"/>
        </w:rPr>
        <w:t>Six Months Ended April 30, 2021</w:t>
      </w:r>
      <w:r>
        <w:rPr>
          <w:rFonts w:ascii="Arial" w:eastAsia="Times New Roman" w:hAnsi="Arial" w:cs="Arial"/>
          <w:color w:val="0046AD"/>
          <w:sz w:val="20"/>
          <w:szCs w:val="20"/>
        </w:rPr>
        <w:t xml:space="preserve"> </w:t>
      </w:r>
      <w:r>
        <w:rPr>
          <w:rFonts w:ascii="Arial" w:eastAsia="Times New Roman" w:hAnsi="Arial" w:cs="Arial"/>
          <w:b/>
          <w:bCs/>
          <w:i/>
          <w:iCs/>
          <w:color w:val="0046AD"/>
          <w:sz w:val="20"/>
          <w:szCs w:val="20"/>
        </w:rPr>
        <w:t>Compared with the Six Months Ended April 30, 2020</w:t>
      </w:r>
    </w:p>
    <w:p w:rsidR="00000000" w:rsidRDefault="001E2972">
      <w:pPr>
        <w:divId w:val="540745812"/>
        <w:rPr>
          <w:rFonts w:eastAsia="Times New Roman"/>
        </w:rPr>
      </w:pPr>
      <w:r>
        <w:rPr>
          <w:rFonts w:ascii="Arial" w:eastAsia="Times New Roman" w:hAnsi="Arial" w:cs="Arial"/>
          <w:b/>
          <w:bCs/>
          <w:i/>
          <w:iCs/>
          <w:color w:val="0046AD"/>
          <w:sz w:val="20"/>
          <w:szCs w:val="20"/>
        </w:rPr>
        <w:t xml:space="preserve">Consolidated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3958"/>
        <w:gridCol w:w="39"/>
        <w:gridCol w:w="121"/>
        <w:gridCol w:w="945"/>
        <w:gridCol w:w="163"/>
        <w:gridCol w:w="36"/>
        <w:gridCol w:w="36"/>
        <w:gridCol w:w="36"/>
        <w:gridCol w:w="121"/>
        <w:gridCol w:w="884"/>
        <w:gridCol w:w="163"/>
        <w:gridCol w:w="36"/>
        <w:gridCol w:w="36"/>
        <w:gridCol w:w="36"/>
        <w:gridCol w:w="122"/>
        <w:gridCol w:w="665"/>
        <w:gridCol w:w="37"/>
        <w:gridCol w:w="37"/>
        <w:gridCol w:w="37"/>
        <w:gridCol w:w="36"/>
        <w:gridCol w:w="62"/>
        <w:gridCol w:w="620"/>
        <w:gridCol w:w="39"/>
      </w:tblGrid>
      <w:tr w:rsidR="00000000">
        <w:trPr>
          <w:divId w:val="605190790"/>
        </w:trPr>
        <w:tc>
          <w:tcPr>
            <w:tcW w:w="50" w:type="pct"/>
            <w:vAlign w:val="center"/>
            <w:hideMark/>
          </w:tcPr>
          <w:p w:rsidR="00000000" w:rsidRDefault="001E2972">
            <w:pPr>
              <w:rPr>
                <w:rFonts w:eastAsia="Times New Roman"/>
              </w:rPr>
            </w:pPr>
          </w:p>
        </w:tc>
        <w:tc>
          <w:tcPr>
            <w:tcW w:w="24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605190790"/>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6051907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 / (Decrease)</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3,109.0 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(3.8)%</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2,523.8 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2,739.9 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(216.1)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(7.9)%</w:t>
            </w:r>
          </w:p>
        </w:tc>
      </w:tr>
      <w:tr w:rsidR="00000000">
        <w:trPr>
          <w:divId w:val="6051907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15.6 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11.9 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371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284.5 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237.0 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47.5 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20.0%</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Restructuring and related</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(14.6)%</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Impairment loss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(172.8)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(54.2)%</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(20.7)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21.3%</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144.6 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(89.7)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(38.9)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(19.2)</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(19.7)</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(loss)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(108.9)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Net income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(108.8)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214.5 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605190790"/>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(9.9)</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DCE2EF"/>
            <w:tcMar>
              <w:top w:w="30" w:type="dxa"/>
              <w:left w:w="38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6051907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bl>
    <w:p w:rsidR="00000000" w:rsidRDefault="001E2972">
      <w:pPr>
        <w:divId w:val="607977811"/>
        <w:rPr>
          <w:rFonts w:eastAsia="Times New Roman"/>
        </w:rPr>
      </w:pPr>
      <w:r>
        <w:rPr>
          <w:rFonts w:ascii="Arial" w:eastAsia="Times New Roman" w:hAnsi="Arial" w:cs="Arial"/>
          <w:color w:val="000000"/>
          <w:sz w:val="18"/>
          <w:szCs w:val="18"/>
        </w:rPr>
        <w:t>*Not meaningful</w:t>
      </w:r>
    </w:p>
    <w:p w:rsidR="00000000" w:rsidRDefault="001E2972">
      <w:pPr>
        <w:divId w:val="1528445141"/>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1E2972">
      <w:pPr>
        <w:ind w:firstLine="720"/>
        <w:jc w:val="both"/>
        <w:divId w:val="1337416357"/>
        <w:rPr>
          <w:rFonts w:eastAsia="Times New Roman"/>
        </w:rPr>
      </w:pPr>
      <w:r>
        <w:rPr>
          <w:rFonts w:ascii="Arial" w:eastAsia="Times New Roman" w:hAnsi="Arial" w:cs="Arial"/>
          <w:color w:val="000000"/>
          <w:sz w:val="20"/>
          <w:szCs w:val="20"/>
        </w:rPr>
        <w:t>Revenues decreased by $119.2 million, or 3.8%, dur</w:t>
      </w:r>
      <w:r>
        <w:rPr>
          <w:rFonts w:ascii="Arial" w:eastAsia="Times New Roman" w:hAnsi="Arial" w:cs="Arial"/>
          <w:color w:val="000000"/>
          <w:sz w:val="20"/>
          <w:szCs w:val="20"/>
        </w:rPr>
        <w:t>ing the six months ended April 30, 2021, as compared to the six months ended April 30, 2020. The decrease was primarily due to the impact of Pandemic-related disruptions across our businesses. However, this decrease was partially offset by an increase in w</w:t>
      </w:r>
      <w:r>
        <w:rPr>
          <w:rFonts w:ascii="Arial" w:eastAsia="Times New Roman" w:hAnsi="Arial" w:cs="Arial"/>
          <w:color w:val="000000"/>
          <w:sz w:val="20"/>
          <w:szCs w:val="20"/>
        </w:rPr>
        <w:t>ork orders, primarily as a result of the Pandemic, and the expansion of certain accounts and new business within B&amp;I and T&amp;M.</w:t>
      </w:r>
    </w:p>
    <w:p w:rsidR="00000000" w:rsidRDefault="001E2972">
      <w:pPr>
        <w:jc w:val="both"/>
        <w:divId w:val="434207289"/>
        <w:rPr>
          <w:rFonts w:eastAsia="Times New Roman"/>
        </w:rPr>
      </w:pPr>
      <w:r>
        <w:rPr>
          <w:rFonts w:ascii="Arial" w:eastAsia="Times New Roman" w:hAnsi="Arial" w:cs="Arial"/>
          <w:b/>
          <w:bCs/>
          <w:i/>
          <w:iCs/>
          <w:color w:val="0046AD"/>
          <w:sz w:val="20"/>
          <w:szCs w:val="20"/>
        </w:rPr>
        <w:t>Operating Expenses</w:t>
      </w:r>
    </w:p>
    <w:p w:rsidR="00000000" w:rsidRDefault="001E2972">
      <w:pPr>
        <w:ind w:firstLine="720"/>
        <w:jc w:val="both"/>
        <w:divId w:val="406197036"/>
        <w:rPr>
          <w:rFonts w:eastAsia="Times New Roman"/>
        </w:rPr>
      </w:pPr>
      <w:r>
        <w:rPr>
          <w:rFonts w:ascii="Arial" w:eastAsia="Times New Roman" w:hAnsi="Arial" w:cs="Arial"/>
          <w:color w:val="000000"/>
          <w:sz w:val="20"/>
          <w:szCs w:val="20"/>
        </w:rPr>
        <w:t>Operating expenses decreased by $216.1 million, or 7.9%, during the six months ended April 30, 2021, as compared to the six months ended April 30, 2020. Gross margin increased by 371 bps to 15.6% in the six months ended April 30, 2021 from 11.9% in the six</w:t>
      </w:r>
      <w:r>
        <w:rPr>
          <w:rFonts w:ascii="Arial" w:eastAsia="Times New Roman" w:hAnsi="Arial" w:cs="Arial"/>
          <w:color w:val="000000"/>
          <w:sz w:val="20"/>
          <w:szCs w:val="20"/>
        </w:rPr>
        <w:t xml:space="preserve"> months ended April 30, 2020. The increase in gross margin was primarily associated with an increase in work orders with higher margins as a result of the Pandemic (primarily within B&amp;I and T&amp;M) and the management of direct labor and related personnel cost</w:t>
      </w:r>
      <w:r>
        <w:rPr>
          <w:rFonts w:ascii="Arial" w:eastAsia="Times New Roman" w:hAnsi="Arial" w:cs="Arial"/>
          <w:color w:val="000000"/>
          <w:sz w:val="20"/>
          <w:szCs w:val="20"/>
        </w:rPr>
        <w:t>s during the Pandemic. The increase in gross margin was also driven by self-insurance reserve adjustments. These benefits were partially offset by account compression resulting from Pandemic-related disruptions in certain markets.</w:t>
      </w:r>
    </w:p>
    <w:p w:rsidR="00000000" w:rsidRDefault="001E2972">
      <w:pPr>
        <w:jc w:val="both"/>
        <w:divId w:val="2083408267"/>
        <w:rPr>
          <w:rFonts w:eastAsia="Times New Roman"/>
        </w:rPr>
      </w:pPr>
      <w:r>
        <w:rPr>
          <w:rFonts w:ascii="Arial" w:eastAsia="Times New Roman" w:hAnsi="Arial" w:cs="Arial"/>
          <w:b/>
          <w:bCs/>
          <w:i/>
          <w:iCs/>
          <w:color w:val="0046AD"/>
          <w:sz w:val="20"/>
          <w:szCs w:val="20"/>
        </w:rPr>
        <w:t>Selling, General and Admi</w:t>
      </w:r>
      <w:r>
        <w:rPr>
          <w:rFonts w:ascii="Arial" w:eastAsia="Times New Roman" w:hAnsi="Arial" w:cs="Arial"/>
          <w:b/>
          <w:bCs/>
          <w:i/>
          <w:iCs/>
          <w:color w:val="0046AD"/>
          <w:sz w:val="20"/>
          <w:szCs w:val="20"/>
        </w:rPr>
        <w:t>nistrative Expenses</w:t>
      </w:r>
    </w:p>
    <w:p w:rsidR="00000000" w:rsidRDefault="001E2972">
      <w:pPr>
        <w:jc w:val="both"/>
        <w:divId w:val="1788306197"/>
        <w:rPr>
          <w:rFonts w:eastAsia="Times New Roman"/>
        </w:rPr>
      </w:pPr>
      <w:r>
        <w:rPr>
          <w:rFonts w:ascii="Arial" w:eastAsia="Times New Roman" w:hAnsi="Arial" w:cs="Arial"/>
          <w:color w:val="000000"/>
          <w:sz w:val="20"/>
          <w:szCs w:val="20"/>
        </w:rPr>
        <w:t>    Selling, general and administrative expenses increased by $47.5 million, or 20.0%, during the six months ended April 30, 2021, as compared to the six months ended April 30, 2020. The increase in selling, general and administrative e</w:t>
      </w:r>
      <w:r>
        <w:rPr>
          <w:rFonts w:ascii="Arial" w:eastAsia="Times New Roman" w:hAnsi="Arial" w:cs="Arial"/>
          <w:color w:val="000000"/>
          <w:sz w:val="20"/>
          <w:szCs w:val="20"/>
        </w:rPr>
        <w:t>xpenses was primarily attributable to:</w:t>
      </w:r>
    </w:p>
    <w:p w:rsidR="00000000" w:rsidRDefault="001E2972">
      <w:pPr>
        <w:ind w:hanging="360"/>
        <w:jc w:val="both"/>
        <w:divId w:val="109648569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$32.6 million increase in legal costs and settlements, of which $30 million was attributed to the accrual of a legal reserve for the Bucio case;</w:t>
      </w:r>
    </w:p>
    <w:p w:rsidR="00000000" w:rsidRDefault="001E2972">
      <w:pPr>
        <w:jc w:val="center"/>
        <w:divId w:val="1249583852"/>
        <w:rPr>
          <w:rFonts w:eastAsia="Times New Roman"/>
        </w:rPr>
      </w:pPr>
      <w:r>
        <w:rPr>
          <w:rFonts w:ascii="Arial" w:eastAsia="Times New Roman" w:hAnsi="Arial" w:cs="Arial"/>
          <w:color w:val="000000"/>
          <w:sz w:val="20"/>
          <w:szCs w:val="20"/>
        </w:rPr>
        <w:t>33</w:t>
      </w:r>
    </w:p>
    <w:p w:rsidR="00000000" w:rsidRDefault="001E2972">
      <w:pPr>
        <w:rPr>
          <w:rFonts w:eastAsia="Times New Roman"/>
        </w:rPr>
      </w:pPr>
      <w:r>
        <w:rPr>
          <w:rFonts w:eastAsia="Times New Roman"/>
        </w:rPr>
        <w:pict>
          <v:rect id="_x0000_i1068" style="width:0;height:1.5pt" o:hralign="center" o:hrstd="t" o:hr="t" fillcolor="#a0a0a0" stroked="f"/>
        </w:pict>
      </w:r>
    </w:p>
    <w:p w:rsidR="00000000" w:rsidRDefault="001E2972">
      <w:pPr>
        <w:jc w:val="both"/>
        <w:divId w:val="1339969007"/>
        <w:rPr>
          <w:rFonts w:eastAsia="Times New Roman"/>
        </w:rPr>
      </w:pPr>
    </w:p>
    <w:p w:rsidR="00000000" w:rsidRDefault="001E2972">
      <w:pPr>
        <w:ind w:hanging="360"/>
        <w:jc w:val="both"/>
        <w:divId w:val="133865270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$17.2 million increase in</w:t>
      </w:r>
      <w:r>
        <w:rPr>
          <w:rFonts w:ascii="Arial" w:eastAsia="Times New Roman" w:hAnsi="Arial" w:cs="Arial"/>
          <w:color w:val="000000"/>
          <w:sz w:val="20"/>
          <w:szCs w:val="20"/>
        </w:rPr>
        <w:t xml:space="preserve"> certain technology projects and other enterprise initiatives, including marketing events; and</w:t>
      </w:r>
    </w:p>
    <w:p w:rsidR="00000000" w:rsidRDefault="001E2972">
      <w:pPr>
        <w:ind w:hanging="360"/>
        <w:jc w:val="both"/>
        <w:divId w:val="146584741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$11.2 million increase in compensation and related expenses, primarily driven by updated assessments regarding financial performance target achievements in c</w:t>
      </w:r>
      <w:r>
        <w:rPr>
          <w:rFonts w:ascii="Arial" w:eastAsia="Times New Roman" w:hAnsi="Arial" w:cs="Arial"/>
          <w:color w:val="000000"/>
          <w:sz w:val="20"/>
          <w:szCs w:val="20"/>
        </w:rPr>
        <w:t xml:space="preserve">onnection with certain performance share awards; during the six months ended April 30, 2020, we recorded a reversal of shared-based compensation expense based upon our then current assessment of probable financial achievements for such awards. </w:t>
      </w:r>
    </w:p>
    <w:p w:rsidR="00000000" w:rsidRDefault="001E2972">
      <w:pPr>
        <w:jc w:val="both"/>
        <w:divId w:val="364717734"/>
        <w:rPr>
          <w:rFonts w:eastAsia="Times New Roman"/>
        </w:rPr>
      </w:pPr>
      <w:r>
        <w:rPr>
          <w:rFonts w:ascii="Arial" w:eastAsia="Times New Roman" w:hAnsi="Arial" w:cs="Arial"/>
          <w:color w:val="000000"/>
          <w:sz w:val="20"/>
          <w:szCs w:val="20"/>
        </w:rPr>
        <w:t>This increa</w:t>
      </w:r>
      <w:r>
        <w:rPr>
          <w:rFonts w:ascii="Arial" w:eastAsia="Times New Roman" w:hAnsi="Arial" w:cs="Arial"/>
          <w:color w:val="000000"/>
          <w:sz w:val="20"/>
          <w:szCs w:val="20"/>
        </w:rPr>
        <w:t>se was partially offset by:</w:t>
      </w:r>
    </w:p>
    <w:p w:rsidR="00000000" w:rsidRDefault="001E2972">
      <w:pPr>
        <w:ind w:hanging="360"/>
        <w:jc w:val="both"/>
        <w:divId w:val="138051786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$9.3 million decrease in bad debt expense, primarily associated with higher reserves established for client receivables in the prior year due to increasing credit risk resulting from the Pandemic; and</w:t>
      </w:r>
    </w:p>
    <w:p w:rsidR="00000000" w:rsidRDefault="001E2972">
      <w:pPr>
        <w:ind w:hanging="360"/>
        <w:jc w:val="both"/>
        <w:divId w:val="93771763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$3.9 m</w:t>
      </w:r>
      <w:r>
        <w:rPr>
          <w:rFonts w:ascii="Arial" w:eastAsia="Times New Roman" w:hAnsi="Arial" w:cs="Arial"/>
          <w:color w:val="000000"/>
          <w:sz w:val="20"/>
          <w:szCs w:val="20"/>
        </w:rPr>
        <w:t>illion medical and dental insurance expense as a result of an actuarial evaluation performed in the prior year.</w:t>
      </w:r>
    </w:p>
    <w:p w:rsidR="00000000" w:rsidRDefault="001E2972">
      <w:pPr>
        <w:jc w:val="both"/>
        <w:divId w:val="531967098"/>
        <w:rPr>
          <w:rFonts w:eastAsia="Times New Roman"/>
        </w:rPr>
      </w:pPr>
      <w:r>
        <w:rPr>
          <w:rFonts w:ascii="Arial" w:eastAsia="Times New Roman" w:hAnsi="Arial" w:cs="Arial"/>
          <w:b/>
          <w:bCs/>
          <w:i/>
          <w:iCs/>
          <w:color w:val="0046AD"/>
          <w:sz w:val="20"/>
          <w:szCs w:val="20"/>
        </w:rPr>
        <w:t>Restructuring and Related Expenses</w:t>
      </w:r>
    </w:p>
    <w:p w:rsidR="00000000" w:rsidRDefault="001E2972">
      <w:pPr>
        <w:ind w:firstLine="720"/>
        <w:jc w:val="both"/>
        <w:divId w:val="1622150968"/>
        <w:rPr>
          <w:rFonts w:eastAsia="Times New Roman"/>
        </w:rPr>
      </w:pPr>
      <w:r>
        <w:rPr>
          <w:rFonts w:ascii="Arial" w:eastAsia="Times New Roman" w:hAnsi="Arial" w:cs="Arial"/>
          <w:color w:val="000000"/>
          <w:sz w:val="20"/>
          <w:szCs w:val="20"/>
        </w:rPr>
        <w:t>Restructuring and related expenses decreased by $5.0 million during the six months ended April 30, 2021, as c</w:t>
      </w:r>
      <w:r>
        <w:rPr>
          <w:rFonts w:ascii="Arial" w:eastAsia="Times New Roman" w:hAnsi="Arial" w:cs="Arial"/>
          <w:color w:val="000000"/>
          <w:sz w:val="20"/>
          <w:szCs w:val="20"/>
        </w:rPr>
        <w:t>ompared to the six months ended April 30, 2020. We substantially completed the restructuring program by the end of fiscal year 2020.</w:t>
      </w:r>
    </w:p>
    <w:p w:rsidR="00000000" w:rsidRDefault="001E2972">
      <w:pPr>
        <w:jc w:val="both"/>
        <w:divId w:val="1422069268"/>
        <w:rPr>
          <w:rFonts w:eastAsia="Times New Roman"/>
        </w:rPr>
      </w:pPr>
      <w:r>
        <w:rPr>
          <w:rFonts w:ascii="Arial" w:eastAsia="Times New Roman" w:hAnsi="Arial" w:cs="Arial"/>
          <w:b/>
          <w:bCs/>
          <w:i/>
          <w:iCs/>
          <w:color w:val="0046AD"/>
          <w:sz w:val="20"/>
          <w:szCs w:val="20"/>
        </w:rPr>
        <w:t>Amortization of Intangible Assets</w:t>
      </w:r>
    </w:p>
    <w:p w:rsidR="00000000" w:rsidRDefault="001E2972">
      <w:pPr>
        <w:ind w:firstLine="720"/>
        <w:jc w:val="both"/>
        <w:divId w:val="778648295"/>
        <w:rPr>
          <w:rFonts w:eastAsia="Times New Roman"/>
        </w:rPr>
      </w:pPr>
      <w:r>
        <w:rPr>
          <w:rFonts w:ascii="Arial" w:eastAsia="Times New Roman" w:hAnsi="Arial" w:cs="Arial"/>
          <w:color w:val="000000"/>
          <w:sz w:val="20"/>
          <w:szCs w:val="20"/>
        </w:rPr>
        <w:t>Amortization of intangible assets decreased by $3.6 million, or 14.6%, during the six mon</w:t>
      </w:r>
      <w:r>
        <w:rPr>
          <w:rFonts w:ascii="Arial" w:eastAsia="Times New Roman" w:hAnsi="Arial" w:cs="Arial"/>
          <w:color w:val="000000"/>
          <w:sz w:val="20"/>
          <w:szCs w:val="20"/>
        </w:rPr>
        <w:t>ths ended April 30, 2021, as compared to the six months ended April 30, 2020. This decrease was due to the lower intangible assets balance resulting from the impairment loss recorded in the second quarter of 2020 and to certain intangible assets being amor</w:t>
      </w:r>
      <w:r>
        <w:rPr>
          <w:rFonts w:ascii="Arial" w:eastAsia="Times New Roman" w:hAnsi="Arial" w:cs="Arial"/>
          <w:color w:val="000000"/>
          <w:sz w:val="20"/>
          <w:szCs w:val="20"/>
        </w:rPr>
        <w:t>tized using the sum-of-the-years’-digits method, which results in declining amortization expense over the useful lives of the assets.</w:t>
      </w:r>
    </w:p>
    <w:p w:rsidR="00000000" w:rsidRDefault="001E2972">
      <w:pPr>
        <w:jc w:val="both"/>
        <w:divId w:val="1236625413"/>
        <w:rPr>
          <w:rFonts w:eastAsia="Times New Roman"/>
        </w:rPr>
      </w:pPr>
      <w:r>
        <w:rPr>
          <w:rFonts w:ascii="Arial" w:eastAsia="Times New Roman" w:hAnsi="Arial" w:cs="Arial"/>
          <w:b/>
          <w:bCs/>
          <w:i/>
          <w:iCs/>
          <w:color w:val="0046AD"/>
          <w:sz w:val="20"/>
          <w:szCs w:val="20"/>
        </w:rPr>
        <w:t>Impairment Loss</w:t>
      </w:r>
    </w:p>
    <w:p w:rsidR="00000000" w:rsidRDefault="001E2972">
      <w:pPr>
        <w:ind w:firstLine="720"/>
        <w:jc w:val="both"/>
        <w:divId w:val="697588590"/>
        <w:rPr>
          <w:rFonts w:eastAsia="Times New Roman"/>
        </w:rPr>
      </w:pPr>
      <w:r>
        <w:rPr>
          <w:rFonts w:ascii="Arial" w:eastAsia="Times New Roman" w:hAnsi="Arial" w:cs="Arial"/>
          <w:color w:val="000000"/>
          <w:sz w:val="20"/>
          <w:szCs w:val="20"/>
        </w:rPr>
        <w:t>During the six months ended April 30, 2020, we recorded impairment charges on goodwill related to our Educ</w:t>
      </w:r>
      <w:r>
        <w:rPr>
          <w:rFonts w:ascii="Arial" w:eastAsia="Times New Roman" w:hAnsi="Arial" w:cs="Arial"/>
          <w:color w:val="000000"/>
          <w:sz w:val="20"/>
          <w:szCs w:val="20"/>
        </w:rPr>
        <w:t>ation, Aviation, and U.K. Technical Solutions businesses totaling $163.8 million. Additionally, we recorded impairment charges on customer relationships related to our Aviation and U.K. Technical Solutions businesses totaling $9.0 million. During the secon</w:t>
      </w:r>
      <w:r>
        <w:rPr>
          <w:rFonts w:ascii="Arial" w:eastAsia="Times New Roman" w:hAnsi="Arial" w:cs="Arial"/>
          <w:color w:val="000000"/>
          <w:sz w:val="20"/>
          <w:szCs w:val="20"/>
        </w:rPr>
        <w:t>d quarter of 2020, these businesses were adversely impacted by the market and business conditions resulting from the Pandemic. We did not record any impairment charges to goodwill or intangible assets for the six months ended April 30, 2021.</w:t>
      </w:r>
    </w:p>
    <w:p w:rsidR="00000000" w:rsidRDefault="001E2972">
      <w:pPr>
        <w:jc w:val="both"/>
        <w:divId w:val="589897468"/>
        <w:rPr>
          <w:rFonts w:eastAsia="Times New Roman"/>
        </w:rPr>
      </w:pPr>
      <w:r>
        <w:rPr>
          <w:rFonts w:ascii="Arial" w:eastAsia="Times New Roman" w:hAnsi="Arial" w:cs="Arial"/>
          <w:b/>
          <w:bCs/>
          <w:i/>
          <w:iCs/>
          <w:color w:val="0046AD"/>
          <w:sz w:val="20"/>
          <w:szCs w:val="20"/>
        </w:rPr>
        <w:t>Interest Expen</w:t>
      </w:r>
      <w:r>
        <w:rPr>
          <w:rFonts w:ascii="Arial" w:eastAsia="Times New Roman" w:hAnsi="Arial" w:cs="Arial"/>
          <w:b/>
          <w:bCs/>
          <w:i/>
          <w:iCs/>
          <w:color w:val="0046AD"/>
          <w:sz w:val="20"/>
          <w:szCs w:val="20"/>
        </w:rPr>
        <w:t>se</w:t>
      </w:r>
    </w:p>
    <w:p w:rsidR="00000000" w:rsidRDefault="001E2972">
      <w:pPr>
        <w:ind w:firstLine="720"/>
        <w:jc w:val="both"/>
        <w:divId w:val="1255749326"/>
        <w:rPr>
          <w:rFonts w:eastAsia="Times New Roman"/>
        </w:rPr>
      </w:pPr>
      <w:r>
        <w:rPr>
          <w:rFonts w:ascii="Arial" w:eastAsia="Times New Roman" w:hAnsi="Arial" w:cs="Arial"/>
          <w:color w:val="000000"/>
          <w:sz w:val="20"/>
          <w:szCs w:val="20"/>
        </w:rPr>
        <w:t>Interest expense decreased by $4.4 million, or 21.3%, during the six months ended April 30, 2021, as compared to the six months ended April 30, 2020, primarily due to lower relative interest rates in the current year and lower outstanding borrowings und</w:t>
      </w:r>
      <w:r>
        <w:rPr>
          <w:rFonts w:ascii="Arial" w:eastAsia="Times New Roman" w:hAnsi="Arial" w:cs="Arial"/>
          <w:color w:val="000000"/>
          <w:sz w:val="20"/>
          <w:szCs w:val="20"/>
        </w:rPr>
        <w:t>er our credit facility.</w:t>
      </w:r>
    </w:p>
    <w:p w:rsidR="00000000" w:rsidRDefault="001E2972">
      <w:pPr>
        <w:jc w:val="both"/>
        <w:divId w:val="249120893"/>
        <w:rPr>
          <w:rFonts w:eastAsia="Times New Roman"/>
        </w:rPr>
      </w:pPr>
      <w:r>
        <w:rPr>
          <w:rFonts w:ascii="Arial" w:eastAsia="Times New Roman" w:hAnsi="Arial" w:cs="Arial"/>
          <w:b/>
          <w:bCs/>
          <w:i/>
          <w:iCs/>
          <w:color w:val="0046AD"/>
          <w:sz w:val="20"/>
          <w:szCs w:val="20"/>
        </w:rPr>
        <w:t>Income Taxes from Continuing Operations</w:t>
      </w:r>
    </w:p>
    <w:p w:rsidR="00000000" w:rsidRDefault="001E2972">
      <w:pPr>
        <w:ind w:firstLine="720"/>
        <w:jc w:val="both"/>
        <w:divId w:val="1866748856"/>
        <w:rPr>
          <w:rFonts w:eastAsia="Times New Roman"/>
        </w:rPr>
      </w:pPr>
      <w:r>
        <w:rPr>
          <w:rFonts w:ascii="Arial" w:eastAsia="Times New Roman" w:hAnsi="Arial" w:cs="Arial"/>
          <w:color w:val="000000"/>
          <w:sz w:val="20"/>
          <w:szCs w:val="20"/>
        </w:rPr>
        <w:t>Our effective tax rates on income from continuing operations, for the six months ended April 30, 2021 and April 30, 2020 were 26.9% and (21.4)%, respectively, resulting in provisions for taxes</w:t>
      </w:r>
      <w:r>
        <w:rPr>
          <w:rFonts w:ascii="Arial" w:eastAsia="Times New Roman" w:hAnsi="Arial" w:cs="Arial"/>
          <w:color w:val="000000"/>
          <w:sz w:val="20"/>
          <w:szCs w:val="20"/>
        </w:rPr>
        <w:t xml:space="preserve"> of $38.9 million and $19.2 million, respectively. The effective tax rate for the six months ended April 30, 2020, excluding a nondeductible impairment loss of $163.8 million, was 25.9%. </w:t>
      </w:r>
    </w:p>
    <w:p w:rsidR="00000000" w:rsidRDefault="001E2972">
      <w:pPr>
        <w:ind w:firstLine="720"/>
        <w:jc w:val="both"/>
        <w:divId w:val="1409234772"/>
        <w:rPr>
          <w:rFonts w:eastAsia="Times New Roman"/>
        </w:rPr>
      </w:pPr>
      <w:r>
        <w:rPr>
          <w:rFonts w:ascii="Arial" w:eastAsia="Times New Roman" w:hAnsi="Arial" w:cs="Arial"/>
          <w:color w:val="000000"/>
          <w:sz w:val="20"/>
          <w:szCs w:val="20"/>
        </w:rPr>
        <w:t>Our effective tax rate for the six months ended April 30, 2021 was n</w:t>
      </w:r>
      <w:r>
        <w:rPr>
          <w:rFonts w:ascii="Arial" w:eastAsia="Times New Roman" w:hAnsi="Arial" w:cs="Arial"/>
          <w:color w:val="000000"/>
          <w:sz w:val="20"/>
          <w:szCs w:val="20"/>
        </w:rPr>
        <w:t>ot impacted by any significant discrete items. Our effective tax rate for the six months ended April 30, 2020 was impacted by the impairment of non-deductible goodwill and a $1.5 million tax provision related to WOTC. The difference between the effective t</w:t>
      </w:r>
      <w:r>
        <w:rPr>
          <w:rFonts w:ascii="Arial" w:eastAsia="Times New Roman" w:hAnsi="Arial" w:cs="Arial"/>
          <w:color w:val="000000"/>
          <w:sz w:val="20"/>
          <w:szCs w:val="20"/>
        </w:rPr>
        <w:t>ax rate and statutory rate is primarily related to tax credits. The rate difference between periods is driven by increased income in 2021.</w:t>
      </w:r>
      <w:r>
        <w:rPr>
          <w:rFonts w:ascii="Arial" w:eastAsia="Times New Roman" w:hAnsi="Arial" w:cs="Arial"/>
          <w:color w:val="000000"/>
          <w:sz w:val="20"/>
          <w:szCs w:val="20"/>
          <w:shd w:val="clear" w:color="auto" w:fill="FFFFFF"/>
        </w:rPr>
        <w:t xml:space="preserve"> </w:t>
      </w:r>
    </w:p>
    <w:p w:rsidR="00000000" w:rsidRDefault="001E2972">
      <w:pPr>
        <w:jc w:val="both"/>
        <w:divId w:val="762871415"/>
        <w:rPr>
          <w:rFonts w:eastAsia="Times New Roman"/>
        </w:rPr>
      </w:pPr>
    </w:p>
    <w:p w:rsidR="00000000" w:rsidRDefault="001E2972">
      <w:pPr>
        <w:jc w:val="both"/>
        <w:divId w:val="1065840288"/>
        <w:rPr>
          <w:rFonts w:eastAsia="Times New Roman"/>
        </w:rPr>
      </w:pPr>
    </w:p>
    <w:p w:rsidR="00000000" w:rsidRDefault="001E2972">
      <w:pPr>
        <w:jc w:val="center"/>
        <w:divId w:val="524562947"/>
        <w:rPr>
          <w:rFonts w:eastAsia="Times New Roman"/>
        </w:rPr>
      </w:pPr>
      <w:r>
        <w:rPr>
          <w:rFonts w:ascii="Arial" w:eastAsia="Times New Roman" w:hAnsi="Arial" w:cs="Arial"/>
          <w:color w:val="000000"/>
          <w:sz w:val="20"/>
          <w:szCs w:val="20"/>
        </w:rPr>
        <w:t>34</w:t>
      </w:r>
    </w:p>
    <w:p w:rsidR="00000000" w:rsidRDefault="001E2972">
      <w:pPr>
        <w:rPr>
          <w:rFonts w:eastAsia="Times New Roman"/>
        </w:rPr>
      </w:pPr>
      <w:r>
        <w:rPr>
          <w:rFonts w:eastAsia="Times New Roman"/>
        </w:rPr>
        <w:pict>
          <v:rect id="_x0000_i1069" style="width:0;height:1.5pt" o:hralign="center" o:hrstd="t" o:hr="t" fillcolor="#a0a0a0" stroked="f"/>
        </w:pict>
      </w:r>
    </w:p>
    <w:p w:rsidR="00000000" w:rsidRDefault="001E2972">
      <w:pPr>
        <w:jc w:val="both"/>
        <w:divId w:val="1806661022"/>
        <w:rPr>
          <w:rFonts w:eastAsia="Times New Roman"/>
        </w:rPr>
      </w:pPr>
    </w:p>
    <w:p w:rsidR="00000000" w:rsidRDefault="001E2972">
      <w:pPr>
        <w:jc w:val="both"/>
        <w:divId w:val="1897006270"/>
        <w:rPr>
          <w:rFonts w:eastAsia="Times New Roman"/>
        </w:rPr>
      </w:pPr>
      <w:r>
        <w:rPr>
          <w:rFonts w:ascii="Arial" w:eastAsia="Times New Roman" w:hAnsi="Arial" w:cs="Arial"/>
          <w:b/>
          <w:bCs/>
          <w:i/>
          <w:iCs/>
          <w:color w:val="0046AD"/>
          <w:sz w:val="20"/>
          <w:szCs w:val="20"/>
        </w:rPr>
        <w:t>Interest Rate Swaps</w:t>
      </w:r>
    </w:p>
    <w:p w:rsidR="00000000" w:rsidRDefault="001E2972">
      <w:pPr>
        <w:jc w:val="both"/>
        <w:divId w:val="149029425"/>
        <w:rPr>
          <w:rFonts w:eastAsia="Times New Roman"/>
        </w:rPr>
      </w:pPr>
      <w:r>
        <w:rPr>
          <w:rFonts w:ascii="Arial" w:eastAsia="Times New Roman" w:hAnsi="Arial" w:cs="Arial"/>
          <w:b/>
          <w:bCs/>
          <w:i/>
          <w:iCs/>
          <w:color w:val="000000"/>
          <w:sz w:val="20"/>
          <w:szCs w:val="20"/>
        </w:rPr>
        <w:t>    </w:t>
      </w:r>
      <w:r>
        <w:rPr>
          <w:rFonts w:ascii="Arial" w:eastAsia="Times New Roman" w:hAnsi="Arial" w:cs="Arial"/>
          <w:color w:val="000000"/>
          <w:sz w:val="20"/>
          <w:szCs w:val="20"/>
        </w:rPr>
        <w:t>We had a gain of $2.8 million on interest rate swaps during the three months ended April </w:t>
      </w:r>
      <w:r>
        <w:rPr>
          <w:rFonts w:ascii="Arial" w:eastAsia="Times New Roman" w:hAnsi="Arial" w:cs="Arial"/>
          <w:color w:val="000000"/>
          <w:sz w:val="20"/>
          <w:szCs w:val="20"/>
        </w:rPr>
        <w:t>30, 2021, as compared to a loss of $9.9 million during the three months ended April 30, 2020, primarily due to underlying changes in the fair value of our interest rate swaps.</w:t>
      </w:r>
    </w:p>
    <w:p w:rsidR="00000000" w:rsidRDefault="001E2972">
      <w:pPr>
        <w:jc w:val="both"/>
        <w:divId w:val="652953645"/>
        <w:rPr>
          <w:rFonts w:eastAsia="Times New Roman"/>
        </w:rPr>
      </w:pPr>
      <w:r>
        <w:rPr>
          <w:rFonts w:ascii="Arial" w:eastAsia="Times New Roman" w:hAnsi="Arial" w:cs="Arial"/>
          <w:b/>
          <w:bCs/>
          <w:i/>
          <w:iCs/>
          <w:color w:val="0046AD"/>
          <w:sz w:val="20"/>
          <w:szCs w:val="20"/>
        </w:rPr>
        <w:t>Foreign Currency Translation</w:t>
      </w:r>
    </w:p>
    <w:p w:rsidR="00000000" w:rsidRDefault="001E2972">
      <w:pPr>
        <w:jc w:val="both"/>
        <w:divId w:val="255871915"/>
        <w:rPr>
          <w:rFonts w:eastAsia="Times New Roman"/>
        </w:rPr>
      </w:pPr>
      <w:r>
        <w:rPr>
          <w:rFonts w:ascii="Arial" w:eastAsia="Times New Roman" w:hAnsi="Arial" w:cs="Arial"/>
          <w:color w:val="000000"/>
          <w:sz w:val="20"/>
          <w:szCs w:val="20"/>
        </w:rPr>
        <w:t>    We had a foreign currency translation gain of $</w:t>
      </w:r>
      <w:r>
        <w:rPr>
          <w:rFonts w:ascii="Arial" w:eastAsia="Times New Roman" w:hAnsi="Arial" w:cs="Arial"/>
          <w:color w:val="000000"/>
          <w:sz w:val="20"/>
          <w:szCs w:val="20"/>
        </w:rPr>
        <w:t>5.2 million during the six months ended April 30, 2021, as compared to a foreign currency translation loss of $3.8 million during the six months ended April 30, 2020. This change was due to fluctuations in the exchange rate between the USD and the GBP. Fut</w:t>
      </w:r>
      <w:r>
        <w:rPr>
          <w:rFonts w:ascii="Arial" w:eastAsia="Times New Roman" w:hAnsi="Arial" w:cs="Arial"/>
          <w:color w:val="000000"/>
          <w:sz w:val="20"/>
          <w:szCs w:val="20"/>
        </w:rPr>
        <w:t>ure gains and losses on foreign currency translation will be dependent upon changes in the relative value of foreign currencies to the USD and the extent of our foreign assets and liabilities.</w:t>
      </w:r>
    </w:p>
    <w:p w:rsidR="00000000" w:rsidRDefault="001E2972">
      <w:pPr>
        <w:jc w:val="center"/>
        <w:divId w:val="1812988114"/>
        <w:rPr>
          <w:rFonts w:eastAsia="Times New Roman"/>
        </w:rPr>
      </w:pPr>
      <w:r>
        <w:rPr>
          <w:rFonts w:ascii="Arial" w:eastAsia="Times New Roman" w:hAnsi="Arial" w:cs="Arial"/>
          <w:color w:val="000000"/>
          <w:sz w:val="20"/>
          <w:szCs w:val="20"/>
        </w:rPr>
        <w:t>35</w:t>
      </w:r>
    </w:p>
    <w:p w:rsidR="00000000" w:rsidRDefault="001E2972">
      <w:pPr>
        <w:rPr>
          <w:rFonts w:eastAsia="Times New Roman"/>
        </w:rPr>
      </w:pPr>
      <w:r>
        <w:rPr>
          <w:rFonts w:eastAsia="Times New Roman"/>
        </w:rPr>
        <w:pict>
          <v:rect id="_x0000_i1070" style="width:0;height:1.5pt" o:hralign="center" o:hrstd="t" o:hr="t" fillcolor="#a0a0a0" stroked="f"/>
        </w:pict>
      </w:r>
    </w:p>
    <w:p w:rsidR="00000000" w:rsidRDefault="001E2972">
      <w:pPr>
        <w:jc w:val="both"/>
        <w:divId w:val="1458451445"/>
        <w:rPr>
          <w:rFonts w:eastAsia="Times New Roman"/>
        </w:rPr>
      </w:pPr>
    </w:p>
    <w:p w:rsidR="00000000" w:rsidRDefault="001E2972">
      <w:pPr>
        <w:divId w:val="2129734211"/>
        <w:rPr>
          <w:rFonts w:eastAsia="Times New Roman"/>
        </w:rPr>
      </w:pPr>
      <w:r>
        <w:rPr>
          <w:rFonts w:ascii="Arial" w:eastAsia="Times New Roman" w:hAnsi="Arial" w:cs="Arial"/>
          <w:b/>
          <w:bCs/>
          <w:i/>
          <w:iCs/>
          <w:color w:val="0046AD"/>
          <w:sz w:val="20"/>
          <w:szCs w:val="20"/>
        </w:rPr>
        <w:t>Segment Information</w:t>
      </w:r>
    </w:p>
    <w:p w:rsidR="00000000" w:rsidRDefault="001E2972">
      <w:pPr>
        <w:jc w:val="both"/>
        <w:divId w:val="1827352963"/>
        <w:rPr>
          <w:rFonts w:eastAsia="Times New Roman"/>
        </w:rPr>
      </w:pPr>
      <w:r>
        <w:rPr>
          <w:rFonts w:ascii="Arial" w:eastAsia="Times New Roman" w:hAnsi="Arial" w:cs="Arial"/>
          <w:b/>
          <w:bCs/>
          <w:i/>
          <w:iCs/>
          <w:color w:val="0046AD"/>
          <w:sz w:val="20"/>
          <w:szCs w:val="20"/>
        </w:rPr>
        <w:t>Fi</w:t>
      </w:r>
      <w:r>
        <w:rPr>
          <w:rFonts w:ascii="Arial" w:eastAsia="Times New Roman" w:hAnsi="Arial" w:cs="Arial"/>
          <w:b/>
          <w:bCs/>
          <w:i/>
          <w:iCs/>
          <w:color w:val="0046AD"/>
          <w:sz w:val="20"/>
          <w:szCs w:val="20"/>
        </w:rPr>
        <w:t>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959"/>
        <w:gridCol w:w="38"/>
        <w:gridCol w:w="121"/>
        <w:gridCol w:w="945"/>
        <w:gridCol w:w="163"/>
        <w:gridCol w:w="36"/>
        <w:gridCol w:w="36"/>
        <w:gridCol w:w="36"/>
        <w:gridCol w:w="121"/>
        <w:gridCol w:w="884"/>
        <w:gridCol w:w="163"/>
        <w:gridCol w:w="36"/>
        <w:gridCol w:w="36"/>
        <w:gridCol w:w="36"/>
        <w:gridCol w:w="122"/>
        <w:gridCol w:w="666"/>
        <w:gridCol w:w="37"/>
        <w:gridCol w:w="37"/>
        <w:gridCol w:w="37"/>
        <w:gridCol w:w="36"/>
        <w:gridCol w:w="62"/>
        <w:gridCol w:w="620"/>
        <w:gridCol w:w="39"/>
      </w:tblGrid>
      <w:tr w:rsidR="00000000">
        <w:trPr>
          <w:divId w:val="912159634"/>
        </w:trPr>
        <w:tc>
          <w:tcPr>
            <w:tcW w:w="50" w:type="pct"/>
            <w:vAlign w:val="center"/>
            <w:hideMark/>
          </w:tcPr>
          <w:p w:rsidR="00000000" w:rsidRDefault="001E2972">
            <w:pPr>
              <w:jc w:val="both"/>
              <w:rPr>
                <w:rFonts w:eastAsia="Times New Roman"/>
              </w:rPr>
            </w:pPr>
          </w:p>
        </w:tc>
        <w:tc>
          <w:tcPr>
            <w:tcW w:w="243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61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912159634"/>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 / (Decrease)</w:t>
            </w:r>
          </w:p>
        </w:tc>
      </w:tr>
      <w:tr w:rsidR="00000000">
        <w:trPr>
          <w:divId w:val="91215963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1,605.6 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1,606.5 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(0.1)%</w:t>
            </w:r>
          </w:p>
        </w:tc>
      </w:tr>
      <w:tr w:rsidR="00000000">
        <w:trPr>
          <w:divId w:val="91215963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495.5 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467.6 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27.9 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6.0%</w:t>
            </w: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408.0 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3.8%</w:t>
            </w:r>
          </w:p>
        </w:tc>
      </w:tr>
      <w:tr w:rsidR="00000000">
        <w:trPr>
          <w:divId w:val="91215963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291.5 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423.5 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(132.0)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(31.2)%</w:t>
            </w: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238.8 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264.3 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(25.5)</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(9.7)%</w:t>
            </w:r>
          </w:p>
        </w:tc>
      </w:tr>
      <w:tr w:rsidR="00000000">
        <w:trPr>
          <w:divId w:val="91215963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(65.2)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(61.0)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(6.9)%</w:t>
            </w:r>
          </w:p>
        </w:tc>
      </w:tr>
      <w:tr w:rsidR="00000000">
        <w:trPr>
          <w:divId w:val="912159634"/>
        </w:trPr>
        <w:tc>
          <w:tcPr>
            <w:tcW w:w="0" w:type="auto"/>
            <w:gridSpan w:val="3"/>
            <w:shd w:val="clear" w:color="auto" w:fill="FFFFFF"/>
            <w:tcMar>
              <w:top w:w="0" w:type="dxa"/>
              <w:left w:w="20" w:type="dxa"/>
              <w:bottom w:w="0" w:type="dxa"/>
              <w:right w:w="20" w:type="dxa"/>
            </w:tcMar>
            <w:vAlign w:val="center"/>
            <w:hideMark/>
          </w:tcPr>
          <w:p w:rsidR="00000000" w:rsidRDefault="001E2972">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3,109.0 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(3.8)%</w:t>
            </w:r>
          </w:p>
        </w:tc>
      </w:tr>
      <w:tr w:rsidR="00000000">
        <w:trPr>
          <w:divId w:val="912159634"/>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171.0 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97.4 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75.5%</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6.1 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458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53.8 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47.9%</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7.8 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307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109.6 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8.3 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(18.3)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(54.9)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63.9 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(13.0)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0.0 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684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912159634"/>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 xml:space="preserve">— bps </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912159634"/>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(123.4)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(72.8)</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(69.4)%</w:t>
            </w:r>
          </w:p>
        </w:tc>
      </w:tr>
      <w:tr w:rsidR="00000000">
        <w:trPr>
          <w:divId w:val="912159634"/>
        </w:trPr>
        <w:tc>
          <w:tcPr>
            <w:tcW w:w="0" w:type="auto"/>
            <w:gridSpan w:val="3"/>
            <w:shd w:val="clear" w:color="auto" w:fill="DCE2E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(1.8)</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54.2%</w:t>
            </w:r>
          </w:p>
        </w:tc>
      </w:tr>
      <w:tr w:rsidR="00000000">
        <w:trPr>
          <w:divId w:val="912159634"/>
        </w:trPr>
        <w:tc>
          <w:tcPr>
            <w:tcW w:w="0" w:type="auto"/>
            <w:gridSpan w:val="3"/>
            <w:shd w:val="clear" w:color="auto" w:fill="FFFFFF"/>
            <w:tcMar>
              <w:top w:w="30" w:type="dxa"/>
              <w:left w:w="200" w:type="dxa"/>
              <w:bottom w:w="30" w:type="dxa"/>
              <w:right w:w="20" w:type="dxa"/>
            </w:tcMar>
            <w:vAlign w:val="bottom"/>
            <w:hideMark/>
          </w:tcPr>
          <w:p w:rsidR="00000000" w:rsidRDefault="001E2972">
            <w:pPr>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(45.9)%</w:t>
            </w:r>
          </w:p>
        </w:tc>
      </w:tr>
      <w:tr w:rsidR="00000000">
        <w:trPr>
          <w:divId w:val="912159634"/>
        </w:trPr>
        <w:tc>
          <w:tcPr>
            <w:tcW w:w="0" w:type="auto"/>
            <w:gridSpan w:val="3"/>
            <w:shd w:val="clear" w:color="auto" w:fill="DCE2EF"/>
            <w:tcMar>
              <w:top w:w="0" w:type="dxa"/>
              <w:left w:w="20" w:type="dxa"/>
              <w:bottom w:w="0" w:type="dxa"/>
              <w:right w:w="20" w:type="dxa"/>
            </w:tcMar>
            <w:vAlign w:val="center"/>
            <w:hideMark/>
          </w:tcPr>
          <w:p w:rsidR="00000000" w:rsidRDefault="001E2972">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(70.8)</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230.9 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bl>
    <w:p w:rsidR="00000000" w:rsidRDefault="001E2972">
      <w:pPr>
        <w:divId w:val="1116288404"/>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2"/>
        <w:gridCol w:w="163"/>
        <w:gridCol w:w="36"/>
        <w:gridCol w:w="36"/>
        <w:gridCol w:w="36"/>
        <w:gridCol w:w="122"/>
        <w:gridCol w:w="1104"/>
        <w:gridCol w:w="37"/>
        <w:gridCol w:w="37"/>
        <w:gridCol w:w="37"/>
        <w:gridCol w:w="37"/>
        <w:gridCol w:w="37"/>
        <w:gridCol w:w="1070"/>
        <w:gridCol w:w="37"/>
      </w:tblGrid>
      <w:tr w:rsidR="00000000">
        <w:trPr>
          <w:divId w:val="2051176890"/>
        </w:trPr>
        <w:tc>
          <w:tcPr>
            <w:tcW w:w="50" w:type="pct"/>
            <w:vAlign w:val="center"/>
            <w:hideMark/>
          </w:tcPr>
          <w:p w:rsidR="00000000" w:rsidRDefault="001E2972">
            <w:pPr>
              <w:rPr>
                <w:rFonts w:eastAsia="Times New Roman"/>
              </w:rPr>
            </w:pPr>
          </w:p>
        </w:tc>
        <w:tc>
          <w:tcPr>
            <w:tcW w:w="166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511768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20511768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2051176890"/>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(Decrease) / Increase</w:t>
            </w:r>
          </w:p>
        </w:tc>
      </w:tr>
      <w:tr w:rsidR="00000000">
        <w:trPr>
          <w:divId w:val="2051176890"/>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1,606.5 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(0.1)%</w:t>
            </w:r>
          </w:p>
        </w:tc>
      </w:tr>
      <w:tr w:rsidR="00000000">
        <w:trPr>
          <w:divId w:val="2051176890"/>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171.0 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97.4 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73.6 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75.5%</w:t>
            </w:r>
          </w:p>
        </w:tc>
      </w:tr>
      <w:tr w:rsidR="00000000">
        <w:trPr>
          <w:divId w:val="2051176890"/>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6.1 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458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1944721227"/>
        <w:rPr>
          <w:rFonts w:eastAsia="Times New Roman"/>
        </w:rPr>
      </w:pPr>
      <w:r>
        <w:rPr>
          <w:rFonts w:ascii="Arial" w:eastAsia="Times New Roman" w:hAnsi="Arial" w:cs="Arial"/>
          <w:color w:val="000000"/>
          <w:sz w:val="20"/>
          <w:szCs w:val="20"/>
        </w:rPr>
        <w:t>    B&amp;</w:t>
      </w:r>
      <w:r>
        <w:rPr>
          <w:rFonts w:ascii="Arial" w:eastAsia="Times New Roman" w:hAnsi="Arial" w:cs="Arial"/>
          <w:color w:val="000000"/>
          <w:sz w:val="20"/>
          <w:szCs w:val="20"/>
        </w:rPr>
        <w:t>I revenues decreased by $0.9 million, or 0.1%, during the six months ended April 30, 2021, as compared to the six months ended April 30, 2020. The decrease was primarily attributable to account compression resulting from Pandemic-related disruptions in cer</w:t>
      </w:r>
      <w:r>
        <w:rPr>
          <w:rFonts w:ascii="Arial" w:eastAsia="Times New Roman" w:hAnsi="Arial" w:cs="Arial"/>
          <w:color w:val="000000"/>
          <w:sz w:val="20"/>
          <w:szCs w:val="20"/>
        </w:rPr>
        <w:t xml:space="preserve">tain markets within both our U.S. and U.K. businesses. The decrease was mostly offset by the targeted expansion of certain key clients, new business, and an increase in work orders (primarily as a result of the Pandemic). Management reimbursement revenues </w:t>
      </w:r>
      <w:r>
        <w:rPr>
          <w:rFonts w:ascii="Arial" w:eastAsia="Times New Roman" w:hAnsi="Arial" w:cs="Arial"/>
          <w:color w:val="000000"/>
          <w:sz w:val="20"/>
          <w:szCs w:val="20"/>
        </w:rPr>
        <w:t>for this segment totaled $86.6 million and $135.4 million for the six months ended April 30, 2021 and 2020, respectively.</w:t>
      </w:r>
    </w:p>
    <w:p w:rsidR="00000000" w:rsidRDefault="001E2972">
      <w:pPr>
        <w:ind w:firstLine="720"/>
        <w:jc w:val="both"/>
        <w:divId w:val="612250915"/>
        <w:rPr>
          <w:rFonts w:eastAsia="Times New Roman"/>
        </w:rPr>
      </w:pPr>
      <w:r>
        <w:rPr>
          <w:rFonts w:ascii="Arial" w:eastAsia="Times New Roman" w:hAnsi="Arial" w:cs="Arial"/>
          <w:color w:val="000000"/>
          <w:sz w:val="20"/>
          <w:szCs w:val="20"/>
        </w:rPr>
        <w:t>Operating profit increased by $73.6 million, or 75.5%, during the six months ended April 30, 2021, as compared to the six months ended April 30, 2020. Operating profit margin increased by 458 bps to 10.6% in the six months ended April 30, 2021, from 6.1% i</w:t>
      </w:r>
      <w:r>
        <w:rPr>
          <w:rFonts w:ascii="Arial" w:eastAsia="Times New Roman" w:hAnsi="Arial" w:cs="Arial"/>
          <w:color w:val="000000"/>
          <w:sz w:val="20"/>
          <w:szCs w:val="20"/>
        </w:rPr>
        <w:t xml:space="preserve">n the six months ended April 30, 2020. The increase in operating profit margin was primarily associated with higher margins on certain accounts in both our U.S. and U.K businesses. </w:t>
      </w:r>
    </w:p>
    <w:p w:rsidR="00000000" w:rsidRDefault="001E2972">
      <w:pPr>
        <w:jc w:val="center"/>
        <w:divId w:val="449904858"/>
        <w:rPr>
          <w:rFonts w:eastAsia="Times New Roman"/>
        </w:rPr>
      </w:pPr>
      <w:r>
        <w:rPr>
          <w:rFonts w:ascii="Arial" w:eastAsia="Times New Roman" w:hAnsi="Arial" w:cs="Arial"/>
          <w:color w:val="000000"/>
          <w:sz w:val="20"/>
          <w:szCs w:val="20"/>
        </w:rPr>
        <w:t>36</w:t>
      </w:r>
    </w:p>
    <w:p w:rsidR="00000000" w:rsidRDefault="001E2972">
      <w:pPr>
        <w:rPr>
          <w:rFonts w:eastAsia="Times New Roman"/>
        </w:rPr>
      </w:pPr>
      <w:r>
        <w:rPr>
          <w:rFonts w:eastAsia="Times New Roman"/>
        </w:rPr>
        <w:pict>
          <v:rect id="_x0000_i1071" style="width:0;height:1.5pt" o:hralign="center" o:hrstd="t" o:hr="t" fillcolor="#a0a0a0" stroked="f"/>
        </w:pict>
      </w:r>
    </w:p>
    <w:p w:rsidR="00000000" w:rsidRDefault="001E2972">
      <w:pPr>
        <w:jc w:val="both"/>
        <w:divId w:val="583223536"/>
        <w:rPr>
          <w:rFonts w:eastAsia="Times New Roman"/>
        </w:rPr>
      </w:pPr>
    </w:p>
    <w:p w:rsidR="00000000" w:rsidRDefault="001E2972">
      <w:pPr>
        <w:jc w:val="both"/>
        <w:divId w:val="282813679"/>
        <w:rPr>
          <w:rFonts w:eastAsia="Times New Roman"/>
        </w:rPr>
      </w:pPr>
      <w:r>
        <w:rPr>
          <w:rFonts w:ascii="Arial" w:eastAsia="Times New Roman" w:hAnsi="Arial" w:cs="Arial"/>
          <w:color w:val="000000"/>
          <w:sz w:val="20"/>
          <w:szCs w:val="20"/>
        </w:rPr>
        <w:t>Additionally, the increase in op</w:t>
      </w:r>
      <w:r>
        <w:rPr>
          <w:rFonts w:ascii="Arial" w:eastAsia="Times New Roman" w:hAnsi="Arial" w:cs="Arial"/>
          <w:color w:val="000000"/>
          <w:sz w:val="20"/>
          <w:szCs w:val="20"/>
        </w:rPr>
        <w:t xml:space="preserve">erating profit margin was impacted by an increase in work orders, which have higher margins. </w:t>
      </w:r>
    </w:p>
    <w:tbl>
      <w:tblPr>
        <w:tblW w:w="5000" w:type="pct"/>
        <w:tblCellMar>
          <w:top w:w="15" w:type="dxa"/>
          <w:left w:w="15" w:type="dxa"/>
          <w:bottom w:w="15" w:type="dxa"/>
          <w:right w:w="15" w:type="dxa"/>
        </w:tblCellMar>
        <w:tblLook w:val="04A0" w:firstRow="1" w:lastRow="0" w:firstColumn="1" w:lastColumn="0" w:noHBand="0" w:noVBand="1"/>
      </w:tblPr>
      <w:tblGrid>
        <w:gridCol w:w="38"/>
        <w:gridCol w:w="2673"/>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8"/>
        <w:gridCol w:w="1072"/>
        <w:gridCol w:w="36"/>
      </w:tblGrid>
      <w:tr w:rsidR="00000000">
        <w:trPr>
          <w:divId w:val="177892615"/>
        </w:trPr>
        <w:tc>
          <w:tcPr>
            <w:tcW w:w="50" w:type="pct"/>
            <w:vAlign w:val="center"/>
            <w:hideMark/>
          </w:tcPr>
          <w:p w:rsidR="00000000" w:rsidRDefault="001E2972">
            <w:pPr>
              <w:jc w:val="both"/>
              <w:rPr>
                <w:rFonts w:eastAsia="Times New Roman"/>
              </w:rPr>
            </w:pPr>
          </w:p>
        </w:tc>
        <w:tc>
          <w:tcPr>
            <w:tcW w:w="166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789261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7789261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7789261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17789261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467.6 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6.0%</w:t>
            </w:r>
          </w:p>
        </w:tc>
      </w:tr>
      <w:tr w:rsidR="00000000">
        <w:trPr>
          <w:divId w:val="177892615"/>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53.8 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47.9%</w:t>
            </w:r>
          </w:p>
        </w:tc>
      </w:tr>
      <w:tr w:rsidR="00000000">
        <w:trPr>
          <w:divId w:val="177892615"/>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10.8 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7.8 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307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605188038"/>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$27.9 million, or 6.0%, during the six months ended April 30, 2021, as compared to the six months ended April 30, 2020. The increase was primarily attributable to an increase in work orders (primarily as a result of the Pandemic) an</w:t>
      </w:r>
      <w:r>
        <w:rPr>
          <w:rFonts w:ascii="Arial" w:eastAsia="Times New Roman" w:hAnsi="Arial" w:cs="Arial"/>
          <w:color w:val="000000"/>
          <w:sz w:val="20"/>
          <w:szCs w:val="20"/>
        </w:rPr>
        <w:t>d new business. This increase was partially offset by the compression of certain accounts, mainly resulting from Pandemic-related disruptions.</w:t>
      </w:r>
    </w:p>
    <w:p w:rsidR="00000000" w:rsidRDefault="001E2972">
      <w:pPr>
        <w:ind w:firstLine="720"/>
        <w:jc w:val="both"/>
        <w:divId w:val="18900900"/>
        <w:rPr>
          <w:rFonts w:eastAsia="Times New Roman"/>
        </w:rPr>
      </w:pPr>
      <w:r>
        <w:rPr>
          <w:rFonts w:ascii="Arial" w:eastAsia="Times New Roman" w:hAnsi="Arial" w:cs="Arial"/>
          <w:color w:val="000000"/>
          <w:sz w:val="20"/>
          <w:szCs w:val="20"/>
        </w:rPr>
        <w:t>Operating profit increased by $17.5 million, or 47.9%, during the six months ended April 30, 2021, as compared to the six months ended April 30, 2020. Operating profit margin increased by 307 bps to 10.8% in the six months ended April 30, 2021, from 7.8% i</w:t>
      </w:r>
      <w:r>
        <w:rPr>
          <w:rFonts w:ascii="Arial" w:eastAsia="Times New Roman" w:hAnsi="Arial" w:cs="Arial"/>
          <w:color w:val="000000"/>
          <w:sz w:val="20"/>
          <w:szCs w:val="20"/>
        </w:rPr>
        <w:t>n the six months ended April 30, 2020. The increase in operating profit margin was primarily attributable to higher margins on work orders and a decrease in bad debt expense, driven by net recoveries of certain previously reserved receivables.</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7"/>
        <w:gridCol w:w="1073"/>
        <w:gridCol w:w="36"/>
      </w:tblGrid>
      <w:tr w:rsidR="00000000">
        <w:trPr>
          <w:divId w:val="726537558"/>
        </w:trPr>
        <w:tc>
          <w:tcPr>
            <w:tcW w:w="50" w:type="pct"/>
            <w:vAlign w:val="center"/>
            <w:hideMark/>
          </w:tcPr>
          <w:p w:rsidR="00000000" w:rsidRDefault="001E2972">
            <w:pPr>
              <w:ind w:firstLine="720"/>
              <w:jc w:val="both"/>
              <w:rPr>
                <w:rFonts w:eastAsia="Times New Roman"/>
              </w:rPr>
            </w:pPr>
          </w:p>
        </w:tc>
        <w:tc>
          <w:tcPr>
            <w:tcW w:w="166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72653755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72653755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726537558"/>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726537558"/>
        </w:trPr>
        <w:tc>
          <w:tcPr>
            <w:tcW w:w="0" w:type="auto"/>
            <w:gridSpan w:val="3"/>
            <w:shd w:val="clear" w:color="auto" w:fill="DCE3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423.6 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408.0 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3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3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3.8%</w:t>
            </w:r>
          </w:p>
        </w:tc>
      </w:tr>
      <w:tr w:rsidR="00000000">
        <w:trPr>
          <w:divId w:val="726537558"/>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(74.6)</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109.6 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726537558"/>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8.3 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(18.3)</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726537558"/>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divId w:val="726537558"/>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bl>
    <w:p w:rsidR="00000000" w:rsidRDefault="001E2972">
      <w:pPr>
        <w:jc w:val="both"/>
        <w:divId w:val="213196956"/>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276837916"/>
        <w:rPr>
          <w:rFonts w:eastAsia="Times New Roman"/>
        </w:rPr>
      </w:pPr>
      <w:r>
        <w:rPr>
          <w:rFonts w:ascii="Arial" w:eastAsia="Times New Roman" w:hAnsi="Arial" w:cs="Arial"/>
          <w:color w:val="000000"/>
          <w:sz w:val="20"/>
          <w:szCs w:val="20"/>
        </w:rPr>
        <w:t>Education revenues increased by $15.6 million, or 3.8%, during the six months ended April 30, 2021, as compared to the six months ended April 30, 2020. The increase was primarily attributable to an increase in work orders (primarily as a result of the Pand</w:t>
      </w:r>
      <w:r>
        <w:rPr>
          <w:rFonts w:ascii="Arial" w:eastAsia="Times New Roman" w:hAnsi="Arial" w:cs="Arial"/>
          <w:color w:val="000000"/>
          <w:sz w:val="20"/>
          <w:szCs w:val="20"/>
        </w:rPr>
        <w:t>emic).</w:t>
      </w:r>
    </w:p>
    <w:p w:rsidR="00000000" w:rsidRDefault="001E2972">
      <w:pPr>
        <w:ind w:firstLine="720"/>
        <w:jc w:val="both"/>
        <w:divId w:val="1871259490"/>
        <w:rPr>
          <w:rFonts w:eastAsia="Times New Roman"/>
        </w:rPr>
      </w:pPr>
      <w:r>
        <w:rPr>
          <w:rFonts w:ascii="Arial" w:eastAsia="Times New Roman" w:hAnsi="Arial" w:cs="Arial"/>
          <w:color w:val="000000"/>
          <w:sz w:val="20"/>
          <w:szCs w:val="20"/>
        </w:rPr>
        <w:t>Education had an operating profit of $35.0 million during the six months ended April 30, 2021, as compared to an operating loss of $74.6 million during the six months ended April 30, 2020. Operating margin increased to 8.3% in the six months ended A</w:t>
      </w:r>
      <w:r>
        <w:rPr>
          <w:rFonts w:ascii="Arial" w:eastAsia="Times New Roman" w:hAnsi="Arial" w:cs="Arial"/>
          <w:color w:val="000000"/>
          <w:sz w:val="20"/>
          <w:szCs w:val="20"/>
        </w:rPr>
        <w:t>pril 30, 2021 from (18.3)% in the six months ended April 30, 2020. The increase in operating margin was primarily attributable to the absence of prior year impairment charges of $99.3 million on goodwill due to the adverse impact of market and business con</w:t>
      </w:r>
      <w:r>
        <w:rPr>
          <w:rFonts w:ascii="Arial" w:eastAsia="Times New Roman" w:hAnsi="Arial" w:cs="Arial"/>
          <w:color w:val="000000"/>
          <w:sz w:val="20"/>
          <w:szCs w:val="20"/>
        </w:rPr>
        <w:t>ditions resulting from the Pandemic. Additionally, the increase in operating margin was impacted by an increase in work orders with higher margins as a result of the Pandemic. Operating margin was negatively impacted by increased direct labor costs in conc</w:t>
      </w:r>
      <w:r>
        <w:rPr>
          <w:rFonts w:ascii="Arial" w:eastAsia="Times New Roman" w:hAnsi="Arial" w:cs="Arial"/>
          <w:color w:val="000000"/>
          <w:sz w:val="20"/>
          <w:szCs w:val="20"/>
        </w:rPr>
        <w:t xml:space="preserve">entrated geographies due to a limited labor supply in those regions that impacted certain customer contracts.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2733"/>
        <w:gridCol w:w="37"/>
        <w:gridCol w:w="121"/>
        <w:gridCol w:w="1140"/>
        <w:gridCol w:w="163"/>
        <w:gridCol w:w="36"/>
        <w:gridCol w:w="36"/>
        <w:gridCol w:w="36"/>
        <w:gridCol w:w="121"/>
        <w:gridCol w:w="1079"/>
        <w:gridCol w:w="163"/>
        <w:gridCol w:w="36"/>
        <w:gridCol w:w="36"/>
        <w:gridCol w:w="36"/>
        <w:gridCol w:w="122"/>
        <w:gridCol w:w="1092"/>
        <w:gridCol w:w="37"/>
        <w:gridCol w:w="37"/>
        <w:gridCol w:w="37"/>
        <w:gridCol w:w="37"/>
        <w:gridCol w:w="43"/>
        <w:gridCol w:w="1053"/>
        <w:gridCol w:w="37"/>
      </w:tblGrid>
      <w:tr w:rsidR="00000000">
        <w:trPr>
          <w:divId w:val="1560897011"/>
        </w:trPr>
        <w:tc>
          <w:tcPr>
            <w:tcW w:w="50" w:type="pct"/>
            <w:vAlign w:val="center"/>
            <w:hideMark/>
          </w:tcPr>
          <w:p w:rsidR="00000000" w:rsidRDefault="001E2972">
            <w:pPr>
              <w:ind w:firstLine="720"/>
              <w:jc w:val="both"/>
              <w:rPr>
                <w:rFonts w:eastAsia="Times New Roman"/>
              </w:rPr>
            </w:pPr>
          </w:p>
        </w:tc>
        <w:tc>
          <w:tcPr>
            <w:tcW w:w="1699"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2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56089701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6089701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56089701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(Decrease) / Increase</w:t>
            </w:r>
          </w:p>
        </w:tc>
      </w:tr>
      <w:tr w:rsidR="00000000">
        <w:trPr>
          <w:divId w:val="1560897011"/>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291.5 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423.5 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(132.0)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(31.2)%</w:t>
            </w:r>
          </w:p>
        </w:tc>
      </w:tr>
      <w:tr w:rsidR="00000000">
        <w:trPr>
          <w:divId w:val="156089701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9.0 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(54.9)</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63.9 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560897011"/>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3.1 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(13.0)</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931089788"/>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552623496"/>
        <w:rPr>
          <w:rFonts w:eastAsia="Times New Roman"/>
        </w:rPr>
      </w:pPr>
      <w:r>
        <w:rPr>
          <w:rFonts w:ascii="Arial" w:eastAsia="Times New Roman" w:hAnsi="Arial" w:cs="Arial"/>
          <w:color w:val="000000"/>
          <w:sz w:val="20"/>
          <w:szCs w:val="20"/>
        </w:rPr>
        <w:t>Aviation revenues decreased by $132.0 million, or 31.2%, during the six months ended April 30, 2021, as compared to the six months ended April </w:t>
      </w:r>
      <w:r>
        <w:rPr>
          <w:rFonts w:ascii="Arial" w:eastAsia="Times New Roman" w:hAnsi="Arial" w:cs="Arial"/>
          <w:color w:val="000000"/>
          <w:sz w:val="20"/>
          <w:szCs w:val="20"/>
        </w:rPr>
        <w:t>30, 2020. The decrease was primarily attributable to travel restrictions and a dramatic decline in passenger demand resulting from the Pandemic. Significant volume reductions impacted janitorial, cabin cleaning, transportation, parking, passenger services,</w:t>
      </w:r>
      <w:r>
        <w:rPr>
          <w:rFonts w:ascii="Arial" w:eastAsia="Times New Roman" w:hAnsi="Arial" w:cs="Arial"/>
          <w:color w:val="000000"/>
          <w:sz w:val="20"/>
          <w:szCs w:val="20"/>
        </w:rPr>
        <w:t xml:space="preserve"> and catering accounts. The decrease was partially offset by Pandemic-related cleaning services and new parking-related services. Management </w:t>
      </w:r>
    </w:p>
    <w:p w:rsidR="00000000" w:rsidRDefault="001E2972">
      <w:pPr>
        <w:jc w:val="center"/>
        <w:divId w:val="1419014725"/>
        <w:rPr>
          <w:rFonts w:eastAsia="Times New Roman"/>
        </w:rPr>
      </w:pPr>
      <w:r>
        <w:rPr>
          <w:rFonts w:ascii="Arial" w:eastAsia="Times New Roman" w:hAnsi="Arial" w:cs="Arial"/>
          <w:color w:val="000000"/>
          <w:sz w:val="20"/>
          <w:szCs w:val="20"/>
        </w:rPr>
        <w:t>37</w:t>
      </w:r>
    </w:p>
    <w:p w:rsidR="00000000" w:rsidRDefault="001E2972">
      <w:pPr>
        <w:rPr>
          <w:rFonts w:eastAsia="Times New Roman"/>
        </w:rPr>
      </w:pPr>
      <w:r>
        <w:rPr>
          <w:rFonts w:eastAsia="Times New Roman"/>
        </w:rPr>
        <w:pict>
          <v:rect id="_x0000_i1072" style="width:0;height:1.5pt" o:hralign="center" o:hrstd="t" o:hr="t" fillcolor="#a0a0a0" stroked="f"/>
        </w:pict>
      </w:r>
    </w:p>
    <w:p w:rsidR="00000000" w:rsidRDefault="001E2972">
      <w:pPr>
        <w:jc w:val="both"/>
        <w:divId w:val="1851873720"/>
        <w:rPr>
          <w:rFonts w:eastAsia="Times New Roman"/>
        </w:rPr>
      </w:pPr>
    </w:p>
    <w:p w:rsidR="00000000" w:rsidRDefault="001E2972">
      <w:pPr>
        <w:jc w:val="both"/>
        <w:divId w:val="1487431127"/>
        <w:rPr>
          <w:rFonts w:eastAsia="Times New Roman"/>
        </w:rPr>
      </w:pPr>
      <w:r>
        <w:rPr>
          <w:rFonts w:ascii="Arial" w:eastAsia="Times New Roman" w:hAnsi="Arial" w:cs="Arial"/>
          <w:color w:val="000000"/>
          <w:sz w:val="20"/>
          <w:szCs w:val="20"/>
        </w:rPr>
        <w:t xml:space="preserve">reimbursement revenues for this segment totaled $26.5 million and $46.6 million for the six months ended April 30, 2021 and 2020, respectively. </w:t>
      </w:r>
    </w:p>
    <w:p w:rsidR="00000000" w:rsidRDefault="001E2972">
      <w:pPr>
        <w:ind w:firstLine="720"/>
        <w:jc w:val="both"/>
        <w:divId w:val="325670010"/>
        <w:rPr>
          <w:rFonts w:eastAsia="Times New Roman"/>
        </w:rPr>
      </w:pPr>
      <w:r>
        <w:rPr>
          <w:rFonts w:ascii="Arial" w:eastAsia="Times New Roman" w:hAnsi="Arial" w:cs="Arial"/>
          <w:color w:val="000000"/>
          <w:sz w:val="20"/>
          <w:szCs w:val="20"/>
        </w:rPr>
        <w:t>Aviation had an operating profit of $9.0 million during the six months en</w:t>
      </w:r>
      <w:r>
        <w:rPr>
          <w:rFonts w:ascii="Arial" w:eastAsia="Times New Roman" w:hAnsi="Arial" w:cs="Arial"/>
          <w:color w:val="000000"/>
          <w:sz w:val="20"/>
          <w:szCs w:val="20"/>
        </w:rPr>
        <w:t>ded April 30, 2021, as compared to an operating loss of $54.9 million during the six months ended April 30, 2020. Operating margin increased to 3.1% in the six months ended April 30, 2021, from (13.0)% in the six months ended April 30, 2020. The increase i</w:t>
      </w:r>
      <w:r>
        <w:rPr>
          <w:rFonts w:ascii="Arial" w:eastAsia="Times New Roman" w:hAnsi="Arial" w:cs="Arial"/>
          <w:color w:val="000000"/>
          <w:sz w:val="20"/>
          <w:szCs w:val="20"/>
        </w:rPr>
        <w:t>n operating margin was primarily attributable to the absence of prior year impairment charges of $55.5 million on goodwill and $5.6 million on customer relationships due to the adverse impact of market and business conditions resulting from the Pandemic. A</w:t>
      </w:r>
      <w:r>
        <w:rPr>
          <w:rFonts w:ascii="Arial" w:eastAsia="Times New Roman" w:hAnsi="Arial" w:cs="Arial"/>
          <w:color w:val="000000"/>
          <w:sz w:val="20"/>
          <w:szCs w:val="20"/>
        </w:rPr>
        <w:t>dditionally, operating margin increased due to the management of direct labor and related personnel costs during the Pandemic, higher margins on Pandemic-related cleaning services, and growth in parking and transportation contracts. These increases were pa</w:t>
      </w:r>
      <w:r>
        <w:rPr>
          <w:rFonts w:ascii="Arial" w:eastAsia="Times New Roman" w:hAnsi="Arial" w:cs="Arial"/>
          <w:color w:val="000000"/>
          <w:sz w:val="20"/>
          <w:szCs w:val="20"/>
        </w:rPr>
        <w:t>rtially offset by Pandemic-related volume reductions.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2"/>
        <w:gridCol w:w="163"/>
        <w:gridCol w:w="36"/>
        <w:gridCol w:w="36"/>
        <w:gridCol w:w="36"/>
        <w:gridCol w:w="122"/>
        <w:gridCol w:w="1104"/>
        <w:gridCol w:w="37"/>
        <w:gridCol w:w="37"/>
        <w:gridCol w:w="37"/>
        <w:gridCol w:w="37"/>
        <w:gridCol w:w="37"/>
        <w:gridCol w:w="1070"/>
        <w:gridCol w:w="37"/>
      </w:tblGrid>
      <w:tr w:rsidR="00000000">
        <w:trPr>
          <w:divId w:val="1060061085"/>
        </w:trPr>
        <w:tc>
          <w:tcPr>
            <w:tcW w:w="50" w:type="pct"/>
            <w:vAlign w:val="center"/>
            <w:hideMark/>
          </w:tcPr>
          <w:p w:rsidR="00000000" w:rsidRDefault="001E2972">
            <w:pPr>
              <w:ind w:firstLine="720"/>
              <w:jc w:val="both"/>
              <w:rPr>
                <w:rFonts w:eastAsia="Times New Roman"/>
              </w:rPr>
            </w:pPr>
          </w:p>
        </w:tc>
        <w:tc>
          <w:tcPr>
            <w:tcW w:w="166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06006108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6006108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06006108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(Decrease) / Increase</w:t>
            </w:r>
          </w:p>
        </w:tc>
      </w:tr>
      <w:tr w:rsidR="00000000">
        <w:trPr>
          <w:divId w:val="1060061085"/>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238.8 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264.3 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(25.5)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(9.7)%</w:t>
            </w:r>
          </w:p>
        </w:tc>
      </w:tr>
      <w:tr w:rsidR="00000000">
        <w:trPr>
          <w:divId w:val="1060061085"/>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16.3 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16.4 </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NM*</w:t>
            </w:r>
          </w:p>
        </w:tc>
      </w:tr>
      <w:tr w:rsidR="00000000">
        <w:trPr>
          <w:divId w:val="1060061085"/>
        </w:trPr>
        <w:tc>
          <w:tcPr>
            <w:tcW w:w="0" w:type="auto"/>
            <w:gridSpan w:val="3"/>
            <w:shd w:val="clear" w:color="auto" w:fill="DCE2EF"/>
            <w:tcMar>
              <w:top w:w="30" w:type="dxa"/>
              <w:left w:w="155"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6.8 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0.0 </w:t>
            </w:r>
          </w:p>
        </w:tc>
        <w:tc>
          <w:tcPr>
            <w:tcW w:w="0" w:type="auto"/>
            <w:shd w:val="clear" w:color="auto" w:fill="DCE2EF"/>
            <w:tcMar>
              <w:top w:w="30" w:type="dxa"/>
              <w:left w:w="0" w:type="dxa"/>
              <w:bottom w:w="30" w:type="dxa"/>
              <w:right w:w="20" w:type="dxa"/>
            </w:tcMar>
            <w:vAlign w:val="bottom"/>
            <w:hideMark/>
          </w:tcPr>
          <w:p w:rsidR="00000000" w:rsidRDefault="001E2972">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1E2972">
            <w:pPr>
              <w:jc w:val="right"/>
              <w:rPr>
                <w:rFonts w:eastAsia="Times New Roman"/>
              </w:rPr>
            </w:pPr>
            <w:r>
              <w:rPr>
                <w:rFonts w:ascii="Arial" w:eastAsia="Times New Roman" w:hAnsi="Arial" w:cs="Arial"/>
                <w:i/>
                <w:iCs/>
                <w:color w:val="000000"/>
                <w:sz w:val="16"/>
                <w:szCs w:val="16"/>
              </w:rPr>
              <w:t>684 bps</w:t>
            </w: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jc w:val="both"/>
        <w:divId w:val="269435126"/>
        <w:rPr>
          <w:rFonts w:eastAsia="Times New Roman"/>
        </w:rPr>
      </w:pPr>
      <w:r>
        <w:rPr>
          <w:rFonts w:ascii="Arial" w:eastAsia="Times New Roman" w:hAnsi="Arial" w:cs="Arial"/>
          <w:color w:val="000000"/>
          <w:sz w:val="18"/>
          <w:szCs w:val="18"/>
        </w:rPr>
        <w:t>*Not meaningful</w:t>
      </w:r>
    </w:p>
    <w:p w:rsidR="00000000" w:rsidRDefault="001E2972">
      <w:pPr>
        <w:ind w:firstLine="720"/>
        <w:jc w:val="both"/>
        <w:divId w:val="805928177"/>
        <w:rPr>
          <w:rFonts w:eastAsia="Times New Roman"/>
        </w:rPr>
      </w:pPr>
      <w:r>
        <w:rPr>
          <w:rFonts w:ascii="Arial" w:eastAsia="Times New Roman" w:hAnsi="Arial" w:cs="Arial"/>
          <w:color w:val="000000"/>
          <w:sz w:val="20"/>
          <w:szCs w:val="20"/>
        </w:rPr>
        <w:t>Technical Solutions revenues decreased by $25.5 million, or 9.7%, during the six months ended April 30, 2021, as compared to the six months ended April 30, 2020. The decrease was primarily attributable to a slower than expected ability to convert our activ</w:t>
      </w:r>
      <w:r>
        <w:rPr>
          <w:rFonts w:ascii="Arial" w:eastAsia="Times New Roman" w:hAnsi="Arial" w:cs="Arial"/>
          <w:color w:val="000000"/>
          <w:sz w:val="20"/>
          <w:szCs w:val="20"/>
        </w:rPr>
        <w:t xml:space="preserve">e projects, otherwise defined as churn rate, due to regional access restrictions in our U.S. business resulting from the Pandemic. </w:t>
      </w:r>
    </w:p>
    <w:p w:rsidR="00000000" w:rsidRDefault="001E2972">
      <w:pPr>
        <w:ind w:firstLine="720"/>
        <w:jc w:val="both"/>
        <w:divId w:val="1627811478"/>
        <w:rPr>
          <w:rFonts w:eastAsia="Times New Roman"/>
        </w:rPr>
      </w:pPr>
      <w:r>
        <w:rPr>
          <w:rFonts w:ascii="Arial" w:eastAsia="Times New Roman" w:hAnsi="Arial" w:cs="Arial"/>
          <w:color w:val="000000"/>
          <w:sz w:val="20"/>
          <w:szCs w:val="20"/>
        </w:rPr>
        <w:t xml:space="preserve">We had an operating profit of $16.3 million during the six months ended April 30, 2021, as compared to an operating loss of </w:t>
      </w:r>
      <w:r>
        <w:rPr>
          <w:rFonts w:ascii="Arial" w:eastAsia="Times New Roman" w:hAnsi="Arial" w:cs="Arial"/>
          <w:color w:val="000000"/>
          <w:sz w:val="20"/>
          <w:szCs w:val="20"/>
        </w:rPr>
        <w:t>$0.1 million during the six months ended April 30, 2020. Operating margin increased by 684 bps to 6.8% in the six months ended April 30, 2021 from 0.0% in the six months ended April 30, 2020. The increase in operating profit margin was primarily attributab</w:t>
      </w:r>
      <w:r>
        <w:rPr>
          <w:rFonts w:ascii="Arial" w:eastAsia="Times New Roman" w:hAnsi="Arial" w:cs="Arial"/>
          <w:color w:val="000000"/>
          <w:sz w:val="20"/>
          <w:szCs w:val="20"/>
        </w:rPr>
        <w:t>le to the absence of prior year impairment charges of $9.0 million on goodwill and $3.4 million on customer relationships related to our U.K. business due to the adverse impact of market and business conditions resulting from the Pandemic. Additionally, th</w:t>
      </w:r>
      <w:r>
        <w:rPr>
          <w:rFonts w:ascii="Arial" w:eastAsia="Times New Roman" w:hAnsi="Arial" w:cs="Arial"/>
          <w:color w:val="000000"/>
          <w:sz w:val="20"/>
          <w:szCs w:val="20"/>
        </w:rPr>
        <w:t xml:space="preserve">e increase in profit margin was positively impacted by the management of indirect operating expenses and selling expenses. The increase was partially offset by revenue compression resulting from Pandemic-related disruptions. </w:t>
      </w:r>
    </w:p>
    <w:p w:rsidR="00000000" w:rsidRDefault="001E2972">
      <w:pPr>
        <w:jc w:val="both"/>
        <w:divId w:val="255215192"/>
        <w:rPr>
          <w:rFonts w:eastAsia="Times New Roman"/>
        </w:rPr>
      </w:pPr>
    </w:p>
    <w:p w:rsidR="00000000" w:rsidRDefault="001E2972">
      <w:pPr>
        <w:jc w:val="center"/>
        <w:divId w:val="672680964"/>
        <w:rPr>
          <w:rFonts w:eastAsia="Times New Roman"/>
        </w:rPr>
      </w:pPr>
      <w:r>
        <w:rPr>
          <w:rFonts w:ascii="Arial" w:eastAsia="Times New Roman" w:hAnsi="Arial" w:cs="Arial"/>
          <w:color w:val="000000"/>
          <w:sz w:val="20"/>
          <w:szCs w:val="20"/>
        </w:rPr>
        <w:t>38</w:t>
      </w:r>
    </w:p>
    <w:p w:rsidR="00000000" w:rsidRDefault="001E2972">
      <w:pPr>
        <w:rPr>
          <w:rFonts w:eastAsia="Times New Roman"/>
        </w:rPr>
      </w:pPr>
      <w:r>
        <w:rPr>
          <w:rFonts w:eastAsia="Times New Roman"/>
        </w:rPr>
        <w:pict>
          <v:rect id="_x0000_i1073" style="width:0;height:1.5pt" o:hralign="center" o:hrstd="t" o:hr="t" fillcolor="#a0a0a0" stroked="f"/>
        </w:pict>
      </w:r>
    </w:p>
    <w:p w:rsidR="00000000" w:rsidRDefault="001E2972">
      <w:pPr>
        <w:jc w:val="both"/>
        <w:divId w:val="140248634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22"/>
        <w:gridCol w:w="36"/>
        <w:gridCol w:w="121"/>
        <w:gridCol w:w="1191"/>
        <w:gridCol w:w="36"/>
        <w:gridCol w:w="36"/>
        <w:gridCol w:w="36"/>
        <w:gridCol w:w="36"/>
        <w:gridCol w:w="121"/>
        <w:gridCol w:w="1144"/>
        <w:gridCol w:w="36"/>
        <w:gridCol w:w="36"/>
        <w:gridCol w:w="36"/>
        <w:gridCol w:w="36"/>
        <w:gridCol w:w="121"/>
        <w:gridCol w:w="1156"/>
        <w:gridCol w:w="36"/>
        <w:gridCol w:w="36"/>
        <w:gridCol w:w="36"/>
        <w:gridCol w:w="36"/>
        <w:gridCol w:w="37"/>
        <w:gridCol w:w="1148"/>
        <w:gridCol w:w="36"/>
      </w:tblGrid>
      <w:tr w:rsidR="00000000">
        <w:trPr>
          <w:divId w:val="115219472"/>
          <w:jc w:val="center"/>
        </w:trPr>
        <w:tc>
          <w:tcPr>
            <w:tcW w:w="50" w:type="pct"/>
            <w:vAlign w:val="center"/>
            <w:hideMark/>
          </w:tcPr>
          <w:p w:rsidR="00000000" w:rsidRDefault="001E2972">
            <w:pPr>
              <w:jc w:val="both"/>
              <w:rPr>
                <w:rFonts w:eastAsia="Times New Roman"/>
              </w:rPr>
            </w:pPr>
          </w:p>
        </w:tc>
        <w:tc>
          <w:tcPr>
            <w:tcW w:w="166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3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15219472"/>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15219472"/>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divId w:val="115219472"/>
          <w:jc w:val="center"/>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Increase</w:t>
            </w:r>
          </w:p>
        </w:tc>
      </w:tr>
      <w:tr w:rsidR="00000000">
        <w:trPr>
          <w:divId w:val="115219472"/>
          <w:jc w:val="center"/>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(123.4)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(72.8)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50.6 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color w:val="000000"/>
                <w:sz w:val="18"/>
                <w:szCs w:val="18"/>
              </w:rPr>
              <w:t>69.4%</w:t>
            </w:r>
          </w:p>
        </w:tc>
      </w:tr>
    </w:tbl>
    <w:p w:rsidR="00000000" w:rsidRDefault="001E2972">
      <w:pPr>
        <w:jc w:val="both"/>
        <w:divId w:val="441269241"/>
        <w:rPr>
          <w:rFonts w:eastAsia="Times New Roman"/>
        </w:rPr>
      </w:pPr>
      <w:r>
        <w:rPr>
          <w:rFonts w:ascii="Arial" w:eastAsia="Times New Roman" w:hAnsi="Arial" w:cs="Arial"/>
          <w:b/>
          <w:bCs/>
          <w:color w:val="000000"/>
          <w:sz w:val="20"/>
          <w:szCs w:val="20"/>
        </w:rPr>
        <w:t>    </w:t>
      </w:r>
      <w:r>
        <w:rPr>
          <w:rFonts w:ascii="Arial" w:eastAsia="Times New Roman" w:hAnsi="Arial" w:cs="Arial"/>
          <w:color w:val="000000"/>
          <w:sz w:val="20"/>
          <w:szCs w:val="20"/>
        </w:rPr>
        <w:t>Corporate expenses increased by $50.6 million, or 69.4%, during the six months ended April 30, 2021, as compared to the six months ended April 30, 2020. The inc</w:t>
      </w:r>
      <w:r>
        <w:rPr>
          <w:rFonts w:ascii="Arial" w:eastAsia="Times New Roman" w:hAnsi="Arial" w:cs="Arial"/>
          <w:color w:val="000000"/>
          <w:sz w:val="20"/>
          <w:szCs w:val="20"/>
        </w:rPr>
        <w:t>rease in corporate expenses was primarily attributable to:</w:t>
      </w:r>
    </w:p>
    <w:p w:rsidR="00000000" w:rsidRDefault="001E2972">
      <w:pPr>
        <w:ind w:hanging="360"/>
        <w:jc w:val="both"/>
        <w:divId w:val="120004825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$32.6 million increase in legal costs and settlements, of which $30 million was attributed to the accrual of a legal reserve for the Bucio case;</w:t>
      </w:r>
    </w:p>
    <w:p w:rsidR="00000000" w:rsidRDefault="001E2972">
      <w:pPr>
        <w:ind w:hanging="360"/>
        <w:jc w:val="both"/>
        <w:divId w:val="50614116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an $18.3 million increase in compensation and related expenses, primarily driven by updated assessments regarding financial performance target achievements in connection with certain performance share awards; during the six months ended April 30, 2020, we </w:t>
      </w:r>
      <w:r>
        <w:rPr>
          <w:rFonts w:ascii="Arial" w:eastAsia="Times New Roman" w:hAnsi="Arial" w:cs="Arial"/>
          <w:color w:val="000000"/>
          <w:sz w:val="20"/>
          <w:szCs w:val="20"/>
        </w:rPr>
        <w:t xml:space="preserve">recorded a reversal of shared-based compensation expense based upon our then current assessment of probable financial achievements for such awards; and </w:t>
      </w:r>
    </w:p>
    <w:p w:rsidR="00000000" w:rsidRDefault="001E2972">
      <w:pPr>
        <w:ind w:hanging="360"/>
        <w:jc w:val="both"/>
        <w:divId w:val="5809724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$17.2 million increase in certain technology projects and other enterprise initiatives, including ma</w:t>
      </w:r>
      <w:r>
        <w:rPr>
          <w:rFonts w:ascii="Arial" w:eastAsia="Times New Roman" w:hAnsi="Arial" w:cs="Arial"/>
          <w:color w:val="000000"/>
          <w:sz w:val="20"/>
          <w:szCs w:val="20"/>
        </w:rPr>
        <w:t>rketing events.</w:t>
      </w:r>
    </w:p>
    <w:p w:rsidR="00000000" w:rsidRDefault="001E2972">
      <w:pPr>
        <w:jc w:val="both"/>
        <w:divId w:val="1069304363"/>
        <w:rPr>
          <w:rFonts w:eastAsia="Times New Roman"/>
        </w:rPr>
      </w:pPr>
      <w:r>
        <w:rPr>
          <w:rFonts w:ascii="Arial" w:eastAsia="Times New Roman" w:hAnsi="Arial" w:cs="Arial"/>
          <w:color w:val="000000"/>
          <w:sz w:val="20"/>
          <w:szCs w:val="20"/>
        </w:rPr>
        <w:t>This increase was partially offset by:</w:t>
      </w:r>
    </w:p>
    <w:p w:rsidR="00000000" w:rsidRDefault="001E2972">
      <w:pPr>
        <w:ind w:hanging="360"/>
        <w:jc w:val="both"/>
        <w:divId w:val="199460505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$5.0 million decrease in restructuring and related expenses due to the completion of our restructuring program in fiscal year 2020; </w:t>
      </w:r>
    </w:p>
    <w:p w:rsidR="00000000" w:rsidRDefault="001E2972">
      <w:pPr>
        <w:ind w:hanging="360"/>
        <w:jc w:val="both"/>
        <w:divId w:val="28142636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$4.8 million decrease in self-insurance reserve adjustments re</w:t>
      </w:r>
      <w:r>
        <w:rPr>
          <w:rFonts w:ascii="Arial" w:eastAsia="Times New Roman" w:hAnsi="Arial" w:cs="Arial"/>
          <w:color w:val="000000"/>
          <w:sz w:val="20"/>
          <w:szCs w:val="20"/>
        </w:rPr>
        <w:t xml:space="preserve">lated to prior year claims as a result of actuarial evaluations completed in the six months ended April 30, 2021; </w:t>
      </w:r>
    </w:p>
    <w:p w:rsidR="00000000" w:rsidRDefault="001E2972">
      <w:pPr>
        <w:ind w:hanging="360"/>
        <w:jc w:val="both"/>
        <w:divId w:val="386701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$3.9 million medical and dental insurance expense as a result of an actuarial evaluation performed in the prior year; and</w:t>
      </w:r>
    </w:p>
    <w:p w:rsidR="00000000" w:rsidRDefault="001E2972">
      <w:pPr>
        <w:ind w:hanging="360"/>
        <w:jc w:val="both"/>
        <w:divId w:val="207049215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$1.3 million reserve established for an outstanding client receivable that was being litigated in the prior year and deemed to be uncollectible.</w:t>
      </w:r>
    </w:p>
    <w:p w:rsidR="00000000" w:rsidRDefault="001E2972">
      <w:pPr>
        <w:jc w:val="center"/>
        <w:divId w:val="1060710699"/>
        <w:rPr>
          <w:rFonts w:eastAsia="Times New Roman"/>
        </w:rPr>
      </w:pPr>
      <w:r>
        <w:rPr>
          <w:rFonts w:ascii="Arial" w:eastAsia="Times New Roman" w:hAnsi="Arial" w:cs="Arial"/>
          <w:color w:val="000000"/>
          <w:sz w:val="20"/>
          <w:szCs w:val="20"/>
        </w:rPr>
        <w:t>39</w:t>
      </w:r>
    </w:p>
    <w:p w:rsidR="00000000" w:rsidRDefault="001E2972">
      <w:pPr>
        <w:rPr>
          <w:rFonts w:eastAsia="Times New Roman"/>
        </w:rPr>
      </w:pPr>
      <w:r>
        <w:rPr>
          <w:rFonts w:eastAsia="Times New Roman"/>
        </w:rPr>
        <w:pict>
          <v:rect id="_x0000_i1074" style="width:0;height:1.5pt" o:hralign="center" o:hrstd="t" o:hr="t" fillcolor="#a0a0a0" stroked="f"/>
        </w:pict>
      </w:r>
    </w:p>
    <w:p w:rsidR="00000000" w:rsidRDefault="001E2972">
      <w:pPr>
        <w:jc w:val="both"/>
        <w:divId w:val="925461531"/>
        <w:rPr>
          <w:rFonts w:eastAsia="Times New Roman"/>
        </w:rPr>
      </w:pPr>
    </w:p>
    <w:p w:rsidR="00000000" w:rsidRDefault="001E2972">
      <w:pPr>
        <w:divId w:val="1198273334"/>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87652442"/>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8765244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521967798"/>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rsidR="00000000" w:rsidRDefault="001E2972">
      <w:pPr>
        <w:ind w:firstLine="720"/>
        <w:jc w:val="both"/>
        <w:divId w:val="361782806"/>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settlements,</w:t>
      </w:r>
      <w:r>
        <w:rPr>
          <w:rFonts w:ascii="Arial" w:eastAsia="Times New Roman" w:hAnsi="Arial" w:cs="Arial"/>
          <w:color w:val="000000"/>
          <w:sz w:val="20"/>
          <w:szCs w:val="20"/>
        </w:rPr>
        <w:t xml:space="preserve"> insurance claims, dividend payments, capital expenditures, share repurchases, and strategic initiatives, including technology transformation. We anticipate long-term cash uses may also include strategic acquisitions. On a long-term basis, we will continue</w:t>
      </w:r>
      <w:r>
        <w:rPr>
          <w:rFonts w:ascii="Arial" w:eastAsia="Times New Roman" w:hAnsi="Arial" w:cs="Arial"/>
          <w:color w:val="000000"/>
          <w:sz w:val="20"/>
          <w:szCs w:val="20"/>
        </w:rPr>
        <w:t xml:space="preserve"> to rely on our Credit Facility for any long-term funding not provided by operating cash flows.</w:t>
      </w:r>
    </w:p>
    <w:p w:rsidR="00000000" w:rsidRDefault="001E2972">
      <w:pPr>
        <w:ind w:firstLine="720"/>
        <w:jc w:val="both"/>
        <w:divId w:val="183518209"/>
        <w:rPr>
          <w:rFonts w:eastAsia="Times New Roman"/>
        </w:rPr>
      </w:pPr>
      <w:r>
        <w:rPr>
          <w:rFonts w:ascii="Arial" w:eastAsia="Times New Roman" w:hAnsi="Arial" w:cs="Arial"/>
          <w:color w:val="000000"/>
          <w:sz w:val="20"/>
          <w:szCs w:val="20"/>
        </w:rPr>
        <w:t>We believe that the Pandemic has had, and will likely continue to have, an adverse impact on our consolidated financial position, results of operations, and cas</w:t>
      </w:r>
      <w:r>
        <w:rPr>
          <w:rFonts w:ascii="Arial" w:eastAsia="Times New Roman" w:hAnsi="Arial" w:cs="Arial"/>
          <w:color w:val="000000"/>
          <w:sz w:val="20"/>
          <w:szCs w:val="20"/>
        </w:rPr>
        <w:t>h flows. Since we cannot predict the duration or scope of the Pandemic, we cannot fully anticipate or reasonably estimate all the ways in which the current global health crisis and financial market conditions could adversely impact our business in fiscal 2</w:t>
      </w:r>
      <w:r>
        <w:rPr>
          <w:rFonts w:ascii="Arial" w:eastAsia="Times New Roman" w:hAnsi="Arial" w:cs="Arial"/>
          <w:color w:val="000000"/>
          <w:sz w:val="20"/>
          <w:szCs w:val="20"/>
        </w:rPr>
        <w:t>021 or in the future. It is also possible that our accounts receivable cash collections will be adversely impacted by our clients’ Pandemic-related challenges.</w:t>
      </w:r>
    </w:p>
    <w:p w:rsidR="00000000" w:rsidRDefault="001E2972">
      <w:pPr>
        <w:ind w:firstLine="720"/>
        <w:jc w:val="both"/>
        <w:divId w:val="121656090"/>
        <w:rPr>
          <w:rFonts w:eastAsia="Times New Roman"/>
        </w:rPr>
      </w:pPr>
      <w:r>
        <w:rPr>
          <w:rFonts w:ascii="Arial" w:eastAsia="Times New Roman" w:hAnsi="Arial" w:cs="Arial"/>
          <w:color w:val="000000"/>
          <w:sz w:val="20"/>
          <w:szCs w:val="20"/>
        </w:rPr>
        <w:t>We have taken and continue to take certain steps to preserve liquidity. We have also actively ma</w:t>
      </w:r>
      <w:r>
        <w:rPr>
          <w:rFonts w:ascii="Arial" w:eastAsia="Times New Roman" w:hAnsi="Arial" w:cs="Arial"/>
          <w:color w:val="000000"/>
          <w:sz w:val="20"/>
          <w:szCs w:val="20"/>
        </w:rPr>
        <w:t>naged direct labor and related personnel costs, including: imposing furloughs or reduced hours for certain frontline employees in markets significantly impacted by business slowdowns and shutdowns; managing our operating expenditures and certain selling, g</w:t>
      </w:r>
      <w:r>
        <w:rPr>
          <w:rFonts w:ascii="Arial" w:eastAsia="Times New Roman" w:hAnsi="Arial" w:cs="Arial"/>
          <w:color w:val="000000"/>
          <w:sz w:val="20"/>
          <w:szCs w:val="20"/>
        </w:rPr>
        <w:t>eneral and administrative expenses; and suspending share repurchases under our share repurchase program. In addition, we continue focusing on collection of customer receivables, monitoring the adequacy of our reserves, and extending vendor payment terms wh</w:t>
      </w:r>
      <w:r>
        <w:rPr>
          <w:rFonts w:ascii="Arial" w:eastAsia="Times New Roman" w:hAnsi="Arial" w:cs="Arial"/>
          <w:color w:val="000000"/>
          <w:sz w:val="20"/>
          <w:szCs w:val="20"/>
        </w:rPr>
        <w:t>ere possible. We evaluated the business tax provisions of the CARES Act and have deferred remittance of approximately $132 million of payroll tax through December 31, 2020, which the CARES Act requires to be remitted by December 31, 2021 and December 31, 2</w:t>
      </w:r>
      <w:r>
        <w:rPr>
          <w:rFonts w:ascii="Arial" w:eastAsia="Times New Roman" w:hAnsi="Arial" w:cs="Arial"/>
          <w:color w:val="000000"/>
          <w:sz w:val="20"/>
          <w:szCs w:val="20"/>
        </w:rPr>
        <w:t xml:space="preserve">022 in equal parts. </w:t>
      </w:r>
    </w:p>
    <w:p w:rsidR="00000000" w:rsidRDefault="001E2972">
      <w:pPr>
        <w:ind w:firstLine="720"/>
        <w:jc w:val="both"/>
        <w:divId w:val="493647421"/>
        <w:rPr>
          <w:rFonts w:eastAsia="Times New Roman"/>
        </w:rPr>
      </w:pPr>
      <w:r>
        <w:rPr>
          <w:rFonts w:ascii="Arial" w:eastAsia="Times New Roman" w:hAnsi="Arial" w:cs="Arial"/>
          <w:color w:val="000000"/>
          <w:sz w:val="20"/>
          <w:szCs w:val="20"/>
        </w:rPr>
        <w:t xml:space="preserve">We believe that our operating cash flows and borrowing capacity under our Credit Facility are sufficient to fund our cash requirements for the next twelve months. In the event that our plans change or our cash requirements are greater </w:t>
      </w:r>
      <w:r>
        <w:rPr>
          <w:rFonts w:ascii="Arial" w:eastAsia="Times New Roman" w:hAnsi="Arial" w:cs="Arial"/>
          <w:color w:val="000000"/>
          <w:sz w:val="20"/>
          <w:szCs w:val="20"/>
        </w:rPr>
        <w:t xml:space="preserve">than we anticipate, we may need to access the capital markets to finance future cash requirements. However, there can be no assurance that such financing will be available to us should we need it or, if available, that the terms will be satisfactory to us </w:t>
      </w:r>
      <w:r>
        <w:rPr>
          <w:rFonts w:ascii="Arial" w:eastAsia="Times New Roman" w:hAnsi="Arial" w:cs="Arial"/>
          <w:color w:val="000000"/>
          <w:sz w:val="20"/>
          <w:szCs w:val="20"/>
        </w:rPr>
        <w:t xml:space="preserve">and not dilutive to existing shareholders. </w:t>
      </w:r>
    </w:p>
    <w:p w:rsidR="00000000" w:rsidRDefault="001E2972">
      <w:pPr>
        <w:jc w:val="both"/>
        <w:divId w:val="575165554"/>
        <w:rPr>
          <w:rFonts w:eastAsia="Times New Roman"/>
        </w:rPr>
      </w:pPr>
      <w:r>
        <w:rPr>
          <w:rFonts w:ascii="Arial" w:eastAsia="Times New Roman" w:hAnsi="Arial" w:cs="Arial"/>
          <w:b/>
          <w:bCs/>
          <w:i/>
          <w:iCs/>
          <w:color w:val="0046AD"/>
          <w:sz w:val="20"/>
          <w:szCs w:val="20"/>
        </w:rPr>
        <w:t>Credit Facility</w:t>
      </w:r>
    </w:p>
    <w:p w:rsidR="00000000" w:rsidRDefault="001E2972">
      <w:pPr>
        <w:ind w:firstLine="720"/>
        <w:jc w:val="both"/>
        <w:divId w:val="761606497"/>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w:t>
      </w:r>
      <w:r>
        <w:rPr>
          <w:rFonts w:ascii="Arial" w:eastAsia="Times New Roman" w:hAnsi="Arial" w:cs="Arial"/>
          <w:color w:val="000000"/>
          <w:sz w:val="20"/>
          <w:szCs w:val="20"/>
        </w:rPr>
        <w:t>olving line of credit and an $800.0 million amortizing term loan, both of which are scheduled to mature on September 1, 2022. In accordance with the terms of the Credit Facility, the revolving line of credit was reduced to $800.0 million on September 1, 20</w:t>
      </w:r>
      <w:r>
        <w:rPr>
          <w:rFonts w:ascii="Arial" w:eastAsia="Times New Roman" w:hAnsi="Arial" w:cs="Arial"/>
          <w:color w:val="000000"/>
          <w:sz w:val="20"/>
          <w:szCs w:val="20"/>
        </w:rPr>
        <w:t>18. The Credit Facility also provides for the issuance of up to $300.0 million for standby letters of credit and the issuance of up to $75.0 million in swingline advances. The obligations under the Credit Facility are secured on a first-priority basis by a</w:t>
      </w:r>
      <w:r>
        <w:rPr>
          <w:rFonts w:ascii="Arial" w:eastAsia="Times New Roman" w:hAnsi="Arial" w:cs="Arial"/>
          <w:color w:val="000000"/>
          <w:sz w:val="20"/>
          <w:szCs w:val="20"/>
        </w:rPr>
        <w:t xml:space="preserve"> lien on substantially all of our assets and properties, subject to certain exceptions. To further enhance our financial flexibility as a precautionary measure in response to uncertainty arising from the Pandemic, we amended our Credit Facility on May 28, </w:t>
      </w:r>
      <w:r>
        <w:rPr>
          <w:rFonts w:ascii="Arial" w:eastAsia="Times New Roman" w:hAnsi="Arial" w:cs="Arial"/>
          <w:color w:val="000000"/>
          <w:sz w:val="20"/>
          <w:szCs w:val="20"/>
        </w:rPr>
        <w:t xml:space="preserve">2020. </w:t>
      </w:r>
    </w:p>
    <w:p w:rsidR="00000000" w:rsidRDefault="001E2972">
      <w:pPr>
        <w:ind w:firstLine="720"/>
        <w:jc w:val="both"/>
        <w:divId w:val="1959143947"/>
        <w:rPr>
          <w:rFonts w:eastAsia="Times New Roman"/>
        </w:rPr>
      </w:pPr>
      <w:r>
        <w:rPr>
          <w:rFonts w:ascii="Arial" w:eastAsia="Times New Roman" w:hAnsi="Arial" w:cs="Arial"/>
          <w:color w:val="000000"/>
          <w:sz w:val="20"/>
          <w:szCs w:val="20"/>
        </w:rPr>
        <w:t>The Amendment modified the financial covenants under the Credit Facility, including: (i) replacing a maximum total leverage ratio with a maximum total net leverage ratio (allowing for up to $100 million in cash and cash equivalents to be excluded fr</w:t>
      </w:r>
      <w:r>
        <w:rPr>
          <w:rFonts w:ascii="Arial" w:eastAsia="Times New Roman" w:hAnsi="Arial" w:cs="Arial"/>
          <w:color w:val="000000"/>
          <w:sz w:val="20"/>
          <w:szCs w:val="20"/>
        </w:rPr>
        <w:t xml:space="preserve">om the calculation of total indebtedness) that varies on a quarterly basis and adjusts to 4.00 to 1.00 by the quarter ending October 31, 2022; (ii) modifying the minimum fixed charge coverage ratio on a quarterly basis, which adjusts to 1.25 to 1.00 as of </w:t>
      </w:r>
      <w:r>
        <w:rPr>
          <w:rFonts w:ascii="Arial" w:eastAsia="Times New Roman" w:hAnsi="Arial" w:cs="Arial"/>
          <w:color w:val="000000"/>
          <w:sz w:val="20"/>
          <w:szCs w:val="20"/>
        </w:rPr>
        <w:t>the quarter ending April 30, 2022; and (iii) adding a minimum liquidity (defined in the Amendment as domestic cash plus available revolving loans) of $250.0 million. These financial covenants were effective with the quarter ended April 30, 2020. Our borrow</w:t>
      </w:r>
      <w:r>
        <w:rPr>
          <w:rFonts w:ascii="Arial" w:eastAsia="Times New Roman" w:hAnsi="Arial" w:cs="Arial"/>
          <w:color w:val="000000"/>
          <w:sz w:val="20"/>
          <w:szCs w:val="20"/>
        </w:rPr>
        <w:t>ing capacity is subject to, and limited by, compliance with these covenants. At April 30, 2021, we were in compliance with these covenants and expect to be in compliance in the foreseeable future.</w:t>
      </w:r>
    </w:p>
    <w:p w:rsidR="00000000" w:rsidRDefault="001E2972">
      <w:pPr>
        <w:ind w:firstLine="720"/>
        <w:jc w:val="both"/>
        <w:divId w:val="1917204521"/>
        <w:rPr>
          <w:rFonts w:eastAsia="Times New Roman"/>
        </w:rPr>
      </w:pPr>
      <w:r>
        <w:rPr>
          <w:rFonts w:ascii="Arial" w:eastAsia="Times New Roman" w:hAnsi="Arial" w:cs="Arial"/>
          <w:color w:val="000000"/>
          <w:sz w:val="20"/>
          <w:szCs w:val="20"/>
        </w:rPr>
        <w:t>During the three and six months ended April 30, 2021, we ma</w:t>
      </w:r>
      <w:r>
        <w:rPr>
          <w:rFonts w:ascii="Arial" w:eastAsia="Times New Roman" w:hAnsi="Arial" w:cs="Arial"/>
          <w:color w:val="000000"/>
          <w:sz w:val="20"/>
          <w:szCs w:val="20"/>
        </w:rPr>
        <w:t xml:space="preserve">de principal payments of $30.0 million and $60.0 million, respectively, under the term loan. At April 30, 2021, the total outstanding borrowings under our Credit </w:t>
      </w:r>
    </w:p>
    <w:p w:rsidR="00000000" w:rsidRDefault="001E2972">
      <w:pPr>
        <w:jc w:val="center"/>
        <w:divId w:val="158272638"/>
        <w:rPr>
          <w:rFonts w:eastAsia="Times New Roman"/>
        </w:rPr>
      </w:pPr>
      <w:r>
        <w:rPr>
          <w:rFonts w:ascii="Arial" w:eastAsia="Times New Roman" w:hAnsi="Arial" w:cs="Arial"/>
          <w:color w:val="000000"/>
          <w:sz w:val="20"/>
          <w:szCs w:val="20"/>
        </w:rPr>
        <w:t>40</w:t>
      </w:r>
    </w:p>
    <w:p w:rsidR="00000000" w:rsidRDefault="001E2972">
      <w:pPr>
        <w:rPr>
          <w:rFonts w:eastAsia="Times New Roman"/>
        </w:rPr>
      </w:pPr>
      <w:r>
        <w:rPr>
          <w:rFonts w:eastAsia="Times New Roman"/>
        </w:rPr>
        <w:pict>
          <v:rect id="_x0000_i1075" style="width:0;height:1.5pt" o:hralign="center" o:hrstd="t" o:hr="t" fillcolor="#a0a0a0" stroked="f"/>
        </w:pict>
      </w:r>
    </w:p>
    <w:p w:rsidR="00000000" w:rsidRDefault="001E2972">
      <w:pPr>
        <w:jc w:val="both"/>
        <w:divId w:val="1142693347"/>
        <w:rPr>
          <w:rFonts w:eastAsia="Times New Roman"/>
        </w:rPr>
      </w:pPr>
    </w:p>
    <w:p w:rsidR="00000000" w:rsidRDefault="001E2972">
      <w:pPr>
        <w:jc w:val="both"/>
        <w:divId w:val="222110034"/>
        <w:rPr>
          <w:rFonts w:eastAsia="Times New Roman"/>
        </w:rPr>
      </w:pPr>
      <w:r>
        <w:rPr>
          <w:rFonts w:ascii="Arial" w:eastAsia="Times New Roman" w:hAnsi="Arial" w:cs="Arial"/>
          <w:color w:val="000000"/>
          <w:sz w:val="20"/>
          <w:szCs w:val="20"/>
        </w:rPr>
        <w:t>Facility in the form of cash borrowings and standby letters of credit were $645.1 million. At April 30, 2021, we had up to $622.1 million of borrowing capacity, reflecting covenant restrictions.</w:t>
      </w:r>
    </w:p>
    <w:p w:rsidR="00000000" w:rsidRDefault="001E2972">
      <w:pPr>
        <w:ind w:firstLine="720"/>
        <w:jc w:val="both"/>
        <w:divId w:val="1457485849"/>
        <w:rPr>
          <w:rFonts w:eastAsia="Times New Roman"/>
        </w:rPr>
      </w:pPr>
      <w:r>
        <w:rPr>
          <w:rFonts w:ascii="Arial" w:eastAsia="Times New Roman" w:hAnsi="Arial" w:cs="Arial"/>
          <w:color w:val="000000"/>
          <w:sz w:val="20"/>
          <w:szCs w:val="20"/>
        </w:rPr>
        <w:t>In July 2017, the U.K. Financial Conduct Authority, the regul</w:t>
      </w:r>
      <w:r>
        <w:rPr>
          <w:rFonts w:ascii="Arial" w:eastAsia="Times New Roman" w:hAnsi="Arial" w:cs="Arial"/>
          <w:color w:val="000000"/>
          <w:sz w:val="20"/>
          <w:szCs w:val="20"/>
        </w:rPr>
        <w:t>ator of LIBOR, indicated that it will no longer require banks to submit rates to the LIBOR administrator after 2021. This announcement signaled that the calculation of LIBOR and its continued use could not be guaranteed after 2021. A change away from LIBOR</w:t>
      </w:r>
      <w:r>
        <w:rPr>
          <w:rFonts w:ascii="Arial" w:eastAsia="Times New Roman" w:hAnsi="Arial" w:cs="Arial"/>
          <w:color w:val="000000"/>
          <w:sz w:val="20"/>
          <w:szCs w:val="20"/>
        </w:rPr>
        <w:t xml:space="preserve"> after 2021 may impact our Credit Facility and interest rate swaps. Our current credit agreement as well as our International Swaps and Derivatives Association, Inc. agreement provide for any changes away from LIBOR to a successor rate to be based on preva</w:t>
      </w:r>
      <w:r>
        <w:rPr>
          <w:rFonts w:ascii="Arial" w:eastAsia="Times New Roman" w:hAnsi="Arial" w:cs="Arial"/>
          <w:color w:val="000000"/>
          <w:sz w:val="20"/>
          <w:szCs w:val="20"/>
        </w:rPr>
        <w:t>iling or equivalent standards. On March 5, 2021, the U.K. Financial Conduct Authority confirmed that certain key LIBOR settings will cease as of December 31, 2021, and June 30, 2023. We continue to monitor developments related to the LIBOR transition and/o</w:t>
      </w:r>
      <w:r>
        <w:rPr>
          <w:rFonts w:ascii="Arial" w:eastAsia="Times New Roman" w:hAnsi="Arial" w:cs="Arial"/>
          <w:color w:val="000000"/>
          <w:sz w:val="20"/>
          <w:szCs w:val="20"/>
        </w:rPr>
        <w:t>r identification of an alternative, market-accepted rate. The impact related to any changes cannot be predicted at this time.</w:t>
      </w:r>
    </w:p>
    <w:p w:rsidR="00000000" w:rsidRDefault="001E2972">
      <w:pPr>
        <w:jc w:val="both"/>
        <w:divId w:val="164134086"/>
        <w:rPr>
          <w:rFonts w:eastAsia="Times New Roman"/>
        </w:rPr>
      </w:pPr>
      <w:r>
        <w:rPr>
          <w:rFonts w:ascii="Arial" w:eastAsia="Times New Roman" w:hAnsi="Arial" w:cs="Arial"/>
          <w:b/>
          <w:bCs/>
          <w:i/>
          <w:iCs/>
          <w:color w:val="0046AD"/>
          <w:sz w:val="20"/>
          <w:szCs w:val="20"/>
        </w:rPr>
        <w:t>Reinvestment of Foreign Earnings</w:t>
      </w:r>
    </w:p>
    <w:p w:rsidR="00000000" w:rsidRDefault="001E2972">
      <w:pPr>
        <w:ind w:firstLine="720"/>
        <w:jc w:val="both"/>
        <w:divId w:val="1594776515"/>
        <w:rPr>
          <w:rFonts w:eastAsia="Times New Roman"/>
        </w:rPr>
      </w:pPr>
      <w:r>
        <w:rPr>
          <w:rFonts w:ascii="Arial" w:eastAsia="Times New Roman" w:hAnsi="Arial" w:cs="Arial"/>
          <w:color w:val="000000"/>
          <w:sz w:val="20"/>
          <w:szCs w:val="20"/>
        </w:rPr>
        <w:t xml:space="preserve">We plan to reinvest our foreign earnings to fund future non-U.S. growth and expansion, and we do </w:t>
      </w:r>
      <w:r>
        <w:rPr>
          <w:rFonts w:ascii="Arial" w:eastAsia="Times New Roman" w:hAnsi="Arial" w:cs="Arial"/>
          <w:color w:val="000000"/>
          <w:sz w:val="20"/>
          <w:szCs w:val="20"/>
        </w:rPr>
        <w:t>not anticipate remitting such earnings to the United States. While U.S. federal tax expense has been recognized as a result of the Tax Cuts and Jobs Act of 2017, no deferred tax liabilities with respect to federal and state income taxes or foreign withhold</w:t>
      </w:r>
      <w:r>
        <w:rPr>
          <w:rFonts w:ascii="Arial" w:eastAsia="Times New Roman" w:hAnsi="Arial" w:cs="Arial"/>
          <w:color w:val="000000"/>
          <w:sz w:val="20"/>
          <w:szCs w:val="20"/>
        </w:rPr>
        <w:t>ing taxes have been recognized.</w:t>
      </w:r>
    </w:p>
    <w:p w:rsidR="00000000" w:rsidRDefault="001E2972">
      <w:pPr>
        <w:jc w:val="both"/>
        <w:divId w:val="2006007986"/>
        <w:rPr>
          <w:rFonts w:eastAsia="Times New Roman"/>
        </w:rPr>
      </w:pPr>
      <w:r>
        <w:rPr>
          <w:rFonts w:ascii="Arial" w:eastAsia="Times New Roman" w:hAnsi="Arial" w:cs="Arial"/>
          <w:b/>
          <w:bCs/>
          <w:i/>
          <w:iCs/>
          <w:color w:val="0046AD"/>
          <w:sz w:val="20"/>
          <w:szCs w:val="20"/>
        </w:rPr>
        <w:t xml:space="preserve">IFM Insurance Company </w:t>
      </w:r>
    </w:p>
    <w:p w:rsidR="00000000" w:rsidRDefault="001E2972">
      <w:pPr>
        <w:ind w:firstLine="720"/>
        <w:jc w:val="both"/>
        <w:divId w:val="56368017"/>
        <w:rPr>
          <w:rFonts w:eastAsia="Times New Roman"/>
        </w:rPr>
      </w:pPr>
      <w:r>
        <w:rPr>
          <w:rFonts w:ascii="Arial" w:eastAsia="Times New Roman" w:hAnsi="Arial" w:cs="Arial"/>
          <w:color w:val="000000"/>
          <w:sz w:val="20"/>
          <w:szCs w:val="20"/>
        </w:rPr>
        <w:t>IFM Assurance Company (“IFM”) is a wholly-owned captive insurance company that we formed in 2015. IFM is part of our enterprise-wide, multi-year insurance strategy that is intended to better position o</w:t>
      </w:r>
      <w:r>
        <w:rPr>
          <w:rFonts w:ascii="Arial" w:eastAsia="Times New Roman" w:hAnsi="Arial" w:cs="Arial"/>
          <w:color w:val="000000"/>
          <w:sz w:val="20"/>
          <w:szCs w:val="20"/>
        </w:rPr>
        <w:t xml:space="preserve">ur risk and safety programs and provide us with increased flexibility in the end-to-end management of our insurance programs. IFM began providing coverage to us as of January 1, 2015. </w:t>
      </w:r>
    </w:p>
    <w:p w:rsidR="00000000" w:rsidRDefault="001E2972">
      <w:pPr>
        <w:jc w:val="both"/>
        <w:divId w:val="232468171"/>
        <w:rPr>
          <w:rFonts w:eastAsia="Times New Roman"/>
        </w:rPr>
      </w:pPr>
      <w:r>
        <w:rPr>
          <w:rFonts w:ascii="Arial" w:eastAsia="Times New Roman" w:hAnsi="Arial" w:cs="Arial"/>
          <w:b/>
          <w:bCs/>
          <w:i/>
          <w:iCs/>
          <w:color w:val="0046AD"/>
          <w:sz w:val="20"/>
          <w:szCs w:val="20"/>
        </w:rPr>
        <w:t>Share Repurchases</w:t>
      </w:r>
    </w:p>
    <w:p w:rsidR="00000000" w:rsidRDefault="001E2972">
      <w:pPr>
        <w:ind w:firstLine="720"/>
        <w:jc w:val="both"/>
        <w:divId w:val="635336015"/>
        <w:rPr>
          <w:rFonts w:eastAsia="Times New Roman"/>
        </w:rPr>
      </w:pPr>
      <w:r>
        <w:rPr>
          <w:rFonts w:ascii="Arial" w:eastAsia="Times New Roman" w:hAnsi="Arial" w:cs="Arial"/>
          <w:color w:val="000000"/>
          <w:sz w:val="20"/>
          <w:szCs w:val="20"/>
        </w:rPr>
        <w:t>Effective December 18, 2019, our Board of Directors r</w:t>
      </w:r>
      <w:r>
        <w:rPr>
          <w:rFonts w:ascii="Arial" w:eastAsia="Times New Roman" w:hAnsi="Arial" w:cs="Arial"/>
          <w:color w:val="000000"/>
          <w:sz w:val="20"/>
          <w:szCs w:val="20"/>
        </w:rPr>
        <w:t>eplaced our then-existing share repurchase program with a new share repurchase program under which we may repurchase up to $150.0 million of our common stock (the “2019 Share Repurchase Program”). These purchases may take place on the open market or otherw</w:t>
      </w:r>
      <w:r>
        <w:rPr>
          <w:rFonts w:ascii="Arial" w:eastAsia="Times New Roman" w:hAnsi="Arial" w:cs="Arial"/>
          <w:color w:val="000000"/>
          <w:sz w:val="20"/>
          <w:szCs w:val="20"/>
        </w:rPr>
        <w:t>ise, and all or part of the repurchases may be made pursuant to Rule 10b5-1 plans or in privately negotiated transactions. The timing of repurchases is at our discretion and will depend upon several factors, including market and business conditions, future</w:t>
      </w:r>
      <w:r>
        <w:rPr>
          <w:rFonts w:ascii="Arial" w:eastAsia="Times New Roman" w:hAnsi="Arial" w:cs="Arial"/>
          <w:color w:val="000000"/>
          <w:sz w:val="20"/>
          <w:szCs w:val="20"/>
        </w:rPr>
        <w:t xml:space="preserve"> cash flows, share price, share availability, and other factors at our discretion. Repurchased shares are retired and returned to an authorized but unissued status. The 2019 Share Repurchase Program may be suspended or discontinued at any time without prio</w:t>
      </w:r>
      <w:r>
        <w:rPr>
          <w:rFonts w:ascii="Arial" w:eastAsia="Times New Roman" w:hAnsi="Arial" w:cs="Arial"/>
          <w:color w:val="000000"/>
          <w:sz w:val="20"/>
          <w:szCs w:val="20"/>
        </w:rPr>
        <w:t>r notice. Due to the market and business conditions arising from the Pandemic, we have suspended further repurchases of our common stock since March 2020. At April 30, 2021, authorization for $144.9 million of repurchases remained under the 2019 Share Repu</w:t>
      </w:r>
      <w:r>
        <w:rPr>
          <w:rFonts w:ascii="Arial" w:eastAsia="Times New Roman" w:hAnsi="Arial" w:cs="Arial"/>
          <w:color w:val="000000"/>
          <w:sz w:val="20"/>
          <w:szCs w:val="20"/>
        </w:rPr>
        <w:t xml:space="preserve">rchase Program. </w:t>
      </w:r>
    </w:p>
    <w:p w:rsidR="00000000" w:rsidRDefault="001E2972">
      <w:pPr>
        <w:divId w:val="297809575"/>
        <w:rPr>
          <w:rFonts w:eastAsia="Times New Roman"/>
        </w:rPr>
      </w:pPr>
      <w:r>
        <w:rPr>
          <w:rFonts w:ascii="Arial" w:eastAsia="Times New Roman" w:hAnsi="Arial" w:cs="Arial"/>
          <w:b/>
          <w:bCs/>
          <w:i/>
          <w:iCs/>
          <w:color w:val="0046AD"/>
          <w:sz w:val="20"/>
          <w:szCs w:val="20"/>
        </w:rPr>
        <w:t xml:space="preserve">Cash Flows </w:t>
      </w:r>
    </w:p>
    <w:p w:rsidR="00000000" w:rsidRDefault="001E2972">
      <w:pPr>
        <w:ind w:firstLine="720"/>
        <w:jc w:val="both"/>
        <w:divId w:val="1246842272"/>
        <w:rPr>
          <w:rFonts w:eastAsia="Times New Roman"/>
        </w:rPr>
      </w:pPr>
      <w:r>
        <w:rPr>
          <w:rFonts w:ascii="Arial" w:eastAsia="Times New Roman" w:hAnsi="Arial" w:cs="Arial"/>
          <w:color w:val="000000"/>
          <w:sz w:val="20"/>
          <w:szCs w:val="20"/>
        </w:rPr>
        <w:t>In addition to revenues and operating profit, our management views operating cash flows as a good indicator of financial performance because strong operating cash flows provide opportunities for growth both organically and thro</w:t>
      </w:r>
      <w:r>
        <w:rPr>
          <w:rFonts w:ascii="Arial" w:eastAsia="Times New Roman" w:hAnsi="Arial" w:cs="Arial"/>
          <w:color w:val="000000"/>
          <w:sz w:val="20"/>
          <w:szCs w:val="20"/>
        </w:rPr>
        <w:t>ugh acquisitions. Operating cash flows primarily depend on: revenue levels; the quality and timing of collections of accounts receivable; the timing of payments to suppliers and other vendors; the timing and amount of income tax payments; and the timing an</w:t>
      </w:r>
      <w:r>
        <w:rPr>
          <w:rFonts w:ascii="Arial" w:eastAsia="Times New Roman" w:hAnsi="Arial" w:cs="Arial"/>
          <w:color w:val="000000"/>
          <w:sz w:val="20"/>
          <w:szCs w:val="20"/>
        </w:rPr>
        <w:t xml:space="preserve">d amount of payments on insurance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525"/>
        <w:gridCol w:w="37"/>
        <w:gridCol w:w="121"/>
        <w:gridCol w:w="1128"/>
        <w:gridCol w:w="36"/>
        <w:gridCol w:w="36"/>
        <w:gridCol w:w="36"/>
        <w:gridCol w:w="36"/>
        <w:gridCol w:w="121"/>
        <w:gridCol w:w="1154"/>
        <w:gridCol w:w="36"/>
      </w:tblGrid>
      <w:tr w:rsidR="00000000">
        <w:trPr>
          <w:divId w:val="627012237"/>
        </w:trPr>
        <w:tc>
          <w:tcPr>
            <w:tcW w:w="50" w:type="pct"/>
            <w:vAlign w:val="center"/>
            <w:hideMark/>
          </w:tcPr>
          <w:p w:rsidR="00000000" w:rsidRDefault="001E2972">
            <w:pPr>
              <w:ind w:firstLine="720"/>
              <w:jc w:val="both"/>
              <w:rPr>
                <w:rFonts w:eastAsia="Times New Roman"/>
              </w:rPr>
            </w:pPr>
          </w:p>
        </w:tc>
        <w:tc>
          <w:tcPr>
            <w:tcW w:w="335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0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74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627012237"/>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Six Months Ended April 30,</w:t>
            </w:r>
          </w:p>
        </w:tc>
      </w:tr>
      <w:tr w:rsidR="00000000">
        <w:trPr>
          <w:divId w:val="627012237"/>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2020</w:t>
            </w:r>
          </w:p>
        </w:tc>
      </w:tr>
      <w:tr w:rsidR="00000000">
        <w:trPr>
          <w:divId w:val="627012237"/>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Net cash provided by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171.2 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1E2972">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128.0 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627012237"/>
        </w:trPr>
        <w:tc>
          <w:tcPr>
            <w:tcW w:w="0" w:type="auto"/>
            <w:gridSpan w:val="3"/>
            <w:shd w:val="clear" w:color="auto" w:fill="FFFFF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(13.4)</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(9.3)</w:t>
            </w:r>
          </w:p>
        </w:tc>
        <w:tc>
          <w:tcPr>
            <w:tcW w:w="0" w:type="auto"/>
            <w:shd w:val="clear" w:color="auto" w:fill="FFFFFF"/>
            <w:tcMar>
              <w:top w:w="30" w:type="dxa"/>
              <w:left w:w="0" w:type="dxa"/>
              <w:bottom w:w="30" w:type="dxa"/>
              <w:right w:w="20" w:type="dxa"/>
            </w:tcMar>
            <w:vAlign w:val="bottom"/>
            <w:hideMark/>
          </w:tcPr>
          <w:p w:rsidR="00000000" w:rsidRDefault="001E2972">
            <w:pPr>
              <w:jc w:val="right"/>
              <w:rPr>
                <w:rFonts w:eastAsia="Times New Roman"/>
              </w:rPr>
            </w:pPr>
          </w:p>
        </w:tc>
      </w:tr>
      <w:tr w:rsidR="00000000">
        <w:trPr>
          <w:divId w:val="627012237"/>
        </w:trPr>
        <w:tc>
          <w:tcPr>
            <w:tcW w:w="0" w:type="auto"/>
            <w:gridSpan w:val="3"/>
            <w:shd w:val="clear" w:color="auto" w:fill="DCE2EF"/>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Net cash (used in) provided by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(118.5)</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1E2972">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1E2972">
            <w:pPr>
              <w:jc w:val="right"/>
              <w:rPr>
                <w:rFonts w:eastAsia="Times New Roman"/>
              </w:rPr>
            </w:pPr>
            <w:r>
              <w:rPr>
                <w:rFonts w:ascii="Arial" w:eastAsia="Times New Roman" w:hAnsi="Arial" w:cs="Arial"/>
                <w:color w:val="000000"/>
                <w:sz w:val="18"/>
                <w:szCs w:val="18"/>
              </w:rPr>
              <w:t>376.8 </w:t>
            </w:r>
          </w:p>
        </w:tc>
        <w:tc>
          <w:tcPr>
            <w:tcW w:w="0" w:type="auto"/>
            <w:shd w:val="clear" w:color="auto" w:fill="DCE2EF"/>
            <w:tcMar>
              <w:top w:w="30" w:type="dxa"/>
              <w:left w:w="0" w:type="dxa"/>
              <w:bottom w:w="30" w:type="dxa"/>
              <w:right w:w="20" w:type="dxa"/>
            </w:tcMar>
            <w:vAlign w:val="bottom"/>
            <w:hideMark/>
          </w:tcPr>
          <w:p w:rsidR="00000000" w:rsidRDefault="001E2972">
            <w:pPr>
              <w:jc w:val="right"/>
              <w:rPr>
                <w:rFonts w:eastAsia="Times New Roman"/>
              </w:rPr>
            </w:pPr>
          </w:p>
        </w:tc>
      </w:tr>
    </w:tbl>
    <w:p w:rsidR="00000000" w:rsidRDefault="001E2972">
      <w:pPr>
        <w:ind w:firstLine="720"/>
        <w:jc w:val="both"/>
        <w:divId w:val="692846734"/>
        <w:rPr>
          <w:rFonts w:eastAsia="Times New Roman"/>
        </w:rPr>
      </w:pPr>
      <w:r>
        <w:rPr>
          <w:rFonts w:ascii="Arial" w:eastAsia="Times New Roman" w:hAnsi="Arial" w:cs="Arial"/>
          <w:i/>
          <w:iCs/>
          <w:color w:val="000000"/>
          <w:sz w:val="20"/>
          <w:szCs w:val="20"/>
        </w:rPr>
        <w:t xml:space="preserve">Operating Activities </w:t>
      </w:r>
    </w:p>
    <w:p w:rsidR="00000000" w:rsidRDefault="001E2972">
      <w:pPr>
        <w:ind w:firstLine="720"/>
        <w:jc w:val="both"/>
        <w:divId w:val="1022971723"/>
        <w:rPr>
          <w:rFonts w:eastAsia="Times New Roman"/>
        </w:rPr>
      </w:pPr>
      <w:r>
        <w:rPr>
          <w:rFonts w:ascii="Arial" w:eastAsia="Times New Roman" w:hAnsi="Arial" w:cs="Arial"/>
          <w:color w:val="000000"/>
          <w:sz w:val="20"/>
          <w:szCs w:val="20"/>
        </w:rPr>
        <w:t xml:space="preserve">Net cash provided by operating activities increased by $43.2 million during the six months ended April 30, 2021, as compared to the six months ended April 30, 2020. This increase was primarily related to the timing of </w:t>
      </w:r>
    </w:p>
    <w:p w:rsidR="00000000" w:rsidRDefault="001E2972">
      <w:pPr>
        <w:jc w:val="center"/>
        <w:divId w:val="5836963"/>
        <w:rPr>
          <w:rFonts w:eastAsia="Times New Roman"/>
        </w:rPr>
      </w:pPr>
      <w:r>
        <w:rPr>
          <w:rFonts w:ascii="Arial" w:eastAsia="Times New Roman" w:hAnsi="Arial" w:cs="Arial"/>
          <w:color w:val="000000"/>
          <w:sz w:val="20"/>
          <w:szCs w:val="20"/>
        </w:rPr>
        <w:t>41</w:t>
      </w:r>
    </w:p>
    <w:p w:rsidR="00000000" w:rsidRDefault="001E2972">
      <w:pPr>
        <w:rPr>
          <w:rFonts w:eastAsia="Times New Roman"/>
        </w:rPr>
      </w:pPr>
      <w:r>
        <w:rPr>
          <w:rFonts w:eastAsia="Times New Roman"/>
        </w:rPr>
        <w:pict>
          <v:rect id="_x0000_i1076" style="width:0;height:1.5pt" o:hralign="center" o:hrstd="t" o:hr="t" fillcolor="#a0a0a0" stroked="f"/>
        </w:pict>
      </w:r>
    </w:p>
    <w:p w:rsidR="00000000" w:rsidRDefault="001E2972">
      <w:pPr>
        <w:jc w:val="both"/>
        <w:divId w:val="1465268263"/>
        <w:rPr>
          <w:rFonts w:eastAsia="Times New Roman"/>
        </w:rPr>
      </w:pPr>
    </w:p>
    <w:p w:rsidR="00000000" w:rsidRDefault="001E2972">
      <w:pPr>
        <w:jc w:val="both"/>
        <w:divId w:val="1265918377"/>
        <w:rPr>
          <w:rFonts w:eastAsia="Times New Roman"/>
        </w:rPr>
      </w:pPr>
      <w:r>
        <w:rPr>
          <w:rFonts w:ascii="Arial" w:eastAsia="Times New Roman" w:hAnsi="Arial" w:cs="Arial"/>
          <w:color w:val="000000"/>
          <w:sz w:val="20"/>
          <w:szCs w:val="20"/>
        </w:rPr>
        <w:t xml:space="preserve">vendor payments and client receivable collections and the deferred remittance of payroll taxes under the CARES Act. </w:t>
      </w:r>
    </w:p>
    <w:p w:rsidR="00000000" w:rsidRDefault="001E2972">
      <w:pPr>
        <w:ind w:firstLine="720"/>
        <w:jc w:val="both"/>
        <w:divId w:val="1122960617"/>
        <w:rPr>
          <w:rFonts w:eastAsia="Times New Roman"/>
        </w:rPr>
      </w:pPr>
      <w:r>
        <w:rPr>
          <w:rFonts w:ascii="Arial" w:eastAsia="Times New Roman" w:hAnsi="Arial" w:cs="Arial"/>
          <w:i/>
          <w:iCs/>
          <w:color w:val="000000"/>
          <w:sz w:val="20"/>
          <w:szCs w:val="20"/>
        </w:rPr>
        <w:t xml:space="preserve">Investing Activities </w:t>
      </w:r>
    </w:p>
    <w:p w:rsidR="00000000" w:rsidRDefault="001E2972">
      <w:pPr>
        <w:ind w:firstLine="720"/>
        <w:jc w:val="both"/>
        <w:divId w:val="1675957639"/>
        <w:rPr>
          <w:rFonts w:eastAsia="Times New Roman"/>
        </w:rPr>
      </w:pPr>
      <w:r>
        <w:rPr>
          <w:rFonts w:ascii="Arial" w:eastAsia="Times New Roman" w:hAnsi="Arial" w:cs="Arial"/>
          <w:color w:val="000000"/>
          <w:sz w:val="20"/>
          <w:szCs w:val="20"/>
        </w:rPr>
        <w:t>Net cash used in investing activities increased by $4.1 million during the six months ended April 30, 2021, as compared to the six months ended April 30, 2020. This increase was primarily related to the absence of proceeds from the redemption of an auction</w:t>
      </w:r>
      <w:r>
        <w:rPr>
          <w:rFonts w:ascii="Arial" w:eastAsia="Times New Roman" w:hAnsi="Arial" w:cs="Arial"/>
          <w:color w:val="000000"/>
          <w:sz w:val="20"/>
          <w:szCs w:val="20"/>
        </w:rPr>
        <w:t xml:space="preserve"> rate security, partially offset by lower additions to property, plant and equipment in the current year.</w:t>
      </w:r>
    </w:p>
    <w:p w:rsidR="00000000" w:rsidRDefault="001E2972">
      <w:pPr>
        <w:ind w:firstLine="720"/>
        <w:jc w:val="both"/>
        <w:divId w:val="1679695127"/>
        <w:rPr>
          <w:rFonts w:eastAsia="Times New Roman"/>
        </w:rPr>
      </w:pPr>
      <w:r>
        <w:rPr>
          <w:rFonts w:ascii="Arial" w:eastAsia="Times New Roman" w:hAnsi="Arial" w:cs="Arial"/>
          <w:i/>
          <w:iCs/>
          <w:color w:val="000000"/>
          <w:sz w:val="20"/>
          <w:szCs w:val="20"/>
        </w:rPr>
        <w:t xml:space="preserve">Financing Activities </w:t>
      </w:r>
    </w:p>
    <w:p w:rsidR="00000000" w:rsidRDefault="001E2972">
      <w:pPr>
        <w:ind w:firstLine="720"/>
        <w:jc w:val="both"/>
        <w:divId w:val="55590619"/>
        <w:rPr>
          <w:rFonts w:eastAsia="Times New Roman"/>
        </w:rPr>
      </w:pPr>
      <w:r>
        <w:rPr>
          <w:rFonts w:ascii="Arial" w:eastAsia="Times New Roman" w:hAnsi="Arial" w:cs="Arial"/>
          <w:color w:val="000000"/>
          <w:sz w:val="20"/>
          <w:szCs w:val="20"/>
        </w:rPr>
        <w:t>Net cash used in financing activities was $118.5 million during the six months ended April 30, 2021, as compared to net cash pro</w:t>
      </w:r>
      <w:r>
        <w:rPr>
          <w:rFonts w:ascii="Arial" w:eastAsia="Times New Roman" w:hAnsi="Arial" w:cs="Arial"/>
          <w:color w:val="000000"/>
          <w:sz w:val="20"/>
          <w:szCs w:val="20"/>
        </w:rPr>
        <w:t>vided by financing activities of $376.8 million during the six months ended April 30, 2020. During the six months ended April 30, 2020, we borrowed approximately $300 million under our Credit Facility in response to uncertainty resulting from the Pandemic.</w:t>
      </w:r>
      <w:r>
        <w:rPr>
          <w:rFonts w:ascii="Arial" w:eastAsia="Times New Roman" w:hAnsi="Arial" w:cs="Arial"/>
          <w:color w:val="000000"/>
          <w:sz w:val="20"/>
          <w:szCs w:val="20"/>
        </w:rPr>
        <w:t xml:space="preserve"> During the six months ended April 30, 2021, we had net repayments on borrowings from our Credit Facility of $80.2 million.</w:t>
      </w:r>
    </w:p>
    <w:p w:rsidR="00000000" w:rsidRDefault="001E2972">
      <w:pPr>
        <w:divId w:val="61560168"/>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742440"/>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5742440"/>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599870808"/>
        <w:rPr>
          <w:rFonts w:eastAsia="Times New Roman"/>
        </w:rPr>
      </w:pPr>
      <w:r>
        <w:rPr>
          <w:rFonts w:ascii="Arial" w:eastAsia="Times New Roman" w:hAnsi="Arial" w:cs="Arial"/>
          <w:color w:val="000000"/>
          <w:sz w:val="20"/>
          <w:szCs w:val="20"/>
        </w:rPr>
        <w:t>For disclosures on contingencies, see Note 8, “</w:t>
      </w:r>
      <w:r>
        <w:rPr>
          <w:rFonts w:ascii="Arial" w:eastAsia="Times New Roman" w:hAnsi="Arial" w:cs="Arial"/>
          <w:color w:val="000000"/>
          <w:sz w:val="20"/>
          <w:szCs w:val="20"/>
        </w:rPr>
        <w:t>Commitments and Contingencies,” of the Notes to Consolidated Financial Statements included in Part I, Item 1 of this Form 10-Q.</w:t>
      </w:r>
    </w:p>
    <w:p w:rsidR="00000000" w:rsidRDefault="001E2972">
      <w:pPr>
        <w:jc w:val="center"/>
        <w:divId w:val="901672571"/>
        <w:rPr>
          <w:rFonts w:eastAsia="Times New Roman"/>
        </w:rPr>
      </w:pPr>
      <w:r>
        <w:rPr>
          <w:rFonts w:ascii="Arial" w:eastAsia="Times New Roman" w:hAnsi="Arial" w:cs="Arial"/>
          <w:color w:val="000000"/>
          <w:sz w:val="20"/>
          <w:szCs w:val="20"/>
        </w:rPr>
        <w:t>42</w:t>
      </w:r>
    </w:p>
    <w:p w:rsidR="00000000" w:rsidRDefault="001E2972">
      <w:pPr>
        <w:rPr>
          <w:rFonts w:eastAsia="Times New Roman"/>
        </w:rPr>
      </w:pPr>
      <w:r>
        <w:rPr>
          <w:rFonts w:eastAsia="Times New Roman"/>
        </w:rPr>
        <w:pict>
          <v:rect id="_x0000_i1077" style="width:0;height:1.5pt" o:hralign="center" o:hrstd="t" o:hr="t" fillcolor="#a0a0a0" stroked="f"/>
        </w:pict>
      </w:r>
    </w:p>
    <w:p w:rsidR="00000000" w:rsidRDefault="001E2972">
      <w:pPr>
        <w:jc w:val="both"/>
        <w:divId w:val="1846045909"/>
        <w:rPr>
          <w:rFonts w:eastAsia="Times New Roman"/>
        </w:rPr>
      </w:pPr>
    </w:p>
    <w:p w:rsidR="00000000" w:rsidRDefault="001E2972">
      <w:pPr>
        <w:divId w:val="1589920964"/>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93207443"/>
        </w:trPr>
        <w:tc>
          <w:tcPr>
            <w:tcW w:w="5" w:type="pct"/>
            <w:vAlign w:val="center"/>
            <w:hideMark/>
          </w:tcPr>
          <w:p w:rsidR="00000000" w:rsidRDefault="001E2972">
            <w:pPr>
              <w:rPr>
                <w:rFonts w:eastAsia="Times New Roman"/>
              </w:rPr>
            </w:pPr>
          </w:p>
        </w:tc>
        <w:tc>
          <w:tcPr>
            <w:tcW w:w="12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80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79320744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1E2972">
            <w:pPr>
              <w:rPr>
                <w:rFonts w:eastAsia="Times New Roman"/>
                <w:sz w:val="20"/>
                <w:szCs w:val="20"/>
              </w:rPr>
            </w:pPr>
          </w:p>
        </w:tc>
      </w:tr>
    </w:tbl>
    <w:p w:rsidR="00000000" w:rsidRDefault="001E2972">
      <w:pPr>
        <w:ind w:firstLine="720"/>
        <w:jc w:val="both"/>
        <w:divId w:val="119809963"/>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2020. </w:t>
      </w:r>
    </w:p>
    <w:p w:rsidR="00000000" w:rsidRDefault="001E2972">
      <w:pPr>
        <w:jc w:val="both"/>
        <w:divId w:val="1436710675"/>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57"/>
        <w:gridCol w:w="1561"/>
        <w:gridCol w:w="37"/>
        <w:gridCol w:w="36"/>
        <w:gridCol w:w="36"/>
        <w:gridCol w:w="36"/>
        <w:gridCol w:w="39"/>
        <w:gridCol w:w="3536"/>
        <w:gridCol w:w="37"/>
        <w:gridCol w:w="36"/>
        <w:gridCol w:w="36"/>
        <w:gridCol w:w="36"/>
        <w:gridCol w:w="60"/>
        <w:gridCol w:w="1560"/>
        <w:gridCol w:w="38"/>
      </w:tblGrid>
      <w:tr w:rsidR="00000000">
        <w:trPr>
          <w:divId w:val="2026596037"/>
        </w:trPr>
        <w:tc>
          <w:tcPr>
            <w:tcW w:w="50" w:type="pct"/>
            <w:vAlign w:val="center"/>
            <w:hideMark/>
          </w:tcPr>
          <w:p w:rsidR="00000000" w:rsidRDefault="001E2972">
            <w:pPr>
              <w:jc w:val="both"/>
              <w:rPr>
                <w:rFonts w:eastAsia="Times New Roman"/>
              </w:rPr>
            </w:pPr>
          </w:p>
        </w:tc>
        <w:tc>
          <w:tcPr>
            <w:tcW w:w="47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004"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181"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00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2026596037"/>
        </w:trPr>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E2972">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2026596037"/>
        </w:trPr>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We are currently eval</w:t>
            </w:r>
            <w:r>
              <w:rPr>
                <w:rFonts w:ascii="Arial" w:eastAsia="Times New Roman" w:hAnsi="Arial" w:cs="Arial"/>
                <w:color w:val="000000"/>
                <w:sz w:val="18"/>
                <w:szCs w:val="18"/>
              </w:rPr>
              <w:t>uating the impact of implementing this guidance on our financial statements.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 through December 31, 2022.</w:t>
            </w:r>
          </w:p>
        </w:tc>
      </w:tr>
      <w:tr w:rsidR="00000000">
        <w:trPr>
          <w:divId w:val="2026596037"/>
        </w:trPr>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Financia</w:t>
            </w:r>
            <w:r>
              <w:rPr>
                <w:rFonts w:ascii="Arial" w:eastAsia="Times New Roman" w:hAnsi="Arial" w:cs="Arial"/>
                <w:color w:val="000000"/>
                <w:sz w:val="18"/>
                <w:szCs w:val="18"/>
              </w:rPr>
              <w:t>l Reporting</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ease the potential accounting burden when modifying contracts and hedging relationships that use LIBOR as a reference</w:t>
            </w:r>
            <w:r>
              <w:rPr>
                <w:rFonts w:ascii="Arial" w:eastAsia="Times New Roman" w:hAnsi="Arial" w:cs="Arial"/>
                <w:color w:val="000000"/>
                <w:sz w:val="18"/>
                <w:szCs w:val="18"/>
              </w:rPr>
              <w:t xml:space="preserv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We are currently evaluating the impact of implementing this guidance on our financial statements.</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This ASU was effective upon issuance and can be applied prospectively to contract modifications made and hedging relationships entered into or evaluated through December 31, 2022.</w:t>
            </w:r>
          </w:p>
        </w:tc>
      </w:tr>
      <w:tr w:rsidR="00000000">
        <w:trPr>
          <w:divId w:val="2026596037"/>
        </w:trPr>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2020-01</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Investments—Equity Securities (Topic 321), Investments—Equit</w:t>
            </w:r>
            <w:r>
              <w:rPr>
                <w:rFonts w:ascii="Arial" w:eastAsia="Times New Roman" w:hAnsi="Arial" w:cs="Arial"/>
                <w:color w:val="000000"/>
                <w:sz w:val="18"/>
                <w:szCs w:val="18"/>
              </w:rPr>
              <w:t>y Method and Joint Ventures (Topic 323), and Derivatives and Hedging (Topic 815): Clarifying the Interactions between Topic 321, Topic 323, and Topic 815</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This ASU, issued in January 2020, clarifies the interaction between Topic 321, Topic 323, and Top</w:t>
            </w:r>
            <w:r>
              <w:rPr>
                <w:rFonts w:ascii="Arial" w:eastAsia="Times New Roman" w:hAnsi="Arial" w:cs="Arial"/>
                <w:color w:val="000000"/>
                <w:sz w:val="18"/>
                <w:szCs w:val="18"/>
              </w:rPr>
              <w:t>ic 815. The guidance, among other things, states that a company should consider observable transactions that require it to either apply or discontinue the equity method of accounting for the purposes of applying the fair value measurement alternative immed</w:t>
            </w:r>
            <w:r>
              <w:rPr>
                <w:rFonts w:ascii="Arial" w:eastAsia="Times New Roman" w:hAnsi="Arial" w:cs="Arial"/>
                <w:color w:val="000000"/>
                <w:sz w:val="18"/>
                <w:szCs w:val="18"/>
              </w:rPr>
              <w:t>iately before applying or upon discontinuing the equity method.</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While we are currently evaluating the impact of implementing this guidance on our financial statements, we do not expect adoption to have a material impact. </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This upda</w:t>
            </w:r>
            <w:r>
              <w:rPr>
                <w:rFonts w:ascii="Arial" w:eastAsia="Times New Roman" w:hAnsi="Arial" w:cs="Arial"/>
                <w:color w:val="000000"/>
                <w:sz w:val="18"/>
                <w:szCs w:val="18"/>
              </w:rPr>
              <w:t xml:space="preserve">te will be applied prospectively. </w:t>
            </w:r>
          </w:p>
        </w:tc>
      </w:tr>
      <w:tr w:rsidR="00000000">
        <w:trPr>
          <w:divId w:val="2026596037"/>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2019-12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Income Taxes (Topic 740): Simplifying the Accounting for Income Taxes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period, and the recognition of deferred tax liabilities for outside basis diffe</w:t>
            </w:r>
            <w:r>
              <w:rPr>
                <w:rFonts w:ascii="Arial" w:eastAsia="Times New Roman" w:hAnsi="Arial" w:cs="Arial"/>
                <w:color w:val="000000"/>
                <w:sz w:val="18"/>
                <w:szCs w:val="18"/>
              </w:rPr>
              <w:t xml:space="preserv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We are currently evaluating the impact of implementing this guidance on our financial statements.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The ame</w:t>
            </w:r>
            <w:r>
              <w:rPr>
                <w:rFonts w:ascii="Arial" w:eastAsia="Times New Roman" w:hAnsi="Arial" w:cs="Arial"/>
                <w:color w:val="000000"/>
                <w:sz w:val="18"/>
                <w:szCs w:val="18"/>
              </w:rPr>
              <w:t>ndments have differing adoption methods including retrospectively, prospectively, and/or on a modified retrospective basis.</w:t>
            </w:r>
          </w:p>
        </w:tc>
      </w:tr>
    </w:tbl>
    <w:p w:rsidR="00000000" w:rsidRDefault="001E2972">
      <w:pPr>
        <w:divId w:val="684938813"/>
        <w:rPr>
          <w:rFonts w:eastAsia="Times New Roman"/>
        </w:rPr>
      </w:pPr>
    </w:p>
    <w:p w:rsidR="00000000" w:rsidRDefault="001E2972">
      <w:pPr>
        <w:divId w:val="172064322"/>
        <w:rPr>
          <w:rFonts w:eastAsia="Times New Roman"/>
        </w:rPr>
      </w:pPr>
    </w:p>
    <w:p w:rsidR="00000000" w:rsidRDefault="001E2972">
      <w:pPr>
        <w:jc w:val="center"/>
        <w:divId w:val="1224216440"/>
        <w:rPr>
          <w:rFonts w:eastAsia="Times New Roman"/>
        </w:rPr>
      </w:pPr>
      <w:r>
        <w:rPr>
          <w:rFonts w:ascii="Arial" w:eastAsia="Times New Roman" w:hAnsi="Arial" w:cs="Arial"/>
          <w:color w:val="000000"/>
          <w:sz w:val="20"/>
          <w:szCs w:val="20"/>
        </w:rPr>
        <w:t>43</w:t>
      </w:r>
    </w:p>
    <w:p w:rsidR="00000000" w:rsidRDefault="001E2972">
      <w:pPr>
        <w:rPr>
          <w:rFonts w:eastAsia="Times New Roman"/>
        </w:rPr>
      </w:pPr>
      <w:r>
        <w:rPr>
          <w:rFonts w:eastAsia="Times New Roman"/>
        </w:rPr>
        <w:pict>
          <v:rect id="_x0000_i1078" style="width:0;height:1.5pt" o:hralign="center" o:hrstd="t" o:hr="t" fillcolor="#a0a0a0" stroked="f"/>
        </w:pict>
      </w:r>
    </w:p>
    <w:p w:rsidR="00000000" w:rsidRDefault="001E2972">
      <w:pPr>
        <w:jc w:val="both"/>
        <w:divId w:val="950169086"/>
        <w:rPr>
          <w:rFonts w:eastAsia="Times New Roman"/>
        </w:rPr>
      </w:pPr>
    </w:p>
    <w:p w:rsidR="00000000" w:rsidRDefault="001E2972">
      <w:pPr>
        <w:divId w:val="598757820"/>
        <w:rPr>
          <w:rFonts w:eastAsia="Times New Roman"/>
        </w:rPr>
      </w:pPr>
      <w:r>
        <w:rPr>
          <w:rFonts w:ascii="Arial" w:eastAsia="Times New Roman" w:hAnsi="Arial" w:cs="Arial"/>
          <w:b/>
          <w:bCs/>
          <w:color w:val="0046AD"/>
          <w:sz w:val="20"/>
          <w:szCs w:val="20"/>
        </w:rPr>
        <w:t>ITEM 3. QUANTITATIVE AND QUALITATIVE DISCLOSURES ABOUT MARKET RISK.</w:t>
      </w:r>
    </w:p>
    <w:p w:rsidR="00000000" w:rsidRDefault="001E2972">
      <w:pPr>
        <w:ind w:firstLine="720"/>
        <w:jc w:val="both"/>
        <w:divId w:val="1129786506"/>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2020. </w:t>
      </w:r>
    </w:p>
    <w:p w:rsidR="00000000" w:rsidRDefault="001E2972">
      <w:pPr>
        <w:divId w:val="1269124161"/>
        <w:rPr>
          <w:rFonts w:eastAsia="Times New Roman"/>
        </w:rPr>
      </w:pPr>
      <w:r>
        <w:rPr>
          <w:rFonts w:ascii="Arial" w:eastAsia="Times New Roman" w:hAnsi="Arial" w:cs="Arial"/>
          <w:b/>
          <w:bCs/>
          <w:color w:val="0046AD"/>
          <w:sz w:val="20"/>
          <w:szCs w:val="20"/>
        </w:rPr>
        <w:t>ITEM 4. CONTROLS AND PROCEDURES.</w:t>
      </w:r>
    </w:p>
    <w:p w:rsidR="00000000" w:rsidRDefault="001E2972">
      <w:pPr>
        <w:jc w:val="both"/>
        <w:divId w:val="2060400713"/>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1E2972">
      <w:pPr>
        <w:ind w:firstLine="720"/>
        <w:jc w:val="both"/>
        <w:divId w:val="1732456477"/>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w:t>
      </w:r>
      <w:r>
        <w:rPr>
          <w:rFonts w:ascii="Arial" w:eastAsia="Times New Roman" w:hAnsi="Arial" w:cs="Arial"/>
          <w:color w:val="000000"/>
          <w:sz w:val="20"/>
          <w:szCs w:val="20"/>
        </w:rPr>
        <w:t>efined in Rules 13a-15(e) and 15d-15(e) of the Exchange Act. Based upon that evaluation, our Principal Executive Officer and Principal Financial Officer concluded that as of the end of the period covered by this report, our disclosure controls and procedur</w:t>
      </w:r>
      <w:r>
        <w:rPr>
          <w:rFonts w:ascii="Arial" w:eastAsia="Times New Roman" w:hAnsi="Arial" w:cs="Arial"/>
          <w:color w:val="000000"/>
          <w:sz w:val="20"/>
          <w:szCs w:val="20"/>
        </w:rPr>
        <w:t>es were effective to ensure that information required to be disclosed by us in reports we file or submit under the Exchange Act is (1) recorded, processed, summarized, and reported within the time periods specified in the rules and forms of the SEC and (2)</w:t>
      </w:r>
      <w:r>
        <w:rPr>
          <w:rFonts w:ascii="Arial" w:eastAsia="Times New Roman" w:hAnsi="Arial" w:cs="Arial"/>
          <w:color w:val="000000"/>
          <w:sz w:val="20"/>
          <w:szCs w:val="20"/>
        </w:rPr>
        <w:t xml:space="preserve"> accumulated and communicated to our management, including our Principal Executive Officer and Principal Financial Officer, to allow timely decisions regarding required disclosure. </w:t>
      </w:r>
    </w:p>
    <w:p w:rsidR="00000000" w:rsidRDefault="001E2972">
      <w:pPr>
        <w:jc w:val="both"/>
        <w:divId w:val="1908875851"/>
        <w:rPr>
          <w:rFonts w:eastAsia="Times New Roman"/>
        </w:rPr>
      </w:pPr>
      <w:r>
        <w:rPr>
          <w:rFonts w:ascii="Arial" w:eastAsia="Times New Roman" w:hAnsi="Arial" w:cs="Arial"/>
          <w:b/>
          <w:bCs/>
          <w:color w:val="0046AD"/>
          <w:sz w:val="20"/>
          <w:szCs w:val="20"/>
        </w:rPr>
        <w:t>b. Changes in Internal Control Over Financial Reporting.</w:t>
      </w:r>
    </w:p>
    <w:p w:rsidR="00000000" w:rsidRDefault="001E2972">
      <w:pPr>
        <w:ind w:firstLine="720"/>
        <w:jc w:val="both"/>
        <w:divId w:val="376975588"/>
        <w:rPr>
          <w:rFonts w:eastAsia="Times New Roman"/>
        </w:rPr>
      </w:pPr>
      <w:r>
        <w:rPr>
          <w:rFonts w:ascii="Arial" w:eastAsia="Times New Roman" w:hAnsi="Arial" w:cs="Arial"/>
          <w:color w:val="000000"/>
          <w:sz w:val="20"/>
          <w:szCs w:val="20"/>
        </w:rPr>
        <w:t>To support the gr</w:t>
      </w:r>
      <w:r>
        <w:rPr>
          <w:rFonts w:ascii="Arial" w:eastAsia="Times New Roman" w:hAnsi="Arial" w:cs="Arial"/>
          <w:color w:val="000000"/>
          <w:sz w:val="20"/>
          <w:szCs w:val="20"/>
        </w:rPr>
        <w:t>owth of our financial shared service capabilities and standardize our financial systems, we continue to update several key platforms, including our human resources information systems, enterprise resource planning system, and labor management system. The i</w:t>
      </w:r>
      <w:r>
        <w:rPr>
          <w:rFonts w:ascii="Arial" w:eastAsia="Times New Roman" w:hAnsi="Arial" w:cs="Arial"/>
          <w:color w:val="000000"/>
          <w:sz w:val="20"/>
          <w:szCs w:val="20"/>
        </w:rPr>
        <w:t>mplementation of several key platforms involves changes in the systems that include internal controls. Although some of the transitions have proceeded to date without material adverse effects, the possibility exists that they could adversely affect our int</w:t>
      </w:r>
      <w:r>
        <w:rPr>
          <w:rFonts w:ascii="Arial" w:eastAsia="Times New Roman" w:hAnsi="Arial" w:cs="Arial"/>
          <w:color w:val="000000"/>
          <w:sz w:val="20"/>
          <w:szCs w:val="20"/>
        </w:rPr>
        <w:t xml:space="preserve">ernal controls over financial reporting and procedures. </w:t>
      </w:r>
    </w:p>
    <w:p w:rsidR="00000000" w:rsidRDefault="001E2972">
      <w:pPr>
        <w:ind w:firstLine="720"/>
        <w:jc w:val="both"/>
        <w:divId w:val="796224132"/>
        <w:rPr>
          <w:rFonts w:eastAsia="Times New Roman"/>
        </w:rPr>
      </w:pPr>
      <w:r>
        <w:rPr>
          <w:rFonts w:ascii="Arial" w:eastAsia="Times New Roman" w:hAnsi="Arial" w:cs="Arial"/>
          <w:color w:val="000000"/>
          <w:sz w:val="20"/>
          <w:szCs w:val="20"/>
        </w:rPr>
        <w:t xml:space="preserve">There were no other changes in our internal control over financial reporting during the second quarter of 2021 identified in connection with the evaluation required by Rules 13a-15(d) and 15d-15(d) of the Exchange Act that have materially affected, or are </w:t>
      </w:r>
      <w:r>
        <w:rPr>
          <w:rFonts w:ascii="Arial" w:eastAsia="Times New Roman" w:hAnsi="Arial" w:cs="Arial"/>
          <w:color w:val="000000"/>
          <w:sz w:val="20"/>
          <w:szCs w:val="20"/>
        </w:rPr>
        <w:t>reasonably likely to materially affect, our internal control over financial reporting. As a result of the Pandemic, many of our office-based employees began working remotely in March 2020. This change to the working environment did not have a material effe</w:t>
      </w:r>
      <w:r>
        <w:rPr>
          <w:rFonts w:ascii="Arial" w:eastAsia="Times New Roman" w:hAnsi="Arial" w:cs="Arial"/>
          <w:color w:val="000000"/>
          <w:sz w:val="20"/>
          <w:szCs w:val="20"/>
        </w:rPr>
        <w:t>ct on our internal controls over financial reporting during the second quarter of 2021. We are continually monitoring and assessing the impact of the Pandemic and the resulting changes to our working environment on our internal controls over financial repo</w:t>
      </w:r>
      <w:r>
        <w:rPr>
          <w:rFonts w:ascii="Arial" w:eastAsia="Times New Roman" w:hAnsi="Arial" w:cs="Arial"/>
          <w:color w:val="000000"/>
          <w:sz w:val="20"/>
          <w:szCs w:val="20"/>
        </w:rPr>
        <w:t>rting.</w:t>
      </w:r>
    </w:p>
    <w:p w:rsidR="00000000" w:rsidRDefault="001E2972">
      <w:pPr>
        <w:divId w:val="1734039256"/>
        <w:rPr>
          <w:rFonts w:eastAsia="Times New Roman"/>
        </w:rPr>
      </w:pPr>
      <w:r>
        <w:rPr>
          <w:rFonts w:ascii="Arial" w:eastAsia="Times New Roman" w:hAnsi="Arial" w:cs="Arial"/>
          <w:b/>
          <w:bCs/>
          <w:color w:val="0046AD"/>
          <w:sz w:val="20"/>
          <w:szCs w:val="20"/>
        </w:rPr>
        <w:t>PART II. OTHER INFORMATION</w:t>
      </w:r>
    </w:p>
    <w:p w:rsidR="00000000" w:rsidRDefault="001E2972">
      <w:pPr>
        <w:divId w:val="1257060171"/>
        <w:rPr>
          <w:rFonts w:eastAsia="Times New Roman"/>
        </w:rPr>
      </w:pPr>
      <w:r>
        <w:rPr>
          <w:rFonts w:ascii="Arial" w:eastAsia="Times New Roman" w:hAnsi="Arial" w:cs="Arial"/>
          <w:b/>
          <w:bCs/>
          <w:color w:val="0046AD"/>
          <w:sz w:val="20"/>
          <w:szCs w:val="20"/>
        </w:rPr>
        <w:t>ITEM 1. LEGAL PROCEEDINGS.</w:t>
      </w:r>
    </w:p>
    <w:p w:rsidR="00000000" w:rsidRDefault="001E2972">
      <w:pPr>
        <w:ind w:firstLine="720"/>
        <w:jc w:val="both"/>
        <w:divId w:val="1514614845"/>
        <w:rPr>
          <w:rFonts w:eastAsia="Times New Roman"/>
        </w:rPr>
      </w:pPr>
      <w:r>
        <w:rPr>
          <w:rFonts w:ascii="Arial" w:eastAsia="Times New Roman" w:hAnsi="Arial" w:cs="Arial"/>
          <w:color w:val="000000"/>
          <w:sz w:val="20"/>
          <w:szCs w:val="20"/>
        </w:rPr>
        <w:t xml:space="preserve">A discussion of material developments in our litigation matters occurring in the period covered by this report is found in Note 8, “Commitments and Contingencies,” to the Financial Statements in </w:t>
      </w:r>
      <w:r>
        <w:rPr>
          <w:rFonts w:ascii="Arial" w:eastAsia="Times New Roman" w:hAnsi="Arial" w:cs="Arial"/>
          <w:color w:val="000000"/>
          <w:sz w:val="20"/>
          <w:szCs w:val="20"/>
        </w:rPr>
        <w:t>this Form 10-Q.</w:t>
      </w:r>
    </w:p>
    <w:p w:rsidR="00000000" w:rsidRDefault="001E2972">
      <w:pPr>
        <w:divId w:val="732237728"/>
        <w:rPr>
          <w:rFonts w:eastAsia="Times New Roman"/>
        </w:rPr>
      </w:pPr>
      <w:r>
        <w:rPr>
          <w:rFonts w:ascii="Arial" w:eastAsia="Times New Roman" w:hAnsi="Arial" w:cs="Arial"/>
          <w:b/>
          <w:bCs/>
          <w:color w:val="0046AD"/>
          <w:sz w:val="20"/>
          <w:szCs w:val="20"/>
        </w:rPr>
        <w:t>ITEM 1A. RISK FACTORS.</w:t>
      </w:r>
    </w:p>
    <w:p w:rsidR="00000000" w:rsidRDefault="001E2972">
      <w:pPr>
        <w:ind w:firstLine="720"/>
        <w:jc w:val="both"/>
        <w:divId w:val="1932816308"/>
        <w:rPr>
          <w:rFonts w:eastAsia="Times New Roman"/>
        </w:rPr>
      </w:pPr>
      <w:r>
        <w:rPr>
          <w:rFonts w:ascii="Arial" w:eastAsia="Times New Roman" w:hAnsi="Arial" w:cs="Arial"/>
          <w:color w:val="000000"/>
          <w:sz w:val="20"/>
          <w:szCs w:val="20"/>
        </w:rPr>
        <w:t>There have been no material changes to the risk factors identified in our Annual Report on Form 10-K for the year ended October 31, 2020 in response to Item 1A., “Risk Factors,” of Part I of the Annual Report.</w:t>
      </w:r>
    </w:p>
    <w:p w:rsidR="00000000" w:rsidRDefault="001E2972">
      <w:pPr>
        <w:divId w:val="2043048638"/>
        <w:rPr>
          <w:rFonts w:eastAsia="Times New Roman"/>
        </w:rPr>
      </w:pPr>
      <w:r>
        <w:rPr>
          <w:rFonts w:ascii="Arial" w:eastAsia="Times New Roman" w:hAnsi="Arial" w:cs="Arial"/>
          <w:b/>
          <w:bCs/>
          <w:color w:val="0046AD"/>
          <w:sz w:val="20"/>
          <w:szCs w:val="20"/>
        </w:rPr>
        <w:t>ITEM 2.</w:t>
      </w:r>
      <w:r>
        <w:rPr>
          <w:rFonts w:ascii="Arial" w:eastAsia="Times New Roman" w:hAnsi="Arial" w:cs="Arial"/>
          <w:b/>
          <w:bCs/>
          <w:color w:val="0046AD"/>
          <w:sz w:val="20"/>
          <w:szCs w:val="20"/>
        </w:rPr>
        <w:t xml:space="preserve"> UNREGISTERED SALES OF EQUITY SECURITIES AND USE OF PROCEEDS.</w:t>
      </w:r>
    </w:p>
    <w:p w:rsidR="00000000" w:rsidRDefault="001E2972">
      <w:pPr>
        <w:ind w:firstLine="720"/>
        <w:jc w:val="both"/>
        <w:divId w:val="323750230"/>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w:t>
      </w:r>
      <w:r>
        <w:rPr>
          <w:rFonts w:ascii="Arial" w:eastAsia="Times New Roman" w:hAnsi="Arial" w:cs="Arial"/>
          <w:color w:val="000000"/>
          <w:sz w:val="20"/>
          <w:szCs w:val="20"/>
        </w:rPr>
        <w:t xml:space="preserve">our common stock. These purchases may take place on the open market or otherwise, and all or part of the repurchases may be made pursuant to Rule 10b5-1 plans or in privately negotiated transactions. The timing of repurchases is at our discretion and will </w:t>
      </w:r>
      <w:r>
        <w:rPr>
          <w:rFonts w:ascii="Arial" w:eastAsia="Times New Roman" w:hAnsi="Arial" w:cs="Arial"/>
          <w:color w:val="000000"/>
          <w:sz w:val="20"/>
          <w:szCs w:val="20"/>
        </w:rPr>
        <w:t>depend upon several factors, including market and business conditions, future cash flows, share price, share availability, and other factors at our discretion. Repurchased shares are retired and returned to an authorized but unissued status. The 2019 Share</w:t>
      </w:r>
      <w:r>
        <w:rPr>
          <w:rFonts w:ascii="Arial" w:eastAsia="Times New Roman" w:hAnsi="Arial" w:cs="Arial"/>
          <w:color w:val="000000"/>
          <w:sz w:val="20"/>
          <w:szCs w:val="20"/>
        </w:rPr>
        <w:t xml:space="preserve"> Repurchase Program may be suspended or discontinued at any time without prior notice. Due to the market and business conditions arising from the Pandemic, we have suspended further repurchases of our common stock since March 2020. At April 30, 2021, autho</w:t>
      </w:r>
      <w:r>
        <w:rPr>
          <w:rFonts w:ascii="Arial" w:eastAsia="Times New Roman" w:hAnsi="Arial" w:cs="Arial"/>
          <w:color w:val="000000"/>
          <w:sz w:val="20"/>
          <w:szCs w:val="20"/>
        </w:rPr>
        <w:t xml:space="preserve">rization for $144.9 million of repurchases remained under the 2019 Share Repurchase Program. </w:t>
      </w:r>
    </w:p>
    <w:p w:rsidR="00000000" w:rsidRDefault="001E2972">
      <w:pPr>
        <w:jc w:val="center"/>
        <w:divId w:val="598410787"/>
        <w:rPr>
          <w:rFonts w:eastAsia="Times New Roman"/>
        </w:rPr>
      </w:pPr>
      <w:r>
        <w:rPr>
          <w:rFonts w:ascii="Arial" w:eastAsia="Times New Roman" w:hAnsi="Arial" w:cs="Arial"/>
          <w:color w:val="000000"/>
          <w:sz w:val="20"/>
          <w:szCs w:val="20"/>
        </w:rPr>
        <w:t>44</w:t>
      </w:r>
    </w:p>
    <w:p w:rsidR="00000000" w:rsidRDefault="001E2972">
      <w:pPr>
        <w:rPr>
          <w:rFonts w:eastAsia="Times New Roman"/>
        </w:rPr>
      </w:pPr>
      <w:r>
        <w:rPr>
          <w:rFonts w:eastAsia="Times New Roman"/>
        </w:rPr>
        <w:pict>
          <v:rect id="_x0000_i1079" style="width:0;height:1.5pt" o:hralign="center" o:hrstd="t" o:hr="t" fillcolor="#a0a0a0" stroked="f"/>
        </w:pict>
      </w:r>
    </w:p>
    <w:p w:rsidR="00000000" w:rsidRDefault="001E2972">
      <w:pPr>
        <w:jc w:val="both"/>
        <w:divId w:val="1406494819"/>
        <w:rPr>
          <w:rFonts w:eastAsia="Times New Roman"/>
        </w:rPr>
      </w:pPr>
    </w:p>
    <w:p w:rsidR="00000000" w:rsidRDefault="001E2972">
      <w:pPr>
        <w:divId w:val="236091006"/>
        <w:rPr>
          <w:rFonts w:eastAsia="Times New Roman"/>
        </w:rPr>
      </w:pPr>
      <w:r>
        <w:rPr>
          <w:rFonts w:ascii="Arial" w:eastAsia="Times New Roman" w:hAnsi="Arial" w:cs="Arial"/>
          <w:b/>
          <w:bCs/>
          <w:color w:val="0046AD"/>
          <w:sz w:val="20"/>
          <w:szCs w:val="20"/>
        </w:rPr>
        <w:t>ITEM 3. DEFAULTS UPON SENIOR SECURITIES.</w:t>
      </w:r>
    </w:p>
    <w:p w:rsidR="00000000" w:rsidRDefault="001E2972">
      <w:pPr>
        <w:ind w:firstLine="720"/>
        <w:jc w:val="both"/>
        <w:divId w:val="1987078455"/>
        <w:rPr>
          <w:rFonts w:eastAsia="Times New Roman"/>
        </w:rPr>
      </w:pPr>
      <w:r>
        <w:rPr>
          <w:rFonts w:ascii="Arial" w:eastAsia="Times New Roman" w:hAnsi="Arial" w:cs="Arial"/>
          <w:color w:val="000000"/>
          <w:sz w:val="20"/>
          <w:szCs w:val="20"/>
        </w:rPr>
        <w:t>None.</w:t>
      </w:r>
    </w:p>
    <w:p w:rsidR="00000000" w:rsidRDefault="001E2972">
      <w:pPr>
        <w:divId w:val="64038962"/>
        <w:rPr>
          <w:rFonts w:eastAsia="Times New Roman"/>
        </w:rPr>
      </w:pPr>
      <w:r>
        <w:rPr>
          <w:rFonts w:ascii="Arial" w:eastAsia="Times New Roman" w:hAnsi="Arial" w:cs="Arial"/>
          <w:b/>
          <w:bCs/>
          <w:color w:val="0046AD"/>
          <w:sz w:val="20"/>
          <w:szCs w:val="20"/>
        </w:rPr>
        <w:t>ITEM 4. MINE SAFETY DISCLOSURES.</w:t>
      </w:r>
    </w:p>
    <w:p w:rsidR="00000000" w:rsidRDefault="001E2972">
      <w:pPr>
        <w:ind w:firstLine="720"/>
        <w:jc w:val="both"/>
        <w:divId w:val="418412432"/>
        <w:rPr>
          <w:rFonts w:eastAsia="Times New Roman"/>
        </w:rPr>
      </w:pPr>
      <w:r>
        <w:rPr>
          <w:rFonts w:ascii="Arial" w:eastAsia="Times New Roman" w:hAnsi="Arial" w:cs="Arial"/>
          <w:color w:val="000000"/>
          <w:sz w:val="20"/>
          <w:szCs w:val="20"/>
        </w:rPr>
        <w:t>Not applicable.</w:t>
      </w:r>
    </w:p>
    <w:p w:rsidR="00000000" w:rsidRDefault="001E2972">
      <w:pPr>
        <w:divId w:val="92409673"/>
        <w:rPr>
          <w:rFonts w:eastAsia="Times New Roman"/>
        </w:rPr>
      </w:pPr>
      <w:r>
        <w:rPr>
          <w:rFonts w:ascii="Arial" w:eastAsia="Times New Roman" w:hAnsi="Arial" w:cs="Arial"/>
          <w:b/>
          <w:bCs/>
          <w:color w:val="0046AD"/>
          <w:sz w:val="20"/>
          <w:szCs w:val="20"/>
        </w:rPr>
        <w:t>ITEM 5. OTHER INFORMATIO</w:t>
      </w:r>
      <w:r>
        <w:rPr>
          <w:rFonts w:ascii="Arial" w:eastAsia="Times New Roman" w:hAnsi="Arial" w:cs="Arial"/>
          <w:b/>
          <w:bCs/>
          <w:color w:val="0046AD"/>
          <w:sz w:val="20"/>
          <w:szCs w:val="20"/>
        </w:rPr>
        <w:t>N.</w:t>
      </w:r>
    </w:p>
    <w:p w:rsidR="00000000" w:rsidRDefault="001E2972">
      <w:pPr>
        <w:ind w:firstLine="720"/>
        <w:jc w:val="both"/>
        <w:divId w:val="1719160075"/>
        <w:rPr>
          <w:rFonts w:eastAsia="Times New Roman"/>
        </w:rPr>
      </w:pPr>
      <w:r>
        <w:rPr>
          <w:rFonts w:ascii="Arial" w:eastAsia="Times New Roman" w:hAnsi="Arial" w:cs="Arial"/>
          <w:color w:val="000000"/>
          <w:sz w:val="20"/>
          <w:szCs w:val="20"/>
        </w:rPr>
        <w:t xml:space="preserve">Not applicable. </w:t>
      </w:r>
    </w:p>
    <w:p w:rsidR="00000000" w:rsidRDefault="001E2972">
      <w:pPr>
        <w:jc w:val="center"/>
        <w:divId w:val="852492717"/>
        <w:rPr>
          <w:rFonts w:eastAsia="Times New Roman"/>
        </w:rPr>
      </w:pPr>
      <w:r>
        <w:rPr>
          <w:rFonts w:ascii="Arial" w:eastAsia="Times New Roman" w:hAnsi="Arial" w:cs="Arial"/>
          <w:color w:val="000000"/>
          <w:sz w:val="20"/>
          <w:szCs w:val="20"/>
        </w:rPr>
        <w:t>45</w:t>
      </w:r>
    </w:p>
    <w:p w:rsidR="00000000" w:rsidRDefault="001E2972">
      <w:pPr>
        <w:rPr>
          <w:rFonts w:eastAsia="Times New Roman"/>
        </w:rPr>
      </w:pPr>
      <w:r>
        <w:rPr>
          <w:rFonts w:eastAsia="Times New Roman"/>
        </w:rPr>
        <w:pict>
          <v:rect id="_x0000_i1080" style="width:0;height:1.5pt" o:hralign="center" o:hrstd="t" o:hr="t" fillcolor="#a0a0a0" stroked="f"/>
        </w:pict>
      </w:r>
    </w:p>
    <w:p w:rsidR="00000000" w:rsidRDefault="001E2972">
      <w:pPr>
        <w:jc w:val="both"/>
        <w:divId w:val="378751822"/>
        <w:rPr>
          <w:rFonts w:eastAsia="Times New Roman"/>
        </w:rPr>
      </w:pPr>
    </w:p>
    <w:p w:rsidR="00000000" w:rsidRDefault="001E2972">
      <w:pPr>
        <w:divId w:val="533616394"/>
        <w:rPr>
          <w:rFonts w:eastAsia="Times New Roman"/>
        </w:rPr>
      </w:pPr>
      <w:r>
        <w:rPr>
          <w:rFonts w:ascii="Arial" w:eastAsia="Times New Roman" w:hAnsi="Arial" w:cs="Arial"/>
          <w:b/>
          <w:bCs/>
          <w:color w:val="0046AD"/>
          <w:sz w:val="20"/>
          <w:szCs w:val="20"/>
        </w:rPr>
        <w:t>ITEM 6. EXHIBITS.</w:t>
      </w:r>
    </w:p>
    <w:p w:rsidR="00000000" w:rsidRDefault="001E2972">
      <w:pPr>
        <w:ind w:firstLine="720"/>
        <w:divId w:val="1277828273"/>
        <w:rPr>
          <w:rFonts w:eastAsia="Times New Roman"/>
        </w:rPr>
      </w:pPr>
      <w:r>
        <w:rPr>
          <w:rFonts w:ascii="Arial" w:eastAsia="Times New Roman" w:hAnsi="Arial" w:cs="Arial"/>
          <w:color w:val="000000"/>
          <w:sz w:val="20"/>
          <w:szCs w:val="20"/>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trPr>
          <w:divId w:val="595405427"/>
        </w:trPr>
        <w:tc>
          <w:tcPr>
            <w:tcW w:w="50" w:type="pct"/>
            <w:vAlign w:val="center"/>
            <w:hideMark/>
          </w:tcPr>
          <w:p w:rsidR="00000000" w:rsidRDefault="001E2972">
            <w:pPr>
              <w:ind w:firstLine="720"/>
              <w:rPr>
                <w:rFonts w:eastAsia="Times New Roman"/>
              </w:rPr>
            </w:pPr>
          </w:p>
        </w:tc>
        <w:tc>
          <w:tcPr>
            <w:tcW w:w="50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2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345"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595405427"/>
        </w:trPr>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tcMar>
              <w:top w:w="0" w:type="dxa"/>
              <w:left w:w="20" w:type="dxa"/>
              <w:bottom w:w="0" w:type="dxa"/>
              <w:right w:w="20" w:type="dxa"/>
            </w:tcMar>
            <w:vAlign w:val="center"/>
            <w:hideMark/>
          </w:tcPr>
          <w:p w:rsidR="00000000" w:rsidRDefault="001E2972">
            <w:pPr>
              <w:jc w:val="center"/>
              <w:rPr>
                <w:rFonts w:eastAsia="Times New Roman"/>
              </w:rPr>
            </w:pPr>
          </w:p>
        </w:tc>
        <w:tc>
          <w:tcPr>
            <w:tcW w:w="0" w:type="auto"/>
            <w:gridSpan w:val="3"/>
            <w:tcMar>
              <w:top w:w="30" w:type="dxa"/>
              <w:left w:w="20" w:type="dxa"/>
              <w:bottom w:w="30" w:type="dxa"/>
              <w:right w:w="20" w:type="dxa"/>
            </w:tcMar>
            <w:hideMark/>
          </w:tcPr>
          <w:p w:rsidR="00000000" w:rsidRDefault="001E2972">
            <w:pPr>
              <w:jc w:val="center"/>
              <w:rPr>
                <w:rFonts w:eastAsia="Times New Roman"/>
              </w:rPr>
            </w:pPr>
            <w:r>
              <w:rPr>
                <w:rFonts w:ascii="Arial" w:eastAsia="Times New Roman" w:hAnsi="Arial" w:cs="Arial"/>
                <w:b/>
                <w:bCs/>
                <w:color w:val="000000"/>
                <w:sz w:val="18"/>
                <w:szCs w:val="18"/>
              </w:rPr>
              <w:t>Exhibit Description</w:t>
            </w:r>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1E2972">
            <w:pPr>
              <w:jc w:val="both"/>
              <w:rPr>
                <w:rFonts w:eastAsia="Times New Roman"/>
              </w:rPr>
            </w:pPr>
            <w:hyperlink r:id="rId12" w:history="1">
              <w:r>
                <w:rPr>
                  <w:rStyle w:val="a3"/>
                  <w:rFonts w:ascii="Arial" w:eastAsia="Times New Roman" w:hAnsi="Arial" w:cs="Arial"/>
                  <w:sz w:val="18"/>
                  <w:szCs w:val="18"/>
                </w:rPr>
                <w:t>Statement of Terms and Condition</w:t>
              </w:r>
              <w:r>
                <w:rPr>
                  <w:rStyle w:val="a3"/>
                  <w:rFonts w:ascii="Arial" w:eastAsia="Times New Roman" w:hAnsi="Arial" w:cs="Arial"/>
                  <w:sz w:val="18"/>
                  <w:szCs w:val="18"/>
                </w:rPr>
                <w:t>s Applicable to Awards Granted to Employees Pursuant to the 2021 Equity and Incentive Compensation Plan</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hyperlink r:id="rId13" w:history="1">
              <w:r>
                <w:rPr>
                  <w:rStyle w:val="a3"/>
                  <w:rFonts w:ascii="Arial" w:eastAsia="Times New Roman" w:hAnsi="Arial" w:cs="Arial"/>
                  <w:sz w:val="18"/>
                  <w:szCs w:val="18"/>
                </w:rPr>
                <w:t>Statement of Terms and Conditions Applicable to Awards Granted to Non-Employee Directors Pursuant to t</w:t>
              </w:r>
              <w:r>
                <w:rPr>
                  <w:rStyle w:val="a3"/>
                  <w:rFonts w:ascii="Arial" w:eastAsia="Times New Roman" w:hAnsi="Arial" w:cs="Arial"/>
                  <w:sz w:val="18"/>
                  <w:szCs w:val="18"/>
                </w:rPr>
                <w:t>he 2021 Equity and Incentive Compensation Plan</w:t>
              </w:r>
            </w:hyperlink>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10.3†</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hyperlink r:id="rId14" w:history="1">
              <w:r>
                <w:rPr>
                  <w:rStyle w:val="a3"/>
                  <w:rFonts w:ascii="Arial" w:eastAsia="Times New Roman" w:hAnsi="Arial" w:cs="Arial"/>
                  <w:sz w:val="18"/>
                  <w:szCs w:val="18"/>
                </w:rPr>
                <w:t>Change in Control Agreement, dated as of April 1, 20</w:t>
              </w:r>
            </w:hyperlink>
            <w:hyperlink r:id="rId15" w:history="1">
              <w:r>
                <w:rPr>
                  <w:rStyle w:val="a3"/>
                  <w:rFonts w:ascii="Arial" w:eastAsia="Times New Roman" w:hAnsi="Arial" w:cs="Arial"/>
                  <w:sz w:val="18"/>
                  <w:szCs w:val="18"/>
                </w:rPr>
                <w:t>1</w:t>
              </w:r>
            </w:hyperlink>
            <w:hyperlink r:id="rId16" w:history="1">
              <w:r>
                <w:rPr>
                  <w:rStyle w:val="a3"/>
                  <w:rFonts w:ascii="Arial" w:eastAsia="Times New Roman" w:hAnsi="Arial" w:cs="Arial"/>
                  <w:sz w:val="18"/>
                  <w:szCs w:val="18"/>
                </w:rPr>
                <w:t>1, by and between ABM Industries Incorporated and Dean A. Chin</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hyperlink r:id="rId17" w:history="1">
              <w:r>
                <w:rPr>
                  <w:rStyle w:val="a3"/>
                  <w:rFonts w:ascii="Arial" w:eastAsia="Times New Roman" w:hAnsi="Arial" w:cs="Arial"/>
                  <w:sz w:val="18"/>
                  <w:szCs w:val="18"/>
                </w:rPr>
                <w:t>Change in Control Agreement, dated as of February 8, 2020, by and between ABM Industries Incorporated and Joshua H. Feinberg</w:t>
              </w:r>
            </w:hyperlink>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10.5†</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hyperlink r:id="rId18" w:history="1">
              <w:r>
                <w:rPr>
                  <w:rStyle w:val="a3"/>
                  <w:rFonts w:ascii="Arial" w:eastAsia="Times New Roman" w:hAnsi="Arial" w:cs="Arial"/>
                  <w:sz w:val="18"/>
                  <w:szCs w:val="18"/>
                </w:rPr>
                <w:t xml:space="preserve">Amendment to Executive Employment Agreement, dated as of </w:t>
              </w:r>
            </w:hyperlink>
            <w:hyperlink r:id="rId19" w:history="1">
              <w:r>
                <w:rPr>
                  <w:rStyle w:val="a3"/>
                  <w:rFonts w:ascii="Arial" w:eastAsia="Times New Roman" w:hAnsi="Arial" w:cs="Arial"/>
                  <w:sz w:val="18"/>
                  <w:szCs w:val="18"/>
                </w:rPr>
                <w:t xml:space="preserve">November </w:t>
              </w:r>
            </w:hyperlink>
            <w:hyperlink r:id="rId20" w:history="1">
              <w:r>
                <w:rPr>
                  <w:rStyle w:val="a3"/>
                  <w:rFonts w:ascii="Arial" w:eastAsia="Times New Roman" w:hAnsi="Arial" w:cs="Arial"/>
                  <w:sz w:val="18"/>
                  <w:szCs w:val="18"/>
                </w:rPr>
                <w:t>1</w:t>
              </w:r>
            </w:hyperlink>
            <w:hyperlink r:id="rId21" w:history="1">
              <w:r>
                <w:rPr>
                  <w:rStyle w:val="a3"/>
                  <w:rFonts w:ascii="Arial" w:eastAsia="Times New Roman" w:hAnsi="Arial" w:cs="Arial"/>
                  <w:sz w:val="18"/>
                  <w:szCs w:val="18"/>
                </w:rPr>
                <w:t>, 2020</w:t>
              </w:r>
            </w:hyperlink>
            <w:hyperlink r:id="rId22" w:history="1">
              <w:r>
                <w:rPr>
                  <w:rStyle w:val="a3"/>
                  <w:rFonts w:ascii="Arial" w:eastAsia="Times New Roman" w:hAnsi="Arial" w:cs="Arial"/>
                  <w:sz w:val="18"/>
                  <w:szCs w:val="18"/>
                </w:rPr>
                <w:t>, by and between ABM Industries Incorporated and Scott Giacobbe</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10.6†</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hyperlink r:id="rId23" w:history="1">
              <w:r>
                <w:rPr>
                  <w:rStyle w:val="a3"/>
                  <w:rFonts w:ascii="Arial" w:eastAsia="Times New Roman" w:hAnsi="Arial" w:cs="Arial"/>
                  <w:sz w:val="18"/>
                  <w:szCs w:val="18"/>
                </w:rPr>
                <w:t xml:space="preserve">Executive Employment Agreement, dated as of November </w:t>
              </w:r>
            </w:hyperlink>
            <w:hyperlink r:id="rId24" w:history="1">
              <w:r>
                <w:rPr>
                  <w:rStyle w:val="a3"/>
                  <w:rFonts w:ascii="Arial" w:eastAsia="Times New Roman" w:hAnsi="Arial" w:cs="Arial"/>
                  <w:sz w:val="18"/>
                  <w:szCs w:val="18"/>
                </w:rPr>
                <w:t>1</w:t>
              </w:r>
            </w:hyperlink>
            <w:hyperlink r:id="rId25" w:history="1">
              <w:r>
                <w:rPr>
                  <w:rStyle w:val="a3"/>
                  <w:rFonts w:ascii="Arial" w:eastAsia="Times New Roman" w:hAnsi="Arial" w:cs="Arial"/>
                  <w:sz w:val="18"/>
                  <w:szCs w:val="18"/>
                </w:rPr>
                <w:t>, 2020, by and between ABM Industries Incorporated and Earl R. Ellis</w:t>
              </w:r>
            </w:hyperlink>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10.7†</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hyperlink r:id="rId26" w:history="1">
              <w:r>
                <w:rPr>
                  <w:rStyle w:val="a3"/>
                  <w:rFonts w:ascii="Arial" w:eastAsia="Times New Roman" w:hAnsi="Arial" w:cs="Arial"/>
                  <w:sz w:val="18"/>
                  <w:szCs w:val="18"/>
                </w:rPr>
                <w:t>Change in Control Agreement, dated as of November 30, 2020, by a</w:t>
              </w:r>
              <w:r>
                <w:rPr>
                  <w:rStyle w:val="a3"/>
                  <w:rFonts w:ascii="Arial" w:eastAsia="Times New Roman" w:hAnsi="Arial" w:cs="Arial"/>
                  <w:sz w:val="18"/>
                  <w:szCs w:val="18"/>
                </w:rPr>
                <w:t>nd between ABM Industries Incorporated and Earl R. Ellis</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10.8†</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hyperlink r:id="rId27" w:history="1">
              <w:r>
                <w:rPr>
                  <w:rStyle w:val="a3"/>
                  <w:rFonts w:ascii="Arial" w:eastAsia="Times New Roman" w:hAnsi="Arial" w:cs="Arial"/>
                  <w:sz w:val="18"/>
                  <w:szCs w:val="18"/>
                </w:rPr>
                <w:t>Release Agreement, dated as of May 27, 2021, by and between ABM Industries Incorporated and Scott Giacobbe</w:t>
              </w:r>
            </w:hyperlink>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hyperlink r:id="rId28" w:history="1">
              <w:r>
                <w:rPr>
                  <w:rStyle w:val="a3"/>
                  <w:rFonts w:ascii="Arial" w:eastAsia="Times New Roman" w:hAnsi="Arial" w:cs="Arial"/>
                  <w:sz w:val="18"/>
                  <w:szCs w:val="18"/>
                </w:rPr>
                <w:t>Certification of Principal Executive Officer pursuant to Section 302 of the Sarbanes-Oxley Act of 2</w:t>
              </w:r>
              <w:r>
                <w:rPr>
                  <w:rStyle w:val="a3"/>
                  <w:rFonts w:ascii="Arial" w:eastAsia="Times New Roman" w:hAnsi="Arial" w:cs="Arial"/>
                  <w:sz w:val="18"/>
                  <w:szCs w:val="18"/>
                </w:rPr>
                <w:t>002</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hyperlink r:id="rId29"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hyperlink r:id="rId30" w:history="1">
              <w:r>
                <w:rPr>
                  <w:rStyle w:val="a3"/>
                  <w:rFonts w:ascii="Arial" w:eastAsia="Times New Roman" w:hAnsi="Arial" w:cs="Arial"/>
                  <w:sz w:val="18"/>
                  <w:szCs w:val="18"/>
                </w:rPr>
                <w:t>Certification pursuant to 18 U.S.C. Section 1350, as adopted pursuant to Section 906 of the Sarbanes-Oxley Act of 2002</w:t>
              </w:r>
            </w:hyperlink>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 xml:space="preserve">Inline XBRL Instance Document (the instance document does not appear in the Interactive Data File because its XBRL tags </w:t>
            </w:r>
            <w:r>
              <w:rPr>
                <w:rFonts w:ascii="Arial" w:eastAsia="Times New Roman" w:hAnsi="Arial" w:cs="Arial"/>
                <w:color w:val="000000"/>
                <w:sz w:val="18"/>
                <w:szCs w:val="18"/>
              </w:rPr>
              <w:t>are embedded within the Inline XBRL document)</w:t>
            </w:r>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Inline XBRL Taxonomy Extension Schema Document</w:t>
            </w:r>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Inline XBRL Taxonomy Calculation Linkbase Document</w:t>
            </w:r>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Inline XBRL Taxonomy Label Linkbase Document</w:t>
            </w:r>
          </w:p>
        </w:tc>
      </w:tr>
      <w:tr w:rsidR="00000000">
        <w:trPr>
          <w:divId w:val="595405427"/>
        </w:trPr>
        <w:tc>
          <w:tcPr>
            <w:tcW w:w="0" w:type="auto"/>
            <w:gridSpan w:val="3"/>
            <w:shd w:val="clear" w:color="auto" w:fill="DCE2E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Inline XBRL Presentation Linkbase Document</w:t>
            </w:r>
          </w:p>
        </w:tc>
      </w:tr>
      <w:tr w:rsidR="00000000">
        <w:trPr>
          <w:divId w:val="595405427"/>
        </w:trPr>
        <w:tc>
          <w:tcPr>
            <w:tcW w:w="0" w:type="auto"/>
            <w:gridSpan w:val="3"/>
            <w:shd w:val="clear" w:color="auto" w:fill="FFFFFF"/>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1E297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E2972">
            <w:pPr>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1E2972">
            <w:pPr>
              <w:rPr>
                <w:rFonts w:eastAsia="Times New Roman"/>
              </w:rPr>
            </w:pPr>
          </w:p>
        </w:tc>
        <w:tc>
          <w:tcPr>
            <w:tcW w:w="232"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4657"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jc w:val="center"/>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jc w:val="center"/>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Indicates filed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Indicates furnished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r>
      <w:tr w:rsidR="00000000">
        <w:trPr>
          <w:jc w:val="center"/>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r w:rsidR="00000000">
        <w:trPr>
          <w:jc w:val="center"/>
        </w:trPr>
        <w:tc>
          <w:tcPr>
            <w:tcW w:w="0" w:type="auto"/>
            <w:gridSpan w:val="3"/>
            <w:vAlign w:val="center"/>
            <w:hideMark/>
          </w:tcPr>
          <w:p w:rsidR="00000000" w:rsidRDefault="001E2972">
            <w:pPr>
              <w:rPr>
                <w:rFonts w:eastAsia="Times New Roman"/>
                <w:sz w:val="20"/>
                <w:szCs w:val="20"/>
              </w:rPr>
            </w:pPr>
          </w:p>
        </w:tc>
        <w:tc>
          <w:tcPr>
            <w:tcW w:w="0" w:type="auto"/>
            <w:gridSpan w:val="3"/>
            <w:vAlign w:val="center"/>
            <w:hideMark/>
          </w:tcPr>
          <w:p w:rsidR="00000000" w:rsidRDefault="001E2972">
            <w:pPr>
              <w:rPr>
                <w:rFonts w:eastAsia="Times New Roman"/>
                <w:sz w:val="20"/>
                <w:szCs w:val="20"/>
              </w:rPr>
            </w:pPr>
          </w:p>
        </w:tc>
      </w:tr>
    </w:tbl>
    <w:p w:rsidR="00000000" w:rsidRDefault="001E2972">
      <w:pPr>
        <w:jc w:val="center"/>
        <w:divId w:val="2092502036"/>
        <w:rPr>
          <w:rFonts w:eastAsia="Times New Roman"/>
        </w:rPr>
      </w:pPr>
      <w:r>
        <w:rPr>
          <w:rFonts w:ascii="Arial" w:eastAsia="Times New Roman" w:hAnsi="Arial" w:cs="Arial"/>
          <w:color w:val="000000"/>
          <w:sz w:val="20"/>
          <w:szCs w:val="20"/>
        </w:rPr>
        <w:t>46</w:t>
      </w:r>
    </w:p>
    <w:p w:rsidR="00000000" w:rsidRDefault="001E2972">
      <w:pPr>
        <w:rPr>
          <w:rFonts w:eastAsia="Times New Roman"/>
        </w:rPr>
      </w:pPr>
      <w:r>
        <w:rPr>
          <w:rFonts w:eastAsia="Times New Roman"/>
        </w:rPr>
        <w:pict>
          <v:rect id="_x0000_i1081" style="width:0;height:1.5pt" o:hralign="center" o:hrstd="t" o:hr="t" fillcolor="#a0a0a0" stroked="f"/>
        </w:pict>
      </w:r>
    </w:p>
    <w:p w:rsidR="00000000" w:rsidRDefault="001E2972">
      <w:pPr>
        <w:jc w:val="both"/>
        <w:divId w:val="994335008"/>
        <w:rPr>
          <w:rFonts w:eastAsia="Times New Roman"/>
        </w:rPr>
      </w:pPr>
    </w:p>
    <w:p w:rsidR="00000000" w:rsidRDefault="001E2972">
      <w:pPr>
        <w:jc w:val="center"/>
        <w:divId w:val="674496659"/>
        <w:rPr>
          <w:rFonts w:eastAsia="Times New Roman"/>
        </w:rPr>
      </w:pPr>
      <w:r>
        <w:rPr>
          <w:rFonts w:ascii="Arial" w:eastAsia="Times New Roman" w:hAnsi="Arial" w:cs="Arial"/>
          <w:b/>
          <w:bCs/>
          <w:color w:val="000000"/>
          <w:sz w:val="20"/>
          <w:szCs w:val="20"/>
        </w:rPr>
        <w:t>SIGNATURES</w:t>
      </w:r>
    </w:p>
    <w:p w:rsidR="00000000" w:rsidRDefault="001E2972">
      <w:pPr>
        <w:jc w:val="both"/>
        <w:divId w:val="215551390"/>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1311253993"/>
          <w:jc w:val="center"/>
        </w:trPr>
        <w:tc>
          <w:tcPr>
            <w:tcW w:w="50" w:type="pct"/>
            <w:vAlign w:val="center"/>
            <w:hideMark/>
          </w:tcPr>
          <w:p w:rsidR="00000000" w:rsidRDefault="001E2972">
            <w:pPr>
              <w:jc w:val="both"/>
              <w:rPr>
                <w:rFonts w:eastAsia="Times New Roman"/>
              </w:rPr>
            </w:pPr>
          </w:p>
        </w:tc>
        <w:tc>
          <w:tcPr>
            <w:tcW w:w="129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45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08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1311253993"/>
          <w:jc w:val="center"/>
        </w:trPr>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rPr>
              <w:t>ABM Industries Incorporated</w:t>
            </w:r>
          </w:p>
        </w:tc>
      </w:tr>
    </w:tbl>
    <w:p w:rsidR="00000000" w:rsidRDefault="001E2972">
      <w:pPr>
        <w:jc w:val="both"/>
        <w:divId w:val="17247196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852955951"/>
        </w:trPr>
        <w:tc>
          <w:tcPr>
            <w:tcW w:w="50" w:type="pct"/>
            <w:vAlign w:val="center"/>
            <w:hideMark/>
          </w:tcPr>
          <w:p w:rsidR="00000000" w:rsidRDefault="001E2972">
            <w:pPr>
              <w:jc w:val="both"/>
              <w:rPr>
                <w:rFonts w:eastAsia="Times New Roman"/>
              </w:rPr>
            </w:pPr>
          </w:p>
        </w:tc>
        <w:tc>
          <w:tcPr>
            <w:tcW w:w="129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45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08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852955951"/>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u w:val="single"/>
              </w:rPr>
              <w:t>June 9, 2021</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u w:val="single"/>
              </w:rPr>
              <w:t>/s/ Earl R. Ellis</w:t>
            </w:r>
          </w:p>
        </w:tc>
      </w:tr>
      <w:tr w:rsidR="00000000">
        <w:trPr>
          <w:divId w:val="852955951"/>
        </w:trPr>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rsidR="00000000" w:rsidRDefault="001E2972">
      <w:pPr>
        <w:jc w:val="both"/>
        <w:divId w:val="21144736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932935822"/>
        </w:trPr>
        <w:tc>
          <w:tcPr>
            <w:tcW w:w="50" w:type="pct"/>
            <w:vAlign w:val="center"/>
            <w:hideMark/>
          </w:tcPr>
          <w:p w:rsidR="00000000" w:rsidRDefault="001E2972">
            <w:pPr>
              <w:jc w:val="both"/>
              <w:rPr>
                <w:rFonts w:eastAsia="Times New Roman"/>
              </w:rPr>
            </w:pPr>
          </w:p>
        </w:tc>
        <w:tc>
          <w:tcPr>
            <w:tcW w:w="1290"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1458"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c>
          <w:tcPr>
            <w:tcW w:w="50" w:type="pct"/>
            <w:vAlign w:val="center"/>
            <w:hideMark/>
          </w:tcPr>
          <w:p w:rsidR="00000000" w:rsidRDefault="001E2972">
            <w:pPr>
              <w:rPr>
                <w:rFonts w:eastAsia="Times New Roman"/>
                <w:sz w:val="20"/>
                <w:szCs w:val="20"/>
              </w:rPr>
            </w:pPr>
          </w:p>
        </w:tc>
        <w:tc>
          <w:tcPr>
            <w:tcW w:w="2086" w:type="pct"/>
            <w:vAlign w:val="center"/>
            <w:hideMark/>
          </w:tcPr>
          <w:p w:rsidR="00000000" w:rsidRDefault="001E2972">
            <w:pPr>
              <w:rPr>
                <w:rFonts w:eastAsia="Times New Roman"/>
                <w:sz w:val="20"/>
                <w:szCs w:val="20"/>
              </w:rPr>
            </w:pPr>
          </w:p>
        </w:tc>
        <w:tc>
          <w:tcPr>
            <w:tcW w:w="5" w:type="pct"/>
            <w:vAlign w:val="center"/>
            <w:hideMark/>
          </w:tcPr>
          <w:p w:rsidR="00000000" w:rsidRDefault="001E2972">
            <w:pPr>
              <w:rPr>
                <w:rFonts w:eastAsia="Times New Roman"/>
                <w:sz w:val="20"/>
                <w:szCs w:val="20"/>
              </w:rPr>
            </w:pPr>
          </w:p>
        </w:tc>
      </w:tr>
      <w:tr w:rsidR="00000000">
        <w:trPr>
          <w:divId w:val="932935822"/>
        </w:trPr>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u w:val="single"/>
              </w:rPr>
              <w:t>June 9, 2021</w:t>
            </w:r>
          </w:p>
        </w:tc>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30" w:type="dxa"/>
              <w:left w:w="20" w:type="dxa"/>
              <w:bottom w:w="30" w:type="dxa"/>
              <w:right w:w="20" w:type="dxa"/>
            </w:tcMar>
            <w:vAlign w:val="bottom"/>
            <w:hideMark/>
          </w:tcPr>
          <w:p w:rsidR="00000000" w:rsidRDefault="001E2972">
            <w:pPr>
              <w:rPr>
                <w:rFonts w:eastAsia="Times New Roman"/>
              </w:rPr>
            </w:pPr>
            <w:r>
              <w:rPr>
                <w:rFonts w:ascii="Arial" w:eastAsia="Times New Roman" w:hAnsi="Arial" w:cs="Arial"/>
                <w:color w:val="000000"/>
                <w:sz w:val="18"/>
                <w:szCs w:val="18"/>
                <w:u w:val="single"/>
              </w:rPr>
              <w:t>/s/ Dean A. Chin</w:t>
            </w:r>
          </w:p>
        </w:tc>
      </w:tr>
      <w:tr w:rsidR="00000000">
        <w:trPr>
          <w:divId w:val="932935822"/>
        </w:trPr>
        <w:tc>
          <w:tcPr>
            <w:tcW w:w="0" w:type="auto"/>
            <w:gridSpan w:val="3"/>
            <w:tcMar>
              <w:top w:w="0" w:type="dxa"/>
              <w:left w:w="20" w:type="dxa"/>
              <w:bottom w:w="0" w:type="dxa"/>
              <w:right w:w="20" w:type="dxa"/>
            </w:tcMar>
            <w:vAlign w:val="center"/>
            <w:hideMark/>
          </w:tcPr>
          <w:p w:rsidR="00000000" w:rsidRDefault="001E2972">
            <w:pPr>
              <w:rPr>
                <w:rFonts w:eastAsia="Times New Roman"/>
              </w:rPr>
            </w:pPr>
          </w:p>
        </w:tc>
        <w:tc>
          <w:tcPr>
            <w:tcW w:w="0" w:type="auto"/>
            <w:gridSpan w:val="3"/>
            <w:tcMar>
              <w:top w:w="0" w:type="dxa"/>
              <w:left w:w="20" w:type="dxa"/>
              <w:bottom w:w="0" w:type="dxa"/>
              <w:right w:w="20" w:type="dxa"/>
            </w:tcMar>
            <w:vAlign w:val="center"/>
            <w:hideMark/>
          </w:tcPr>
          <w:p w:rsidR="00000000" w:rsidRDefault="001E2972">
            <w:pPr>
              <w:rPr>
                <w:rFonts w:eastAsia="Times New Roman"/>
                <w:sz w:val="20"/>
                <w:szCs w:val="20"/>
              </w:rPr>
            </w:pPr>
          </w:p>
        </w:tc>
        <w:tc>
          <w:tcPr>
            <w:tcW w:w="0" w:type="auto"/>
            <w:gridSpan w:val="3"/>
            <w:tcMar>
              <w:top w:w="30" w:type="dxa"/>
              <w:left w:w="20" w:type="dxa"/>
              <w:bottom w:w="30" w:type="dxa"/>
              <w:right w:w="20" w:type="dxa"/>
            </w:tcMar>
            <w:hideMark/>
          </w:tcPr>
          <w:p w:rsidR="00000000" w:rsidRDefault="001E2972">
            <w:pPr>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r>
            <w:r>
              <w:rPr>
                <w:rFonts w:ascii="Arial" w:eastAsia="Times New Roman" w:hAnsi="Arial" w:cs="Arial"/>
                <w:color w:val="000000"/>
                <w:sz w:val="18"/>
                <w:szCs w:val="18"/>
              </w:rPr>
              <w:t>Senior Vice President, Controller and</w:t>
            </w:r>
            <w:r>
              <w:rPr>
                <w:rFonts w:ascii="Arial" w:eastAsia="Times New Roman" w:hAnsi="Arial" w:cs="Arial"/>
                <w:color w:val="000000"/>
                <w:sz w:val="18"/>
                <w:szCs w:val="18"/>
              </w:rPr>
              <w:br/>
              <w:t xml:space="preserve">Chief Accounting Officer </w:t>
            </w:r>
            <w:r>
              <w:rPr>
                <w:rFonts w:ascii="Arial" w:eastAsia="Times New Roman" w:hAnsi="Arial" w:cs="Arial"/>
                <w:color w:val="000000"/>
                <w:sz w:val="18"/>
                <w:szCs w:val="18"/>
              </w:rPr>
              <w:br/>
              <w:t>(Principal Accounting Officer)</w:t>
            </w:r>
          </w:p>
        </w:tc>
      </w:tr>
    </w:tbl>
    <w:p w:rsidR="001E2972" w:rsidRDefault="001E2972">
      <w:pPr>
        <w:jc w:val="center"/>
        <w:divId w:val="69549741"/>
        <w:rPr>
          <w:rFonts w:eastAsia="Times New Roman"/>
        </w:rPr>
      </w:pPr>
      <w:r>
        <w:rPr>
          <w:rFonts w:ascii="Arial" w:eastAsia="Times New Roman" w:hAnsi="Arial" w:cs="Arial"/>
          <w:color w:val="000000"/>
          <w:sz w:val="20"/>
          <w:szCs w:val="20"/>
        </w:rPr>
        <w:t>47</w:t>
      </w:r>
    </w:p>
    <w:sectPr w:rsidR="001E297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2972"/>
    <w:rsid w:val="001E2972"/>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abm.com/20210430"/>
  <w:attachedSchema w:val="http://www.xbrl.org/2003/iso4217"/>
  <w:attachedSchema w:val="http://fasb.org/us-gaap/2020-01-31"/>
  <w:attachedSchema w:val="http://xbrl.sec.gov/dei/2020-01-31"/>
  <w:attachedSchema w:val="http://www.xbrl.org/2003/instance"/>
  <w:attachedSchema w:val="http://www.w3.org/1999/xlink"/>
  <w:attachedSchema w:val="http://xbrl.org/2006/xbrldi"/>
  <w:attachedSchema w:val="http://fasb.org/srt/2020-01-31"/>
  <w:attachedSchema w:val="http://www.sec.gov/inlineXBRL/transformation/2015-08-31"/>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553">
      <w:marLeft w:val="0"/>
      <w:marRight w:val="0"/>
      <w:marTop w:val="60"/>
      <w:marBottom w:val="120"/>
      <w:divBdr>
        <w:top w:val="none" w:sz="0" w:space="0" w:color="auto"/>
        <w:left w:val="none" w:sz="0" w:space="0" w:color="auto"/>
        <w:bottom w:val="none" w:sz="0" w:space="0" w:color="auto"/>
        <w:right w:val="none" w:sz="0" w:space="0" w:color="auto"/>
      </w:divBdr>
    </w:div>
    <w:div w:id="3867011">
      <w:marLeft w:val="0"/>
      <w:marRight w:val="0"/>
      <w:marTop w:val="180"/>
      <w:marBottom w:val="0"/>
      <w:divBdr>
        <w:top w:val="none" w:sz="0" w:space="0" w:color="auto"/>
        <w:left w:val="none" w:sz="0" w:space="0" w:color="auto"/>
        <w:bottom w:val="none" w:sz="0" w:space="0" w:color="auto"/>
        <w:right w:val="none" w:sz="0" w:space="0" w:color="auto"/>
      </w:divBdr>
    </w:div>
    <w:div w:id="8992453">
      <w:marLeft w:val="0"/>
      <w:marRight w:val="0"/>
      <w:marTop w:val="180"/>
      <w:marBottom w:val="0"/>
      <w:divBdr>
        <w:top w:val="none" w:sz="0" w:space="0" w:color="auto"/>
        <w:left w:val="none" w:sz="0" w:space="0" w:color="auto"/>
        <w:bottom w:val="none" w:sz="0" w:space="0" w:color="auto"/>
        <w:right w:val="none" w:sz="0" w:space="0" w:color="auto"/>
      </w:divBdr>
    </w:div>
    <w:div w:id="9912184">
      <w:marLeft w:val="0"/>
      <w:marRight w:val="0"/>
      <w:marTop w:val="0"/>
      <w:marBottom w:val="0"/>
      <w:divBdr>
        <w:top w:val="none" w:sz="0" w:space="0" w:color="auto"/>
        <w:left w:val="none" w:sz="0" w:space="0" w:color="auto"/>
        <w:bottom w:val="none" w:sz="0" w:space="0" w:color="auto"/>
        <w:right w:val="none" w:sz="0" w:space="0" w:color="auto"/>
      </w:divBdr>
      <w:divsChild>
        <w:div w:id="368455590">
          <w:marLeft w:val="0"/>
          <w:marRight w:val="0"/>
          <w:marTop w:val="0"/>
          <w:marBottom w:val="0"/>
          <w:divBdr>
            <w:top w:val="none" w:sz="0" w:space="0" w:color="auto"/>
            <w:left w:val="none" w:sz="0" w:space="0" w:color="auto"/>
            <w:bottom w:val="none" w:sz="0" w:space="0" w:color="auto"/>
            <w:right w:val="none" w:sz="0" w:space="0" w:color="auto"/>
          </w:divBdr>
          <w:divsChild>
            <w:div w:id="14165917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570664">
      <w:marLeft w:val="0"/>
      <w:marRight w:val="0"/>
      <w:marTop w:val="60"/>
      <w:marBottom w:val="0"/>
      <w:divBdr>
        <w:top w:val="none" w:sz="0" w:space="0" w:color="auto"/>
        <w:left w:val="none" w:sz="0" w:space="0" w:color="auto"/>
        <w:bottom w:val="none" w:sz="0" w:space="0" w:color="auto"/>
        <w:right w:val="none" w:sz="0" w:space="0" w:color="auto"/>
      </w:divBdr>
    </w:div>
    <w:div w:id="11611283">
      <w:marLeft w:val="0"/>
      <w:marRight w:val="0"/>
      <w:marTop w:val="60"/>
      <w:marBottom w:val="0"/>
      <w:divBdr>
        <w:top w:val="none" w:sz="0" w:space="0" w:color="auto"/>
        <w:left w:val="none" w:sz="0" w:space="0" w:color="auto"/>
        <w:bottom w:val="none" w:sz="0" w:space="0" w:color="auto"/>
        <w:right w:val="none" w:sz="0" w:space="0" w:color="auto"/>
      </w:divBdr>
    </w:div>
    <w:div w:id="14813484">
      <w:marLeft w:val="0"/>
      <w:marRight w:val="0"/>
      <w:marTop w:val="120"/>
      <w:marBottom w:val="0"/>
      <w:divBdr>
        <w:top w:val="none" w:sz="0" w:space="0" w:color="auto"/>
        <w:left w:val="none" w:sz="0" w:space="0" w:color="auto"/>
        <w:bottom w:val="none" w:sz="0" w:space="0" w:color="auto"/>
        <w:right w:val="none" w:sz="0" w:space="0" w:color="auto"/>
      </w:divBdr>
    </w:div>
    <w:div w:id="15039651">
      <w:marLeft w:val="0"/>
      <w:marRight w:val="0"/>
      <w:marTop w:val="300"/>
      <w:marBottom w:val="0"/>
      <w:divBdr>
        <w:top w:val="none" w:sz="0" w:space="0" w:color="auto"/>
        <w:left w:val="none" w:sz="0" w:space="0" w:color="auto"/>
        <w:bottom w:val="none" w:sz="0" w:space="0" w:color="auto"/>
        <w:right w:val="none" w:sz="0" w:space="0" w:color="auto"/>
      </w:divBdr>
    </w:div>
    <w:div w:id="15742440">
      <w:marLeft w:val="0"/>
      <w:marRight w:val="0"/>
      <w:marTop w:val="60"/>
      <w:marBottom w:val="120"/>
      <w:divBdr>
        <w:top w:val="none" w:sz="0" w:space="0" w:color="auto"/>
        <w:left w:val="none" w:sz="0" w:space="0" w:color="auto"/>
        <w:bottom w:val="none" w:sz="0" w:space="0" w:color="auto"/>
        <w:right w:val="none" w:sz="0" w:space="0" w:color="auto"/>
      </w:divBdr>
    </w:div>
    <w:div w:id="18900900">
      <w:marLeft w:val="0"/>
      <w:marRight w:val="0"/>
      <w:marTop w:val="180"/>
      <w:marBottom w:val="180"/>
      <w:divBdr>
        <w:top w:val="none" w:sz="0" w:space="0" w:color="auto"/>
        <w:left w:val="none" w:sz="0" w:space="0" w:color="auto"/>
        <w:bottom w:val="none" w:sz="0" w:space="0" w:color="auto"/>
        <w:right w:val="none" w:sz="0" w:space="0" w:color="auto"/>
      </w:divBdr>
    </w:div>
    <w:div w:id="19820077">
      <w:marLeft w:val="0"/>
      <w:marRight w:val="0"/>
      <w:marTop w:val="0"/>
      <w:marBottom w:val="0"/>
      <w:divBdr>
        <w:top w:val="none" w:sz="0" w:space="0" w:color="auto"/>
        <w:left w:val="none" w:sz="0" w:space="0" w:color="auto"/>
        <w:bottom w:val="none" w:sz="0" w:space="0" w:color="auto"/>
        <w:right w:val="none" w:sz="0" w:space="0" w:color="auto"/>
      </w:divBdr>
      <w:divsChild>
        <w:div w:id="262763788">
          <w:marLeft w:val="0"/>
          <w:marRight w:val="0"/>
          <w:marTop w:val="180"/>
          <w:marBottom w:val="180"/>
          <w:divBdr>
            <w:top w:val="none" w:sz="0" w:space="0" w:color="auto"/>
            <w:left w:val="none" w:sz="0" w:space="0" w:color="auto"/>
            <w:bottom w:val="none" w:sz="0" w:space="0" w:color="auto"/>
            <w:right w:val="none" w:sz="0" w:space="0" w:color="auto"/>
          </w:divBdr>
        </w:div>
      </w:divsChild>
    </w:div>
    <w:div w:id="22630871">
      <w:marLeft w:val="0"/>
      <w:marRight w:val="0"/>
      <w:marTop w:val="0"/>
      <w:marBottom w:val="0"/>
      <w:divBdr>
        <w:top w:val="none" w:sz="0" w:space="0" w:color="auto"/>
        <w:left w:val="none" w:sz="0" w:space="0" w:color="auto"/>
        <w:bottom w:val="none" w:sz="0" w:space="0" w:color="auto"/>
        <w:right w:val="none" w:sz="0" w:space="0" w:color="auto"/>
      </w:divBdr>
      <w:divsChild>
        <w:div w:id="925461531">
          <w:marLeft w:val="0"/>
          <w:marRight w:val="0"/>
          <w:marTop w:val="180"/>
          <w:marBottom w:val="180"/>
          <w:divBdr>
            <w:top w:val="none" w:sz="0" w:space="0" w:color="auto"/>
            <w:left w:val="none" w:sz="0" w:space="0" w:color="auto"/>
            <w:bottom w:val="none" w:sz="0" w:space="0" w:color="auto"/>
            <w:right w:val="none" w:sz="0" w:space="0" w:color="auto"/>
          </w:divBdr>
        </w:div>
      </w:divsChild>
    </w:div>
    <w:div w:id="23404531">
      <w:marLeft w:val="0"/>
      <w:marRight w:val="0"/>
      <w:marTop w:val="120"/>
      <w:marBottom w:val="0"/>
      <w:divBdr>
        <w:top w:val="none" w:sz="0" w:space="0" w:color="auto"/>
        <w:left w:val="none" w:sz="0" w:space="0" w:color="auto"/>
        <w:bottom w:val="none" w:sz="0" w:space="0" w:color="auto"/>
        <w:right w:val="none" w:sz="0" w:space="0" w:color="auto"/>
      </w:divBdr>
      <w:divsChild>
        <w:div w:id="1291935583">
          <w:marLeft w:val="0"/>
          <w:marRight w:val="0"/>
          <w:marTop w:val="0"/>
          <w:marBottom w:val="0"/>
          <w:divBdr>
            <w:top w:val="none" w:sz="0" w:space="0" w:color="auto"/>
            <w:left w:val="none" w:sz="0" w:space="0" w:color="auto"/>
            <w:bottom w:val="none" w:sz="0" w:space="0" w:color="auto"/>
            <w:right w:val="none" w:sz="0" w:space="0" w:color="auto"/>
          </w:divBdr>
        </w:div>
        <w:div w:id="1697466492">
          <w:marLeft w:val="0"/>
          <w:marRight w:val="0"/>
          <w:marTop w:val="60"/>
          <w:marBottom w:val="0"/>
          <w:divBdr>
            <w:top w:val="none" w:sz="0" w:space="0" w:color="auto"/>
            <w:left w:val="none" w:sz="0" w:space="0" w:color="auto"/>
            <w:bottom w:val="none" w:sz="0" w:space="0" w:color="auto"/>
            <w:right w:val="none" w:sz="0" w:space="0" w:color="auto"/>
          </w:divBdr>
        </w:div>
        <w:div w:id="1825662417">
          <w:marLeft w:val="0"/>
          <w:marRight w:val="0"/>
          <w:marTop w:val="60"/>
          <w:marBottom w:val="0"/>
          <w:divBdr>
            <w:top w:val="none" w:sz="0" w:space="0" w:color="auto"/>
            <w:left w:val="none" w:sz="0" w:space="0" w:color="auto"/>
            <w:bottom w:val="none" w:sz="0" w:space="0" w:color="auto"/>
            <w:right w:val="none" w:sz="0" w:space="0" w:color="auto"/>
          </w:divBdr>
        </w:div>
      </w:divsChild>
    </w:div>
    <w:div w:id="25106416">
      <w:marLeft w:val="0"/>
      <w:marRight w:val="0"/>
      <w:marTop w:val="180"/>
      <w:marBottom w:val="0"/>
      <w:divBdr>
        <w:top w:val="none" w:sz="0" w:space="0" w:color="auto"/>
        <w:left w:val="none" w:sz="0" w:space="0" w:color="auto"/>
        <w:bottom w:val="none" w:sz="0" w:space="0" w:color="auto"/>
        <w:right w:val="none" w:sz="0" w:space="0" w:color="auto"/>
      </w:divBdr>
    </w:div>
    <w:div w:id="29772117">
      <w:marLeft w:val="0"/>
      <w:marRight w:val="0"/>
      <w:marTop w:val="180"/>
      <w:marBottom w:val="0"/>
      <w:divBdr>
        <w:top w:val="none" w:sz="0" w:space="0" w:color="auto"/>
        <w:left w:val="none" w:sz="0" w:space="0" w:color="auto"/>
        <w:bottom w:val="none" w:sz="0" w:space="0" w:color="auto"/>
        <w:right w:val="none" w:sz="0" w:space="0" w:color="auto"/>
      </w:divBdr>
    </w:div>
    <w:div w:id="30502681">
      <w:marLeft w:val="0"/>
      <w:marRight w:val="0"/>
      <w:marTop w:val="120"/>
      <w:marBottom w:val="0"/>
      <w:divBdr>
        <w:top w:val="none" w:sz="0" w:space="0" w:color="auto"/>
        <w:left w:val="none" w:sz="0" w:space="0" w:color="auto"/>
        <w:bottom w:val="none" w:sz="0" w:space="0" w:color="auto"/>
        <w:right w:val="none" w:sz="0" w:space="0" w:color="auto"/>
      </w:divBdr>
    </w:div>
    <w:div w:id="32198183">
      <w:marLeft w:val="0"/>
      <w:marRight w:val="0"/>
      <w:marTop w:val="180"/>
      <w:marBottom w:val="0"/>
      <w:divBdr>
        <w:top w:val="none" w:sz="0" w:space="0" w:color="auto"/>
        <w:left w:val="none" w:sz="0" w:space="0" w:color="auto"/>
        <w:bottom w:val="none" w:sz="0" w:space="0" w:color="auto"/>
        <w:right w:val="none" w:sz="0" w:space="0" w:color="auto"/>
      </w:divBdr>
    </w:div>
    <w:div w:id="38207813">
      <w:marLeft w:val="0"/>
      <w:marRight w:val="0"/>
      <w:marTop w:val="120"/>
      <w:marBottom w:val="120"/>
      <w:divBdr>
        <w:top w:val="none" w:sz="0" w:space="0" w:color="auto"/>
        <w:left w:val="none" w:sz="0" w:space="0" w:color="auto"/>
        <w:bottom w:val="none" w:sz="0" w:space="0" w:color="auto"/>
        <w:right w:val="none" w:sz="0" w:space="0" w:color="auto"/>
      </w:divBdr>
    </w:div>
    <w:div w:id="41368201">
      <w:marLeft w:val="0"/>
      <w:marRight w:val="0"/>
      <w:marTop w:val="180"/>
      <w:marBottom w:val="0"/>
      <w:divBdr>
        <w:top w:val="none" w:sz="0" w:space="0" w:color="auto"/>
        <w:left w:val="none" w:sz="0" w:space="0" w:color="auto"/>
        <w:bottom w:val="none" w:sz="0" w:space="0" w:color="auto"/>
        <w:right w:val="none" w:sz="0" w:space="0" w:color="auto"/>
      </w:divBdr>
    </w:div>
    <w:div w:id="44566729">
      <w:marLeft w:val="0"/>
      <w:marRight w:val="0"/>
      <w:marTop w:val="180"/>
      <w:marBottom w:val="0"/>
      <w:divBdr>
        <w:top w:val="none" w:sz="0" w:space="0" w:color="auto"/>
        <w:left w:val="none" w:sz="0" w:space="0" w:color="auto"/>
        <w:bottom w:val="none" w:sz="0" w:space="0" w:color="auto"/>
        <w:right w:val="none" w:sz="0" w:space="0" w:color="auto"/>
      </w:divBdr>
    </w:div>
    <w:div w:id="55590619">
      <w:marLeft w:val="0"/>
      <w:marRight w:val="0"/>
      <w:marTop w:val="180"/>
      <w:marBottom w:val="0"/>
      <w:divBdr>
        <w:top w:val="none" w:sz="0" w:space="0" w:color="auto"/>
        <w:left w:val="none" w:sz="0" w:space="0" w:color="auto"/>
        <w:bottom w:val="none" w:sz="0" w:space="0" w:color="auto"/>
        <w:right w:val="none" w:sz="0" w:space="0" w:color="auto"/>
      </w:divBdr>
    </w:div>
    <w:div w:id="56368017">
      <w:marLeft w:val="0"/>
      <w:marRight w:val="0"/>
      <w:marTop w:val="180"/>
      <w:marBottom w:val="0"/>
      <w:divBdr>
        <w:top w:val="none" w:sz="0" w:space="0" w:color="auto"/>
        <w:left w:val="none" w:sz="0" w:space="0" w:color="auto"/>
        <w:bottom w:val="none" w:sz="0" w:space="0" w:color="auto"/>
        <w:right w:val="none" w:sz="0" w:space="0" w:color="auto"/>
      </w:divBdr>
    </w:div>
    <w:div w:id="58097244">
      <w:marLeft w:val="0"/>
      <w:marRight w:val="0"/>
      <w:marTop w:val="180"/>
      <w:marBottom w:val="0"/>
      <w:divBdr>
        <w:top w:val="none" w:sz="0" w:space="0" w:color="auto"/>
        <w:left w:val="none" w:sz="0" w:space="0" w:color="auto"/>
        <w:bottom w:val="none" w:sz="0" w:space="0" w:color="auto"/>
        <w:right w:val="none" w:sz="0" w:space="0" w:color="auto"/>
      </w:divBdr>
    </w:div>
    <w:div w:id="58790355">
      <w:marLeft w:val="0"/>
      <w:marRight w:val="0"/>
      <w:marTop w:val="180"/>
      <w:marBottom w:val="0"/>
      <w:divBdr>
        <w:top w:val="none" w:sz="0" w:space="0" w:color="auto"/>
        <w:left w:val="none" w:sz="0" w:space="0" w:color="auto"/>
        <w:bottom w:val="none" w:sz="0" w:space="0" w:color="auto"/>
        <w:right w:val="none" w:sz="0" w:space="0" w:color="auto"/>
      </w:divBdr>
    </w:div>
    <w:div w:id="61560168">
      <w:marLeft w:val="0"/>
      <w:marRight w:val="0"/>
      <w:marTop w:val="180"/>
      <w:marBottom w:val="0"/>
      <w:divBdr>
        <w:top w:val="none" w:sz="0" w:space="0" w:color="auto"/>
        <w:left w:val="none" w:sz="0" w:space="0" w:color="auto"/>
        <w:bottom w:val="none" w:sz="0" w:space="0" w:color="auto"/>
        <w:right w:val="none" w:sz="0" w:space="0" w:color="auto"/>
      </w:divBdr>
    </w:div>
    <w:div w:id="62140541">
      <w:marLeft w:val="0"/>
      <w:marRight w:val="0"/>
      <w:marTop w:val="60"/>
      <w:marBottom w:val="0"/>
      <w:divBdr>
        <w:top w:val="none" w:sz="0" w:space="0" w:color="auto"/>
        <w:left w:val="none" w:sz="0" w:space="0" w:color="auto"/>
        <w:bottom w:val="none" w:sz="0" w:space="0" w:color="auto"/>
        <w:right w:val="none" w:sz="0" w:space="0" w:color="auto"/>
      </w:divBdr>
    </w:div>
    <w:div w:id="64038962">
      <w:marLeft w:val="0"/>
      <w:marRight w:val="0"/>
      <w:marTop w:val="120"/>
      <w:marBottom w:val="0"/>
      <w:divBdr>
        <w:top w:val="none" w:sz="0" w:space="0" w:color="auto"/>
        <w:left w:val="none" w:sz="0" w:space="0" w:color="auto"/>
        <w:bottom w:val="none" w:sz="0" w:space="0" w:color="auto"/>
        <w:right w:val="none" w:sz="0" w:space="0" w:color="auto"/>
      </w:divBdr>
    </w:div>
    <w:div w:id="64382731">
      <w:marLeft w:val="0"/>
      <w:marRight w:val="0"/>
      <w:marTop w:val="0"/>
      <w:marBottom w:val="0"/>
      <w:divBdr>
        <w:top w:val="none" w:sz="0" w:space="0" w:color="auto"/>
        <w:left w:val="none" w:sz="0" w:space="0" w:color="auto"/>
        <w:bottom w:val="none" w:sz="0" w:space="0" w:color="auto"/>
        <w:right w:val="none" w:sz="0" w:space="0" w:color="auto"/>
      </w:divBdr>
      <w:divsChild>
        <w:div w:id="1775594110">
          <w:marLeft w:val="0"/>
          <w:marRight w:val="0"/>
          <w:marTop w:val="180"/>
          <w:marBottom w:val="180"/>
          <w:divBdr>
            <w:top w:val="none" w:sz="0" w:space="0" w:color="auto"/>
            <w:left w:val="none" w:sz="0" w:space="0" w:color="auto"/>
            <w:bottom w:val="none" w:sz="0" w:space="0" w:color="auto"/>
            <w:right w:val="none" w:sz="0" w:space="0" w:color="auto"/>
          </w:divBdr>
        </w:div>
      </w:divsChild>
    </w:div>
    <w:div w:id="67195267">
      <w:marLeft w:val="0"/>
      <w:marRight w:val="0"/>
      <w:marTop w:val="240"/>
      <w:marBottom w:val="0"/>
      <w:divBdr>
        <w:top w:val="none" w:sz="0" w:space="0" w:color="auto"/>
        <w:left w:val="none" w:sz="0" w:space="0" w:color="auto"/>
        <w:bottom w:val="none" w:sz="0" w:space="0" w:color="auto"/>
        <w:right w:val="none" w:sz="0" w:space="0" w:color="auto"/>
      </w:divBdr>
    </w:div>
    <w:div w:id="71978019">
      <w:marLeft w:val="0"/>
      <w:marRight w:val="0"/>
      <w:marTop w:val="120"/>
      <w:marBottom w:val="0"/>
      <w:divBdr>
        <w:top w:val="none" w:sz="0" w:space="0" w:color="auto"/>
        <w:left w:val="none" w:sz="0" w:space="0" w:color="auto"/>
        <w:bottom w:val="none" w:sz="0" w:space="0" w:color="auto"/>
        <w:right w:val="none" w:sz="0" w:space="0" w:color="auto"/>
      </w:divBdr>
    </w:div>
    <w:div w:id="75909277">
      <w:marLeft w:val="0"/>
      <w:marRight w:val="0"/>
      <w:marTop w:val="180"/>
      <w:marBottom w:val="0"/>
      <w:divBdr>
        <w:top w:val="none" w:sz="0" w:space="0" w:color="auto"/>
        <w:left w:val="none" w:sz="0" w:space="0" w:color="auto"/>
        <w:bottom w:val="none" w:sz="0" w:space="0" w:color="auto"/>
        <w:right w:val="none" w:sz="0" w:space="0" w:color="auto"/>
      </w:divBdr>
    </w:div>
    <w:div w:id="92409673">
      <w:marLeft w:val="0"/>
      <w:marRight w:val="0"/>
      <w:marTop w:val="180"/>
      <w:marBottom w:val="0"/>
      <w:divBdr>
        <w:top w:val="none" w:sz="0" w:space="0" w:color="auto"/>
        <w:left w:val="none" w:sz="0" w:space="0" w:color="auto"/>
        <w:bottom w:val="none" w:sz="0" w:space="0" w:color="auto"/>
        <w:right w:val="none" w:sz="0" w:space="0" w:color="auto"/>
      </w:divBdr>
    </w:div>
    <w:div w:id="106239776">
      <w:marLeft w:val="0"/>
      <w:marRight w:val="0"/>
      <w:marTop w:val="180"/>
      <w:marBottom w:val="0"/>
      <w:divBdr>
        <w:top w:val="none" w:sz="0" w:space="0" w:color="auto"/>
        <w:left w:val="none" w:sz="0" w:space="0" w:color="auto"/>
        <w:bottom w:val="none" w:sz="0" w:space="0" w:color="auto"/>
        <w:right w:val="none" w:sz="0" w:space="0" w:color="auto"/>
      </w:divBdr>
    </w:div>
    <w:div w:id="109276517">
      <w:marLeft w:val="0"/>
      <w:marRight w:val="0"/>
      <w:marTop w:val="180"/>
      <w:marBottom w:val="0"/>
      <w:divBdr>
        <w:top w:val="none" w:sz="0" w:space="0" w:color="auto"/>
        <w:left w:val="none" w:sz="0" w:space="0" w:color="auto"/>
        <w:bottom w:val="none" w:sz="0" w:space="0" w:color="auto"/>
        <w:right w:val="none" w:sz="0" w:space="0" w:color="auto"/>
      </w:divBdr>
    </w:div>
    <w:div w:id="113641668">
      <w:marLeft w:val="0"/>
      <w:marRight w:val="0"/>
      <w:marTop w:val="180"/>
      <w:marBottom w:val="60"/>
      <w:divBdr>
        <w:top w:val="none" w:sz="0" w:space="0" w:color="auto"/>
        <w:left w:val="none" w:sz="0" w:space="0" w:color="auto"/>
        <w:bottom w:val="none" w:sz="0" w:space="0" w:color="auto"/>
        <w:right w:val="none" w:sz="0" w:space="0" w:color="auto"/>
      </w:divBdr>
    </w:div>
    <w:div w:id="115219472">
      <w:marLeft w:val="0"/>
      <w:marRight w:val="0"/>
      <w:marTop w:val="180"/>
      <w:marBottom w:val="120"/>
      <w:divBdr>
        <w:top w:val="none" w:sz="0" w:space="0" w:color="auto"/>
        <w:left w:val="none" w:sz="0" w:space="0" w:color="auto"/>
        <w:bottom w:val="none" w:sz="0" w:space="0" w:color="auto"/>
        <w:right w:val="none" w:sz="0" w:space="0" w:color="auto"/>
      </w:divBdr>
    </w:div>
    <w:div w:id="116074699">
      <w:marLeft w:val="0"/>
      <w:marRight w:val="0"/>
      <w:marTop w:val="240"/>
      <w:marBottom w:val="0"/>
      <w:divBdr>
        <w:top w:val="none" w:sz="0" w:space="0" w:color="auto"/>
        <w:left w:val="none" w:sz="0" w:space="0" w:color="auto"/>
        <w:bottom w:val="none" w:sz="0" w:space="0" w:color="auto"/>
        <w:right w:val="none" w:sz="0" w:space="0" w:color="auto"/>
      </w:divBdr>
    </w:div>
    <w:div w:id="119809963">
      <w:marLeft w:val="0"/>
      <w:marRight w:val="0"/>
      <w:marTop w:val="180"/>
      <w:marBottom w:val="0"/>
      <w:divBdr>
        <w:top w:val="none" w:sz="0" w:space="0" w:color="auto"/>
        <w:left w:val="none" w:sz="0" w:space="0" w:color="auto"/>
        <w:bottom w:val="none" w:sz="0" w:space="0" w:color="auto"/>
        <w:right w:val="none" w:sz="0" w:space="0" w:color="auto"/>
      </w:divBdr>
    </w:div>
    <w:div w:id="121464117">
      <w:marLeft w:val="0"/>
      <w:marRight w:val="0"/>
      <w:marTop w:val="120"/>
      <w:marBottom w:val="0"/>
      <w:divBdr>
        <w:top w:val="none" w:sz="0" w:space="0" w:color="auto"/>
        <w:left w:val="none" w:sz="0" w:space="0" w:color="auto"/>
        <w:bottom w:val="none" w:sz="0" w:space="0" w:color="auto"/>
        <w:right w:val="none" w:sz="0" w:space="0" w:color="auto"/>
      </w:divBdr>
    </w:div>
    <w:div w:id="121656090">
      <w:marLeft w:val="0"/>
      <w:marRight w:val="0"/>
      <w:marTop w:val="180"/>
      <w:marBottom w:val="0"/>
      <w:divBdr>
        <w:top w:val="none" w:sz="0" w:space="0" w:color="auto"/>
        <w:left w:val="none" w:sz="0" w:space="0" w:color="auto"/>
        <w:bottom w:val="none" w:sz="0" w:space="0" w:color="auto"/>
        <w:right w:val="none" w:sz="0" w:space="0" w:color="auto"/>
      </w:divBdr>
    </w:div>
    <w:div w:id="132603217">
      <w:marLeft w:val="0"/>
      <w:marRight w:val="0"/>
      <w:marTop w:val="0"/>
      <w:marBottom w:val="0"/>
      <w:divBdr>
        <w:top w:val="none" w:sz="0" w:space="0" w:color="auto"/>
        <w:left w:val="none" w:sz="0" w:space="0" w:color="auto"/>
        <w:bottom w:val="none" w:sz="0" w:space="0" w:color="auto"/>
        <w:right w:val="none" w:sz="0" w:space="0" w:color="auto"/>
      </w:divBdr>
      <w:divsChild>
        <w:div w:id="1370564527">
          <w:marLeft w:val="0"/>
          <w:marRight w:val="0"/>
          <w:marTop w:val="0"/>
          <w:marBottom w:val="0"/>
          <w:divBdr>
            <w:top w:val="none" w:sz="0" w:space="0" w:color="auto"/>
            <w:left w:val="none" w:sz="0" w:space="0" w:color="auto"/>
            <w:bottom w:val="none" w:sz="0" w:space="0" w:color="auto"/>
            <w:right w:val="none" w:sz="0" w:space="0" w:color="auto"/>
          </w:divBdr>
          <w:divsChild>
            <w:div w:id="9878313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7773933">
      <w:marLeft w:val="0"/>
      <w:marRight w:val="0"/>
      <w:marTop w:val="180"/>
      <w:marBottom w:val="180"/>
      <w:divBdr>
        <w:top w:val="none" w:sz="0" w:space="0" w:color="auto"/>
        <w:left w:val="none" w:sz="0" w:space="0" w:color="auto"/>
        <w:bottom w:val="none" w:sz="0" w:space="0" w:color="auto"/>
        <w:right w:val="none" w:sz="0" w:space="0" w:color="auto"/>
      </w:divBdr>
    </w:div>
    <w:div w:id="137964712">
      <w:marLeft w:val="0"/>
      <w:marRight w:val="0"/>
      <w:marTop w:val="120"/>
      <w:marBottom w:val="0"/>
      <w:divBdr>
        <w:top w:val="none" w:sz="0" w:space="0" w:color="auto"/>
        <w:left w:val="none" w:sz="0" w:space="0" w:color="auto"/>
        <w:bottom w:val="none" w:sz="0" w:space="0" w:color="auto"/>
        <w:right w:val="none" w:sz="0" w:space="0" w:color="auto"/>
      </w:divBdr>
    </w:div>
    <w:div w:id="138346757">
      <w:marLeft w:val="0"/>
      <w:marRight w:val="0"/>
      <w:marTop w:val="0"/>
      <w:marBottom w:val="0"/>
      <w:divBdr>
        <w:top w:val="none" w:sz="0" w:space="0" w:color="auto"/>
        <w:left w:val="none" w:sz="0" w:space="0" w:color="auto"/>
        <w:bottom w:val="none" w:sz="0" w:space="0" w:color="auto"/>
        <w:right w:val="none" w:sz="0" w:space="0" w:color="auto"/>
      </w:divBdr>
      <w:divsChild>
        <w:div w:id="909651961">
          <w:marLeft w:val="0"/>
          <w:marRight w:val="0"/>
          <w:marTop w:val="0"/>
          <w:marBottom w:val="0"/>
          <w:divBdr>
            <w:top w:val="none" w:sz="0" w:space="0" w:color="auto"/>
            <w:left w:val="none" w:sz="0" w:space="0" w:color="auto"/>
            <w:bottom w:val="none" w:sz="0" w:space="0" w:color="auto"/>
            <w:right w:val="none" w:sz="0" w:space="0" w:color="auto"/>
          </w:divBdr>
          <w:divsChild>
            <w:div w:id="951759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664575">
      <w:marLeft w:val="0"/>
      <w:marRight w:val="0"/>
      <w:marTop w:val="180"/>
      <w:marBottom w:val="0"/>
      <w:divBdr>
        <w:top w:val="none" w:sz="0" w:space="0" w:color="auto"/>
        <w:left w:val="none" w:sz="0" w:space="0" w:color="auto"/>
        <w:bottom w:val="none" w:sz="0" w:space="0" w:color="auto"/>
        <w:right w:val="none" w:sz="0" w:space="0" w:color="auto"/>
      </w:divBdr>
    </w:div>
    <w:div w:id="148206886">
      <w:marLeft w:val="0"/>
      <w:marRight w:val="0"/>
      <w:marTop w:val="180"/>
      <w:marBottom w:val="0"/>
      <w:divBdr>
        <w:top w:val="none" w:sz="0" w:space="0" w:color="auto"/>
        <w:left w:val="none" w:sz="0" w:space="0" w:color="auto"/>
        <w:bottom w:val="none" w:sz="0" w:space="0" w:color="auto"/>
        <w:right w:val="none" w:sz="0" w:space="0" w:color="auto"/>
      </w:divBdr>
    </w:div>
    <w:div w:id="149029425">
      <w:marLeft w:val="0"/>
      <w:marRight w:val="0"/>
      <w:marTop w:val="180"/>
      <w:marBottom w:val="0"/>
      <w:divBdr>
        <w:top w:val="none" w:sz="0" w:space="0" w:color="auto"/>
        <w:left w:val="none" w:sz="0" w:space="0" w:color="auto"/>
        <w:bottom w:val="none" w:sz="0" w:space="0" w:color="auto"/>
        <w:right w:val="none" w:sz="0" w:space="0" w:color="auto"/>
      </w:divBdr>
    </w:div>
    <w:div w:id="158153539">
      <w:marLeft w:val="0"/>
      <w:marRight w:val="0"/>
      <w:marTop w:val="180"/>
      <w:marBottom w:val="0"/>
      <w:divBdr>
        <w:top w:val="none" w:sz="0" w:space="0" w:color="auto"/>
        <w:left w:val="none" w:sz="0" w:space="0" w:color="auto"/>
        <w:bottom w:val="none" w:sz="0" w:space="0" w:color="auto"/>
        <w:right w:val="none" w:sz="0" w:space="0" w:color="auto"/>
      </w:divBdr>
    </w:div>
    <w:div w:id="159204199">
      <w:marLeft w:val="0"/>
      <w:marRight w:val="0"/>
      <w:marTop w:val="180"/>
      <w:marBottom w:val="0"/>
      <w:divBdr>
        <w:top w:val="none" w:sz="0" w:space="0" w:color="auto"/>
        <w:left w:val="none" w:sz="0" w:space="0" w:color="auto"/>
        <w:bottom w:val="none" w:sz="0" w:space="0" w:color="auto"/>
        <w:right w:val="none" w:sz="0" w:space="0" w:color="auto"/>
      </w:divBdr>
    </w:div>
    <w:div w:id="161509984">
      <w:marLeft w:val="0"/>
      <w:marRight w:val="0"/>
      <w:marTop w:val="0"/>
      <w:marBottom w:val="0"/>
      <w:divBdr>
        <w:top w:val="none" w:sz="0" w:space="0" w:color="auto"/>
        <w:left w:val="none" w:sz="0" w:space="0" w:color="auto"/>
        <w:bottom w:val="none" w:sz="0" w:space="0" w:color="auto"/>
        <w:right w:val="none" w:sz="0" w:space="0" w:color="auto"/>
      </w:divBdr>
      <w:divsChild>
        <w:div w:id="1350329832">
          <w:marLeft w:val="0"/>
          <w:marRight w:val="0"/>
          <w:marTop w:val="180"/>
          <w:marBottom w:val="180"/>
          <w:divBdr>
            <w:top w:val="none" w:sz="0" w:space="0" w:color="auto"/>
            <w:left w:val="none" w:sz="0" w:space="0" w:color="auto"/>
            <w:bottom w:val="none" w:sz="0" w:space="0" w:color="auto"/>
            <w:right w:val="none" w:sz="0" w:space="0" w:color="auto"/>
          </w:divBdr>
        </w:div>
      </w:divsChild>
    </w:div>
    <w:div w:id="162820398">
      <w:marLeft w:val="0"/>
      <w:marRight w:val="0"/>
      <w:marTop w:val="180"/>
      <w:marBottom w:val="0"/>
      <w:divBdr>
        <w:top w:val="none" w:sz="0" w:space="0" w:color="auto"/>
        <w:left w:val="none" w:sz="0" w:space="0" w:color="auto"/>
        <w:bottom w:val="none" w:sz="0" w:space="0" w:color="auto"/>
        <w:right w:val="none" w:sz="0" w:space="0" w:color="auto"/>
      </w:divBdr>
    </w:div>
    <w:div w:id="163514080">
      <w:marLeft w:val="0"/>
      <w:marRight w:val="0"/>
      <w:marTop w:val="0"/>
      <w:marBottom w:val="0"/>
      <w:divBdr>
        <w:top w:val="none" w:sz="0" w:space="0" w:color="auto"/>
        <w:left w:val="none" w:sz="0" w:space="0" w:color="auto"/>
        <w:bottom w:val="none" w:sz="0" w:space="0" w:color="auto"/>
        <w:right w:val="none" w:sz="0" w:space="0" w:color="auto"/>
      </w:divBdr>
      <w:divsChild>
        <w:div w:id="159666015">
          <w:marLeft w:val="0"/>
          <w:marRight w:val="0"/>
          <w:marTop w:val="0"/>
          <w:marBottom w:val="0"/>
          <w:divBdr>
            <w:top w:val="none" w:sz="0" w:space="0" w:color="auto"/>
            <w:left w:val="none" w:sz="0" w:space="0" w:color="auto"/>
            <w:bottom w:val="none" w:sz="0" w:space="0" w:color="auto"/>
            <w:right w:val="none" w:sz="0" w:space="0" w:color="auto"/>
          </w:divBdr>
          <w:divsChild>
            <w:div w:id="70308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4134086">
      <w:marLeft w:val="0"/>
      <w:marRight w:val="0"/>
      <w:marTop w:val="180"/>
      <w:marBottom w:val="0"/>
      <w:divBdr>
        <w:top w:val="none" w:sz="0" w:space="0" w:color="auto"/>
        <w:left w:val="none" w:sz="0" w:space="0" w:color="auto"/>
        <w:bottom w:val="none" w:sz="0" w:space="0" w:color="auto"/>
        <w:right w:val="none" w:sz="0" w:space="0" w:color="auto"/>
      </w:divBdr>
    </w:div>
    <w:div w:id="164563998">
      <w:marLeft w:val="0"/>
      <w:marRight w:val="0"/>
      <w:marTop w:val="0"/>
      <w:marBottom w:val="0"/>
      <w:divBdr>
        <w:top w:val="none" w:sz="0" w:space="0" w:color="auto"/>
        <w:left w:val="none" w:sz="0" w:space="0" w:color="auto"/>
        <w:bottom w:val="none" w:sz="0" w:space="0" w:color="auto"/>
        <w:right w:val="none" w:sz="0" w:space="0" w:color="auto"/>
      </w:divBdr>
      <w:divsChild>
        <w:div w:id="467016806">
          <w:marLeft w:val="0"/>
          <w:marRight w:val="0"/>
          <w:marTop w:val="0"/>
          <w:marBottom w:val="0"/>
          <w:divBdr>
            <w:top w:val="none" w:sz="0" w:space="0" w:color="auto"/>
            <w:left w:val="none" w:sz="0" w:space="0" w:color="auto"/>
            <w:bottom w:val="none" w:sz="0" w:space="0" w:color="auto"/>
            <w:right w:val="none" w:sz="0" w:space="0" w:color="auto"/>
          </w:divBdr>
          <w:divsChild>
            <w:div w:id="9016725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064322">
      <w:marLeft w:val="0"/>
      <w:marRight w:val="0"/>
      <w:marTop w:val="180"/>
      <w:marBottom w:val="0"/>
      <w:divBdr>
        <w:top w:val="none" w:sz="0" w:space="0" w:color="auto"/>
        <w:left w:val="none" w:sz="0" w:space="0" w:color="auto"/>
        <w:bottom w:val="none" w:sz="0" w:space="0" w:color="auto"/>
        <w:right w:val="none" w:sz="0" w:space="0" w:color="auto"/>
      </w:divBdr>
    </w:div>
    <w:div w:id="177892615">
      <w:marLeft w:val="0"/>
      <w:marRight w:val="0"/>
      <w:marTop w:val="180"/>
      <w:marBottom w:val="120"/>
      <w:divBdr>
        <w:top w:val="none" w:sz="0" w:space="0" w:color="auto"/>
        <w:left w:val="none" w:sz="0" w:space="0" w:color="auto"/>
        <w:bottom w:val="none" w:sz="0" w:space="0" w:color="auto"/>
        <w:right w:val="none" w:sz="0" w:space="0" w:color="auto"/>
      </w:divBdr>
    </w:div>
    <w:div w:id="183372537">
      <w:marLeft w:val="0"/>
      <w:marRight w:val="0"/>
      <w:marTop w:val="60"/>
      <w:marBottom w:val="120"/>
      <w:divBdr>
        <w:top w:val="none" w:sz="0" w:space="0" w:color="auto"/>
        <w:left w:val="none" w:sz="0" w:space="0" w:color="auto"/>
        <w:bottom w:val="none" w:sz="0" w:space="0" w:color="auto"/>
        <w:right w:val="none" w:sz="0" w:space="0" w:color="auto"/>
      </w:divBdr>
    </w:div>
    <w:div w:id="183518209">
      <w:marLeft w:val="0"/>
      <w:marRight w:val="0"/>
      <w:marTop w:val="180"/>
      <w:marBottom w:val="0"/>
      <w:divBdr>
        <w:top w:val="none" w:sz="0" w:space="0" w:color="auto"/>
        <w:left w:val="none" w:sz="0" w:space="0" w:color="auto"/>
        <w:bottom w:val="none" w:sz="0" w:space="0" w:color="auto"/>
        <w:right w:val="none" w:sz="0" w:space="0" w:color="auto"/>
      </w:divBdr>
    </w:div>
    <w:div w:id="195899008">
      <w:marLeft w:val="0"/>
      <w:marRight w:val="0"/>
      <w:marTop w:val="180"/>
      <w:marBottom w:val="0"/>
      <w:divBdr>
        <w:top w:val="none" w:sz="0" w:space="0" w:color="auto"/>
        <w:left w:val="none" w:sz="0" w:space="0" w:color="auto"/>
        <w:bottom w:val="none" w:sz="0" w:space="0" w:color="auto"/>
        <w:right w:val="none" w:sz="0" w:space="0" w:color="auto"/>
      </w:divBdr>
    </w:div>
    <w:div w:id="202594534">
      <w:marLeft w:val="0"/>
      <w:marRight w:val="0"/>
      <w:marTop w:val="0"/>
      <w:marBottom w:val="0"/>
      <w:divBdr>
        <w:top w:val="none" w:sz="0" w:space="0" w:color="auto"/>
        <w:left w:val="none" w:sz="0" w:space="0" w:color="auto"/>
        <w:bottom w:val="none" w:sz="0" w:space="0" w:color="auto"/>
        <w:right w:val="none" w:sz="0" w:space="0" w:color="auto"/>
      </w:divBdr>
      <w:divsChild>
        <w:div w:id="532229720">
          <w:marLeft w:val="0"/>
          <w:marRight w:val="0"/>
          <w:marTop w:val="0"/>
          <w:marBottom w:val="0"/>
          <w:divBdr>
            <w:top w:val="none" w:sz="0" w:space="0" w:color="auto"/>
            <w:left w:val="none" w:sz="0" w:space="0" w:color="auto"/>
            <w:bottom w:val="none" w:sz="0" w:space="0" w:color="auto"/>
            <w:right w:val="none" w:sz="0" w:space="0" w:color="auto"/>
          </w:divBdr>
          <w:divsChild>
            <w:div w:id="7681628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618474">
      <w:marLeft w:val="0"/>
      <w:marRight w:val="0"/>
      <w:marTop w:val="180"/>
      <w:marBottom w:val="0"/>
      <w:divBdr>
        <w:top w:val="none" w:sz="0" w:space="0" w:color="auto"/>
        <w:left w:val="none" w:sz="0" w:space="0" w:color="auto"/>
        <w:bottom w:val="none" w:sz="0" w:space="0" w:color="auto"/>
        <w:right w:val="none" w:sz="0" w:space="0" w:color="auto"/>
      </w:divBdr>
    </w:div>
    <w:div w:id="208080746">
      <w:marLeft w:val="0"/>
      <w:marRight w:val="0"/>
      <w:marTop w:val="180"/>
      <w:marBottom w:val="120"/>
      <w:divBdr>
        <w:top w:val="none" w:sz="0" w:space="0" w:color="auto"/>
        <w:left w:val="none" w:sz="0" w:space="0" w:color="auto"/>
        <w:bottom w:val="none" w:sz="0" w:space="0" w:color="auto"/>
        <w:right w:val="none" w:sz="0" w:space="0" w:color="auto"/>
      </w:divBdr>
    </w:div>
    <w:div w:id="212739991">
      <w:marLeft w:val="0"/>
      <w:marRight w:val="0"/>
      <w:marTop w:val="180"/>
      <w:marBottom w:val="0"/>
      <w:divBdr>
        <w:top w:val="none" w:sz="0" w:space="0" w:color="auto"/>
        <w:left w:val="none" w:sz="0" w:space="0" w:color="auto"/>
        <w:bottom w:val="none" w:sz="0" w:space="0" w:color="auto"/>
        <w:right w:val="none" w:sz="0" w:space="0" w:color="auto"/>
      </w:divBdr>
    </w:div>
    <w:div w:id="213196956">
      <w:marLeft w:val="0"/>
      <w:marRight w:val="0"/>
      <w:marTop w:val="240"/>
      <w:marBottom w:val="0"/>
      <w:divBdr>
        <w:top w:val="none" w:sz="0" w:space="0" w:color="auto"/>
        <w:left w:val="none" w:sz="0" w:space="0" w:color="auto"/>
        <w:bottom w:val="none" w:sz="0" w:space="0" w:color="auto"/>
        <w:right w:val="none" w:sz="0" w:space="0" w:color="auto"/>
      </w:divBdr>
    </w:div>
    <w:div w:id="215551390">
      <w:marLeft w:val="0"/>
      <w:marRight w:val="0"/>
      <w:marTop w:val="180"/>
      <w:marBottom w:val="0"/>
      <w:divBdr>
        <w:top w:val="none" w:sz="0" w:space="0" w:color="auto"/>
        <w:left w:val="none" w:sz="0" w:space="0" w:color="auto"/>
        <w:bottom w:val="none" w:sz="0" w:space="0" w:color="auto"/>
        <w:right w:val="none" w:sz="0" w:space="0" w:color="auto"/>
      </w:divBdr>
    </w:div>
    <w:div w:id="217132589">
      <w:marLeft w:val="0"/>
      <w:marRight w:val="0"/>
      <w:marTop w:val="180"/>
      <w:marBottom w:val="0"/>
      <w:divBdr>
        <w:top w:val="none" w:sz="0" w:space="0" w:color="auto"/>
        <w:left w:val="none" w:sz="0" w:space="0" w:color="auto"/>
        <w:bottom w:val="none" w:sz="0" w:space="0" w:color="auto"/>
        <w:right w:val="none" w:sz="0" w:space="0" w:color="auto"/>
      </w:divBdr>
    </w:div>
    <w:div w:id="219243894">
      <w:marLeft w:val="0"/>
      <w:marRight w:val="0"/>
      <w:marTop w:val="120"/>
      <w:marBottom w:val="0"/>
      <w:divBdr>
        <w:top w:val="none" w:sz="0" w:space="0" w:color="auto"/>
        <w:left w:val="none" w:sz="0" w:space="0" w:color="auto"/>
        <w:bottom w:val="none" w:sz="0" w:space="0" w:color="auto"/>
        <w:right w:val="none" w:sz="0" w:space="0" w:color="auto"/>
      </w:divBdr>
    </w:div>
    <w:div w:id="221059450">
      <w:marLeft w:val="0"/>
      <w:marRight w:val="0"/>
      <w:marTop w:val="180"/>
      <w:marBottom w:val="0"/>
      <w:divBdr>
        <w:top w:val="none" w:sz="0" w:space="0" w:color="auto"/>
        <w:left w:val="none" w:sz="0" w:space="0" w:color="auto"/>
        <w:bottom w:val="none" w:sz="0" w:space="0" w:color="auto"/>
        <w:right w:val="none" w:sz="0" w:space="0" w:color="auto"/>
      </w:divBdr>
    </w:div>
    <w:div w:id="222110034">
      <w:marLeft w:val="0"/>
      <w:marRight w:val="0"/>
      <w:marTop w:val="180"/>
      <w:marBottom w:val="0"/>
      <w:divBdr>
        <w:top w:val="none" w:sz="0" w:space="0" w:color="auto"/>
        <w:left w:val="none" w:sz="0" w:space="0" w:color="auto"/>
        <w:bottom w:val="none" w:sz="0" w:space="0" w:color="auto"/>
        <w:right w:val="none" w:sz="0" w:space="0" w:color="auto"/>
      </w:divBdr>
    </w:div>
    <w:div w:id="223227433">
      <w:marLeft w:val="0"/>
      <w:marRight w:val="0"/>
      <w:marTop w:val="180"/>
      <w:marBottom w:val="0"/>
      <w:divBdr>
        <w:top w:val="none" w:sz="0" w:space="0" w:color="auto"/>
        <w:left w:val="none" w:sz="0" w:space="0" w:color="auto"/>
        <w:bottom w:val="none" w:sz="0" w:space="0" w:color="auto"/>
        <w:right w:val="none" w:sz="0" w:space="0" w:color="auto"/>
      </w:divBdr>
    </w:div>
    <w:div w:id="227040591">
      <w:marLeft w:val="0"/>
      <w:marRight w:val="0"/>
      <w:marTop w:val="120"/>
      <w:marBottom w:val="120"/>
      <w:divBdr>
        <w:top w:val="none" w:sz="0" w:space="0" w:color="auto"/>
        <w:left w:val="none" w:sz="0" w:space="0" w:color="auto"/>
        <w:bottom w:val="none" w:sz="0" w:space="0" w:color="auto"/>
        <w:right w:val="none" w:sz="0" w:space="0" w:color="auto"/>
      </w:divBdr>
    </w:div>
    <w:div w:id="232468171">
      <w:marLeft w:val="0"/>
      <w:marRight w:val="0"/>
      <w:marTop w:val="180"/>
      <w:marBottom w:val="0"/>
      <w:divBdr>
        <w:top w:val="none" w:sz="0" w:space="0" w:color="auto"/>
        <w:left w:val="none" w:sz="0" w:space="0" w:color="auto"/>
        <w:bottom w:val="none" w:sz="0" w:space="0" w:color="auto"/>
        <w:right w:val="none" w:sz="0" w:space="0" w:color="auto"/>
      </w:divBdr>
    </w:div>
    <w:div w:id="235630868">
      <w:marLeft w:val="0"/>
      <w:marRight w:val="0"/>
      <w:marTop w:val="180"/>
      <w:marBottom w:val="0"/>
      <w:divBdr>
        <w:top w:val="none" w:sz="0" w:space="0" w:color="auto"/>
        <w:left w:val="none" w:sz="0" w:space="0" w:color="auto"/>
        <w:bottom w:val="none" w:sz="0" w:space="0" w:color="auto"/>
        <w:right w:val="none" w:sz="0" w:space="0" w:color="auto"/>
      </w:divBdr>
    </w:div>
    <w:div w:id="236091006">
      <w:marLeft w:val="0"/>
      <w:marRight w:val="0"/>
      <w:marTop w:val="180"/>
      <w:marBottom w:val="0"/>
      <w:divBdr>
        <w:top w:val="none" w:sz="0" w:space="0" w:color="auto"/>
        <w:left w:val="none" w:sz="0" w:space="0" w:color="auto"/>
        <w:bottom w:val="none" w:sz="0" w:space="0" w:color="auto"/>
        <w:right w:val="none" w:sz="0" w:space="0" w:color="auto"/>
      </w:divBdr>
    </w:div>
    <w:div w:id="239339002">
      <w:marLeft w:val="0"/>
      <w:marRight w:val="0"/>
      <w:marTop w:val="180"/>
      <w:marBottom w:val="0"/>
      <w:divBdr>
        <w:top w:val="none" w:sz="0" w:space="0" w:color="auto"/>
        <w:left w:val="none" w:sz="0" w:space="0" w:color="auto"/>
        <w:bottom w:val="none" w:sz="0" w:space="0" w:color="auto"/>
        <w:right w:val="none" w:sz="0" w:space="0" w:color="auto"/>
      </w:divBdr>
    </w:div>
    <w:div w:id="244999327">
      <w:marLeft w:val="0"/>
      <w:marRight w:val="0"/>
      <w:marTop w:val="180"/>
      <w:marBottom w:val="0"/>
      <w:divBdr>
        <w:top w:val="none" w:sz="0" w:space="0" w:color="auto"/>
        <w:left w:val="none" w:sz="0" w:space="0" w:color="auto"/>
        <w:bottom w:val="none" w:sz="0" w:space="0" w:color="auto"/>
        <w:right w:val="none" w:sz="0" w:space="0" w:color="auto"/>
      </w:divBdr>
    </w:div>
    <w:div w:id="249120893">
      <w:marLeft w:val="0"/>
      <w:marRight w:val="0"/>
      <w:marTop w:val="180"/>
      <w:marBottom w:val="0"/>
      <w:divBdr>
        <w:top w:val="none" w:sz="0" w:space="0" w:color="auto"/>
        <w:left w:val="none" w:sz="0" w:space="0" w:color="auto"/>
        <w:bottom w:val="none" w:sz="0" w:space="0" w:color="auto"/>
        <w:right w:val="none" w:sz="0" w:space="0" w:color="auto"/>
      </w:divBdr>
    </w:div>
    <w:div w:id="249239633">
      <w:marLeft w:val="0"/>
      <w:marRight w:val="0"/>
      <w:marTop w:val="300"/>
      <w:marBottom w:val="0"/>
      <w:divBdr>
        <w:top w:val="none" w:sz="0" w:space="0" w:color="auto"/>
        <w:left w:val="none" w:sz="0" w:space="0" w:color="auto"/>
        <w:bottom w:val="none" w:sz="0" w:space="0" w:color="auto"/>
        <w:right w:val="none" w:sz="0" w:space="0" w:color="auto"/>
      </w:divBdr>
    </w:div>
    <w:div w:id="249394673">
      <w:marLeft w:val="0"/>
      <w:marRight w:val="0"/>
      <w:marTop w:val="180"/>
      <w:marBottom w:val="60"/>
      <w:divBdr>
        <w:top w:val="none" w:sz="0" w:space="0" w:color="auto"/>
        <w:left w:val="none" w:sz="0" w:space="0" w:color="auto"/>
        <w:bottom w:val="none" w:sz="0" w:space="0" w:color="auto"/>
        <w:right w:val="none" w:sz="0" w:space="0" w:color="auto"/>
      </w:divBdr>
    </w:div>
    <w:div w:id="250044571">
      <w:marLeft w:val="0"/>
      <w:marRight w:val="0"/>
      <w:marTop w:val="240"/>
      <w:marBottom w:val="0"/>
      <w:divBdr>
        <w:top w:val="none" w:sz="0" w:space="0" w:color="auto"/>
        <w:left w:val="none" w:sz="0" w:space="0" w:color="auto"/>
        <w:bottom w:val="none" w:sz="0" w:space="0" w:color="auto"/>
        <w:right w:val="none" w:sz="0" w:space="0" w:color="auto"/>
      </w:divBdr>
    </w:div>
    <w:div w:id="255215192">
      <w:marLeft w:val="0"/>
      <w:marRight w:val="0"/>
      <w:marTop w:val="180"/>
      <w:marBottom w:val="180"/>
      <w:divBdr>
        <w:top w:val="none" w:sz="0" w:space="0" w:color="auto"/>
        <w:left w:val="none" w:sz="0" w:space="0" w:color="auto"/>
        <w:bottom w:val="none" w:sz="0" w:space="0" w:color="auto"/>
        <w:right w:val="none" w:sz="0" w:space="0" w:color="auto"/>
      </w:divBdr>
    </w:div>
    <w:div w:id="255871915">
      <w:marLeft w:val="0"/>
      <w:marRight w:val="0"/>
      <w:marTop w:val="180"/>
      <w:marBottom w:val="0"/>
      <w:divBdr>
        <w:top w:val="none" w:sz="0" w:space="0" w:color="auto"/>
        <w:left w:val="none" w:sz="0" w:space="0" w:color="auto"/>
        <w:bottom w:val="none" w:sz="0" w:space="0" w:color="auto"/>
        <w:right w:val="none" w:sz="0" w:space="0" w:color="auto"/>
      </w:divBdr>
    </w:div>
    <w:div w:id="266431566">
      <w:marLeft w:val="0"/>
      <w:marRight w:val="0"/>
      <w:marTop w:val="180"/>
      <w:marBottom w:val="120"/>
      <w:divBdr>
        <w:top w:val="none" w:sz="0" w:space="0" w:color="auto"/>
        <w:left w:val="none" w:sz="0" w:space="0" w:color="auto"/>
        <w:bottom w:val="none" w:sz="0" w:space="0" w:color="auto"/>
        <w:right w:val="none" w:sz="0" w:space="0" w:color="auto"/>
      </w:divBdr>
    </w:div>
    <w:div w:id="269435126">
      <w:marLeft w:val="0"/>
      <w:marRight w:val="0"/>
      <w:marTop w:val="240"/>
      <w:marBottom w:val="0"/>
      <w:divBdr>
        <w:top w:val="none" w:sz="0" w:space="0" w:color="auto"/>
        <w:left w:val="none" w:sz="0" w:space="0" w:color="auto"/>
        <w:bottom w:val="none" w:sz="0" w:space="0" w:color="auto"/>
        <w:right w:val="none" w:sz="0" w:space="0" w:color="auto"/>
      </w:divBdr>
    </w:div>
    <w:div w:id="270091274">
      <w:marLeft w:val="0"/>
      <w:marRight w:val="0"/>
      <w:marTop w:val="180"/>
      <w:marBottom w:val="0"/>
      <w:divBdr>
        <w:top w:val="none" w:sz="0" w:space="0" w:color="auto"/>
        <w:left w:val="none" w:sz="0" w:space="0" w:color="auto"/>
        <w:bottom w:val="none" w:sz="0" w:space="0" w:color="auto"/>
        <w:right w:val="none" w:sz="0" w:space="0" w:color="auto"/>
      </w:divBdr>
    </w:div>
    <w:div w:id="276837916">
      <w:marLeft w:val="0"/>
      <w:marRight w:val="0"/>
      <w:marTop w:val="240"/>
      <w:marBottom w:val="0"/>
      <w:divBdr>
        <w:top w:val="none" w:sz="0" w:space="0" w:color="auto"/>
        <w:left w:val="none" w:sz="0" w:space="0" w:color="auto"/>
        <w:bottom w:val="none" w:sz="0" w:space="0" w:color="auto"/>
        <w:right w:val="none" w:sz="0" w:space="0" w:color="auto"/>
      </w:divBdr>
    </w:div>
    <w:div w:id="281426361">
      <w:marLeft w:val="0"/>
      <w:marRight w:val="0"/>
      <w:marTop w:val="180"/>
      <w:marBottom w:val="0"/>
      <w:divBdr>
        <w:top w:val="none" w:sz="0" w:space="0" w:color="auto"/>
        <w:left w:val="none" w:sz="0" w:space="0" w:color="auto"/>
        <w:bottom w:val="none" w:sz="0" w:space="0" w:color="auto"/>
        <w:right w:val="none" w:sz="0" w:space="0" w:color="auto"/>
      </w:divBdr>
    </w:div>
    <w:div w:id="282813679">
      <w:marLeft w:val="0"/>
      <w:marRight w:val="0"/>
      <w:marTop w:val="180"/>
      <w:marBottom w:val="0"/>
      <w:divBdr>
        <w:top w:val="none" w:sz="0" w:space="0" w:color="auto"/>
        <w:left w:val="none" w:sz="0" w:space="0" w:color="auto"/>
        <w:bottom w:val="none" w:sz="0" w:space="0" w:color="auto"/>
        <w:right w:val="none" w:sz="0" w:space="0" w:color="auto"/>
      </w:divBdr>
    </w:div>
    <w:div w:id="284506220">
      <w:marLeft w:val="0"/>
      <w:marRight w:val="0"/>
      <w:marTop w:val="60"/>
      <w:marBottom w:val="0"/>
      <w:divBdr>
        <w:top w:val="none" w:sz="0" w:space="0" w:color="auto"/>
        <w:left w:val="none" w:sz="0" w:space="0" w:color="auto"/>
        <w:bottom w:val="none" w:sz="0" w:space="0" w:color="auto"/>
        <w:right w:val="none" w:sz="0" w:space="0" w:color="auto"/>
      </w:divBdr>
    </w:div>
    <w:div w:id="294914662">
      <w:marLeft w:val="0"/>
      <w:marRight w:val="0"/>
      <w:marTop w:val="180"/>
      <w:marBottom w:val="120"/>
      <w:divBdr>
        <w:top w:val="none" w:sz="0" w:space="0" w:color="auto"/>
        <w:left w:val="none" w:sz="0" w:space="0" w:color="auto"/>
        <w:bottom w:val="none" w:sz="0" w:space="0" w:color="auto"/>
        <w:right w:val="none" w:sz="0" w:space="0" w:color="auto"/>
      </w:divBdr>
    </w:div>
    <w:div w:id="294989566">
      <w:marLeft w:val="0"/>
      <w:marRight w:val="0"/>
      <w:marTop w:val="0"/>
      <w:marBottom w:val="0"/>
      <w:divBdr>
        <w:top w:val="none" w:sz="0" w:space="0" w:color="auto"/>
        <w:left w:val="none" w:sz="0" w:space="0" w:color="auto"/>
        <w:bottom w:val="none" w:sz="0" w:space="0" w:color="auto"/>
        <w:right w:val="none" w:sz="0" w:space="0" w:color="auto"/>
      </w:divBdr>
      <w:divsChild>
        <w:div w:id="1851873720">
          <w:marLeft w:val="0"/>
          <w:marRight w:val="0"/>
          <w:marTop w:val="180"/>
          <w:marBottom w:val="180"/>
          <w:divBdr>
            <w:top w:val="none" w:sz="0" w:space="0" w:color="auto"/>
            <w:left w:val="none" w:sz="0" w:space="0" w:color="auto"/>
            <w:bottom w:val="none" w:sz="0" w:space="0" w:color="auto"/>
            <w:right w:val="none" w:sz="0" w:space="0" w:color="auto"/>
          </w:divBdr>
        </w:div>
      </w:divsChild>
    </w:div>
    <w:div w:id="297809575">
      <w:marLeft w:val="0"/>
      <w:marRight w:val="0"/>
      <w:marTop w:val="180"/>
      <w:marBottom w:val="0"/>
      <w:divBdr>
        <w:top w:val="none" w:sz="0" w:space="0" w:color="auto"/>
        <w:left w:val="none" w:sz="0" w:space="0" w:color="auto"/>
        <w:bottom w:val="none" w:sz="0" w:space="0" w:color="auto"/>
        <w:right w:val="none" w:sz="0" w:space="0" w:color="auto"/>
      </w:divBdr>
    </w:div>
    <w:div w:id="299117096">
      <w:marLeft w:val="0"/>
      <w:marRight w:val="0"/>
      <w:marTop w:val="0"/>
      <w:marBottom w:val="0"/>
      <w:divBdr>
        <w:top w:val="none" w:sz="0" w:space="0" w:color="auto"/>
        <w:left w:val="none" w:sz="0" w:space="0" w:color="auto"/>
        <w:bottom w:val="none" w:sz="0" w:space="0" w:color="auto"/>
        <w:right w:val="none" w:sz="0" w:space="0" w:color="auto"/>
      </w:divBdr>
      <w:divsChild>
        <w:div w:id="96364632">
          <w:marLeft w:val="0"/>
          <w:marRight w:val="0"/>
          <w:marTop w:val="0"/>
          <w:marBottom w:val="0"/>
          <w:divBdr>
            <w:top w:val="none" w:sz="0" w:space="0" w:color="auto"/>
            <w:left w:val="none" w:sz="0" w:space="0" w:color="auto"/>
            <w:bottom w:val="none" w:sz="0" w:space="0" w:color="auto"/>
            <w:right w:val="none" w:sz="0" w:space="0" w:color="auto"/>
          </w:divBdr>
          <w:divsChild>
            <w:div w:id="695497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2855412">
      <w:marLeft w:val="0"/>
      <w:marRight w:val="0"/>
      <w:marTop w:val="120"/>
      <w:marBottom w:val="120"/>
      <w:divBdr>
        <w:top w:val="none" w:sz="0" w:space="0" w:color="auto"/>
        <w:left w:val="none" w:sz="0" w:space="0" w:color="auto"/>
        <w:bottom w:val="none" w:sz="0" w:space="0" w:color="auto"/>
        <w:right w:val="none" w:sz="0" w:space="0" w:color="auto"/>
      </w:divBdr>
    </w:div>
    <w:div w:id="309867075">
      <w:marLeft w:val="0"/>
      <w:marRight w:val="0"/>
      <w:marTop w:val="180"/>
      <w:marBottom w:val="0"/>
      <w:divBdr>
        <w:top w:val="none" w:sz="0" w:space="0" w:color="auto"/>
        <w:left w:val="none" w:sz="0" w:space="0" w:color="auto"/>
        <w:bottom w:val="none" w:sz="0" w:space="0" w:color="auto"/>
        <w:right w:val="none" w:sz="0" w:space="0" w:color="auto"/>
      </w:divBdr>
    </w:div>
    <w:div w:id="312608185">
      <w:marLeft w:val="0"/>
      <w:marRight w:val="0"/>
      <w:marTop w:val="180"/>
      <w:marBottom w:val="0"/>
      <w:divBdr>
        <w:top w:val="none" w:sz="0" w:space="0" w:color="auto"/>
        <w:left w:val="none" w:sz="0" w:space="0" w:color="auto"/>
        <w:bottom w:val="none" w:sz="0" w:space="0" w:color="auto"/>
        <w:right w:val="none" w:sz="0" w:space="0" w:color="auto"/>
      </w:divBdr>
    </w:div>
    <w:div w:id="313074022">
      <w:marLeft w:val="0"/>
      <w:marRight w:val="0"/>
      <w:marTop w:val="60"/>
      <w:marBottom w:val="0"/>
      <w:divBdr>
        <w:top w:val="none" w:sz="0" w:space="0" w:color="auto"/>
        <w:left w:val="none" w:sz="0" w:space="0" w:color="auto"/>
        <w:bottom w:val="none" w:sz="0" w:space="0" w:color="auto"/>
        <w:right w:val="none" w:sz="0" w:space="0" w:color="auto"/>
      </w:divBdr>
    </w:div>
    <w:div w:id="314378469">
      <w:marLeft w:val="0"/>
      <w:marRight w:val="0"/>
      <w:marTop w:val="240"/>
      <w:marBottom w:val="0"/>
      <w:divBdr>
        <w:top w:val="none" w:sz="0" w:space="0" w:color="auto"/>
        <w:left w:val="none" w:sz="0" w:space="0" w:color="auto"/>
        <w:bottom w:val="none" w:sz="0" w:space="0" w:color="auto"/>
        <w:right w:val="none" w:sz="0" w:space="0" w:color="auto"/>
      </w:divBdr>
    </w:div>
    <w:div w:id="323706471">
      <w:marLeft w:val="0"/>
      <w:marRight w:val="0"/>
      <w:marTop w:val="0"/>
      <w:marBottom w:val="0"/>
      <w:divBdr>
        <w:top w:val="none" w:sz="0" w:space="0" w:color="auto"/>
        <w:left w:val="none" w:sz="0" w:space="0" w:color="auto"/>
        <w:bottom w:val="none" w:sz="0" w:space="0" w:color="auto"/>
        <w:right w:val="none" w:sz="0" w:space="0" w:color="auto"/>
      </w:divBdr>
      <w:divsChild>
        <w:div w:id="210969376">
          <w:marLeft w:val="0"/>
          <w:marRight w:val="0"/>
          <w:marTop w:val="180"/>
          <w:marBottom w:val="180"/>
          <w:divBdr>
            <w:top w:val="none" w:sz="0" w:space="0" w:color="auto"/>
            <w:left w:val="none" w:sz="0" w:space="0" w:color="auto"/>
            <w:bottom w:val="none" w:sz="0" w:space="0" w:color="auto"/>
            <w:right w:val="none" w:sz="0" w:space="0" w:color="auto"/>
          </w:divBdr>
        </w:div>
      </w:divsChild>
    </w:div>
    <w:div w:id="323750230">
      <w:marLeft w:val="0"/>
      <w:marRight w:val="0"/>
      <w:marTop w:val="180"/>
      <w:marBottom w:val="0"/>
      <w:divBdr>
        <w:top w:val="none" w:sz="0" w:space="0" w:color="auto"/>
        <w:left w:val="none" w:sz="0" w:space="0" w:color="auto"/>
        <w:bottom w:val="none" w:sz="0" w:space="0" w:color="auto"/>
        <w:right w:val="none" w:sz="0" w:space="0" w:color="auto"/>
      </w:divBdr>
    </w:div>
    <w:div w:id="324283842">
      <w:marLeft w:val="0"/>
      <w:marRight w:val="0"/>
      <w:marTop w:val="120"/>
      <w:marBottom w:val="0"/>
      <w:divBdr>
        <w:top w:val="none" w:sz="0" w:space="0" w:color="auto"/>
        <w:left w:val="none" w:sz="0" w:space="0" w:color="auto"/>
        <w:bottom w:val="none" w:sz="0" w:space="0" w:color="auto"/>
        <w:right w:val="none" w:sz="0" w:space="0" w:color="auto"/>
      </w:divBdr>
    </w:div>
    <w:div w:id="325285136">
      <w:marLeft w:val="0"/>
      <w:marRight w:val="0"/>
      <w:marTop w:val="180"/>
      <w:marBottom w:val="0"/>
      <w:divBdr>
        <w:top w:val="none" w:sz="0" w:space="0" w:color="auto"/>
        <w:left w:val="none" w:sz="0" w:space="0" w:color="auto"/>
        <w:bottom w:val="none" w:sz="0" w:space="0" w:color="auto"/>
        <w:right w:val="none" w:sz="0" w:space="0" w:color="auto"/>
      </w:divBdr>
    </w:div>
    <w:div w:id="325670010">
      <w:marLeft w:val="0"/>
      <w:marRight w:val="0"/>
      <w:marTop w:val="240"/>
      <w:marBottom w:val="180"/>
      <w:divBdr>
        <w:top w:val="none" w:sz="0" w:space="0" w:color="auto"/>
        <w:left w:val="none" w:sz="0" w:space="0" w:color="auto"/>
        <w:bottom w:val="none" w:sz="0" w:space="0" w:color="auto"/>
        <w:right w:val="none" w:sz="0" w:space="0" w:color="auto"/>
      </w:divBdr>
    </w:div>
    <w:div w:id="328825147">
      <w:marLeft w:val="0"/>
      <w:marRight w:val="0"/>
      <w:marTop w:val="180"/>
      <w:marBottom w:val="120"/>
      <w:divBdr>
        <w:top w:val="none" w:sz="0" w:space="0" w:color="auto"/>
        <w:left w:val="none" w:sz="0" w:space="0" w:color="auto"/>
        <w:bottom w:val="none" w:sz="0" w:space="0" w:color="auto"/>
        <w:right w:val="none" w:sz="0" w:space="0" w:color="auto"/>
      </w:divBdr>
    </w:div>
    <w:div w:id="337122726">
      <w:marLeft w:val="0"/>
      <w:marRight w:val="0"/>
      <w:marTop w:val="180"/>
      <w:marBottom w:val="120"/>
      <w:divBdr>
        <w:top w:val="none" w:sz="0" w:space="0" w:color="auto"/>
        <w:left w:val="none" w:sz="0" w:space="0" w:color="auto"/>
        <w:bottom w:val="none" w:sz="0" w:space="0" w:color="auto"/>
        <w:right w:val="none" w:sz="0" w:space="0" w:color="auto"/>
      </w:divBdr>
    </w:div>
    <w:div w:id="350958376">
      <w:marLeft w:val="0"/>
      <w:marRight w:val="0"/>
      <w:marTop w:val="60"/>
      <w:marBottom w:val="0"/>
      <w:divBdr>
        <w:top w:val="none" w:sz="0" w:space="0" w:color="auto"/>
        <w:left w:val="none" w:sz="0" w:space="0" w:color="auto"/>
        <w:bottom w:val="none" w:sz="0" w:space="0" w:color="auto"/>
        <w:right w:val="none" w:sz="0" w:space="0" w:color="auto"/>
      </w:divBdr>
    </w:div>
    <w:div w:id="352919615">
      <w:marLeft w:val="0"/>
      <w:marRight w:val="0"/>
      <w:marTop w:val="0"/>
      <w:marBottom w:val="0"/>
      <w:divBdr>
        <w:top w:val="none" w:sz="0" w:space="0" w:color="auto"/>
        <w:left w:val="none" w:sz="0" w:space="0" w:color="auto"/>
        <w:bottom w:val="none" w:sz="0" w:space="0" w:color="auto"/>
        <w:right w:val="none" w:sz="0" w:space="0" w:color="auto"/>
      </w:divBdr>
    </w:div>
    <w:div w:id="355690620">
      <w:marLeft w:val="0"/>
      <w:marRight w:val="0"/>
      <w:marTop w:val="180"/>
      <w:marBottom w:val="0"/>
      <w:divBdr>
        <w:top w:val="none" w:sz="0" w:space="0" w:color="auto"/>
        <w:left w:val="none" w:sz="0" w:space="0" w:color="auto"/>
        <w:bottom w:val="none" w:sz="0" w:space="0" w:color="auto"/>
        <w:right w:val="none" w:sz="0" w:space="0" w:color="auto"/>
      </w:divBdr>
    </w:div>
    <w:div w:id="361782806">
      <w:marLeft w:val="0"/>
      <w:marRight w:val="0"/>
      <w:marTop w:val="180"/>
      <w:marBottom w:val="0"/>
      <w:divBdr>
        <w:top w:val="none" w:sz="0" w:space="0" w:color="auto"/>
        <w:left w:val="none" w:sz="0" w:space="0" w:color="auto"/>
        <w:bottom w:val="none" w:sz="0" w:space="0" w:color="auto"/>
        <w:right w:val="none" w:sz="0" w:space="0" w:color="auto"/>
      </w:divBdr>
    </w:div>
    <w:div w:id="364717734">
      <w:marLeft w:val="0"/>
      <w:marRight w:val="0"/>
      <w:marTop w:val="180"/>
      <w:marBottom w:val="0"/>
      <w:divBdr>
        <w:top w:val="none" w:sz="0" w:space="0" w:color="auto"/>
        <w:left w:val="none" w:sz="0" w:space="0" w:color="auto"/>
        <w:bottom w:val="none" w:sz="0" w:space="0" w:color="auto"/>
        <w:right w:val="none" w:sz="0" w:space="0" w:color="auto"/>
      </w:divBdr>
    </w:div>
    <w:div w:id="366293488">
      <w:marLeft w:val="0"/>
      <w:marRight w:val="0"/>
      <w:marTop w:val="120"/>
      <w:marBottom w:val="120"/>
      <w:divBdr>
        <w:top w:val="none" w:sz="0" w:space="0" w:color="auto"/>
        <w:left w:val="none" w:sz="0" w:space="0" w:color="auto"/>
        <w:bottom w:val="none" w:sz="0" w:space="0" w:color="auto"/>
        <w:right w:val="none" w:sz="0" w:space="0" w:color="auto"/>
      </w:divBdr>
    </w:div>
    <w:div w:id="370418682">
      <w:marLeft w:val="0"/>
      <w:marRight w:val="0"/>
      <w:marTop w:val="120"/>
      <w:marBottom w:val="120"/>
      <w:divBdr>
        <w:top w:val="none" w:sz="0" w:space="0" w:color="auto"/>
        <w:left w:val="none" w:sz="0" w:space="0" w:color="auto"/>
        <w:bottom w:val="none" w:sz="0" w:space="0" w:color="auto"/>
        <w:right w:val="none" w:sz="0" w:space="0" w:color="auto"/>
      </w:divBdr>
    </w:div>
    <w:div w:id="376975588">
      <w:marLeft w:val="0"/>
      <w:marRight w:val="0"/>
      <w:marTop w:val="180"/>
      <w:marBottom w:val="0"/>
      <w:divBdr>
        <w:top w:val="none" w:sz="0" w:space="0" w:color="auto"/>
        <w:left w:val="none" w:sz="0" w:space="0" w:color="auto"/>
        <w:bottom w:val="none" w:sz="0" w:space="0" w:color="auto"/>
        <w:right w:val="none" w:sz="0" w:space="0" w:color="auto"/>
      </w:divBdr>
    </w:div>
    <w:div w:id="400182936">
      <w:marLeft w:val="0"/>
      <w:marRight w:val="0"/>
      <w:marTop w:val="0"/>
      <w:marBottom w:val="0"/>
      <w:divBdr>
        <w:top w:val="none" w:sz="0" w:space="0" w:color="auto"/>
        <w:left w:val="none" w:sz="0" w:space="0" w:color="auto"/>
        <w:bottom w:val="none" w:sz="0" w:space="0" w:color="auto"/>
        <w:right w:val="none" w:sz="0" w:space="0" w:color="auto"/>
      </w:divBdr>
      <w:divsChild>
        <w:div w:id="1190802256">
          <w:marLeft w:val="0"/>
          <w:marRight w:val="0"/>
          <w:marTop w:val="0"/>
          <w:marBottom w:val="0"/>
          <w:divBdr>
            <w:top w:val="none" w:sz="0" w:space="0" w:color="auto"/>
            <w:left w:val="none" w:sz="0" w:space="0" w:color="auto"/>
            <w:bottom w:val="none" w:sz="0" w:space="0" w:color="auto"/>
            <w:right w:val="none" w:sz="0" w:space="0" w:color="auto"/>
          </w:divBdr>
          <w:divsChild>
            <w:div w:id="10486438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06001003">
      <w:marLeft w:val="0"/>
      <w:marRight w:val="0"/>
      <w:marTop w:val="60"/>
      <w:marBottom w:val="0"/>
      <w:divBdr>
        <w:top w:val="none" w:sz="0" w:space="0" w:color="auto"/>
        <w:left w:val="none" w:sz="0" w:space="0" w:color="auto"/>
        <w:bottom w:val="none" w:sz="0" w:space="0" w:color="auto"/>
        <w:right w:val="none" w:sz="0" w:space="0" w:color="auto"/>
      </w:divBdr>
    </w:div>
    <w:div w:id="406197036">
      <w:marLeft w:val="0"/>
      <w:marRight w:val="0"/>
      <w:marTop w:val="180"/>
      <w:marBottom w:val="0"/>
      <w:divBdr>
        <w:top w:val="none" w:sz="0" w:space="0" w:color="auto"/>
        <w:left w:val="none" w:sz="0" w:space="0" w:color="auto"/>
        <w:bottom w:val="none" w:sz="0" w:space="0" w:color="auto"/>
        <w:right w:val="none" w:sz="0" w:space="0" w:color="auto"/>
      </w:divBdr>
    </w:div>
    <w:div w:id="418412432">
      <w:marLeft w:val="0"/>
      <w:marRight w:val="0"/>
      <w:marTop w:val="180"/>
      <w:marBottom w:val="0"/>
      <w:divBdr>
        <w:top w:val="none" w:sz="0" w:space="0" w:color="auto"/>
        <w:left w:val="none" w:sz="0" w:space="0" w:color="auto"/>
        <w:bottom w:val="none" w:sz="0" w:space="0" w:color="auto"/>
        <w:right w:val="none" w:sz="0" w:space="0" w:color="auto"/>
      </w:divBdr>
    </w:div>
    <w:div w:id="420879945">
      <w:marLeft w:val="0"/>
      <w:marRight w:val="0"/>
      <w:marTop w:val="180"/>
      <w:marBottom w:val="0"/>
      <w:divBdr>
        <w:top w:val="none" w:sz="0" w:space="0" w:color="auto"/>
        <w:left w:val="none" w:sz="0" w:space="0" w:color="auto"/>
        <w:bottom w:val="none" w:sz="0" w:space="0" w:color="auto"/>
        <w:right w:val="none" w:sz="0" w:space="0" w:color="auto"/>
      </w:divBdr>
    </w:div>
    <w:div w:id="421226708">
      <w:marLeft w:val="0"/>
      <w:marRight w:val="0"/>
      <w:marTop w:val="180"/>
      <w:marBottom w:val="0"/>
      <w:divBdr>
        <w:top w:val="none" w:sz="0" w:space="0" w:color="auto"/>
        <w:left w:val="none" w:sz="0" w:space="0" w:color="auto"/>
        <w:bottom w:val="none" w:sz="0" w:space="0" w:color="auto"/>
        <w:right w:val="none" w:sz="0" w:space="0" w:color="auto"/>
      </w:divBdr>
    </w:div>
    <w:div w:id="421487426">
      <w:marLeft w:val="0"/>
      <w:marRight w:val="0"/>
      <w:marTop w:val="0"/>
      <w:marBottom w:val="0"/>
      <w:divBdr>
        <w:top w:val="none" w:sz="0" w:space="0" w:color="auto"/>
        <w:left w:val="none" w:sz="0" w:space="0" w:color="auto"/>
        <w:bottom w:val="none" w:sz="0" w:space="0" w:color="auto"/>
        <w:right w:val="none" w:sz="0" w:space="0" w:color="auto"/>
      </w:divBdr>
      <w:divsChild>
        <w:div w:id="1851093601">
          <w:marLeft w:val="0"/>
          <w:marRight w:val="0"/>
          <w:marTop w:val="0"/>
          <w:marBottom w:val="0"/>
          <w:divBdr>
            <w:top w:val="none" w:sz="0" w:space="0" w:color="auto"/>
            <w:left w:val="none" w:sz="0" w:space="0" w:color="auto"/>
            <w:bottom w:val="none" w:sz="0" w:space="0" w:color="auto"/>
            <w:right w:val="none" w:sz="0" w:space="0" w:color="auto"/>
          </w:divBdr>
          <w:divsChild>
            <w:div w:id="14190147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33866234">
      <w:marLeft w:val="0"/>
      <w:marRight w:val="0"/>
      <w:marTop w:val="60"/>
      <w:marBottom w:val="120"/>
      <w:divBdr>
        <w:top w:val="none" w:sz="0" w:space="0" w:color="auto"/>
        <w:left w:val="none" w:sz="0" w:space="0" w:color="auto"/>
        <w:bottom w:val="none" w:sz="0" w:space="0" w:color="auto"/>
        <w:right w:val="none" w:sz="0" w:space="0" w:color="auto"/>
      </w:divBdr>
    </w:div>
    <w:div w:id="434207289">
      <w:marLeft w:val="0"/>
      <w:marRight w:val="0"/>
      <w:marTop w:val="180"/>
      <w:marBottom w:val="0"/>
      <w:divBdr>
        <w:top w:val="none" w:sz="0" w:space="0" w:color="auto"/>
        <w:left w:val="none" w:sz="0" w:space="0" w:color="auto"/>
        <w:bottom w:val="none" w:sz="0" w:space="0" w:color="auto"/>
        <w:right w:val="none" w:sz="0" w:space="0" w:color="auto"/>
      </w:divBdr>
    </w:div>
    <w:div w:id="434403499">
      <w:marLeft w:val="0"/>
      <w:marRight w:val="0"/>
      <w:marTop w:val="180"/>
      <w:marBottom w:val="0"/>
      <w:divBdr>
        <w:top w:val="none" w:sz="0" w:space="0" w:color="auto"/>
        <w:left w:val="none" w:sz="0" w:space="0" w:color="auto"/>
        <w:bottom w:val="none" w:sz="0" w:space="0" w:color="auto"/>
        <w:right w:val="none" w:sz="0" w:space="0" w:color="auto"/>
      </w:divBdr>
    </w:div>
    <w:div w:id="437725435">
      <w:marLeft w:val="0"/>
      <w:marRight w:val="0"/>
      <w:marTop w:val="60"/>
      <w:marBottom w:val="120"/>
      <w:divBdr>
        <w:top w:val="none" w:sz="0" w:space="0" w:color="auto"/>
        <w:left w:val="none" w:sz="0" w:space="0" w:color="auto"/>
        <w:bottom w:val="none" w:sz="0" w:space="0" w:color="auto"/>
        <w:right w:val="none" w:sz="0" w:space="0" w:color="auto"/>
      </w:divBdr>
    </w:div>
    <w:div w:id="437726427">
      <w:marLeft w:val="0"/>
      <w:marRight w:val="0"/>
      <w:marTop w:val="0"/>
      <w:marBottom w:val="0"/>
      <w:divBdr>
        <w:top w:val="none" w:sz="0" w:space="0" w:color="auto"/>
        <w:left w:val="none" w:sz="0" w:space="0" w:color="auto"/>
        <w:bottom w:val="none" w:sz="0" w:space="0" w:color="auto"/>
        <w:right w:val="none" w:sz="0" w:space="0" w:color="auto"/>
      </w:divBdr>
      <w:divsChild>
        <w:div w:id="711611682">
          <w:marLeft w:val="0"/>
          <w:marRight w:val="0"/>
          <w:marTop w:val="0"/>
          <w:marBottom w:val="0"/>
          <w:divBdr>
            <w:top w:val="none" w:sz="0" w:space="0" w:color="auto"/>
            <w:left w:val="none" w:sz="0" w:space="0" w:color="auto"/>
            <w:bottom w:val="none" w:sz="0" w:space="0" w:color="auto"/>
            <w:right w:val="none" w:sz="0" w:space="0" w:color="auto"/>
          </w:divBdr>
          <w:divsChild>
            <w:div w:id="10451336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40035088">
      <w:marLeft w:val="0"/>
      <w:marRight w:val="0"/>
      <w:marTop w:val="180"/>
      <w:marBottom w:val="0"/>
      <w:divBdr>
        <w:top w:val="none" w:sz="0" w:space="0" w:color="auto"/>
        <w:left w:val="none" w:sz="0" w:space="0" w:color="auto"/>
        <w:bottom w:val="none" w:sz="0" w:space="0" w:color="auto"/>
        <w:right w:val="none" w:sz="0" w:space="0" w:color="auto"/>
      </w:divBdr>
    </w:div>
    <w:div w:id="441269241">
      <w:marLeft w:val="0"/>
      <w:marRight w:val="0"/>
      <w:marTop w:val="240"/>
      <w:marBottom w:val="0"/>
      <w:divBdr>
        <w:top w:val="none" w:sz="0" w:space="0" w:color="auto"/>
        <w:left w:val="none" w:sz="0" w:space="0" w:color="auto"/>
        <w:bottom w:val="none" w:sz="0" w:space="0" w:color="auto"/>
        <w:right w:val="none" w:sz="0" w:space="0" w:color="auto"/>
      </w:divBdr>
    </w:div>
    <w:div w:id="447358834">
      <w:marLeft w:val="0"/>
      <w:marRight w:val="0"/>
      <w:marTop w:val="0"/>
      <w:marBottom w:val="0"/>
      <w:divBdr>
        <w:top w:val="none" w:sz="0" w:space="0" w:color="auto"/>
        <w:left w:val="none" w:sz="0" w:space="0" w:color="auto"/>
        <w:bottom w:val="none" w:sz="0" w:space="0" w:color="auto"/>
        <w:right w:val="none" w:sz="0" w:space="0" w:color="auto"/>
      </w:divBdr>
      <w:divsChild>
        <w:div w:id="1138718632">
          <w:marLeft w:val="0"/>
          <w:marRight w:val="0"/>
          <w:marTop w:val="0"/>
          <w:marBottom w:val="0"/>
          <w:divBdr>
            <w:top w:val="none" w:sz="0" w:space="0" w:color="auto"/>
            <w:left w:val="none" w:sz="0" w:space="0" w:color="auto"/>
            <w:bottom w:val="none" w:sz="0" w:space="0" w:color="auto"/>
            <w:right w:val="none" w:sz="0" w:space="0" w:color="auto"/>
          </w:divBdr>
          <w:divsChild>
            <w:div w:id="11217259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4467126">
      <w:marLeft w:val="0"/>
      <w:marRight w:val="0"/>
      <w:marTop w:val="180"/>
      <w:marBottom w:val="0"/>
      <w:divBdr>
        <w:top w:val="none" w:sz="0" w:space="0" w:color="auto"/>
        <w:left w:val="none" w:sz="0" w:space="0" w:color="auto"/>
        <w:bottom w:val="none" w:sz="0" w:space="0" w:color="auto"/>
        <w:right w:val="none" w:sz="0" w:space="0" w:color="auto"/>
      </w:divBdr>
    </w:div>
    <w:div w:id="478617339">
      <w:marLeft w:val="0"/>
      <w:marRight w:val="0"/>
      <w:marTop w:val="0"/>
      <w:marBottom w:val="0"/>
      <w:divBdr>
        <w:top w:val="none" w:sz="0" w:space="0" w:color="auto"/>
        <w:left w:val="none" w:sz="0" w:space="0" w:color="auto"/>
        <w:bottom w:val="none" w:sz="0" w:space="0" w:color="auto"/>
        <w:right w:val="none" w:sz="0" w:space="0" w:color="auto"/>
      </w:divBdr>
      <w:divsChild>
        <w:div w:id="378751822">
          <w:marLeft w:val="0"/>
          <w:marRight w:val="0"/>
          <w:marTop w:val="180"/>
          <w:marBottom w:val="180"/>
          <w:divBdr>
            <w:top w:val="none" w:sz="0" w:space="0" w:color="auto"/>
            <w:left w:val="none" w:sz="0" w:space="0" w:color="auto"/>
            <w:bottom w:val="none" w:sz="0" w:space="0" w:color="auto"/>
            <w:right w:val="none" w:sz="0" w:space="0" w:color="auto"/>
          </w:divBdr>
        </w:div>
      </w:divsChild>
    </w:div>
    <w:div w:id="479342761">
      <w:marLeft w:val="0"/>
      <w:marRight w:val="0"/>
      <w:marTop w:val="120"/>
      <w:marBottom w:val="120"/>
      <w:divBdr>
        <w:top w:val="none" w:sz="0" w:space="0" w:color="auto"/>
        <w:left w:val="none" w:sz="0" w:space="0" w:color="auto"/>
        <w:bottom w:val="none" w:sz="0" w:space="0" w:color="auto"/>
        <w:right w:val="none" w:sz="0" w:space="0" w:color="auto"/>
      </w:divBdr>
    </w:div>
    <w:div w:id="482812822">
      <w:marLeft w:val="0"/>
      <w:marRight w:val="0"/>
      <w:marTop w:val="180"/>
      <w:marBottom w:val="0"/>
      <w:divBdr>
        <w:top w:val="none" w:sz="0" w:space="0" w:color="auto"/>
        <w:left w:val="none" w:sz="0" w:space="0" w:color="auto"/>
        <w:bottom w:val="none" w:sz="0" w:space="0" w:color="auto"/>
        <w:right w:val="none" w:sz="0" w:space="0" w:color="auto"/>
      </w:divBdr>
    </w:div>
    <w:div w:id="482935153">
      <w:marLeft w:val="0"/>
      <w:marRight w:val="0"/>
      <w:marTop w:val="120"/>
      <w:marBottom w:val="0"/>
      <w:divBdr>
        <w:top w:val="none" w:sz="0" w:space="0" w:color="auto"/>
        <w:left w:val="none" w:sz="0" w:space="0" w:color="auto"/>
        <w:bottom w:val="none" w:sz="0" w:space="0" w:color="auto"/>
        <w:right w:val="none" w:sz="0" w:space="0" w:color="auto"/>
      </w:divBdr>
    </w:div>
    <w:div w:id="485629113">
      <w:marLeft w:val="0"/>
      <w:marRight w:val="0"/>
      <w:marTop w:val="60"/>
      <w:marBottom w:val="120"/>
      <w:divBdr>
        <w:top w:val="none" w:sz="0" w:space="0" w:color="auto"/>
        <w:left w:val="none" w:sz="0" w:space="0" w:color="auto"/>
        <w:bottom w:val="none" w:sz="0" w:space="0" w:color="auto"/>
        <w:right w:val="none" w:sz="0" w:space="0" w:color="auto"/>
      </w:divBdr>
    </w:div>
    <w:div w:id="493647421">
      <w:marLeft w:val="0"/>
      <w:marRight w:val="0"/>
      <w:marTop w:val="180"/>
      <w:marBottom w:val="0"/>
      <w:divBdr>
        <w:top w:val="none" w:sz="0" w:space="0" w:color="auto"/>
        <w:left w:val="none" w:sz="0" w:space="0" w:color="auto"/>
        <w:bottom w:val="none" w:sz="0" w:space="0" w:color="auto"/>
        <w:right w:val="none" w:sz="0" w:space="0" w:color="auto"/>
      </w:divBdr>
    </w:div>
    <w:div w:id="494539044">
      <w:marLeft w:val="0"/>
      <w:marRight w:val="0"/>
      <w:marTop w:val="240"/>
      <w:marBottom w:val="0"/>
      <w:divBdr>
        <w:top w:val="none" w:sz="0" w:space="0" w:color="auto"/>
        <w:left w:val="none" w:sz="0" w:space="0" w:color="auto"/>
        <w:bottom w:val="none" w:sz="0" w:space="0" w:color="auto"/>
        <w:right w:val="none" w:sz="0" w:space="0" w:color="auto"/>
      </w:divBdr>
    </w:div>
    <w:div w:id="497767667">
      <w:marLeft w:val="0"/>
      <w:marRight w:val="0"/>
      <w:marTop w:val="180"/>
      <w:marBottom w:val="120"/>
      <w:divBdr>
        <w:top w:val="none" w:sz="0" w:space="0" w:color="auto"/>
        <w:left w:val="none" w:sz="0" w:space="0" w:color="auto"/>
        <w:bottom w:val="none" w:sz="0" w:space="0" w:color="auto"/>
        <w:right w:val="none" w:sz="0" w:space="0" w:color="auto"/>
      </w:divBdr>
    </w:div>
    <w:div w:id="506141167">
      <w:marLeft w:val="0"/>
      <w:marRight w:val="0"/>
      <w:marTop w:val="180"/>
      <w:marBottom w:val="0"/>
      <w:divBdr>
        <w:top w:val="none" w:sz="0" w:space="0" w:color="auto"/>
        <w:left w:val="none" w:sz="0" w:space="0" w:color="auto"/>
        <w:bottom w:val="none" w:sz="0" w:space="0" w:color="auto"/>
        <w:right w:val="none" w:sz="0" w:space="0" w:color="auto"/>
      </w:divBdr>
    </w:div>
    <w:div w:id="507520436">
      <w:marLeft w:val="0"/>
      <w:marRight w:val="0"/>
      <w:marTop w:val="180"/>
      <w:marBottom w:val="0"/>
      <w:divBdr>
        <w:top w:val="none" w:sz="0" w:space="0" w:color="auto"/>
        <w:left w:val="none" w:sz="0" w:space="0" w:color="auto"/>
        <w:bottom w:val="none" w:sz="0" w:space="0" w:color="auto"/>
        <w:right w:val="none" w:sz="0" w:space="0" w:color="auto"/>
      </w:divBdr>
    </w:div>
    <w:div w:id="517624806">
      <w:marLeft w:val="0"/>
      <w:marRight w:val="0"/>
      <w:marTop w:val="180"/>
      <w:marBottom w:val="0"/>
      <w:divBdr>
        <w:top w:val="none" w:sz="0" w:space="0" w:color="auto"/>
        <w:left w:val="none" w:sz="0" w:space="0" w:color="auto"/>
        <w:bottom w:val="none" w:sz="0" w:space="0" w:color="auto"/>
        <w:right w:val="none" w:sz="0" w:space="0" w:color="auto"/>
      </w:divBdr>
    </w:div>
    <w:div w:id="518470296">
      <w:marLeft w:val="0"/>
      <w:marRight w:val="0"/>
      <w:marTop w:val="180"/>
      <w:marBottom w:val="0"/>
      <w:divBdr>
        <w:top w:val="none" w:sz="0" w:space="0" w:color="auto"/>
        <w:left w:val="none" w:sz="0" w:space="0" w:color="auto"/>
        <w:bottom w:val="none" w:sz="0" w:space="0" w:color="auto"/>
        <w:right w:val="none" w:sz="0" w:space="0" w:color="auto"/>
      </w:divBdr>
    </w:div>
    <w:div w:id="529803771">
      <w:marLeft w:val="0"/>
      <w:marRight w:val="0"/>
      <w:marTop w:val="0"/>
      <w:marBottom w:val="0"/>
      <w:divBdr>
        <w:top w:val="none" w:sz="0" w:space="0" w:color="auto"/>
        <w:left w:val="none" w:sz="0" w:space="0" w:color="auto"/>
        <w:bottom w:val="none" w:sz="0" w:space="0" w:color="auto"/>
        <w:right w:val="none" w:sz="0" w:space="0" w:color="auto"/>
      </w:divBdr>
      <w:divsChild>
        <w:div w:id="1142693347">
          <w:marLeft w:val="0"/>
          <w:marRight w:val="0"/>
          <w:marTop w:val="180"/>
          <w:marBottom w:val="180"/>
          <w:divBdr>
            <w:top w:val="none" w:sz="0" w:space="0" w:color="auto"/>
            <w:left w:val="none" w:sz="0" w:space="0" w:color="auto"/>
            <w:bottom w:val="none" w:sz="0" w:space="0" w:color="auto"/>
            <w:right w:val="none" w:sz="0" w:space="0" w:color="auto"/>
          </w:divBdr>
        </w:div>
      </w:divsChild>
    </w:div>
    <w:div w:id="531967098">
      <w:marLeft w:val="0"/>
      <w:marRight w:val="0"/>
      <w:marTop w:val="180"/>
      <w:marBottom w:val="0"/>
      <w:divBdr>
        <w:top w:val="none" w:sz="0" w:space="0" w:color="auto"/>
        <w:left w:val="none" w:sz="0" w:space="0" w:color="auto"/>
        <w:bottom w:val="none" w:sz="0" w:space="0" w:color="auto"/>
        <w:right w:val="none" w:sz="0" w:space="0" w:color="auto"/>
      </w:divBdr>
    </w:div>
    <w:div w:id="533616394">
      <w:marLeft w:val="0"/>
      <w:marRight w:val="0"/>
      <w:marTop w:val="180"/>
      <w:marBottom w:val="0"/>
      <w:divBdr>
        <w:top w:val="none" w:sz="0" w:space="0" w:color="auto"/>
        <w:left w:val="none" w:sz="0" w:space="0" w:color="auto"/>
        <w:bottom w:val="none" w:sz="0" w:space="0" w:color="auto"/>
        <w:right w:val="none" w:sz="0" w:space="0" w:color="auto"/>
      </w:divBdr>
    </w:div>
    <w:div w:id="534121515">
      <w:marLeft w:val="0"/>
      <w:marRight w:val="0"/>
      <w:marTop w:val="180"/>
      <w:marBottom w:val="0"/>
      <w:divBdr>
        <w:top w:val="none" w:sz="0" w:space="0" w:color="auto"/>
        <w:left w:val="none" w:sz="0" w:space="0" w:color="auto"/>
        <w:bottom w:val="none" w:sz="0" w:space="0" w:color="auto"/>
        <w:right w:val="none" w:sz="0" w:space="0" w:color="auto"/>
      </w:divBdr>
    </w:div>
    <w:div w:id="537088751">
      <w:marLeft w:val="0"/>
      <w:marRight w:val="0"/>
      <w:marTop w:val="240"/>
      <w:marBottom w:val="0"/>
      <w:divBdr>
        <w:top w:val="none" w:sz="0" w:space="0" w:color="auto"/>
        <w:left w:val="none" w:sz="0" w:space="0" w:color="auto"/>
        <w:bottom w:val="none" w:sz="0" w:space="0" w:color="auto"/>
        <w:right w:val="none" w:sz="0" w:space="0" w:color="auto"/>
      </w:divBdr>
    </w:div>
    <w:div w:id="538006176">
      <w:marLeft w:val="0"/>
      <w:marRight w:val="0"/>
      <w:marTop w:val="180"/>
      <w:marBottom w:val="0"/>
      <w:divBdr>
        <w:top w:val="none" w:sz="0" w:space="0" w:color="auto"/>
        <w:left w:val="none" w:sz="0" w:space="0" w:color="auto"/>
        <w:bottom w:val="none" w:sz="0" w:space="0" w:color="auto"/>
        <w:right w:val="none" w:sz="0" w:space="0" w:color="auto"/>
      </w:divBdr>
    </w:div>
    <w:div w:id="539167164">
      <w:marLeft w:val="0"/>
      <w:marRight w:val="0"/>
      <w:marTop w:val="120"/>
      <w:marBottom w:val="120"/>
      <w:divBdr>
        <w:top w:val="none" w:sz="0" w:space="0" w:color="auto"/>
        <w:left w:val="none" w:sz="0" w:space="0" w:color="auto"/>
        <w:bottom w:val="none" w:sz="0" w:space="0" w:color="auto"/>
        <w:right w:val="none" w:sz="0" w:space="0" w:color="auto"/>
      </w:divBdr>
    </w:div>
    <w:div w:id="539707541">
      <w:marLeft w:val="0"/>
      <w:marRight w:val="0"/>
      <w:marTop w:val="300"/>
      <w:marBottom w:val="0"/>
      <w:divBdr>
        <w:top w:val="none" w:sz="0" w:space="0" w:color="auto"/>
        <w:left w:val="none" w:sz="0" w:space="0" w:color="auto"/>
        <w:bottom w:val="none" w:sz="0" w:space="0" w:color="auto"/>
        <w:right w:val="none" w:sz="0" w:space="0" w:color="auto"/>
      </w:divBdr>
    </w:div>
    <w:div w:id="540745812">
      <w:marLeft w:val="0"/>
      <w:marRight w:val="0"/>
      <w:marTop w:val="180"/>
      <w:marBottom w:val="0"/>
      <w:divBdr>
        <w:top w:val="none" w:sz="0" w:space="0" w:color="auto"/>
        <w:left w:val="none" w:sz="0" w:space="0" w:color="auto"/>
        <w:bottom w:val="none" w:sz="0" w:space="0" w:color="auto"/>
        <w:right w:val="none" w:sz="0" w:space="0" w:color="auto"/>
      </w:divBdr>
    </w:div>
    <w:div w:id="541938692">
      <w:marLeft w:val="0"/>
      <w:marRight w:val="0"/>
      <w:marTop w:val="60"/>
      <w:marBottom w:val="0"/>
      <w:divBdr>
        <w:top w:val="none" w:sz="0" w:space="0" w:color="auto"/>
        <w:left w:val="none" w:sz="0" w:space="0" w:color="auto"/>
        <w:bottom w:val="none" w:sz="0" w:space="0" w:color="auto"/>
        <w:right w:val="none" w:sz="0" w:space="0" w:color="auto"/>
      </w:divBdr>
    </w:div>
    <w:div w:id="542133886">
      <w:marLeft w:val="0"/>
      <w:marRight w:val="0"/>
      <w:marTop w:val="240"/>
      <w:marBottom w:val="0"/>
      <w:divBdr>
        <w:top w:val="none" w:sz="0" w:space="0" w:color="auto"/>
        <w:left w:val="none" w:sz="0" w:space="0" w:color="auto"/>
        <w:bottom w:val="none" w:sz="0" w:space="0" w:color="auto"/>
        <w:right w:val="none" w:sz="0" w:space="0" w:color="auto"/>
      </w:divBdr>
    </w:div>
    <w:div w:id="543644003">
      <w:marLeft w:val="0"/>
      <w:marRight w:val="0"/>
      <w:marTop w:val="0"/>
      <w:marBottom w:val="0"/>
      <w:divBdr>
        <w:top w:val="none" w:sz="0" w:space="0" w:color="auto"/>
        <w:left w:val="none" w:sz="0" w:space="0" w:color="auto"/>
        <w:bottom w:val="none" w:sz="0" w:space="0" w:color="auto"/>
        <w:right w:val="none" w:sz="0" w:space="0" w:color="auto"/>
      </w:divBdr>
      <w:divsChild>
        <w:div w:id="1823886175">
          <w:marLeft w:val="0"/>
          <w:marRight w:val="0"/>
          <w:marTop w:val="0"/>
          <w:marBottom w:val="0"/>
          <w:divBdr>
            <w:top w:val="none" w:sz="0" w:space="0" w:color="auto"/>
            <w:left w:val="none" w:sz="0" w:space="0" w:color="auto"/>
            <w:bottom w:val="none" w:sz="0" w:space="0" w:color="auto"/>
            <w:right w:val="none" w:sz="0" w:space="0" w:color="auto"/>
          </w:divBdr>
          <w:divsChild>
            <w:div w:id="20925020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8493261">
      <w:marLeft w:val="0"/>
      <w:marRight w:val="0"/>
      <w:marTop w:val="180"/>
      <w:marBottom w:val="0"/>
      <w:divBdr>
        <w:top w:val="none" w:sz="0" w:space="0" w:color="auto"/>
        <w:left w:val="none" w:sz="0" w:space="0" w:color="auto"/>
        <w:bottom w:val="none" w:sz="0" w:space="0" w:color="auto"/>
        <w:right w:val="none" w:sz="0" w:space="0" w:color="auto"/>
      </w:divBdr>
    </w:div>
    <w:div w:id="551772632">
      <w:marLeft w:val="0"/>
      <w:marRight w:val="0"/>
      <w:marTop w:val="180"/>
      <w:marBottom w:val="0"/>
      <w:divBdr>
        <w:top w:val="none" w:sz="0" w:space="0" w:color="auto"/>
        <w:left w:val="none" w:sz="0" w:space="0" w:color="auto"/>
        <w:bottom w:val="none" w:sz="0" w:space="0" w:color="auto"/>
        <w:right w:val="none" w:sz="0" w:space="0" w:color="auto"/>
      </w:divBdr>
    </w:div>
    <w:div w:id="552623496">
      <w:marLeft w:val="0"/>
      <w:marRight w:val="0"/>
      <w:marTop w:val="240"/>
      <w:marBottom w:val="0"/>
      <w:divBdr>
        <w:top w:val="none" w:sz="0" w:space="0" w:color="auto"/>
        <w:left w:val="none" w:sz="0" w:space="0" w:color="auto"/>
        <w:bottom w:val="none" w:sz="0" w:space="0" w:color="auto"/>
        <w:right w:val="none" w:sz="0" w:space="0" w:color="auto"/>
      </w:divBdr>
    </w:div>
    <w:div w:id="553659336">
      <w:marLeft w:val="0"/>
      <w:marRight w:val="0"/>
      <w:marTop w:val="0"/>
      <w:marBottom w:val="0"/>
      <w:divBdr>
        <w:top w:val="none" w:sz="0" w:space="0" w:color="auto"/>
        <w:left w:val="none" w:sz="0" w:space="0" w:color="auto"/>
        <w:bottom w:val="none" w:sz="0" w:space="0" w:color="auto"/>
        <w:right w:val="none" w:sz="0" w:space="0" w:color="auto"/>
      </w:divBdr>
      <w:divsChild>
        <w:div w:id="2104567404">
          <w:marLeft w:val="0"/>
          <w:marRight w:val="0"/>
          <w:marTop w:val="0"/>
          <w:marBottom w:val="0"/>
          <w:divBdr>
            <w:top w:val="none" w:sz="0" w:space="0" w:color="auto"/>
            <w:left w:val="none" w:sz="0" w:space="0" w:color="auto"/>
            <w:bottom w:val="none" w:sz="0" w:space="0" w:color="auto"/>
            <w:right w:val="none" w:sz="0" w:space="0" w:color="auto"/>
          </w:divBdr>
          <w:divsChild>
            <w:div w:id="14459209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6667669">
      <w:marLeft w:val="0"/>
      <w:marRight w:val="0"/>
      <w:marTop w:val="180"/>
      <w:marBottom w:val="0"/>
      <w:divBdr>
        <w:top w:val="none" w:sz="0" w:space="0" w:color="auto"/>
        <w:left w:val="none" w:sz="0" w:space="0" w:color="auto"/>
        <w:bottom w:val="none" w:sz="0" w:space="0" w:color="auto"/>
        <w:right w:val="none" w:sz="0" w:space="0" w:color="auto"/>
      </w:divBdr>
    </w:div>
    <w:div w:id="557976440">
      <w:marLeft w:val="0"/>
      <w:marRight w:val="0"/>
      <w:marTop w:val="180"/>
      <w:marBottom w:val="0"/>
      <w:divBdr>
        <w:top w:val="none" w:sz="0" w:space="0" w:color="auto"/>
        <w:left w:val="none" w:sz="0" w:space="0" w:color="auto"/>
        <w:bottom w:val="none" w:sz="0" w:space="0" w:color="auto"/>
        <w:right w:val="none" w:sz="0" w:space="0" w:color="auto"/>
      </w:divBdr>
    </w:div>
    <w:div w:id="563954210">
      <w:marLeft w:val="0"/>
      <w:marRight w:val="0"/>
      <w:marTop w:val="180"/>
      <w:marBottom w:val="0"/>
      <w:divBdr>
        <w:top w:val="none" w:sz="0" w:space="0" w:color="auto"/>
        <w:left w:val="none" w:sz="0" w:space="0" w:color="auto"/>
        <w:bottom w:val="none" w:sz="0" w:space="0" w:color="auto"/>
        <w:right w:val="none" w:sz="0" w:space="0" w:color="auto"/>
      </w:divBdr>
    </w:div>
    <w:div w:id="564995334">
      <w:marLeft w:val="0"/>
      <w:marRight w:val="0"/>
      <w:marTop w:val="0"/>
      <w:marBottom w:val="0"/>
      <w:divBdr>
        <w:top w:val="none" w:sz="0" w:space="0" w:color="auto"/>
        <w:left w:val="none" w:sz="0" w:space="0" w:color="auto"/>
        <w:bottom w:val="none" w:sz="0" w:space="0" w:color="auto"/>
        <w:right w:val="none" w:sz="0" w:space="0" w:color="auto"/>
      </w:divBdr>
      <w:divsChild>
        <w:div w:id="1860468535">
          <w:marLeft w:val="0"/>
          <w:marRight w:val="0"/>
          <w:marTop w:val="180"/>
          <w:marBottom w:val="180"/>
          <w:divBdr>
            <w:top w:val="none" w:sz="0" w:space="0" w:color="auto"/>
            <w:left w:val="none" w:sz="0" w:space="0" w:color="auto"/>
            <w:bottom w:val="none" w:sz="0" w:space="0" w:color="auto"/>
            <w:right w:val="none" w:sz="0" w:space="0" w:color="auto"/>
          </w:divBdr>
        </w:div>
      </w:divsChild>
    </w:div>
    <w:div w:id="571089228">
      <w:marLeft w:val="0"/>
      <w:marRight w:val="0"/>
      <w:marTop w:val="180"/>
      <w:marBottom w:val="0"/>
      <w:divBdr>
        <w:top w:val="none" w:sz="0" w:space="0" w:color="auto"/>
        <w:left w:val="none" w:sz="0" w:space="0" w:color="auto"/>
        <w:bottom w:val="none" w:sz="0" w:space="0" w:color="auto"/>
        <w:right w:val="none" w:sz="0" w:space="0" w:color="auto"/>
      </w:divBdr>
    </w:div>
    <w:div w:id="572012081">
      <w:marLeft w:val="0"/>
      <w:marRight w:val="0"/>
      <w:marTop w:val="180"/>
      <w:marBottom w:val="0"/>
      <w:divBdr>
        <w:top w:val="none" w:sz="0" w:space="0" w:color="auto"/>
        <w:left w:val="none" w:sz="0" w:space="0" w:color="auto"/>
        <w:bottom w:val="none" w:sz="0" w:space="0" w:color="auto"/>
        <w:right w:val="none" w:sz="0" w:space="0" w:color="auto"/>
      </w:divBdr>
    </w:div>
    <w:div w:id="575165554">
      <w:marLeft w:val="0"/>
      <w:marRight w:val="0"/>
      <w:marTop w:val="180"/>
      <w:marBottom w:val="0"/>
      <w:divBdr>
        <w:top w:val="none" w:sz="0" w:space="0" w:color="auto"/>
        <w:left w:val="none" w:sz="0" w:space="0" w:color="auto"/>
        <w:bottom w:val="none" w:sz="0" w:space="0" w:color="auto"/>
        <w:right w:val="none" w:sz="0" w:space="0" w:color="auto"/>
      </w:divBdr>
    </w:div>
    <w:div w:id="589897468">
      <w:marLeft w:val="0"/>
      <w:marRight w:val="0"/>
      <w:marTop w:val="180"/>
      <w:marBottom w:val="0"/>
      <w:divBdr>
        <w:top w:val="none" w:sz="0" w:space="0" w:color="auto"/>
        <w:left w:val="none" w:sz="0" w:space="0" w:color="auto"/>
        <w:bottom w:val="none" w:sz="0" w:space="0" w:color="auto"/>
        <w:right w:val="none" w:sz="0" w:space="0" w:color="auto"/>
      </w:divBdr>
    </w:div>
    <w:div w:id="595405427">
      <w:marLeft w:val="0"/>
      <w:marRight w:val="0"/>
      <w:marTop w:val="180"/>
      <w:marBottom w:val="120"/>
      <w:divBdr>
        <w:top w:val="none" w:sz="0" w:space="0" w:color="auto"/>
        <w:left w:val="none" w:sz="0" w:space="0" w:color="auto"/>
        <w:bottom w:val="none" w:sz="0" w:space="0" w:color="auto"/>
        <w:right w:val="none" w:sz="0" w:space="0" w:color="auto"/>
      </w:divBdr>
    </w:div>
    <w:div w:id="598757820">
      <w:marLeft w:val="0"/>
      <w:marRight w:val="0"/>
      <w:marTop w:val="180"/>
      <w:marBottom w:val="0"/>
      <w:divBdr>
        <w:top w:val="none" w:sz="0" w:space="0" w:color="auto"/>
        <w:left w:val="none" w:sz="0" w:space="0" w:color="auto"/>
        <w:bottom w:val="none" w:sz="0" w:space="0" w:color="auto"/>
        <w:right w:val="none" w:sz="0" w:space="0" w:color="auto"/>
      </w:divBdr>
    </w:div>
    <w:div w:id="599870808">
      <w:marLeft w:val="0"/>
      <w:marRight w:val="0"/>
      <w:marTop w:val="180"/>
      <w:marBottom w:val="0"/>
      <w:divBdr>
        <w:top w:val="none" w:sz="0" w:space="0" w:color="auto"/>
        <w:left w:val="none" w:sz="0" w:space="0" w:color="auto"/>
        <w:bottom w:val="none" w:sz="0" w:space="0" w:color="auto"/>
        <w:right w:val="none" w:sz="0" w:space="0" w:color="auto"/>
      </w:divBdr>
    </w:div>
    <w:div w:id="604263752">
      <w:marLeft w:val="0"/>
      <w:marRight w:val="0"/>
      <w:marTop w:val="0"/>
      <w:marBottom w:val="0"/>
      <w:divBdr>
        <w:top w:val="none" w:sz="0" w:space="0" w:color="auto"/>
        <w:left w:val="none" w:sz="0" w:space="0" w:color="auto"/>
        <w:bottom w:val="none" w:sz="0" w:space="0" w:color="auto"/>
        <w:right w:val="none" w:sz="0" w:space="0" w:color="auto"/>
      </w:divBdr>
      <w:divsChild>
        <w:div w:id="1364668133">
          <w:marLeft w:val="0"/>
          <w:marRight w:val="0"/>
          <w:marTop w:val="180"/>
          <w:marBottom w:val="180"/>
          <w:divBdr>
            <w:top w:val="none" w:sz="0" w:space="0" w:color="auto"/>
            <w:left w:val="none" w:sz="0" w:space="0" w:color="auto"/>
            <w:bottom w:val="none" w:sz="0" w:space="0" w:color="auto"/>
            <w:right w:val="none" w:sz="0" w:space="0" w:color="auto"/>
          </w:divBdr>
        </w:div>
      </w:divsChild>
    </w:div>
    <w:div w:id="605190790">
      <w:marLeft w:val="0"/>
      <w:marRight w:val="0"/>
      <w:marTop w:val="180"/>
      <w:marBottom w:val="0"/>
      <w:divBdr>
        <w:top w:val="none" w:sz="0" w:space="0" w:color="auto"/>
        <w:left w:val="none" w:sz="0" w:space="0" w:color="auto"/>
        <w:bottom w:val="none" w:sz="0" w:space="0" w:color="auto"/>
        <w:right w:val="none" w:sz="0" w:space="0" w:color="auto"/>
      </w:divBdr>
    </w:div>
    <w:div w:id="607977811">
      <w:marLeft w:val="0"/>
      <w:marRight w:val="0"/>
      <w:marTop w:val="240"/>
      <w:marBottom w:val="0"/>
      <w:divBdr>
        <w:top w:val="none" w:sz="0" w:space="0" w:color="auto"/>
        <w:left w:val="none" w:sz="0" w:space="0" w:color="auto"/>
        <w:bottom w:val="none" w:sz="0" w:space="0" w:color="auto"/>
        <w:right w:val="none" w:sz="0" w:space="0" w:color="auto"/>
      </w:divBdr>
    </w:div>
    <w:div w:id="612250915">
      <w:marLeft w:val="0"/>
      <w:marRight w:val="0"/>
      <w:marTop w:val="180"/>
      <w:marBottom w:val="0"/>
      <w:divBdr>
        <w:top w:val="none" w:sz="0" w:space="0" w:color="auto"/>
        <w:left w:val="none" w:sz="0" w:space="0" w:color="auto"/>
        <w:bottom w:val="none" w:sz="0" w:space="0" w:color="auto"/>
        <w:right w:val="none" w:sz="0" w:space="0" w:color="auto"/>
      </w:divBdr>
    </w:div>
    <w:div w:id="619998105">
      <w:marLeft w:val="0"/>
      <w:marRight w:val="0"/>
      <w:marTop w:val="180"/>
      <w:marBottom w:val="0"/>
      <w:divBdr>
        <w:top w:val="none" w:sz="0" w:space="0" w:color="auto"/>
        <w:left w:val="none" w:sz="0" w:space="0" w:color="auto"/>
        <w:bottom w:val="none" w:sz="0" w:space="0" w:color="auto"/>
        <w:right w:val="none" w:sz="0" w:space="0" w:color="auto"/>
      </w:divBdr>
    </w:div>
    <w:div w:id="620308154">
      <w:marLeft w:val="0"/>
      <w:marRight w:val="0"/>
      <w:marTop w:val="180"/>
      <w:marBottom w:val="0"/>
      <w:divBdr>
        <w:top w:val="none" w:sz="0" w:space="0" w:color="auto"/>
        <w:left w:val="none" w:sz="0" w:space="0" w:color="auto"/>
        <w:bottom w:val="none" w:sz="0" w:space="0" w:color="auto"/>
        <w:right w:val="none" w:sz="0" w:space="0" w:color="auto"/>
      </w:divBdr>
    </w:div>
    <w:div w:id="622157136">
      <w:marLeft w:val="0"/>
      <w:marRight w:val="0"/>
      <w:marTop w:val="130"/>
      <w:marBottom w:val="120"/>
      <w:divBdr>
        <w:top w:val="none" w:sz="0" w:space="0" w:color="auto"/>
        <w:left w:val="none" w:sz="0" w:space="0" w:color="auto"/>
        <w:bottom w:val="none" w:sz="0" w:space="0" w:color="auto"/>
        <w:right w:val="none" w:sz="0" w:space="0" w:color="auto"/>
      </w:divBdr>
    </w:div>
    <w:div w:id="627012237">
      <w:marLeft w:val="0"/>
      <w:marRight w:val="0"/>
      <w:marTop w:val="180"/>
      <w:marBottom w:val="120"/>
      <w:divBdr>
        <w:top w:val="none" w:sz="0" w:space="0" w:color="auto"/>
        <w:left w:val="none" w:sz="0" w:space="0" w:color="auto"/>
        <w:bottom w:val="none" w:sz="0" w:space="0" w:color="auto"/>
        <w:right w:val="none" w:sz="0" w:space="0" w:color="auto"/>
      </w:divBdr>
    </w:div>
    <w:div w:id="630598758">
      <w:marLeft w:val="0"/>
      <w:marRight w:val="0"/>
      <w:marTop w:val="160"/>
      <w:marBottom w:val="0"/>
      <w:divBdr>
        <w:top w:val="none" w:sz="0" w:space="0" w:color="auto"/>
        <w:left w:val="none" w:sz="0" w:space="0" w:color="auto"/>
        <w:bottom w:val="none" w:sz="0" w:space="0" w:color="auto"/>
        <w:right w:val="none" w:sz="0" w:space="0" w:color="auto"/>
      </w:divBdr>
    </w:div>
    <w:div w:id="635336015">
      <w:marLeft w:val="0"/>
      <w:marRight w:val="0"/>
      <w:marTop w:val="180"/>
      <w:marBottom w:val="0"/>
      <w:divBdr>
        <w:top w:val="none" w:sz="0" w:space="0" w:color="auto"/>
        <w:left w:val="none" w:sz="0" w:space="0" w:color="auto"/>
        <w:bottom w:val="none" w:sz="0" w:space="0" w:color="auto"/>
        <w:right w:val="none" w:sz="0" w:space="0" w:color="auto"/>
      </w:divBdr>
    </w:div>
    <w:div w:id="640228364">
      <w:marLeft w:val="0"/>
      <w:marRight w:val="0"/>
      <w:marTop w:val="180"/>
      <w:marBottom w:val="0"/>
      <w:divBdr>
        <w:top w:val="none" w:sz="0" w:space="0" w:color="auto"/>
        <w:left w:val="none" w:sz="0" w:space="0" w:color="auto"/>
        <w:bottom w:val="none" w:sz="0" w:space="0" w:color="auto"/>
        <w:right w:val="none" w:sz="0" w:space="0" w:color="auto"/>
      </w:divBdr>
    </w:div>
    <w:div w:id="643311202">
      <w:marLeft w:val="0"/>
      <w:marRight w:val="0"/>
      <w:marTop w:val="60"/>
      <w:marBottom w:val="0"/>
      <w:divBdr>
        <w:top w:val="none" w:sz="0" w:space="0" w:color="auto"/>
        <w:left w:val="none" w:sz="0" w:space="0" w:color="auto"/>
        <w:bottom w:val="none" w:sz="0" w:space="0" w:color="auto"/>
        <w:right w:val="none" w:sz="0" w:space="0" w:color="auto"/>
      </w:divBdr>
    </w:div>
    <w:div w:id="652953645">
      <w:marLeft w:val="0"/>
      <w:marRight w:val="0"/>
      <w:marTop w:val="180"/>
      <w:marBottom w:val="0"/>
      <w:divBdr>
        <w:top w:val="none" w:sz="0" w:space="0" w:color="auto"/>
        <w:left w:val="none" w:sz="0" w:space="0" w:color="auto"/>
        <w:bottom w:val="none" w:sz="0" w:space="0" w:color="auto"/>
        <w:right w:val="none" w:sz="0" w:space="0" w:color="auto"/>
      </w:divBdr>
    </w:div>
    <w:div w:id="657421463">
      <w:marLeft w:val="0"/>
      <w:marRight w:val="0"/>
      <w:marTop w:val="180"/>
      <w:marBottom w:val="0"/>
      <w:divBdr>
        <w:top w:val="none" w:sz="0" w:space="0" w:color="auto"/>
        <w:left w:val="none" w:sz="0" w:space="0" w:color="auto"/>
        <w:bottom w:val="none" w:sz="0" w:space="0" w:color="auto"/>
        <w:right w:val="none" w:sz="0" w:space="0" w:color="auto"/>
      </w:divBdr>
    </w:div>
    <w:div w:id="664434626">
      <w:marLeft w:val="0"/>
      <w:marRight w:val="0"/>
      <w:marTop w:val="60"/>
      <w:marBottom w:val="0"/>
      <w:divBdr>
        <w:top w:val="none" w:sz="0" w:space="0" w:color="auto"/>
        <w:left w:val="none" w:sz="0" w:space="0" w:color="auto"/>
        <w:bottom w:val="none" w:sz="0" w:space="0" w:color="auto"/>
        <w:right w:val="none" w:sz="0" w:space="0" w:color="auto"/>
      </w:divBdr>
    </w:div>
    <w:div w:id="669525394">
      <w:marLeft w:val="0"/>
      <w:marRight w:val="0"/>
      <w:marTop w:val="0"/>
      <w:marBottom w:val="0"/>
      <w:divBdr>
        <w:top w:val="none" w:sz="0" w:space="0" w:color="auto"/>
        <w:left w:val="none" w:sz="0" w:space="0" w:color="auto"/>
        <w:bottom w:val="none" w:sz="0" w:space="0" w:color="auto"/>
        <w:right w:val="none" w:sz="0" w:space="0" w:color="auto"/>
      </w:divBdr>
      <w:divsChild>
        <w:div w:id="117333510">
          <w:marLeft w:val="0"/>
          <w:marRight w:val="0"/>
          <w:marTop w:val="0"/>
          <w:marBottom w:val="0"/>
          <w:divBdr>
            <w:top w:val="none" w:sz="0" w:space="0" w:color="auto"/>
            <w:left w:val="none" w:sz="0" w:space="0" w:color="auto"/>
            <w:bottom w:val="none" w:sz="0" w:space="0" w:color="auto"/>
            <w:right w:val="none" w:sz="0" w:space="0" w:color="auto"/>
          </w:divBdr>
          <w:divsChild>
            <w:div w:id="3634807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4496659">
      <w:marLeft w:val="0"/>
      <w:marRight w:val="0"/>
      <w:marTop w:val="180"/>
      <w:marBottom w:val="0"/>
      <w:divBdr>
        <w:top w:val="none" w:sz="0" w:space="0" w:color="auto"/>
        <w:left w:val="none" w:sz="0" w:space="0" w:color="auto"/>
        <w:bottom w:val="none" w:sz="0" w:space="0" w:color="auto"/>
        <w:right w:val="none" w:sz="0" w:space="0" w:color="auto"/>
      </w:divBdr>
    </w:div>
    <w:div w:id="676419804">
      <w:marLeft w:val="0"/>
      <w:marRight w:val="0"/>
      <w:marTop w:val="180"/>
      <w:marBottom w:val="0"/>
      <w:divBdr>
        <w:top w:val="none" w:sz="0" w:space="0" w:color="auto"/>
        <w:left w:val="none" w:sz="0" w:space="0" w:color="auto"/>
        <w:bottom w:val="none" w:sz="0" w:space="0" w:color="auto"/>
        <w:right w:val="none" w:sz="0" w:space="0" w:color="auto"/>
      </w:divBdr>
    </w:div>
    <w:div w:id="680861869">
      <w:marLeft w:val="0"/>
      <w:marRight w:val="0"/>
      <w:marTop w:val="120"/>
      <w:marBottom w:val="120"/>
      <w:divBdr>
        <w:top w:val="none" w:sz="0" w:space="0" w:color="auto"/>
        <w:left w:val="none" w:sz="0" w:space="0" w:color="auto"/>
        <w:bottom w:val="none" w:sz="0" w:space="0" w:color="auto"/>
        <w:right w:val="none" w:sz="0" w:space="0" w:color="auto"/>
      </w:divBdr>
      <w:divsChild>
        <w:div w:id="137694267">
          <w:marLeft w:val="0"/>
          <w:marRight w:val="0"/>
          <w:marTop w:val="0"/>
          <w:marBottom w:val="0"/>
          <w:divBdr>
            <w:top w:val="none" w:sz="0" w:space="0" w:color="auto"/>
            <w:left w:val="none" w:sz="0" w:space="0" w:color="auto"/>
            <w:bottom w:val="none" w:sz="0" w:space="0" w:color="auto"/>
            <w:right w:val="none" w:sz="0" w:space="0" w:color="auto"/>
          </w:divBdr>
        </w:div>
        <w:div w:id="764110147">
          <w:marLeft w:val="0"/>
          <w:marRight w:val="0"/>
          <w:marTop w:val="0"/>
          <w:marBottom w:val="0"/>
          <w:divBdr>
            <w:top w:val="none" w:sz="0" w:space="0" w:color="auto"/>
            <w:left w:val="none" w:sz="0" w:space="0" w:color="auto"/>
            <w:bottom w:val="none" w:sz="0" w:space="0" w:color="auto"/>
            <w:right w:val="none" w:sz="0" w:space="0" w:color="auto"/>
          </w:divBdr>
        </w:div>
        <w:div w:id="1539053512">
          <w:marLeft w:val="0"/>
          <w:marRight w:val="0"/>
          <w:marTop w:val="0"/>
          <w:marBottom w:val="0"/>
          <w:divBdr>
            <w:top w:val="none" w:sz="0" w:space="0" w:color="auto"/>
            <w:left w:val="none" w:sz="0" w:space="0" w:color="auto"/>
            <w:bottom w:val="none" w:sz="0" w:space="0" w:color="auto"/>
            <w:right w:val="none" w:sz="0" w:space="0" w:color="auto"/>
          </w:divBdr>
        </w:div>
        <w:div w:id="1701130809">
          <w:marLeft w:val="0"/>
          <w:marRight w:val="0"/>
          <w:marTop w:val="0"/>
          <w:marBottom w:val="0"/>
          <w:divBdr>
            <w:top w:val="none" w:sz="0" w:space="0" w:color="auto"/>
            <w:left w:val="none" w:sz="0" w:space="0" w:color="auto"/>
            <w:bottom w:val="none" w:sz="0" w:space="0" w:color="auto"/>
            <w:right w:val="none" w:sz="0" w:space="0" w:color="auto"/>
          </w:divBdr>
        </w:div>
      </w:divsChild>
    </w:div>
    <w:div w:id="681395464">
      <w:marLeft w:val="0"/>
      <w:marRight w:val="0"/>
      <w:marTop w:val="180"/>
      <w:marBottom w:val="0"/>
      <w:divBdr>
        <w:top w:val="none" w:sz="0" w:space="0" w:color="auto"/>
        <w:left w:val="none" w:sz="0" w:space="0" w:color="auto"/>
        <w:bottom w:val="none" w:sz="0" w:space="0" w:color="auto"/>
        <w:right w:val="none" w:sz="0" w:space="0" w:color="auto"/>
      </w:divBdr>
    </w:div>
    <w:div w:id="684938813">
      <w:marLeft w:val="0"/>
      <w:marRight w:val="0"/>
      <w:marTop w:val="180"/>
      <w:marBottom w:val="0"/>
      <w:divBdr>
        <w:top w:val="none" w:sz="0" w:space="0" w:color="auto"/>
        <w:left w:val="none" w:sz="0" w:space="0" w:color="auto"/>
        <w:bottom w:val="none" w:sz="0" w:space="0" w:color="auto"/>
        <w:right w:val="none" w:sz="0" w:space="0" w:color="auto"/>
      </w:divBdr>
    </w:div>
    <w:div w:id="686909025">
      <w:marLeft w:val="0"/>
      <w:marRight w:val="0"/>
      <w:marTop w:val="180"/>
      <w:marBottom w:val="60"/>
      <w:divBdr>
        <w:top w:val="none" w:sz="0" w:space="0" w:color="auto"/>
        <w:left w:val="none" w:sz="0" w:space="0" w:color="auto"/>
        <w:bottom w:val="none" w:sz="0" w:space="0" w:color="auto"/>
        <w:right w:val="none" w:sz="0" w:space="0" w:color="auto"/>
      </w:divBdr>
    </w:div>
    <w:div w:id="692846734">
      <w:marLeft w:val="0"/>
      <w:marRight w:val="0"/>
      <w:marTop w:val="180"/>
      <w:marBottom w:val="0"/>
      <w:divBdr>
        <w:top w:val="none" w:sz="0" w:space="0" w:color="auto"/>
        <w:left w:val="none" w:sz="0" w:space="0" w:color="auto"/>
        <w:bottom w:val="none" w:sz="0" w:space="0" w:color="auto"/>
        <w:right w:val="none" w:sz="0" w:space="0" w:color="auto"/>
      </w:divBdr>
    </w:div>
    <w:div w:id="693307054">
      <w:marLeft w:val="0"/>
      <w:marRight w:val="0"/>
      <w:marTop w:val="180"/>
      <w:marBottom w:val="0"/>
      <w:divBdr>
        <w:top w:val="none" w:sz="0" w:space="0" w:color="auto"/>
        <w:left w:val="none" w:sz="0" w:space="0" w:color="auto"/>
        <w:bottom w:val="none" w:sz="0" w:space="0" w:color="auto"/>
        <w:right w:val="none" w:sz="0" w:space="0" w:color="auto"/>
      </w:divBdr>
    </w:div>
    <w:div w:id="694499085">
      <w:marLeft w:val="0"/>
      <w:marRight w:val="0"/>
      <w:marTop w:val="0"/>
      <w:marBottom w:val="0"/>
      <w:divBdr>
        <w:top w:val="none" w:sz="0" w:space="0" w:color="auto"/>
        <w:left w:val="none" w:sz="0" w:space="0" w:color="auto"/>
        <w:bottom w:val="none" w:sz="0" w:space="0" w:color="auto"/>
        <w:right w:val="none" w:sz="0" w:space="0" w:color="auto"/>
      </w:divBdr>
      <w:divsChild>
        <w:div w:id="1966542303">
          <w:marLeft w:val="0"/>
          <w:marRight w:val="0"/>
          <w:marTop w:val="180"/>
          <w:marBottom w:val="180"/>
          <w:divBdr>
            <w:top w:val="none" w:sz="0" w:space="0" w:color="auto"/>
            <w:left w:val="none" w:sz="0" w:space="0" w:color="auto"/>
            <w:bottom w:val="none" w:sz="0" w:space="0" w:color="auto"/>
            <w:right w:val="none" w:sz="0" w:space="0" w:color="auto"/>
          </w:divBdr>
        </w:div>
      </w:divsChild>
    </w:div>
    <w:div w:id="694693046">
      <w:marLeft w:val="0"/>
      <w:marRight w:val="0"/>
      <w:marTop w:val="180"/>
      <w:marBottom w:val="0"/>
      <w:divBdr>
        <w:top w:val="none" w:sz="0" w:space="0" w:color="auto"/>
        <w:left w:val="none" w:sz="0" w:space="0" w:color="auto"/>
        <w:bottom w:val="none" w:sz="0" w:space="0" w:color="auto"/>
        <w:right w:val="none" w:sz="0" w:space="0" w:color="auto"/>
      </w:divBdr>
    </w:div>
    <w:div w:id="697588590">
      <w:marLeft w:val="0"/>
      <w:marRight w:val="0"/>
      <w:marTop w:val="180"/>
      <w:marBottom w:val="0"/>
      <w:divBdr>
        <w:top w:val="none" w:sz="0" w:space="0" w:color="auto"/>
        <w:left w:val="none" w:sz="0" w:space="0" w:color="auto"/>
        <w:bottom w:val="none" w:sz="0" w:space="0" w:color="auto"/>
        <w:right w:val="none" w:sz="0" w:space="0" w:color="auto"/>
      </w:divBdr>
    </w:div>
    <w:div w:id="700521600">
      <w:marLeft w:val="0"/>
      <w:marRight w:val="0"/>
      <w:marTop w:val="180"/>
      <w:marBottom w:val="120"/>
      <w:divBdr>
        <w:top w:val="none" w:sz="0" w:space="0" w:color="auto"/>
        <w:left w:val="none" w:sz="0" w:space="0" w:color="auto"/>
        <w:bottom w:val="none" w:sz="0" w:space="0" w:color="auto"/>
        <w:right w:val="none" w:sz="0" w:space="0" w:color="auto"/>
      </w:divBdr>
    </w:div>
    <w:div w:id="701633368">
      <w:marLeft w:val="0"/>
      <w:marRight w:val="0"/>
      <w:marTop w:val="60"/>
      <w:marBottom w:val="0"/>
      <w:divBdr>
        <w:top w:val="none" w:sz="0" w:space="0" w:color="auto"/>
        <w:left w:val="none" w:sz="0" w:space="0" w:color="auto"/>
        <w:bottom w:val="none" w:sz="0" w:space="0" w:color="auto"/>
        <w:right w:val="none" w:sz="0" w:space="0" w:color="auto"/>
      </w:divBdr>
    </w:div>
    <w:div w:id="707531111">
      <w:marLeft w:val="0"/>
      <w:marRight w:val="0"/>
      <w:marTop w:val="120"/>
      <w:marBottom w:val="0"/>
      <w:divBdr>
        <w:top w:val="none" w:sz="0" w:space="0" w:color="auto"/>
        <w:left w:val="none" w:sz="0" w:space="0" w:color="auto"/>
        <w:bottom w:val="none" w:sz="0" w:space="0" w:color="auto"/>
        <w:right w:val="none" w:sz="0" w:space="0" w:color="auto"/>
      </w:divBdr>
    </w:div>
    <w:div w:id="708068552">
      <w:marLeft w:val="0"/>
      <w:marRight w:val="0"/>
      <w:marTop w:val="180"/>
      <w:marBottom w:val="0"/>
      <w:divBdr>
        <w:top w:val="none" w:sz="0" w:space="0" w:color="auto"/>
        <w:left w:val="none" w:sz="0" w:space="0" w:color="auto"/>
        <w:bottom w:val="none" w:sz="0" w:space="0" w:color="auto"/>
        <w:right w:val="none" w:sz="0" w:space="0" w:color="auto"/>
      </w:divBdr>
    </w:div>
    <w:div w:id="716196998">
      <w:marLeft w:val="0"/>
      <w:marRight w:val="0"/>
      <w:marTop w:val="0"/>
      <w:marBottom w:val="0"/>
      <w:divBdr>
        <w:top w:val="none" w:sz="0" w:space="0" w:color="auto"/>
        <w:left w:val="none" w:sz="0" w:space="0" w:color="auto"/>
        <w:bottom w:val="none" w:sz="0" w:space="0" w:color="auto"/>
        <w:right w:val="none" w:sz="0" w:space="0" w:color="auto"/>
      </w:divBdr>
      <w:divsChild>
        <w:div w:id="632711036">
          <w:marLeft w:val="0"/>
          <w:marRight w:val="0"/>
          <w:marTop w:val="180"/>
          <w:marBottom w:val="180"/>
          <w:divBdr>
            <w:top w:val="none" w:sz="0" w:space="0" w:color="auto"/>
            <w:left w:val="none" w:sz="0" w:space="0" w:color="auto"/>
            <w:bottom w:val="none" w:sz="0" w:space="0" w:color="auto"/>
            <w:right w:val="none" w:sz="0" w:space="0" w:color="auto"/>
          </w:divBdr>
        </w:div>
      </w:divsChild>
    </w:div>
    <w:div w:id="718094714">
      <w:marLeft w:val="0"/>
      <w:marRight w:val="0"/>
      <w:marTop w:val="60"/>
      <w:marBottom w:val="0"/>
      <w:divBdr>
        <w:top w:val="none" w:sz="0" w:space="0" w:color="auto"/>
        <w:left w:val="none" w:sz="0" w:space="0" w:color="auto"/>
        <w:bottom w:val="none" w:sz="0" w:space="0" w:color="auto"/>
        <w:right w:val="none" w:sz="0" w:space="0" w:color="auto"/>
      </w:divBdr>
    </w:div>
    <w:div w:id="723992237">
      <w:marLeft w:val="0"/>
      <w:marRight w:val="0"/>
      <w:marTop w:val="180"/>
      <w:marBottom w:val="0"/>
      <w:divBdr>
        <w:top w:val="none" w:sz="0" w:space="0" w:color="auto"/>
        <w:left w:val="none" w:sz="0" w:space="0" w:color="auto"/>
        <w:bottom w:val="none" w:sz="0" w:space="0" w:color="auto"/>
        <w:right w:val="none" w:sz="0" w:space="0" w:color="auto"/>
      </w:divBdr>
    </w:div>
    <w:div w:id="726537558">
      <w:marLeft w:val="0"/>
      <w:marRight w:val="0"/>
      <w:marTop w:val="60"/>
      <w:marBottom w:val="120"/>
      <w:divBdr>
        <w:top w:val="none" w:sz="0" w:space="0" w:color="auto"/>
        <w:left w:val="none" w:sz="0" w:space="0" w:color="auto"/>
        <w:bottom w:val="none" w:sz="0" w:space="0" w:color="auto"/>
        <w:right w:val="none" w:sz="0" w:space="0" w:color="auto"/>
      </w:divBdr>
    </w:div>
    <w:div w:id="732237728">
      <w:marLeft w:val="0"/>
      <w:marRight w:val="0"/>
      <w:marTop w:val="180"/>
      <w:marBottom w:val="0"/>
      <w:divBdr>
        <w:top w:val="none" w:sz="0" w:space="0" w:color="auto"/>
        <w:left w:val="none" w:sz="0" w:space="0" w:color="auto"/>
        <w:bottom w:val="none" w:sz="0" w:space="0" w:color="auto"/>
        <w:right w:val="none" w:sz="0" w:space="0" w:color="auto"/>
      </w:divBdr>
    </w:div>
    <w:div w:id="745417764">
      <w:marLeft w:val="0"/>
      <w:marRight w:val="0"/>
      <w:marTop w:val="0"/>
      <w:marBottom w:val="0"/>
      <w:divBdr>
        <w:top w:val="none" w:sz="0" w:space="0" w:color="auto"/>
        <w:left w:val="none" w:sz="0" w:space="0" w:color="auto"/>
        <w:bottom w:val="none" w:sz="0" w:space="0" w:color="auto"/>
        <w:right w:val="none" w:sz="0" w:space="0" w:color="auto"/>
      </w:divBdr>
      <w:divsChild>
        <w:div w:id="134569565">
          <w:marLeft w:val="0"/>
          <w:marRight w:val="0"/>
          <w:marTop w:val="0"/>
          <w:marBottom w:val="0"/>
          <w:divBdr>
            <w:top w:val="none" w:sz="0" w:space="0" w:color="auto"/>
            <w:left w:val="none" w:sz="0" w:space="0" w:color="auto"/>
            <w:bottom w:val="none" w:sz="0" w:space="0" w:color="auto"/>
            <w:right w:val="none" w:sz="0" w:space="0" w:color="auto"/>
          </w:divBdr>
          <w:divsChild>
            <w:div w:id="7199837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55982673">
      <w:marLeft w:val="0"/>
      <w:marRight w:val="0"/>
      <w:marTop w:val="180"/>
      <w:marBottom w:val="0"/>
      <w:divBdr>
        <w:top w:val="none" w:sz="0" w:space="0" w:color="auto"/>
        <w:left w:val="none" w:sz="0" w:space="0" w:color="auto"/>
        <w:bottom w:val="none" w:sz="0" w:space="0" w:color="auto"/>
        <w:right w:val="none" w:sz="0" w:space="0" w:color="auto"/>
      </w:divBdr>
    </w:div>
    <w:div w:id="760218447">
      <w:marLeft w:val="0"/>
      <w:marRight w:val="0"/>
      <w:marTop w:val="180"/>
      <w:marBottom w:val="0"/>
      <w:divBdr>
        <w:top w:val="none" w:sz="0" w:space="0" w:color="auto"/>
        <w:left w:val="none" w:sz="0" w:space="0" w:color="auto"/>
        <w:bottom w:val="none" w:sz="0" w:space="0" w:color="auto"/>
        <w:right w:val="none" w:sz="0" w:space="0" w:color="auto"/>
      </w:divBdr>
    </w:div>
    <w:div w:id="760371932">
      <w:marLeft w:val="0"/>
      <w:marRight w:val="0"/>
      <w:marTop w:val="0"/>
      <w:marBottom w:val="0"/>
      <w:divBdr>
        <w:top w:val="none" w:sz="0" w:space="0" w:color="auto"/>
        <w:left w:val="none" w:sz="0" w:space="0" w:color="auto"/>
        <w:bottom w:val="none" w:sz="0" w:space="0" w:color="auto"/>
        <w:right w:val="none" w:sz="0" w:space="0" w:color="auto"/>
      </w:divBdr>
      <w:divsChild>
        <w:div w:id="640312228">
          <w:marLeft w:val="0"/>
          <w:marRight w:val="0"/>
          <w:marTop w:val="0"/>
          <w:marBottom w:val="0"/>
          <w:divBdr>
            <w:top w:val="none" w:sz="0" w:space="0" w:color="auto"/>
            <w:left w:val="none" w:sz="0" w:space="0" w:color="auto"/>
            <w:bottom w:val="none" w:sz="0" w:space="0" w:color="auto"/>
            <w:right w:val="none" w:sz="0" w:space="0" w:color="auto"/>
          </w:divBdr>
          <w:divsChild>
            <w:div w:id="530420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1606497">
      <w:marLeft w:val="0"/>
      <w:marRight w:val="0"/>
      <w:marTop w:val="180"/>
      <w:marBottom w:val="0"/>
      <w:divBdr>
        <w:top w:val="none" w:sz="0" w:space="0" w:color="auto"/>
        <w:left w:val="none" w:sz="0" w:space="0" w:color="auto"/>
        <w:bottom w:val="none" w:sz="0" w:space="0" w:color="auto"/>
        <w:right w:val="none" w:sz="0" w:space="0" w:color="auto"/>
      </w:divBdr>
    </w:div>
    <w:div w:id="762871415">
      <w:marLeft w:val="0"/>
      <w:marRight w:val="0"/>
      <w:marTop w:val="180"/>
      <w:marBottom w:val="0"/>
      <w:divBdr>
        <w:top w:val="none" w:sz="0" w:space="0" w:color="auto"/>
        <w:left w:val="none" w:sz="0" w:space="0" w:color="auto"/>
        <w:bottom w:val="none" w:sz="0" w:space="0" w:color="auto"/>
        <w:right w:val="none" w:sz="0" w:space="0" w:color="auto"/>
      </w:divBdr>
    </w:div>
    <w:div w:id="770659577">
      <w:marLeft w:val="0"/>
      <w:marRight w:val="0"/>
      <w:marTop w:val="180"/>
      <w:marBottom w:val="0"/>
      <w:divBdr>
        <w:top w:val="none" w:sz="0" w:space="0" w:color="auto"/>
        <w:left w:val="none" w:sz="0" w:space="0" w:color="auto"/>
        <w:bottom w:val="none" w:sz="0" w:space="0" w:color="auto"/>
        <w:right w:val="none" w:sz="0" w:space="0" w:color="auto"/>
      </w:divBdr>
    </w:div>
    <w:div w:id="772943908">
      <w:marLeft w:val="0"/>
      <w:marRight w:val="0"/>
      <w:marTop w:val="240"/>
      <w:marBottom w:val="0"/>
      <w:divBdr>
        <w:top w:val="none" w:sz="0" w:space="0" w:color="auto"/>
        <w:left w:val="none" w:sz="0" w:space="0" w:color="auto"/>
        <w:bottom w:val="none" w:sz="0" w:space="0" w:color="auto"/>
        <w:right w:val="none" w:sz="0" w:space="0" w:color="auto"/>
      </w:divBdr>
    </w:div>
    <w:div w:id="776021972">
      <w:marLeft w:val="0"/>
      <w:marRight w:val="0"/>
      <w:marTop w:val="0"/>
      <w:marBottom w:val="0"/>
      <w:divBdr>
        <w:top w:val="none" w:sz="0" w:space="0" w:color="auto"/>
        <w:left w:val="none" w:sz="0" w:space="0" w:color="auto"/>
        <w:bottom w:val="none" w:sz="0" w:space="0" w:color="auto"/>
        <w:right w:val="none" w:sz="0" w:space="0" w:color="auto"/>
      </w:divBdr>
      <w:divsChild>
        <w:div w:id="298077057">
          <w:marLeft w:val="0"/>
          <w:marRight w:val="0"/>
          <w:marTop w:val="180"/>
          <w:marBottom w:val="180"/>
          <w:divBdr>
            <w:top w:val="none" w:sz="0" w:space="0" w:color="auto"/>
            <w:left w:val="none" w:sz="0" w:space="0" w:color="auto"/>
            <w:bottom w:val="none" w:sz="0" w:space="0" w:color="auto"/>
            <w:right w:val="none" w:sz="0" w:space="0" w:color="auto"/>
          </w:divBdr>
        </w:div>
      </w:divsChild>
    </w:div>
    <w:div w:id="776217880">
      <w:marLeft w:val="0"/>
      <w:marRight w:val="0"/>
      <w:marTop w:val="180"/>
      <w:marBottom w:val="0"/>
      <w:divBdr>
        <w:top w:val="none" w:sz="0" w:space="0" w:color="auto"/>
        <w:left w:val="none" w:sz="0" w:space="0" w:color="auto"/>
        <w:bottom w:val="none" w:sz="0" w:space="0" w:color="auto"/>
        <w:right w:val="none" w:sz="0" w:space="0" w:color="auto"/>
      </w:divBdr>
    </w:div>
    <w:div w:id="778648295">
      <w:marLeft w:val="0"/>
      <w:marRight w:val="0"/>
      <w:marTop w:val="180"/>
      <w:marBottom w:val="0"/>
      <w:divBdr>
        <w:top w:val="none" w:sz="0" w:space="0" w:color="auto"/>
        <w:left w:val="none" w:sz="0" w:space="0" w:color="auto"/>
        <w:bottom w:val="none" w:sz="0" w:space="0" w:color="auto"/>
        <w:right w:val="none" w:sz="0" w:space="0" w:color="auto"/>
      </w:divBdr>
    </w:div>
    <w:div w:id="783621218">
      <w:marLeft w:val="0"/>
      <w:marRight w:val="0"/>
      <w:marTop w:val="180"/>
      <w:marBottom w:val="0"/>
      <w:divBdr>
        <w:top w:val="none" w:sz="0" w:space="0" w:color="auto"/>
        <w:left w:val="none" w:sz="0" w:space="0" w:color="auto"/>
        <w:bottom w:val="none" w:sz="0" w:space="0" w:color="auto"/>
        <w:right w:val="none" w:sz="0" w:space="0" w:color="auto"/>
      </w:divBdr>
    </w:div>
    <w:div w:id="783958630">
      <w:marLeft w:val="0"/>
      <w:marRight w:val="0"/>
      <w:marTop w:val="300"/>
      <w:marBottom w:val="60"/>
      <w:divBdr>
        <w:top w:val="none" w:sz="0" w:space="0" w:color="auto"/>
        <w:left w:val="none" w:sz="0" w:space="0" w:color="auto"/>
        <w:bottom w:val="none" w:sz="0" w:space="0" w:color="auto"/>
        <w:right w:val="none" w:sz="0" w:space="0" w:color="auto"/>
      </w:divBdr>
    </w:div>
    <w:div w:id="784734362">
      <w:marLeft w:val="0"/>
      <w:marRight w:val="0"/>
      <w:marTop w:val="0"/>
      <w:marBottom w:val="0"/>
      <w:divBdr>
        <w:top w:val="none" w:sz="0" w:space="0" w:color="auto"/>
        <w:left w:val="none" w:sz="0" w:space="0" w:color="auto"/>
        <w:bottom w:val="none" w:sz="0" w:space="0" w:color="auto"/>
        <w:right w:val="none" w:sz="0" w:space="0" w:color="auto"/>
      </w:divBdr>
      <w:divsChild>
        <w:div w:id="1430352051">
          <w:marLeft w:val="0"/>
          <w:marRight w:val="0"/>
          <w:marTop w:val="0"/>
          <w:marBottom w:val="0"/>
          <w:divBdr>
            <w:top w:val="none" w:sz="0" w:space="0" w:color="auto"/>
            <w:left w:val="none" w:sz="0" w:space="0" w:color="auto"/>
            <w:bottom w:val="none" w:sz="0" w:space="0" w:color="auto"/>
            <w:right w:val="none" w:sz="0" w:space="0" w:color="auto"/>
          </w:divBdr>
          <w:divsChild>
            <w:div w:id="58369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88621816">
      <w:marLeft w:val="0"/>
      <w:marRight w:val="0"/>
      <w:marTop w:val="240"/>
      <w:marBottom w:val="0"/>
      <w:divBdr>
        <w:top w:val="none" w:sz="0" w:space="0" w:color="auto"/>
        <w:left w:val="none" w:sz="0" w:space="0" w:color="auto"/>
        <w:bottom w:val="none" w:sz="0" w:space="0" w:color="auto"/>
        <w:right w:val="none" w:sz="0" w:space="0" w:color="auto"/>
      </w:divBdr>
    </w:div>
    <w:div w:id="796224132">
      <w:marLeft w:val="0"/>
      <w:marRight w:val="0"/>
      <w:marTop w:val="180"/>
      <w:marBottom w:val="0"/>
      <w:divBdr>
        <w:top w:val="none" w:sz="0" w:space="0" w:color="auto"/>
        <w:left w:val="none" w:sz="0" w:space="0" w:color="auto"/>
        <w:bottom w:val="none" w:sz="0" w:space="0" w:color="auto"/>
        <w:right w:val="none" w:sz="0" w:space="0" w:color="auto"/>
      </w:divBdr>
    </w:div>
    <w:div w:id="796997282">
      <w:marLeft w:val="0"/>
      <w:marRight w:val="0"/>
      <w:marTop w:val="180"/>
      <w:marBottom w:val="0"/>
      <w:divBdr>
        <w:top w:val="none" w:sz="0" w:space="0" w:color="auto"/>
        <w:left w:val="none" w:sz="0" w:space="0" w:color="auto"/>
        <w:bottom w:val="none" w:sz="0" w:space="0" w:color="auto"/>
        <w:right w:val="none" w:sz="0" w:space="0" w:color="auto"/>
      </w:divBdr>
    </w:div>
    <w:div w:id="797727345">
      <w:marLeft w:val="0"/>
      <w:marRight w:val="0"/>
      <w:marTop w:val="240"/>
      <w:marBottom w:val="0"/>
      <w:divBdr>
        <w:top w:val="none" w:sz="0" w:space="0" w:color="auto"/>
        <w:left w:val="none" w:sz="0" w:space="0" w:color="auto"/>
        <w:bottom w:val="none" w:sz="0" w:space="0" w:color="auto"/>
        <w:right w:val="none" w:sz="0" w:space="0" w:color="auto"/>
      </w:divBdr>
    </w:div>
    <w:div w:id="805928177">
      <w:marLeft w:val="0"/>
      <w:marRight w:val="0"/>
      <w:marTop w:val="240"/>
      <w:marBottom w:val="0"/>
      <w:divBdr>
        <w:top w:val="none" w:sz="0" w:space="0" w:color="auto"/>
        <w:left w:val="none" w:sz="0" w:space="0" w:color="auto"/>
        <w:bottom w:val="none" w:sz="0" w:space="0" w:color="auto"/>
        <w:right w:val="none" w:sz="0" w:space="0" w:color="auto"/>
      </w:divBdr>
    </w:div>
    <w:div w:id="812140793">
      <w:marLeft w:val="0"/>
      <w:marRight w:val="0"/>
      <w:marTop w:val="0"/>
      <w:marBottom w:val="0"/>
      <w:divBdr>
        <w:top w:val="none" w:sz="0" w:space="0" w:color="auto"/>
        <w:left w:val="none" w:sz="0" w:space="0" w:color="auto"/>
        <w:bottom w:val="none" w:sz="0" w:space="0" w:color="auto"/>
        <w:right w:val="none" w:sz="0" w:space="0" w:color="auto"/>
      </w:divBdr>
      <w:divsChild>
        <w:div w:id="1333072331">
          <w:marLeft w:val="0"/>
          <w:marRight w:val="0"/>
          <w:marTop w:val="180"/>
          <w:marBottom w:val="180"/>
          <w:divBdr>
            <w:top w:val="none" w:sz="0" w:space="0" w:color="auto"/>
            <w:left w:val="none" w:sz="0" w:space="0" w:color="auto"/>
            <w:bottom w:val="none" w:sz="0" w:space="0" w:color="auto"/>
            <w:right w:val="none" w:sz="0" w:space="0" w:color="auto"/>
          </w:divBdr>
        </w:div>
      </w:divsChild>
    </w:div>
    <w:div w:id="812403884">
      <w:marLeft w:val="0"/>
      <w:marRight w:val="0"/>
      <w:marTop w:val="300"/>
      <w:marBottom w:val="0"/>
      <w:divBdr>
        <w:top w:val="none" w:sz="0" w:space="0" w:color="auto"/>
        <w:left w:val="none" w:sz="0" w:space="0" w:color="auto"/>
        <w:bottom w:val="none" w:sz="0" w:space="0" w:color="auto"/>
        <w:right w:val="none" w:sz="0" w:space="0" w:color="auto"/>
      </w:divBdr>
    </w:div>
    <w:div w:id="813523218">
      <w:marLeft w:val="0"/>
      <w:marRight w:val="0"/>
      <w:marTop w:val="120"/>
      <w:marBottom w:val="0"/>
      <w:divBdr>
        <w:top w:val="none" w:sz="0" w:space="0" w:color="auto"/>
        <w:left w:val="none" w:sz="0" w:space="0" w:color="auto"/>
        <w:bottom w:val="none" w:sz="0" w:space="0" w:color="auto"/>
        <w:right w:val="none" w:sz="0" w:space="0" w:color="auto"/>
      </w:divBdr>
    </w:div>
    <w:div w:id="814227019">
      <w:marLeft w:val="0"/>
      <w:marRight w:val="0"/>
      <w:marTop w:val="120"/>
      <w:marBottom w:val="0"/>
      <w:divBdr>
        <w:top w:val="none" w:sz="0" w:space="0" w:color="auto"/>
        <w:left w:val="none" w:sz="0" w:space="0" w:color="auto"/>
        <w:bottom w:val="none" w:sz="0" w:space="0" w:color="auto"/>
        <w:right w:val="none" w:sz="0" w:space="0" w:color="auto"/>
      </w:divBdr>
    </w:div>
    <w:div w:id="817234033">
      <w:marLeft w:val="0"/>
      <w:marRight w:val="0"/>
      <w:marTop w:val="180"/>
      <w:marBottom w:val="120"/>
      <w:divBdr>
        <w:top w:val="none" w:sz="0" w:space="0" w:color="auto"/>
        <w:left w:val="none" w:sz="0" w:space="0" w:color="auto"/>
        <w:bottom w:val="none" w:sz="0" w:space="0" w:color="auto"/>
        <w:right w:val="none" w:sz="0" w:space="0" w:color="auto"/>
      </w:divBdr>
    </w:div>
    <w:div w:id="817261681">
      <w:marLeft w:val="0"/>
      <w:marRight w:val="0"/>
      <w:marTop w:val="130"/>
      <w:marBottom w:val="0"/>
      <w:divBdr>
        <w:top w:val="none" w:sz="0" w:space="0" w:color="auto"/>
        <w:left w:val="none" w:sz="0" w:space="0" w:color="auto"/>
        <w:bottom w:val="none" w:sz="0" w:space="0" w:color="auto"/>
        <w:right w:val="none" w:sz="0" w:space="0" w:color="auto"/>
      </w:divBdr>
    </w:div>
    <w:div w:id="818958538">
      <w:marLeft w:val="0"/>
      <w:marRight w:val="0"/>
      <w:marTop w:val="0"/>
      <w:marBottom w:val="0"/>
      <w:divBdr>
        <w:top w:val="none" w:sz="0" w:space="0" w:color="auto"/>
        <w:left w:val="none" w:sz="0" w:space="0" w:color="auto"/>
        <w:bottom w:val="none" w:sz="0" w:space="0" w:color="auto"/>
        <w:right w:val="none" w:sz="0" w:space="0" w:color="auto"/>
      </w:divBdr>
      <w:divsChild>
        <w:div w:id="1361320709">
          <w:marLeft w:val="0"/>
          <w:marRight w:val="0"/>
          <w:marTop w:val="0"/>
          <w:marBottom w:val="0"/>
          <w:divBdr>
            <w:top w:val="none" w:sz="0" w:space="0" w:color="auto"/>
            <w:left w:val="none" w:sz="0" w:space="0" w:color="auto"/>
            <w:bottom w:val="none" w:sz="0" w:space="0" w:color="auto"/>
            <w:right w:val="none" w:sz="0" w:space="0" w:color="auto"/>
          </w:divBdr>
          <w:divsChild>
            <w:div w:id="3579706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19155594">
      <w:marLeft w:val="0"/>
      <w:marRight w:val="0"/>
      <w:marTop w:val="180"/>
      <w:marBottom w:val="0"/>
      <w:divBdr>
        <w:top w:val="none" w:sz="0" w:space="0" w:color="auto"/>
        <w:left w:val="none" w:sz="0" w:space="0" w:color="auto"/>
        <w:bottom w:val="none" w:sz="0" w:space="0" w:color="auto"/>
        <w:right w:val="none" w:sz="0" w:space="0" w:color="auto"/>
      </w:divBdr>
    </w:div>
    <w:div w:id="819613784">
      <w:marLeft w:val="0"/>
      <w:marRight w:val="0"/>
      <w:marTop w:val="180"/>
      <w:marBottom w:val="0"/>
      <w:divBdr>
        <w:top w:val="none" w:sz="0" w:space="0" w:color="auto"/>
        <w:left w:val="none" w:sz="0" w:space="0" w:color="auto"/>
        <w:bottom w:val="none" w:sz="0" w:space="0" w:color="auto"/>
        <w:right w:val="none" w:sz="0" w:space="0" w:color="auto"/>
      </w:divBdr>
    </w:div>
    <w:div w:id="824320195">
      <w:marLeft w:val="0"/>
      <w:marRight w:val="0"/>
      <w:marTop w:val="180"/>
      <w:marBottom w:val="0"/>
      <w:divBdr>
        <w:top w:val="none" w:sz="0" w:space="0" w:color="auto"/>
        <w:left w:val="none" w:sz="0" w:space="0" w:color="auto"/>
        <w:bottom w:val="none" w:sz="0" w:space="0" w:color="auto"/>
        <w:right w:val="none" w:sz="0" w:space="0" w:color="auto"/>
      </w:divBdr>
    </w:div>
    <w:div w:id="826746398">
      <w:marLeft w:val="0"/>
      <w:marRight w:val="0"/>
      <w:marTop w:val="180"/>
      <w:marBottom w:val="0"/>
      <w:divBdr>
        <w:top w:val="none" w:sz="0" w:space="0" w:color="auto"/>
        <w:left w:val="none" w:sz="0" w:space="0" w:color="auto"/>
        <w:bottom w:val="none" w:sz="0" w:space="0" w:color="auto"/>
        <w:right w:val="none" w:sz="0" w:space="0" w:color="auto"/>
      </w:divBdr>
    </w:div>
    <w:div w:id="831682620">
      <w:marLeft w:val="0"/>
      <w:marRight w:val="0"/>
      <w:marTop w:val="180"/>
      <w:marBottom w:val="120"/>
      <w:divBdr>
        <w:top w:val="none" w:sz="0" w:space="0" w:color="auto"/>
        <w:left w:val="none" w:sz="0" w:space="0" w:color="auto"/>
        <w:bottom w:val="none" w:sz="0" w:space="0" w:color="auto"/>
        <w:right w:val="none" w:sz="0" w:space="0" w:color="auto"/>
      </w:divBdr>
    </w:div>
    <w:div w:id="836775612">
      <w:marLeft w:val="0"/>
      <w:marRight w:val="0"/>
      <w:marTop w:val="180"/>
      <w:marBottom w:val="0"/>
      <w:divBdr>
        <w:top w:val="none" w:sz="0" w:space="0" w:color="auto"/>
        <w:left w:val="none" w:sz="0" w:space="0" w:color="auto"/>
        <w:bottom w:val="none" w:sz="0" w:space="0" w:color="auto"/>
        <w:right w:val="none" w:sz="0" w:space="0" w:color="auto"/>
      </w:divBdr>
    </w:div>
    <w:div w:id="843936863">
      <w:marLeft w:val="0"/>
      <w:marRight w:val="0"/>
      <w:marTop w:val="120"/>
      <w:marBottom w:val="120"/>
      <w:divBdr>
        <w:top w:val="none" w:sz="0" w:space="0" w:color="auto"/>
        <w:left w:val="none" w:sz="0" w:space="0" w:color="auto"/>
        <w:bottom w:val="none" w:sz="0" w:space="0" w:color="auto"/>
        <w:right w:val="none" w:sz="0" w:space="0" w:color="auto"/>
      </w:divBdr>
    </w:div>
    <w:div w:id="848064172">
      <w:marLeft w:val="0"/>
      <w:marRight w:val="0"/>
      <w:marTop w:val="180"/>
      <w:marBottom w:val="0"/>
      <w:divBdr>
        <w:top w:val="none" w:sz="0" w:space="0" w:color="auto"/>
        <w:left w:val="none" w:sz="0" w:space="0" w:color="auto"/>
        <w:bottom w:val="none" w:sz="0" w:space="0" w:color="auto"/>
        <w:right w:val="none" w:sz="0" w:space="0" w:color="auto"/>
      </w:divBdr>
    </w:div>
    <w:div w:id="852955951">
      <w:marLeft w:val="0"/>
      <w:marRight w:val="0"/>
      <w:marTop w:val="180"/>
      <w:marBottom w:val="120"/>
      <w:divBdr>
        <w:top w:val="none" w:sz="0" w:space="0" w:color="auto"/>
        <w:left w:val="none" w:sz="0" w:space="0" w:color="auto"/>
        <w:bottom w:val="none" w:sz="0" w:space="0" w:color="auto"/>
        <w:right w:val="none" w:sz="0" w:space="0" w:color="auto"/>
      </w:divBdr>
    </w:div>
    <w:div w:id="857816034">
      <w:marLeft w:val="0"/>
      <w:marRight w:val="0"/>
      <w:marTop w:val="180"/>
      <w:marBottom w:val="60"/>
      <w:divBdr>
        <w:top w:val="none" w:sz="0" w:space="0" w:color="auto"/>
        <w:left w:val="none" w:sz="0" w:space="0" w:color="auto"/>
        <w:bottom w:val="none" w:sz="0" w:space="0" w:color="auto"/>
        <w:right w:val="none" w:sz="0" w:space="0" w:color="auto"/>
      </w:divBdr>
    </w:div>
    <w:div w:id="861893875">
      <w:marLeft w:val="0"/>
      <w:marRight w:val="0"/>
      <w:marTop w:val="180"/>
      <w:marBottom w:val="0"/>
      <w:divBdr>
        <w:top w:val="none" w:sz="0" w:space="0" w:color="auto"/>
        <w:left w:val="none" w:sz="0" w:space="0" w:color="auto"/>
        <w:bottom w:val="none" w:sz="0" w:space="0" w:color="auto"/>
        <w:right w:val="none" w:sz="0" w:space="0" w:color="auto"/>
      </w:divBdr>
    </w:div>
    <w:div w:id="862667977">
      <w:marLeft w:val="0"/>
      <w:marRight w:val="0"/>
      <w:marTop w:val="0"/>
      <w:marBottom w:val="0"/>
      <w:divBdr>
        <w:top w:val="none" w:sz="0" w:space="0" w:color="auto"/>
        <w:left w:val="none" w:sz="0" w:space="0" w:color="auto"/>
        <w:bottom w:val="none" w:sz="0" w:space="0" w:color="auto"/>
        <w:right w:val="none" w:sz="0" w:space="0" w:color="auto"/>
      </w:divBdr>
      <w:divsChild>
        <w:div w:id="1266035192">
          <w:marLeft w:val="0"/>
          <w:marRight w:val="0"/>
          <w:marTop w:val="0"/>
          <w:marBottom w:val="0"/>
          <w:divBdr>
            <w:top w:val="none" w:sz="0" w:space="0" w:color="auto"/>
            <w:left w:val="none" w:sz="0" w:space="0" w:color="auto"/>
            <w:bottom w:val="none" w:sz="0" w:space="0" w:color="auto"/>
            <w:right w:val="none" w:sz="0" w:space="0" w:color="auto"/>
          </w:divBdr>
          <w:divsChild>
            <w:div w:id="20924604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3637876">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180"/>
          <w:marBottom w:val="0"/>
          <w:divBdr>
            <w:top w:val="none" w:sz="0" w:space="0" w:color="auto"/>
            <w:left w:val="none" w:sz="0" w:space="0" w:color="auto"/>
            <w:bottom w:val="none" w:sz="0" w:space="0" w:color="auto"/>
            <w:right w:val="none" w:sz="0" w:space="0" w:color="auto"/>
          </w:divBdr>
        </w:div>
      </w:divsChild>
    </w:div>
    <w:div w:id="867641071">
      <w:marLeft w:val="0"/>
      <w:marRight w:val="0"/>
      <w:marTop w:val="180"/>
      <w:marBottom w:val="120"/>
      <w:divBdr>
        <w:top w:val="none" w:sz="0" w:space="0" w:color="auto"/>
        <w:left w:val="none" w:sz="0" w:space="0" w:color="auto"/>
        <w:bottom w:val="none" w:sz="0" w:space="0" w:color="auto"/>
        <w:right w:val="none" w:sz="0" w:space="0" w:color="auto"/>
      </w:divBdr>
    </w:div>
    <w:div w:id="867984728">
      <w:marLeft w:val="0"/>
      <w:marRight w:val="0"/>
      <w:marTop w:val="120"/>
      <w:marBottom w:val="0"/>
      <w:divBdr>
        <w:top w:val="none" w:sz="0" w:space="0" w:color="auto"/>
        <w:left w:val="none" w:sz="0" w:space="0" w:color="auto"/>
        <w:bottom w:val="none" w:sz="0" w:space="0" w:color="auto"/>
        <w:right w:val="none" w:sz="0" w:space="0" w:color="auto"/>
      </w:divBdr>
    </w:div>
    <w:div w:id="885138218">
      <w:marLeft w:val="0"/>
      <w:marRight w:val="0"/>
      <w:marTop w:val="180"/>
      <w:marBottom w:val="0"/>
      <w:divBdr>
        <w:top w:val="none" w:sz="0" w:space="0" w:color="auto"/>
        <w:left w:val="none" w:sz="0" w:space="0" w:color="auto"/>
        <w:bottom w:val="none" w:sz="0" w:space="0" w:color="auto"/>
        <w:right w:val="none" w:sz="0" w:space="0" w:color="auto"/>
      </w:divBdr>
    </w:div>
    <w:div w:id="897589053">
      <w:marLeft w:val="0"/>
      <w:marRight w:val="0"/>
      <w:marTop w:val="180"/>
      <w:marBottom w:val="0"/>
      <w:divBdr>
        <w:top w:val="none" w:sz="0" w:space="0" w:color="auto"/>
        <w:left w:val="none" w:sz="0" w:space="0" w:color="auto"/>
        <w:bottom w:val="none" w:sz="0" w:space="0" w:color="auto"/>
        <w:right w:val="none" w:sz="0" w:space="0" w:color="auto"/>
      </w:divBdr>
    </w:div>
    <w:div w:id="900209496">
      <w:marLeft w:val="0"/>
      <w:marRight w:val="0"/>
      <w:marTop w:val="240"/>
      <w:marBottom w:val="180"/>
      <w:divBdr>
        <w:top w:val="none" w:sz="0" w:space="0" w:color="auto"/>
        <w:left w:val="none" w:sz="0" w:space="0" w:color="auto"/>
        <w:bottom w:val="none" w:sz="0" w:space="0" w:color="auto"/>
        <w:right w:val="none" w:sz="0" w:space="0" w:color="auto"/>
      </w:divBdr>
    </w:div>
    <w:div w:id="900217304">
      <w:marLeft w:val="0"/>
      <w:marRight w:val="0"/>
      <w:marTop w:val="180"/>
      <w:marBottom w:val="0"/>
      <w:divBdr>
        <w:top w:val="none" w:sz="0" w:space="0" w:color="auto"/>
        <w:left w:val="none" w:sz="0" w:space="0" w:color="auto"/>
        <w:bottom w:val="none" w:sz="0" w:space="0" w:color="auto"/>
        <w:right w:val="none" w:sz="0" w:space="0" w:color="auto"/>
      </w:divBdr>
    </w:div>
    <w:div w:id="907883220">
      <w:marLeft w:val="0"/>
      <w:marRight w:val="0"/>
      <w:marTop w:val="180"/>
      <w:marBottom w:val="0"/>
      <w:divBdr>
        <w:top w:val="none" w:sz="0" w:space="0" w:color="auto"/>
        <w:left w:val="none" w:sz="0" w:space="0" w:color="auto"/>
        <w:bottom w:val="none" w:sz="0" w:space="0" w:color="auto"/>
        <w:right w:val="none" w:sz="0" w:space="0" w:color="auto"/>
      </w:divBdr>
    </w:div>
    <w:div w:id="912159634">
      <w:marLeft w:val="0"/>
      <w:marRight w:val="0"/>
      <w:marTop w:val="180"/>
      <w:marBottom w:val="120"/>
      <w:divBdr>
        <w:top w:val="none" w:sz="0" w:space="0" w:color="auto"/>
        <w:left w:val="none" w:sz="0" w:space="0" w:color="auto"/>
        <w:bottom w:val="none" w:sz="0" w:space="0" w:color="auto"/>
        <w:right w:val="none" w:sz="0" w:space="0" w:color="auto"/>
      </w:divBdr>
    </w:div>
    <w:div w:id="913247781">
      <w:marLeft w:val="0"/>
      <w:marRight w:val="0"/>
      <w:marTop w:val="0"/>
      <w:marBottom w:val="0"/>
      <w:divBdr>
        <w:top w:val="none" w:sz="0" w:space="0" w:color="auto"/>
        <w:left w:val="none" w:sz="0" w:space="0" w:color="auto"/>
        <w:bottom w:val="none" w:sz="0" w:space="0" w:color="auto"/>
        <w:right w:val="none" w:sz="0" w:space="0" w:color="auto"/>
      </w:divBdr>
      <w:divsChild>
        <w:div w:id="1595280853">
          <w:marLeft w:val="0"/>
          <w:marRight w:val="0"/>
          <w:marTop w:val="0"/>
          <w:marBottom w:val="0"/>
          <w:divBdr>
            <w:top w:val="none" w:sz="0" w:space="0" w:color="auto"/>
            <w:left w:val="none" w:sz="0" w:space="0" w:color="auto"/>
            <w:bottom w:val="none" w:sz="0" w:space="0" w:color="auto"/>
            <w:right w:val="none" w:sz="0" w:space="0" w:color="auto"/>
          </w:divBdr>
          <w:divsChild>
            <w:div w:id="7068749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9292539">
      <w:marLeft w:val="0"/>
      <w:marRight w:val="0"/>
      <w:marTop w:val="180"/>
      <w:marBottom w:val="0"/>
      <w:divBdr>
        <w:top w:val="none" w:sz="0" w:space="0" w:color="auto"/>
        <w:left w:val="none" w:sz="0" w:space="0" w:color="auto"/>
        <w:bottom w:val="none" w:sz="0" w:space="0" w:color="auto"/>
        <w:right w:val="none" w:sz="0" w:space="0" w:color="auto"/>
      </w:divBdr>
    </w:div>
    <w:div w:id="923488475">
      <w:marLeft w:val="0"/>
      <w:marRight w:val="0"/>
      <w:marTop w:val="180"/>
      <w:marBottom w:val="0"/>
      <w:divBdr>
        <w:top w:val="none" w:sz="0" w:space="0" w:color="auto"/>
        <w:left w:val="none" w:sz="0" w:space="0" w:color="auto"/>
        <w:bottom w:val="none" w:sz="0" w:space="0" w:color="auto"/>
        <w:right w:val="none" w:sz="0" w:space="0" w:color="auto"/>
      </w:divBdr>
    </w:div>
    <w:div w:id="924145854">
      <w:marLeft w:val="0"/>
      <w:marRight w:val="0"/>
      <w:marTop w:val="0"/>
      <w:marBottom w:val="0"/>
      <w:divBdr>
        <w:top w:val="none" w:sz="0" w:space="0" w:color="auto"/>
        <w:left w:val="none" w:sz="0" w:space="0" w:color="auto"/>
        <w:bottom w:val="none" w:sz="0" w:space="0" w:color="auto"/>
        <w:right w:val="none" w:sz="0" w:space="0" w:color="auto"/>
      </w:divBdr>
      <w:divsChild>
        <w:div w:id="1681010512">
          <w:marLeft w:val="0"/>
          <w:marRight w:val="0"/>
          <w:marTop w:val="180"/>
          <w:marBottom w:val="180"/>
          <w:divBdr>
            <w:top w:val="none" w:sz="0" w:space="0" w:color="auto"/>
            <w:left w:val="none" w:sz="0" w:space="0" w:color="auto"/>
            <w:bottom w:val="none" w:sz="0" w:space="0" w:color="auto"/>
            <w:right w:val="none" w:sz="0" w:space="0" w:color="auto"/>
          </w:divBdr>
        </w:div>
      </w:divsChild>
    </w:div>
    <w:div w:id="924220025">
      <w:marLeft w:val="0"/>
      <w:marRight w:val="0"/>
      <w:marTop w:val="120"/>
      <w:marBottom w:val="180"/>
      <w:divBdr>
        <w:top w:val="none" w:sz="0" w:space="0" w:color="auto"/>
        <w:left w:val="none" w:sz="0" w:space="0" w:color="auto"/>
        <w:bottom w:val="none" w:sz="0" w:space="0" w:color="auto"/>
        <w:right w:val="none" w:sz="0" w:space="0" w:color="auto"/>
      </w:divBdr>
    </w:div>
    <w:div w:id="925109414">
      <w:marLeft w:val="0"/>
      <w:marRight w:val="0"/>
      <w:marTop w:val="60"/>
      <w:marBottom w:val="0"/>
      <w:divBdr>
        <w:top w:val="none" w:sz="0" w:space="0" w:color="auto"/>
        <w:left w:val="none" w:sz="0" w:space="0" w:color="auto"/>
        <w:bottom w:val="none" w:sz="0" w:space="0" w:color="auto"/>
        <w:right w:val="none" w:sz="0" w:space="0" w:color="auto"/>
      </w:divBdr>
    </w:div>
    <w:div w:id="931089788">
      <w:marLeft w:val="0"/>
      <w:marRight w:val="0"/>
      <w:marTop w:val="240"/>
      <w:marBottom w:val="0"/>
      <w:divBdr>
        <w:top w:val="none" w:sz="0" w:space="0" w:color="auto"/>
        <w:left w:val="none" w:sz="0" w:space="0" w:color="auto"/>
        <w:bottom w:val="none" w:sz="0" w:space="0" w:color="auto"/>
        <w:right w:val="none" w:sz="0" w:space="0" w:color="auto"/>
      </w:divBdr>
    </w:div>
    <w:div w:id="932935822">
      <w:marLeft w:val="0"/>
      <w:marRight w:val="0"/>
      <w:marTop w:val="160"/>
      <w:marBottom w:val="120"/>
      <w:divBdr>
        <w:top w:val="none" w:sz="0" w:space="0" w:color="auto"/>
        <w:left w:val="none" w:sz="0" w:space="0" w:color="auto"/>
        <w:bottom w:val="none" w:sz="0" w:space="0" w:color="auto"/>
        <w:right w:val="none" w:sz="0" w:space="0" w:color="auto"/>
      </w:divBdr>
    </w:div>
    <w:div w:id="937717632">
      <w:marLeft w:val="0"/>
      <w:marRight w:val="0"/>
      <w:marTop w:val="180"/>
      <w:marBottom w:val="0"/>
      <w:divBdr>
        <w:top w:val="none" w:sz="0" w:space="0" w:color="auto"/>
        <w:left w:val="none" w:sz="0" w:space="0" w:color="auto"/>
        <w:bottom w:val="none" w:sz="0" w:space="0" w:color="auto"/>
        <w:right w:val="none" w:sz="0" w:space="0" w:color="auto"/>
      </w:divBdr>
    </w:div>
    <w:div w:id="937837071">
      <w:marLeft w:val="0"/>
      <w:marRight w:val="0"/>
      <w:marTop w:val="180"/>
      <w:marBottom w:val="0"/>
      <w:divBdr>
        <w:top w:val="none" w:sz="0" w:space="0" w:color="auto"/>
        <w:left w:val="none" w:sz="0" w:space="0" w:color="auto"/>
        <w:bottom w:val="none" w:sz="0" w:space="0" w:color="auto"/>
        <w:right w:val="none" w:sz="0" w:space="0" w:color="auto"/>
      </w:divBdr>
    </w:div>
    <w:div w:id="943070393">
      <w:marLeft w:val="0"/>
      <w:marRight w:val="0"/>
      <w:marTop w:val="180"/>
      <w:marBottom w:val="0"/>
      <w:divBdr>
        <w:top w:val="none" w:sz="0" w:space="0" w:color="auto"/>
        <w:left w:val="none" w:sz="0" w:space="0" w:color="auto"/>
        <w:bottom w:val="none" w:sz="0" w:space="0" w:color="auto"/>
        <w:right w:val="none" w:sz="0" w:space="0" w:color="auto"/>
      </w:divBdr>
    </w:div>
    <w:div w:id="947129313">
      <w:marLeft w:val="0"/>
      <w:marRight w:val="0"/>
      <w:marTop w:val="180"/>
      <w:marBottom w:val="0"/>
      <w:divBdr>
        <w:top w:val="none" w:sz="0" w:space="0" w:color="auto"/>
        <w:left w:val="none" w:sz="0" w:space="0" w:color="auto"/>
        <w:bottom w:val="none" w:sz="0" w:space="0" w:color="auto"/>
        <w:right w:val="none" w:sz="0" w:space="0" w:color="auto"/>
      </w:divBdr>
    </w:div>
    <w:div w:id="947588378">
      <w:marLeft w:val="0"/>
      <w:marRight w:val="0"/>
      <w:marTop w:val="60"/>
      <w:marBottom w:val="120"/>
      <w:divBdr>
        <w:top w:val="none" w:sz="0" w:space="0" w:color="auto"/>
        <w:left w:val="none" w:sz="0" w:space="0" w:color="auto"/>
        <w:bottom w:val="none" w:sz="0" w:space="0" w:color="auto"/>
        <w:right w:val="none" w:sz="0" w:space="0" w:color="auto"/>
      </w:divBdr>
    </w:div>
    <w:div w:id="959720849">
      <w:marLeft w:val="0"/>
      <w:marRight w:val="0"/>
      <w:marTop w:val="0"/>
      <w:marBottom w:val="0"/>
      <w:divBdr>
        <w:top w:val="none" w:sz="0" w:space="0" w:color="auto"/>
        <w:left w:val="none" w:sz="0" w:space="0" w:color="auto"/>
        <w:bottom w:val="none" w:sz="0" w:space="0" w:color="auto"/>
        <w:right w:val="none" w:sz="0" w:space="0" w:color="auto"/>
      </w:divBdr>
      <w:divsChild>
        <w:div w:id="994335008">
          <w:marLeft w:val="0"/>
          <w:marRight w:val="0"/>
          <w:marTop w:val="180"/>
          <w:marBottom w:val="180"/>
          <w:divBdr>
            <w:top w:val="none" w:sz="0" w:space="0" w:color="auto"/>
            <w:left w:val="none" w:sz="0" w:space="0" w:color="auto"/>
            <w:bottom w:val="none" w:sz="0" w:space="0" w:color="auto"/>
            <w:right w:val="none" w:sz="0" w:space="0" w:color="auto"/>
          </w:divBdr>
        </w:div>
      </w:divsChild>
    </w:div>
    <w:div w:id="975065230">
      <w:marLeft w:val="0"/>
      <w:marRight w:val="0"/>
      <w:marTop w:val="120"/>
      <w:marBottom w:val="0"/>
      <w:divBdr>
        <w:top w:val="none" w:sz="0" w:space="0" w:color="auto"/>
        <w:left w:val="none" w:sz="0" w:space="0" w:color="auto"/>
        <w:bottom w:val="none" w:sz="0" w:space="0" w:color="auto"/>
        <w:right w:val="none" w:sz="0" w:space="0" w:color="auto"/>
      </w:divBdr>
    </w:div>
    <w:div w:id="976954231">
      <w:marLeft w:val="0"/>
      <w:marRight w:val="0"/>
      <w:marTop w:val="180"/>
      <w:marBottom w:val="0"/>
      <w:divBdr>
        <w:top w:val="none" w:sz="0" w:space="0" w:color="auto"/>
        <w:left w:val="none" w:sz="0" w:space="0" w:color="auto"/>
        <w:bottom w:val="none" w:sz="0" w:space="0" w:color="auto"/>
        <w:right w:val="none" w:sz="0" w:space="0" w:color="auto"/>
      </w:divBdr>
    </w:div>
    <w:div w:id="978723525">
      <w:marLeft w:val="0"/>
      <w:marRight w:val="0"/>
      <w:marTop w:val="180"/>
      <w:marBottom w:val="0"/>
      <w:divBdr>
        <w:top w:val="none" w:sz="0" w:space="0" w:color="auto"/>
        <w:left w:val="none" w:sz="0" w:space="0" w:color="auto"/>
        <w:bottom w:val="none" w:sz="0" w:space="0" w:color="auto"/>
        <w:right w:val="none" w:sz="0" w:space="0" w:color="auto"/>
      </w:divBdr>
    </w:div>
    <w:div w:id="981345348">
      <w:marLeft w:val="0"/>
      <w:marRight w:val="0"/>
      <w:marTop w:val="180"/>
      <w:marBottom w:val="0"/>
      <w:divBdr>
        <w:top w:val="none" w:sz="0" w:space="0" w:color="auto"/>
        <w:left w:val="none" w:sz="0" w:space="0" w:color="auto"/>
        <w:bottom w:val="none" w:sz="0" w:space="0" w:color="auto"/>
        <w:right w:val="none" w:sz="0" w:space="0" w:color="auto"/>
      </w:divBdr>
    </w:div>
    <w:div w:id="992181655">
      <w:marLeft w:val="0"/>
      <w:marRight w:val="0"/>
      <w:marTop w:val="0"/>
      <w:marBottom w:val="0"/>
      <w:divBdr>
        <w:top w:val="none" w:sz="0" w:space="0" w:color="auto"/>
        <w:left w:val="none" w:sz="0" w:space="0" w:color="auto"/>
        <w:bottom w:val="none" w:sz="0" w:space="0" w:color="auto"/>
        <w:right w:val="none" w:sz="0" w:space="0" w:color="auto"/>
      </w:divBdr>
      <w:divsChild>
        <w:div w:id="1597596340">
          <w:marLeft w:val="0"/>
          <w:marRight w:val="0"/>
          <w:marTop w:val="180"/>
          <w:marBottom w:val="180"/>
          <w:divBdr>
            <w:top w:val="none" w:sz="0" w:space="0" w:color="auto"/>
            <w:left w:val="none" w:sz="0" w:space="0" w:color="auto"/>
            <w:bottom w:val="none" w:sz="0" w:space="0" w:color="auto"/>
            <w:right w:val="none" w:sz="0" w:space="0" w:color="auto"/>
          </w:divBdr>
        </w:div>
      </w:divsChild>
    </w:div>
    <w:div w:id="1012219314">
      <w:marLeft w:val="0"/>
      <w:marRight w:val="0"/>
      <w:marTop w:val="0"/>
      <w:marBottom w:val="0"/>
      <w:divBdr>
        <w:top w:val="none" w:sz="0" w:space="0" w:color="auto"/>
        <w:left w:val="none" w:sz="0" w:space="0" w:color="auto"/>
        <w:bottom w:val="none" w:sz="0" w:space="0" w:color="auto"/>
        <w:right w:val="none" w:sz="0" w:space="0" w:color="auto"/>
      </w:divBdr>
      <w:divsChild>
        <w:div w:id="549150051">
          <w:marLeft w:val="0"/>
          <w:marRight w:val="0"/>
          <w:marTop w:val="180"/>
          <w:marBottom w:val="180"/>
          <w:divBdr>
            <w:top w:val="none" w:sz="0" w:space="0" w:color="auto"/>
            <w:left w:val="none" w:sz="0" w:space="0" w:color="auto"/>
            <w:bottom w:val="none" w:sz="0" w:space="0" w:color="auto"/>
            <w:right w:val="none" w:sz="0" w:space="0" w:color="auto"/>
          </w:divBdr>
        </w:div>
      </w:divsChild>
    </w:div>
    <w:div w:id="1016925562">
      <w:marLeft w:val="0"/>
      <w:marRight w:val="0"/>
      <w:marTop w:val="240"/>
      <w:marBottom w:val="0"/>
      <w:divBdr>
        <w:top w:val="none" w:sz="0" w:space="0" w:color="auto"/>
        <w:left w:val="none" w:sz="0" w:space="0" w:color="auto"/>
        <w:bottom w:val="none" w:sz="0" w:space="0" w:color="auto"/>
        <w:right w:val="none" w:sz="0" w:space="0" w:color="auto"/>
      </w:divBdr>
    </w:div>
    <w:div w:id="1016930711">
      <w:marLeft w:val="0"/>
      <w:marRight w:val="0"/>
      <w:marTop w:val="120"/>
      <w:marBottom w:val="120"/>
      <w:divBdr>
        <w:top w:val="none" w:sz="0" w:space="0" w:color="auto"/>
        <w:left w:val="none" w:sz="0" w:space="0" w:color="auto"/>
        <w:bottom w:val="none" w:sz="0" w:space="0" w:color="auto"/>
        <w:right w:val="none" w:sz="0" w:space="0" w:color="auto"/>
      </w:divBdr>
      <w:divsChild>
        <w:div w:id="2123108180">
          <w:marLeft w:val="0"/>
          <w:marRight w:val="0"/>
          <w:marTop w:val="0"/>
          <w:marBottom w:val="0"/>
          <w:divBdr>
            <w:top w:val="none" w:sz="0" w:space="0" w:color="auto"/>
            <w:left w:val="none" w:sz="0" w:space="0" w:color="auto"/>
            <w:bottom w:val="none" w:sz="0" w:space="0" w:color="auto"/>
            <w:right w:val="none" w:sz="0" w:space="0" w:color="auto"/>
          </w:divBdr>
        </w:div>
        <w:div w:id="507062383">
          <w:marLeft w:val="0"/>
          <w:marRight w:val="0"/>
          <w:marTop w:val="0"/>
          <w:marBottom w:val="0"/>
          <w:divBdr>
            <w:top w:val="none" w:sz="0" w:space="0" w:color="auto"/>
            <w:left w:val="none" w:sz="0" w:space="0" w:color="auto"/>
            <w:bottom w:val="none" w:sz="0" w:space="0" w:color="auto"/>
            <w:right w:val="none" w:sz="0" w:space="0" w:color="auto"/>
          </w:divBdr>
        </w:div>
        <w:div w:id="738598327">
          <w:marLeft w:val="0"/>
          <w:marRight w:val="0"/>
          <w:marTop w:val="0"/>
          <w:marBottom w:val="0"/>
          <w:divBdr>
            <w:top w:val="none" w:sz="0" w:space="0" w:color="auto"/>
            <w:left w:val="none" w:sz="0" w:space="0" w:color="auto"/>
            <w:bottom w:val="none" w:sz="0" w:space="0" w:color="auto"/>
            <w:right w:val="none" w:sz="0" w:space="0" w:color="auto"/>
          </w:divBdr>
        </w:div>
        <w:div w:id="27026316">
          <w:marLeft w:val="0"/>
          <w:marRight w:val="0"/>
          <w:marTop w:val="0"/>
          <w:marBottom w:val="0"/>
          <w:divBdr>
            <w:top w:val="none" w:sz="0" w:space="0" w:color="auto"/>
            <w:left w:val="none" w:sz="0" w:space="0" w:color="auto"/>
            <w:bottom w:val="none" w:sz="0" w:space="0" w:color="auto"/>
            <w:right w:val="none" w:sz="0" w:space="0" w:color="auto"/>
          </w:divBdr>
        </w:div>
      </w:divsChild>
    </w:div>
    <w:div w:id="1021973043">
      <w:marLeft w:val="0"/>
      <w:marRight w:val="0"/>
      <w:marTop w:val="60"/>
      <w:marBottom w:val="0"/>
      <w:divBdr>
        <w:top w:val="none" w:sz="0" w:space="0" w:color="auto"/>
        <w:left w:val="none" w:sz="0" w:space="0" w:color="auto"/>
        <w:bottom w:val="none" w:sz="0" w:space="0" w:color="auto"/>
        <w:right w:val="none" w:sz="0" w:space="0" w:color="auto"/>
      </w:divBdr>
    </w:div>
    <w:div w:id="1022971723">
      <w:marLeft w:val="0"/>
      <w:marRight w:val="0"/>
      <w:marTop w:val="180"/>
      <w:marBottom w:val="0"/>
      <w:divBdr>
        <w:top w:val="none" w:sz="0" w:space="0" w:color="auto"/>
        <w:left w:val="none" w:sz="0" w:space="0" w:color="auto"/>
        <w:bottom w:val="none" w:sz="0" w:space="0" w:color="auto"/>
        <w:right w:val="none" w:sz="0" w:space="0" w:color="auto"/>
      </w:divBdr>
    </w:div>
    <w:div w:id="1033765951">
      <w:marLeft w:val="0"/>
      <w:marRight w:val="0"/>
      <w:marTop w:val="180"/>
      <w:marBottom w:val="0"/>
      <w:divBdr>
        <w:top w:val="none" w:sz="0" w:space="0" w:color="auto"/>
        <w:left w:val="none" w:sz="0" w:space="0" w:color="auto"/>
        <w:bottom w:val="none" w:sz="0" w:space="0" w:color="auto"/>
        <w:right w:val="none" w:sz="0" w:space="0" w:color="auto"/>
      </w:divBdr>
    </w:div>
    <w:div w:id="1040326921">
      <w:marLeft w:val="0"/>
      <w:marRight w:val="0"/>
      <w:marTop w:val="180"/>
      <w:marBottom w:val="0"/>
      <w:divBdr>
        <w:top w:val="none" w:sz="0" w:space="0" w:color="auto"/>
        <w:left w:val="none" w:sz="0" w:space="0" w:color="auto"/>
        <w:bottom w:val="none" w:sz="0" w:space="0" w:color="auto"/>
        <w:right w:val="none" w:sz="0" w:space="0" w:color="auto"/>
      </w:divBdr>
    </w:div>
    <w:div w:id="1047334349">
      <w:marLeft w:val="0"/>
      <w:marRight w:val="0"/>
      <w:marTop w:val="180"/>
      <w:marBottom w:val="0"/>
      <w:divBdr>
        <w:top w:val="none" w:sz="0" w:space="0" w:color="auto"/>
        <w:left w:val="none" w:sz="0" w:space="0" w:color="auto"/>
        <w:bottom w:val="none" w:sz="0" w:space="0" w:color="auto"/>
        <w:right w:val="none" w:sz="0" w:space="0" w:color="auto"/>
      </w:divBdr>
    </w:div>
    <w:div w:id="1047683245">
      <w:marLeft w:val="0"/>
      <w:marRight w:val="0"/>
      <w:marTop w:val="60"/>
      <w:marBottom w:val="0"/>
      <w:divBdr>
        <w:top w:val="none" w:sz="0" w:space="0" w:color="auto"/>
        <w:left w:val="none" w:sz="0" w:space="0" w:color="auto"/>
        <w:bottom w:val="none" w:sz="0" w:space="0" w:color="auto"/>
        <w:right w:val="none" w:sz="0" w:space="0" w:color="auto"/>
      </w:divBdr>
    </w:div>
    <w:div w:id="1059552530">
      <w:marLeft w:val="0"/>
      <w:marRight w:val="0"/>
      <w:marTop w:val="0"/>
      <w:marBottom w:val="0"/>
      <w:divBdr>
        <w:top w:val="none" w:sz="0" w:space="0" w:color="auto"/>
        <w:left w:val="none" w:sz="0" w:space="0" w:color="auto"/>
        <w:bottom w:val="none" w:sz="0" w:space="0" w:color="auto"/>
        <w:right w:val="none" w:sz="0" w:space="0" w:color="auto"/>
      </w:divBdr>
      <w:divsChild>
        <w:div w:id="420487956">
          <w:marLeft w:val="0"/>
          <w:marRight w:val="0"/>
          <w:marTop w:val="180"/>
          <w:marBottom w:val="0"/>
          <w:divBdr>
            <w:top w:val="none" w:sz="0" w:space="0" w:color="auto"/>
            <w:left w:val="none" w:sz="0" w:space="0" w:color="auto"/>
            <w:bottom w:val="none" w:sz="0" w:space="0" w:color="auto"/>
            <w:right w:val="none" w:sz="0" w:space="0" w:color="auto"/>
          </w:divBdr>
        </w:div>
      </w:divsChild>
    </w:div>
    <w:div w:id="1060061085">
      <w:marLeft w:val="0"/>
      <w:marRight w:val="0"/>
      <w:marTop w:val="180"/>
      <w:marBottom w:val="120"/>
      <w:divBdr>
        <w:top w:val="none" w:sz="0" w:space="0" w:color="auto"/>
        <w:left w:val="none" w:sz="0" w:space="0" w:color="auto"/>
        <w:bottom w:val="none" w:sz="0" w:space="0" w:color="auto"/>
        <w:right w:val="none" w:sz="0" w:space="0" w:color="auto"/>
      </w:divBdr>
    </w:div>
    <w:div w:id="1064452569">
      <w:marLeft w:val="0"/>
      <w:marRight w:val="0"/>
      <w:marTop w:val="0"/>
      <w:marBottom w:val="0"/>
      <w:divBdr>
        <w:top w:val="none" w:sz="0" w:space="0" w:color="auto"/>
        <w:left w:val="none" w:sz="0" w:space="0" w:color="auto"/>
        <w:bottom w:val="none" w:sz="0" w:space="0" w:color="auto"/>
        <w:right w:val="none" w:sz="0" w:space="0" w:color="auto"/>
      </w:divBdr>
      <w:divsChild>
        <w:div w:id="1525828441">
          <w:marLeft w:val="0"/>
          <w:marRight w:val="0"/>
          <w:marTop w:val="180"/>
          <w:marBottom w:val="180"/>
          <w:divBdr>
            <w:top w:val="none" w:sz="0" w:space="0" w:color="auto"/>
            <w:left w:val="none" w:sz="0" w:space="0" w:color="auto"/>
            <w:bottom w:val="none" w:sz="0" w:space="0" w:color="auto"/>
            <w:right w:val="none" w:sz="0" w:space="0" w:color="auto"/>
          </w:divBdr>
        </w:div>
      </w:divsChild>
    </w:div>
    <w:div w:id="1065840288">
      <w:marLeft w:val="0"/>
      <w:marRight w:val="0"/>
      <w:marTop w:val="180"/>
      <w:marBottom w:val="0"/>
      <w:divBdr>
        <w:top w:val="none" w:sz="0" w:space="0" w:color="auto"/>
        <w:left w:val="none" w:sz="0" w:space="0" w:color="auto"/>
        <w:bottom w:val="none" w:sz="0" w:space="0" w:color="auto"/>
        <w:right w:val="none" w:sz="0" w:space="0" w:color="auto"/>
      </w:divBdr>
    </w:div>
    <w:div w:id="1066804833">
      <w:marLeft w:val="0"/>
      <w:marRight w:val="0"/>
      <w:marTop w:val="180"/>
      <w:marBottom w:val="0"/>
      <w:divBdr>
        <w:top w:val="none" w:sz="0" w:space="0" w:color="auto"/>
        <w:left w:val="none" w:sz="0" w:space="0" w:color="auto"/>
        <w:bottom w:val="none" w:sz="0" w:space="0" w:color="auto"/>
        <w:right w:val="none" w:sz="0" w:space="0" w:color="auto"/>
      </w:divBdr>
    </w:div>
    <w:div w:id="1068921272">
      <w:marLeft w:val="0"/>
      <w:marRight w:val="0"/>
      <w:marTop w:val="180"/>
      <w:marBottom w:val="60"/>
      <w:divBdr>
        <w:top w:val="none" w:sz="0" w:space="0" w:color="auto"/>
        <w:left w:val="none" w:sz="0" w:space="0" w:color="auto"/>
        <w:bottom w:val="none" w:sz="0" w:space="0" w:color="auto"/>
        <w:right w:val="none" w:sz="0" w:space="0" w:color="auto"/>
      </w:divBdr>
    </w:div>
    <w:div w:id="1069304363">
      <w:marLeft w:val="0"/>
      <w:marRight w:val="0"/>
      <w:marTop w:val="180"/>
      <w:marBottom w:val="0"/>
      <w:divBdr>
        <w:top w:val="none" w:sz="0" w:space="0" w:color="auto"/>
        <w:left w:val="none" w:sz="0" w:space="0" w:color="auto"/>
        <w:bottom w:val="none" w:sz="0" w:space="0" w:color="auto"/>
        <w:right w:val="none" w:sz="0" w:space="0" w:color="auto"/>
      </w:divBdr>
    </w:div>
    <w:div w:id="1075396497">
      <w:marLeft w:val="0"/>
      <w:marRight w:val="0"/>
      <w:marTop w:val="60"/>
      <w:marBottom w:val="120"/>
      <w:divBdr>
        <w:top w:val="none" w:sz="0" w:space="0" w:color="auto"/>
        <w:left w:val="none" w:sz="0" w:space="0" w:color="auto"/>
        <w:bottom w:val="none" w:sz="0" w:space="0" w:color="auto"/>
        <w:right w:val="none" w:sz="0" w:space="0" w:color="auto"/>
      </w:divBdr>
    </w:div>
    <w:div w:id="1076319987">
      <w:marLeft w:val="0"/>
      <w:marRight w:val="0"/>
      <w:marTop w:val="240"/>
      <w:marBottom w:val="0"/>
      <w:divBdr>
        <w:top w:val="none" w:sz="0" w:space="0" w:color="auto"/>
        <w:left w:val="none" w:sz="0" w:space="0" w:color="auto"/>
        <w:bottom w:val="none" w:sz="0" w:space="0" w:color="auto"/>
        <w:right w:val="none" w:sz="0" w:space="0" w:color="auto"/>
      </w:divBdr>
    </w:div>
    <w:div w:id="1079016057">
      <w:marLeft w:val="0"/>
      <w:marRight w:val="0"/>
      <w:marTop w:val="0"/>
      <w:marBottom w:val="0"/>
      <w:divBdr>
        <w:top w:val="none" w:sz="0" w:space="0" w:color="auto"/>
        <w:left w:val="none" w:sz="0" w:space="0" w:color="auto"/>
        <w:bottom w:val="none" w:sz="0" w:space="0" w:color="auto"/>
        <w:right w:val="none" w:sz="0" w:space="0" w:color="auto"/>
      </w:divBdr>
      <w:divsChild>
        <w:div w:id="950169086">
          <w:marLeft w:val="0"/>
          <w:marRight w:val="0"/>
          <w:marTop w:val="180"/>
          <w:marBottom w:val="180"/>
          <w:divBdr>
            <w:top w:val="none" w:sz="0" w:space="0" w:color="auto"/>
            <w:left w:val="none" w:sz="0" w:space="0" w:color="auto"/>
            <w:bottom w:val="none" w:sz="0" w:space="0" w:color="auto"/>
            <w:right w:val="none" w:sz="0" w:space="0" w:color="auto"/>
          </w:divBdr>
        </w:div>
      </w:divsChild>
    </w:div>
    <w:div w:id="1080953245">
      <w:marLeft w:val="0"/>
      <w:marRight w:val="0"/>
      <w:marTop w:val="240"/>
      <w:marBottom w:val="0"/>
      <w:divBdr>
        <w:top w:val="none" w:sz="0" w:space="0" w:color="auto"/>
        <w:left w:val="none" w:sz="0" w:space="0" w:color="auto"/>
        <w:bottom w:val="none" w:sz="0" w:space="0" w:color="auto"/>
        <w:right w:val="none" w:sz="0" w:space="0" w:color="auto"/>
      </w:divBdr>
    </w:div>
    <w:div w:id="1081102863">
      <w:marLeft w:val="0"/>
      <w:marRight w:val="0"/>
      <w:marTop w:val="130"/>
      <w:marBottom w:val="0"/>
      <w:divBdr>
        <w:top w:val="none" w:sz="0" w:space="0" w:color="auto"/>
        <w:left w:val="none" w:sz="0" w:space="0" w:color="auto"/>
        <w:bottom w:val="none" w:sz="0" w:space="0" w:color="auto"/>
        <w:right w:val="none" w:sz="0" w:space="0" w:color="auto"/>
      </w:divBdr>
    </w:div>
    <w:div w:id="1081489515">
      <w:marLeft w:val="0"/>
      <w:marRight w:val="0"/>
      <w:marTop w:val="180"/>
      <w:marBottom w:val="120"/>
      <w:divBdr>
        <w:top w:val="none" w:sz="0" w:space="0" w:color="auto"/>
        <w:left w:val="none" w:sz="0" w:space="0" w:color="auto"/>
        <w:bottom w:val="none" w:sz="0" w:space="0" w:color="auto"/>
        <w:right w:val="none" w:sz="0" w:space="0" w:color="auto"/>
      </w:divBdr>
    </w:div>
    <w:div w:id="1083837093">
      <w:marLeft w:val="0"/>
      <w:marRight w:val="0"/>
      <w:marTop w:val="0"/>
      <w:marBottom w:val="0"/>
      <w:divBdr>
        <w:top w:val="none" w:sz="0" w:space="0" w:color="auto"/>
        <w:left w:val="none" w:sz="0" w:space="0" w:color="auto"/>
        <w:bottom w:val="none" w:sz="0" w:space="0" w:color="auto"/>
        <w:right w:val="none" w:sz="0" w:space="0" w:color="auto"/>
      </w:divBdr>
      <w:divsChild>
        <w:div w:id="189954301">
          <w:marLeft w:val="0"/>
          <w:marRight w:val="0"/>
          <w:marTop w:val="180"/>
          <w:marBottom w:val="180"/>
          <w:divBdr>
            <w:top w:val="none" w:sz="0" w:space="0" w:color="auto"/>
            <w:left w:val="none" w:sz="0" w:space="0" w:color="auto"/>
            <w:bottom w:val="none" w:sz="0" w:space="0" w:color="auto"/>
            <w:right w:val="none" w:sz="0" w:space="0" w:color="auto"/>
          </w:divBdr>
        </w:div>
      </w:divsChild>
    </w:div>
    <w:div w:id="1091047064">
      <w:marLeft w:val="0"/>
      <w:marRight w:val="0"/>
      <w:marTop w:val="180"/>
      <w:marBottom w:val="0"/>
      <w:divBdr>
        <w:top w:val="none" w:sz="0" w:space="0" w:color="auto"/>
        <w:left w:val="none" w:sz="0" w:space="0" w:color="auto"/>
        <w:bottom w:val="none" w:sz="0" w:space="0" w:color="auto"/>
        <w:right w:val="none" w:sz="0" w:space="0" w:color="auto"/>
      </w:divBdr>
    </w:div>
    <w:div w:id="1096485697">
      <w:marLeft w:val="0"/>
      <w:marRight w:val="0"/>
      <w:marTop w:val="180"/>
      <w:marBottom w:val="0"/>
      <w:divBdr>
        <w:top w:val="none" w:sz="0" w:space="0" w:color="auto"/>
        <w:left w:val="none" w:sz="0" w:space="0" w:color="auto"/>
        <w:bottom w:val="none" w:sz="0" w:space="0" w:color="auto"/>
        <w:right w:val="none" w:sz="0" w:space="0" w:color="auto"/>
      </w:divBdr>
    </w:div>
    <w:div w:id="1104500334">
      <w:marLeft w:val="0"/>
      <w:marRight w:val="0"/>
      <w:marTop w:val="180"/>
      <w:marBottom w:val="0"/>
      <w:divBdr>
        <w:top w:val="none" w:sz="0" w:space="0" w:color="auto"/>
        <w:left w:val="none" w:sz="0" w:space="0" w:color="auto"/>
        <w:bottom w:val="none" w:sz="0" w:space="0" w:color="auto"/>
        <w:right w:val="none" w:sz="0" w:space="0" w:color="auto"/>
      </w:divBdr>
    </w:div>
    <w:div w:id="1116288404">
      <w:marLeft w:val="0"/>
      <w:marRight w:val="0"/>
      <w:marTop w:val="240"/>
      <w:marBottom w:val="180"/>
      <w:divBdr>
        <w:top w:val="none" w:sz="0" w:space="0" w:color="auto"/>
        <w:left w:val="none" w:sz="0" w:space="0" w:color="auto"/>
        <w:bottom w:val="none" w:sz="0" w:space="0" w:color="auto"/>
        <w:right w:val="none" w:sz="0" w:space="0" w:color="auto"/>
      </w:divBdr>
    </w:div>
    <w:div w:id="1120107146">
      <w:marLeft w:val="0"/>
      <w:marRight w:val="0"/>
      <w:marTop w:val="0"/>
      <w:marBottom w:val="0"/>
      <w:divBdr>
        <w:top w:val="none" w:sz="0" w:space="0" w:color="auto"/>
        <w:left w:val="none" w:sz="0" w:space="0" w:color="auto"/>
        <w:bottom w:val="none" w:sz="0" w:space="0" w:color="auto"/>
        <w:right w:val="none" w:sz="0" w:space="0" w:color="auto"/>
      </w:divBdr>
      <w:divsChild>
        <w:div w:id="1041638744">
          <w:marLeft w:val="0"/>
          <w:marRight w:val="0"/>
          <w:marTop w:val="180"/>
          <w:marBottom w:val="180"/>
          <w:divBdr>
            <w:top w:val="none" w:sz="0" w:space="0" w:color="auto"/>
            <w:left w:val="none" w:sz="0" w:space="0" w:color="auto"/>
            <w:bottom w:val="none" w:sz="0" w:space="0" w:color="auto"/>
            <w:right w:val="none" w:sz="0" w:space="0" w:color="auto"/>
          </w:divBdr>
        </w:div>
      </w:divsChild>
    </w:div>
    <w:div w:id="1122960617">
      <w:marLeft w:val="0"/>
      <w:marRight w:val="0"/>
      <w:marTop w:val="180"/>
      <w:marBottom w:val="0"/>
      <w:divBdr>
        <w:top w:val="none" w:sz="0" w:space="0" w:color="auto"/>
        <w:left w:val="none" w:sz="0" w:space="0" w:color="auto"/>
        <w:bottom w:val="none" w:sz="0" w:space="0" w:color="auto"/>
        <w:right w:val="none" w:sz="0" w:space="0" w:color="auto"/>
      </w:divBdr>
    </w:div>
    <w:div w:id="1123889591">
      <w:marLeft w:val="0"/>
      <w:marRight w:val="0"/>
      <w:marTop w:val="180"/>
      <w:marBottom w:val="0"/>
      <w:divBdr>
        <w:top w:val="none" w:sz="0" w:space="0" w:color="auto"/>
        <w:left w:val="none" w:sz="0" w:space="0" w:color="auto"/>
        <w:bottom w:val="none" w:sz="0" w:space="0" w:color="auto"/>
        <w:right w:val="none" w:sz="0" w:space="0" w:color="auto"/>
      </w:divBdr>
    </w:div>
    <w:div w:id="1126582057">
      <w:marLeft w:val="0"/>
      <w:marRight w:val="0"/>
      <w:marTop w:val="0"/>
      <w:marBottom w:val="0"/>
      <w:divBdr>
        <w:top w:val="none" w:sz="0" w:space="0" w:color="auto"/>
        <w:left w:val="none" w:sz="0" w:space="0" w:color="auto"/>
        <w:bottom w:val="none" w:sz="0" w:space="0" w:color="auto"/>
        <w:right w:val="none" w:sz="0" w:space="0" w:color="auto"/>
      </w:divBdr>
      <w:divsChild>
        <w:div w:id="583223536">
          <w:marLeft w:val="0"/>
          <w:marRight w:val="0"/>
          <w:marTop w:val="180"/>
          <w:marBottom w:val="180"/>
          <w:divBdr>
            <w:top w:val="none" w:sz="0" w:space="0" w:color="auto"/>
            <w:left w:val="none" w:sz="0" w:space="0" w:color="auto"/>
            <w:bottom w:val="none" w:sz="0" w:space="0" w:color="auto"/>
            <w:right w:val="none" w:sz="0" w:space="0" w:color="auto"/>
          </w:divBdr>
        </w:div>
      </w:divsChild>
    </w:div>
    <w:div w:id="1126848095">
      <w:marLeft w:val="0"/>
      <w:marRight w:val="0"/>
      <w:marTop w:val="0"/>
      <w:marBottom w:val="0"/>
      <w:divBdr>
        <w:top w:val="none" w:sz="0" w:space="0" w:color="auto"/>
        <w:left w:val="none" w:sz="0" w:space="0" w:color="auto"/>
        <w:bottom w:val="none" w:sz="0" w:space="0" w:color="auto"/>
        <w:right w:val="none" w:sz="0" w:space="0" w:color="auto"/>
      </w:divBdr>
    </w:div>
    <w:div w:id="1129326339">
      <w:marLeft w:val="0"/>
      <w:marRight w:val="0"/>
      <w:marTop w:val="120"/>
      <w:marBottom w:val="120"/>
      <w:divBdr>
        <w:top w:val="none" w:sz="0" w:space="0" w:color="auto"/>
        <w:left w:val="none" w:sz="0" w:space="0" w:color="auto"/>
        <w:bottom w:val="none" w:sz="0" w:space="0" w:color="auto"/>
        <w:right w:val="none" w:sz="0" w:space="0" w:color="auto"/>
      </w:divBdr>
      <w:divsChild>
        <w:div w:id="1603687023">
          <w:marLeft w:val="0"/>
          <w:marRight w:val="0"/>
          <w:marTop w:val="0"/>
          <w:marBottom w:val="0"/>
          <w:divBdr>
            <w:top w:val="none" w:sz="0" w:space="0" w:color="auto"/>
            <w:left w:val="none" w:sz="0" w:space="0" w:color="auto"/>
            <w:bottom w:val="none" w:sz="0" w:space="0" w:color="auto"/>
            <w:right w:val="none" w:sz="0" w:space="0" w:color="auto"/>
          </w:divBdr>
        </w:div>
        <w:div w:id="345331056">
          <w:marLeft w:val="0"/>
          <w:marRight w:val="0"/>
          <w:marTop w:val="0"/>
          <w:marBottom w:val="0"/>
          <w:divBdr>
            <w:top w:val="none" w:sz="0" w:space="0" w:color="auto"/>
            <w:left w:val="none" w:sz="0" w:space="0" w:color="auto"/>
            <w:bottom w:val="none" w:sz="0" w:space="0" w:color="auto"/>
            <w:right w:val="none" w:sz="0" w:space="0" w:color="auto"/>
          </w:divBdr>
        </w:div>
        <w:div w:id="980382894">
          <w:marLeft w:val="0"/>
          <w:marRight w:val="0"/>
          <w:marTop w:val="0"/>
          <w:marBottom w:val="0"/>
          <w:divBdr>
            <w:top w:val="none" w:sz="0" w:space="0" w:color="auto"/>
            <w:left w:val="none" w:sz="0" w:space="0" w:color="auto"/>
            <w:bottom w:val="none" w:sz="0" w:space="0" w:color="auto"/>
            <w:right w:val="none" w:sz="0" w:space="0" w:color="auto"/>
          </w:divBdr>
        </w:div>
      </w:divsChild>
    </w:div>
    <w:div w:id="1129786506">
      <w:marLeft w:val="0"/>
      <w:marRight w:val="0"/>
      <w:marTop w:val="180"/>
      <w:marBottom w:val="0"/>
      <w:divBdr>
        <w:top w:val="none" w:sz="0" w:space="0" w:color="auto"/>
        <w:left w:val="none" w:sz="0" w:space="0" w:color="auto"/>
        <w:bottom w:val="none" w:sz="0" w:space="0" w:color="auto"/>
        <w:right w:val="none" w:sz="0" w:space="0" w:color="auto"/>
      </w:divBdr>
    </w:div>
    <w:div w:id="1144005793">
      <w:marLeft w:val="0"/>
      <w:marRight w:val="0"/>
      <w:marTop w:val="240"/>
      <w:marBottom w:val="0"/>
      <w:divBdr>
        <w:top w:val="none" w:sz="0" w:space="0" w:color="auto"/>
        <w:left w:val="none" w:sz="0" w:space="0" w:color="auto"/>
        <w:bottom w:val="none" w:sz="0" w:space="0" w:color="auto"/>
        <w:right w:val="none" w:sz="0" w:space="0" w:color="auto"/>
      </w:divBdr>
    </w:div>
    <w:div w:id="1149444407">
      <w:marLeft w:val="0"/>
      <w:marRight w:val="0"/>
      <w:marTop w:val="0"/>
      <w:marBottom w:val="0"/>
      <w:divBdr>
        <w:top w:val="none" w:sz="0" w:space="0" w:color="auto"/>
        <w:left w:val="none" w:sz="0" w:space="0" w:color="auto"/>
        <w:bottom w:val="none" w:sz="0" w:space="0" w:color="auto"/>
        <w:right w:val="none" w:sz="0" w:space="0" w:color="auto"/>
      </w:divBdr>
      <w:divsChild>
        <w:div w:id="656495186">
          <w:marLeft w:val="0"/>
          <w:marRight w:val="0"/>
          <w:marTop w:val="0"/>
          <w:marBottom w:val="0"/>
          <w:divBdr>
            <w:top w:val="none" w:sz="0" w:space="0" w:color="auto"/>
            <w:left w:val="none" w:sz="0" w:space="0" w:color="auto"/>
            <w:bottom w:val="none" w:sz="0" w:space="0" w:color="auto"/>
            <w:right w:val="none" w:sz="0" w:space="0" w:color="auto"/>
          </w:divBdr>
          <w:divsChild>
            <w:div w:id="20925850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51826557">
      <w:marLeft w:val="0"/>
      <w:marRight w:val="0"/>
      <w:marTop w:val="120"/>
      <w:marBottom w:val="0"/>
      <w:divBdr>
        <w:top w:val="none" w:sz="0" w:space="0" w:color="auto"/>
        <w:left w:val="none" w:sz="0" w:space="0" w:color="auto"/>
        <w:bottom w:val="none" w:sz="0" w:space="0" w:color="auto"/>
        <w:right w:val="none" w:sz="0" w:space="0" w:color="auto"/>
      </w:divBdr>
    </w:div>
    <w:div w:id="1154906216">
      <w:marLeft w:val="0"/>
      <w:marRight w:val="0"/>
      <w:marTop w:val="0"/>
      <w:marBottom w:val="0"/>
      <w:divBdr>
        <w:top w:val="none" w:sz="0" w:space="0" w:color="auto"/>
        <w:left w:val="none" w:sz="0" w:space="0" w:color="auto"/>
        <w:bottom w:val="none" w:sz="0" w:space="0" w:color="auto"/>
        <w:right w:val="none" w:sz="0" w:space="0" w:color="auto"/>
      </w:divBdr>
      <w:divsChild>
        <w:div w:id="1402486340">
          <w:marLeft w:val="0"/>
          <w:marRight w:val="0"/>
          <w:marTop w:val="180"/>
          <w:marBottom w:val="180"/>
          <w:divBdr>
            <w:top w:val="none" w:sz="0" w:space="0" w:color="auto"/>
            <w:left w:val="none" w:sz="0" w:space="0" w:color="auto"/>
            <w:bottom w:val="none" w:sz="0" w:space="0" w:color="auto"/>
            <w:right w:val="none" w:sz="0" w:space="0" w:color="auto"/>
          </w:divBdr>
        </w:div>
      </w:divsChild>
    </w:div>
    <w:div w:id="1157190873">
      <w:marLeft w:val="0"/>
      <w:marRight w:val="0"/>
      <w:marTop w:val="180"/>
      <w:marBottom w:val="0"/>
      <w:divBdr>
        <w:top w:val="none" w:sz="0" w:space="0" w:color="auto"/>
        <w:left w:val="none" w:sz="0" w:space="0" w:color="auto"/>
        <w:bottom w:val="none" w:sz="0" w:space="0" w:color="auto"/>
        <w:right w:val="none" w:sz="0" w:space="0" w:color="auto"/>
      </w:divBdr>
    </w:div>
    <w:div w:id="1162358656">
      <w:marLeft w:val="0"/>
      <w:marRight w:val="0"/>
      <w:marTop w:val="240"/>
      <w:marBottom w:val="0"/>
      <w:divBdr>
        <w:top w:val="none" w:sz="0" w:space="0" w:color="auto"/>
        <w:left w:val="none" w:sz="0" w:space="0" w:color="auto"/>
        <w:bottom w:val="none" w:sz="0" w:space="0" w:color="auto"/>
        <w:right w:val="none" w:sz="0" w:space="0" w:color="auto"/>
      </w:divBdr>
    </w:div>
    <w:div w:id="1163668574">
      <w:marLeft w:val="0"/>
      <w:marRight w:val="0"/>
      <w:marTop w:val="60"/>
      <w:marBottom w:val="120"/>
      <w:divBdr>
        <w:top w:val="none" w:sz="0" w:space="0" w:color="auto"/>
        <w:left w:val="none" w:sz="0" w:space="0" w:color="auto"/>
        <w:bottom w:val="none" w:sz="0" w:space="0" w:color="auto"/>
        <w:right w:val="none" w:sz="0" w:space="0" w:color="auto"/>
      </w:divBdr>
    </w:div>
    <w:div w:id="1165512892">
      <w:marLeft w:val="0"/>
      <w:marRight w:val="0"/>
      <w:marTop w:val="60"/>
      <w:marBottom w:val="0"/>
      <w:divBdr>
        <w:top w:val="none" w:sz="0" w:space="0" w:color="auto"/>
        <w:left w:val="none" w:sz="0" w:space="0" w:color="auto"/>
        <w:bottom w:val="none" w:sz="0" w:space="0" w:color="auto"/>
        <w:right w:val="none" w:sz="0" w:space="0" w:color="auto"/>
      </w:divBdr>
    </w:div>
    <w:div w:id="1171794410">
      <w:marLeft w:val="0"/>
      <w:marRight w:val="0"/>
      <w:marTop w:val="180"/>
      <w:marBottom w:val="0"/>
      <w:divBdr>
        <w:top w:val="none" w:sz="0" w:space="0" w:color="auto"/>
        <w:left w:val="none" w:sz="0" w:space="0" w:color="auto"/>
        <w:bottom w:val="none" w:sz="0" w:space="0" w:color="auto"/>
        <w:right w:val="none" w:sz="0" w:space="0" w:color="auto"/>
      </w:divBdr>
    </w:div>
    <w:div w:id="1173684819">
      <w:marLeft w:val="0"/>
      <w:marRight w:val="0"/>
      <w:marTop w:val="0"/>
      <w:marBottom w:val="0"/>
      <w:divBdr>
        <w:top w:val="none" w:sz="0" w:space="0" w:color="auto"/>
        <w:left w:val="none" w:sz="0" w:space="0" w:color="auto"/>
        <w:bottom w:val="none" w:sz="0" w:space="0" w:color="auto"/>
        <w:right w:val="none" w:sz="0" w:space="0" w:color="auto"/>
      </w:divBdr>
      <w:divsChild>
        <w:div w:id="2052030461">
          <w:marLeft w:val="0"/>
          <w:marRight w:val="0"/>
          <w:marTop w:val="0"/>
          <w:marBottom w:val="0"/>
          <w:divBdr>
            <w:top w:val="none" w:sz="0" w:space="0" w:color="auto"/>
            <w:left w:val="none" w:sz="0" w:space="0" w:color="auto"/>
            <w:bottom w:val="none" w:sz="0" w:space="0" w:color="auto"/>
            <w:right w:val="none" w:sz="0" w:space="0" w:color="auto"/>
          </w:divBdr>
          <w:divsChild>
            <w:div w:id="19160151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5343901">
      <w:marLeft w:val="0"/>
      <w:marRight w:val="0"/>
      <w:marTop w:val="60"/>
      <w:marBottom w:val="120"/>
      <w:divBdr>
        <w:top w:val="none" w:sz="0" w:space="0" w:color="auto"/>
        <w:left w:val="none" w:sz="0" w:space="0" w:color="auto"/>
        <w:bottom w:val="none" w:sz="0" w:space="0" w:color="auto"/>
        <w:right w:val="none" w:sz="0" w:space="0" w:color="auto"/>
      </w:divBdr>
    </w:div>
    <w:div w:id="1180583731">
      <w:marLeft w:val="0"/>
      <w:marRight w:val="0"/>
      <w:marTop w:val="0"/>
      <w:marBottom w:val="0"/>
      <w:divBdr>
        <w:top w:val="none" w:sz="0" w:space="0" w:color="auto"/>
        <w:left w:val="none" w:sz="0" w:space="0" w:color="auto"/>
        <w:bottom w:val="none" w:sz="0" w:space="0" w:color="auto"/>
        <w:right w:val="none" w:sz="0" w:space="0" w:color="auto"/>
      </w:divBdr>
      <w:divsChild>
        <w:div w:id="1957904270">
          <w:marLeft w:val="0"/>
          <w:marRight w:val="0"/>
          <w:marTop w:val="0"/>
          <w:marBottom w:val="0"/>
          <w:divBdr>
            <w:top w:val="none" w:sz="0" w:space="0" w:color="auto"/>
            <w:left w:val="none" w:sz="0" w:space="0" w:color="auto"/>
            <w:bottom w:val="none" w:sz="0" w:space="0" w:color="auto"/>
            <w:right w:val="none" w:sz="0" w:space="0" w:color="auto"/>
          </w:divBdr>
          <w:divsChild>
            <w:div w:id="16957692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83132066">
      <w:marLeft w:val="0"/>
      <w:marRight w:val="0"/>
      <w:marTop w:val="180"/>
      <w:marBottom w:val="0"/>
      <w:divBdr>
        <w:top w:val="none" w:sz="0" w:space="0" w:color="auto"/>
        <w:left w:val="none" w:sz="0" w:space="0" w:color="auto"/>
        <w:bottom w:val="none" w:sz="0" w:space="0" w:color="auto"/>
        <w:right w:val="none" w:sz="0" w:space="0" w:color="auto"/>
      </w:divBdr>
    </w:div>
    <w:div w:id="1184242769">
      <w:marLeft w:val="0"/>
      <w:marRight w:val="0"/>
      <w:marTop w:val="180"/>
      <w:marBottom w:val="0"/>
      <w:divBdr>
        <w:top w:val="none" w:sz="0" w:space="0" w:color="auto"/>
        <w:left w:val="none" w:sz="0" w:space="0" w:color="auto"/>
        <w:bottom w:val="none" w:sz="0" w:space="0" w:color="auto"/>
        <w:right w:val="none" w:sz="0" w:space="0" w:color="auto"/>
      </w:divBdr>
    </w:div>
    <w:div w:id="1196425811">
      <w:marLeft w:val="0"/>
      <w:marRight w:val="0"/>
      <w:marTop w:val="180"/>
      <w:marBottom w:val="0"/>
      <w:divBdr>
        <w:top w:val="none" w:sz="0" w:space="0" w:color="auto"/>
        <w:left w:val="none" w:sz="0" w:space="0" w:color="auto"/>
        <w:bottom w:val="none" w:sz="0" w:space="0" w:color="auto"/>
        <w:right w:val="none" w:sz="0" w:space="0" w:color="auto"/>
      </w:divBdr>
    </w:div>
    <w:div w:id="1198273334">
      <w:marLeft w:val="0"/>
      <w:marRight w:val="0"/>
      <w:marTop w:val="180"/>
      <w:marBottom w:val="0"/>
      <w:divBdr>
        <w:top w:val="none" w:sz="0" w:space="0" w:color="auto"/>
        <w:left w:val="none" w:sz="0" w:space="0" w:color="auto"/>
        <w:bottom w:val="none" w:sz="0" w:space="0" w:color="auto"/>
        <w:right w:val="none" w:sz="0" w:space="0" w:color="auto"/>
      </w:divBdr>
    </w:div>
    <w:div w:id="1200048254">
      <w:marLeft w:val="0"/>
      <w:marRight w:val="0"/>
      <w:marTop w:val="180"/>
      <w:marBottom w:val="0"/>
      <w:divBdr>
        <w:top w:val="none" w:sz="0" w:space="0" w:color="auto"/>
        <w:left w:val="none" w:sz="0" w:space="0" w:color="auto"/>
        <w:bottom w:val="none" w:sz="0" w:space="0" w:color="auto"/>
        <w:right w:val="none" w:sz="0" w:space="0" w:color="auto"/>
      </w:divBdr>
    </w:div>
    <w:div w:id="1204173797">
      <w:marLeft w:val="0"/>
      <w:marRight w:val="0"/>
      <w:marTop w:val="0"/>
      <w:marBottom w:val="0"/>
      <w:divBdr>
        <w:top w:val="none" w:sz="0" w:space="0" w:color="auto"/>
        <w:left w:val="none" w:sz="0" w:space="0" w:color="auto"/>
        <w:bottom w:val="none" w:sz="0" w:space="0" w:color="auto"/>
        <w:right w:val="none" w:sz="0" w:space="0" w:color="auto"/>
      </w:divBdr>
      <w:divsChild>
        <w:div w:id="561792931">
          <w:marLeft w:val="0"/>
          <w:marRight w:val="0"/>
          <w:marTop w:val="180"/>
          <w:marBottom w:val="180"/>
          <w:divBdr>
            <w:top w:val="none" w:sz="0" w:space="0" w:color="auto"/>
            <w:left w:val="none" w:sz="0" w:space="0" w:color="auto"/>
            <w:bottom w:val="none" w:sz="0" w:space="0" w:color="auto"/>
            <w:right w:val="none" w:sz="0" w:space="0" w:color="auto"/>
          </w:divBdr>
        </w:div>
      </w:divsChild>
    </w:div>
    <w:div w:id="1207909985">
      <w:marLeft w:val="0"/>
      <w:marRight w:val="0"/>
      <w:marTop w:val="130"/>
      <w:marBottom w:val="120"/>
      <w:divBdr>
        <w:top w:val="none" w:sz="0" w:space="0" w:color="auto"/>
        <w:left w:val="none" w:sz="0" w:space="0" w:color="auto"/>
        <w:bottom w:val="none" w:sz="0" w:space="0" w:color="auto"/>
        <w:right w:val="none" w:sz="0" w:space="0" w:color="auto"/>
      </w:divBdr>
    </w:div>
    <w:div w:id="1212498605">
      <w:marLeft w:val="0"/>
      <w:marRight w:val="0"/>
      <w:marTop w:val="180"/>
      <w:marBottom w:val="0"/>
      <w:divBdr>
        <w:top w:val="none" w:sz="0" w:space="0" w:color="auto"/>
        <w:left w:val="none" w:sz="0" w:space="0" w:color="auto"/>
        <w:bottom w:val="none" w:sz="0" w:space="0" w:color="auto"/>
        <w:right w:val="none" w:sz="0" w:space="0" w:color="auto"/>
      </w:divBdr>
    </w:div>
    <w:div w:id="1221014751">
      <w:marLeft w:val="0"/>
      <w:marRight w:val="0"/>
      <w:marTop w:val="180"/>
      <w:marBottom w:val="0"/>
      <w:divBdr>
        <w:top w:val="none" w:sz="0" w:space="0" w:color="auto"/>
        <w:left w:val="none" w:sz="0" w:space="0" w:color="auto"/>
        <w:bottom w:val="none" w:sz="0" w:space="0" w:color="auto"/>
        <w:right w:val="none" w:sz="0" w:space="0" w:color="auto"/>
      </w:divBdr>
    </w:div>
    <w:div w:id="1221793029">
      <w:marLeft w:val="0"/>
      <w:marRight w:val="0"/>
      <w:marTop w:val="180"/>
      <w:marBottom w:val="0"/>
      <w:divBdr>
        <w:top w:val="none" w:sz="0" w:space="0" w:color="auto"/>
        <w:left w:val="none" w:sz="0" w:space="0" w:color="auto"/>
        <w:bottom w:val="none" w:sz="0" w:space="0" w:color="auto"/>
        <w:right w:val="none" w:sz="0" w:space="0" w:color="auto"/>
      </w:divBdr>
    </w:div>
    <w:div w:id="1231117276">
      <w:marLeft w:val="0"/>
      <w:marRight w:val="0"/>
      <w:marTop w:val="0"/>
      <w:marBottom w:val="0"/>
      <w:divBdr>
        <w:top w:val="none" w:sz="0" w:space="0" w:color="auto"/>
        <w:left w:val="none" w:sz="0" w:space="0" w:color="auto"/>
        <w:bottom w:val="none" w:sz="0" w:space="0" w:color="auto"/>
        <w:right w:val="none" w:sz="0" w:space="0" w:color="auto"/>
      </w:divBdr>
      <w:divsChild>
        <w:div w:id="187330019">
          <w:marLeft w:val="0"/>
          <w:marRight w:val="0"/>
          <w:marTop w:val="0"/>
          <w:marBottom w:val="0"/>
          <w:divBdr>
            <w:top w:val="none" w:sz="0" w:space="0" w:color="auto"/>
            <w:left w:val="none" w:sz="0" w:space="0" w:color="auto"/>
            <w:bottom w:val="none" w:sz="0" w:space="0" w:color="auto"/>
            <w:right w:val="none" w:sz="0" w:space="0" w:color="auto"/>
          </w:divBdr>
          <w:divsChild>
            <w:div w:id="12242164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6625413">
      <w:marLeft w:val="0"/>
      <w:marRight w:val="0"/>
      <w:marTop w:val="180"/>
      <w:marBottom w:val="0"/>
      <w:divBdr>
        <w:top w:val="none" w:sz="0" w:space="0" w:color="auto"/>
        <w:left w:val="none" w:sz="0" w:space="0" w:color="auto"/>
        <w:bottom w:val="none" w:sz="0" w:space="0" w:color="auto"/>
        <w:right w:val="none" w:sz="0" w:space="0" w:color="auto"/>
      </w:divBdr>
    </w:div>
    <w:div w:id="1238327422">
      <w:marLeft w:val="0"/>
      <w:marRight w:val="0"/>
      <w:marTop w:val="240"/>
      <w:marBottom w:val="0"/>
      <w:divBdr>
        <w:top w:val="none" w:sz="0" w:space="0" w:color="auto"/>
        <w:left w:val="none" w:sz="0" w:space="0" w:color="auto"/>
        <w:bottom w:val="none" w:sz="0" w:space="0" w:color="auto"/>
        <w:right w:val="none" w:sz="0" w:space="0" w:color="auto"/>
      </w:divBdr>
    </w:div>
    <w:div w:id="1246500836">
      <w:marLeft w:val="0"/>
      <w:marRight w:val="0"/>
      <w:marTop w:val="0"/>
      <w:marBottom w:val="0"/>
      <w:divBdr>
        <w:top w:val="none" w:sz="0" w:space="0" w:color="auto"/>
        <w:left w:val="none" w:sz="0" w:space="0" w:color="auto"/>
        <w:bottom w:val="none" w:sz="0" w:space="0" w:color="auto"/>
        <w:right w:val="none" w:sz="0" w:space="0" w:color="auto"/>
      </w:divBdr>
      <w:divsChild>
        <w:div w:id="728648961">
          <w:marLeft w:val="0"/>
          <w:marRight w:val="0"/>
          <w:marTop w:val="0"/>
          <w:marBottom w:val="0"/>
          <w:divBdr>
            <w:top w:val="none" w:sz="0" w:space="0" w:color="auto"/>
            <w:left w:val="none" w:sz="0" w:space="0" w:color="auto"/>
            <w:bottom w:val="none" w:sz="0" w:space="0" w:color="auto"/>
            <w:right w:val="none" w:sz="0" w:space="0" w:color="auto"/>
          </w:divBdr>
          <w:divsChild>
            <w:div w:id="7112698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6842272">
      <w:marLeft w:val="0"/>
      <w:marRight w:val="0"/>
      <w:marTop w:val="180"/>
      <w:marBottom w:val="0"/>
      <w:divBdr>
        <w:top w:val="none" w:sz="0" w:space="0" w:color="auto"/>
        <w:left w:val="none" w:sz="0" w:space="0" w:color="auto"/>
        <w:bottom w:val="none" w:sz="0" w:space="0" w:color="auto"/>
        <w:right w:val="none" w:sz="0" w:space="0" w:color="auto"/>
      </w:divBdr>
    </w:div>
    <w:div w:id="1252202812">
      <w:marLeft w:val="0"/>
      <w:marRight w:val="0"/>
      <w:marTop w:val="180"/>
      <w:marBottom w:val="0"/>
      <w:divBdr>
        <w:top w:val="none" w:sz="0" w:space="0" w:color="auto"/>
        <w:left w:val="none" w:sz="0" w:space="0" w:color="auto"/>
        <w:bottom w:val="none" w:sz="0" w:space="0" w:color="auto"/>
        <w:right w:val="none" w:sz="0" w:space="0" w:color="auto"/>
      </w:divBdr>
    </w:div>
    <w:div w:id="1255749326">
      <w:marLeft w:val="0"/>
      <w:marRight w:val="0"/>
      <w:marTop w:val="180"/>
      <w:marBottom w:val="0"/>
      <w:divBdr>
        <w:top w:val="none" w:sz="0" w:space="0" w:color="auto"/>
        <w:left w:val="none" w:sz="0" w:space="0" w:color="auto"/>
        <w:bottom w:val="none" w:sz="0" w:space="0" w:color="auto"/>
        <w:right w:val="none" w:sz="0" w:space="0" w:color="auto"/>
      </w:divBdr>
    </w:div>
    <w:div w:id="1257060171">
      <w:marLeft w:val="0"/>
      <w:marRight w:val="0"/>
      <w:marTop w:val="180"/>
      <w:marBottom w:val="0"/>
      <w:divBdr>
        <w:top w:val="none" w:sz="0" w:space="0" w:color="auto"/>
        <w:left w:val="none" w:sz="0" w:space="0" w:color="auto"/>
        <w:bottom w:val="none" w:sz="0" w:space="0" w:color="auto"/>
        <w:right w:val="none" w:sz="0" w:space="0" w:color="auto"/>
      </w:divBdr>
    </w:div>
    <w:div w:id="1262226924">
      <w:marLeft w:val="0"/>
      <w:marRight w:val="0"/>
      <w:marTop w:val="180"/>
      <w:marBottom w:val="120"/>
      <w:divBdr>
        <w:top w:val="none" w:sz="0" w:space="0" w:color="auto"/>
        <w:left w:val="none" w:sz="0" w:space="0" w:color="auto"/>
        <w:bottom w:val="none" w:sz="0" w:space="0" w:color="auto"/>
        <w:right w:val="none" w:sz="0" w:space="0" w:color="auto"/>
      </w:divBdr>
    </w:div>
    <w:div w:id="1265918377">
      <w:marLeft w:val="0"/>
      <w:marRight w:val="0"/>
      <w:marTop w:val="180"/>
      <w:marBottom w:val="0"/>
      <w:divBdr>
        <w:top w:val="none" w:sz="0" w:space="0" w:color="auto"/>
        <w:left w:val="none" w:sz="0" w:space="0" w:color="auto"/>
        <w:bottom w:val="none" w:sz="0" w:space="0" w:color="auto"/>
        <w:right w:val="none" w:sz="0" w:space="0" w:color="auto"/>
      </w:divBdr>
    </w:div>
    <w:div w:id="1265991122">
      <w:marLeft w:val="0"/>
      <w:marRight w:val="0"/>
      <w:marTop w:val="0"/>
      <w:marBottom w:val="0"/>
      <w:divBdr>
        <w:top w:val="none" w:sz="0" w:space="0" w:color="auto"/>
        <w:left w:val="none" w:sz="0" w:space="0" w:color="auto"/>
        <w:bottom w:val="none" w:sz="0" w:space="0" w:color="auto"/>
        <w:right w:val="none" w:sz="0" w:space="0" w:color="auto"/>
      </w:divBdr>
      <w:divsChild>
        <w:div w:id="1406494819">
          <w:marLeft w:val="0"/>
          <w:marRight w:val="0"/>
          <w:marTop w:val="180"/>
          <w:marBottom w:val="180"/>
          <w:divBdr>
            <w:top w:val="none" w:sz="0" w:space="0" w:color="auto"/>
            <w:left w:val="none" w:sz="0" w:space="0" w:color="auto"/>
            <w:bottom w:val="none" w:sz="0" w:space="0" w:color="auto"/>
            <w:right w:val="none" w:sz="0" w:space="0" w:color="auto"/>
          </w:divBdr>
        </w:div>
      </w:divsChild>
    </w:div>
    <w:div w:id="1269124161">
      <w:marLeft w:val="0"/>
      <w:marRight w:val="0"/>
      <w:marTop w:val="180"/>
      <w:marBottom w:val="0"/>
      <w:divBdr>
        <w:top w:val="none" w:sz="0" w:space="0" w:color="auto"/>
        <w:left w:val="none" w:sz="0" w:space="0" w:color="auto"/>
        <w:bottom w:val="none" w:sz="0" w:space="0" w:color="auto"/>
        <w:right w:val="none" w:sz="0" w:space="0" w:color="auto"/>
      </w:divBdr>
    </w:div>
    <w:div w:id="1271081466">
      <w:marLeft w:val="0"/>
      <w:marRight w:val="0"/>
      <w:marTop w:val="0"/>
      <w:marBottom w:val="0"/>
      <w:divBdr>
        <w:top w:val="none" w:sz="0" w:space="0" w:color="auto"/>
        <w:left w:val="none" w:sz="0" w:space="0" w:color="auto"/>
        <w:bottom w:val="none" w:sz="0" w:space="0" w:color="auto"/>
        <w:right w:val="none" w:sz="0" w:space="0" w:color="auto"/>
      </w:divBdr>
      <w:divsChild>
        <w:div w:id="1005473920">
          <w:marLeft w:val="0"/>
          <w:marRight w:val="0"/>
          <w:marTop w:val="180"/>
          <w:marBottom w:val="180"/>
          <w:divBdr>
            <w:top w:val="none" w:sz="0" w:space="0" w:color="auto"/>
            <w:left w:val="none" w:sz="0" w:space="0" w:color="auto"/>
            <w:bottom w:val="none" w:sz="0" w:space="0" w:color="auto"/>
            <w:right w:val="none" w:sz="0" w:space="0" w:color="auto"/>
          </w:divBdr>
        </w:div>
      </w:divsChild>
    </w:div>
    <w:div w:id="1271427540">
      <w:marLeft w:val="0"/>
      <w:marRight w:val="0"/>
      <w:marTop w:val="240"/>
      <w:marBottom w:val="0"/>
      <w:divBdr>
        <w:top w:val="none" w:sz="0" w:space="0" w:color="auto"/>
        <w:left w:val="none" w:sz="0" w:space="0" w:color="auto"/>
        <w:bottom w:val="none" w:sz="0" w:space="0" w:color="auto"/>
        <w:right w:val="none" w:sz="0" w:space="0" w:color="auto"/>
      </w:divBdr>
    </w:div>
    <w:div w:id="1277828273">
      <w:marLeft w:val="0"/>
      <w:marRight w:val="0"/>
      <w:marTop w:val="180"/>
      <w:marBottom w:val="180"/>
      <w:divBdr>
        <w:top w:val="none" w:sz="0" w:space="0" w:color="auto"/>
        <w:left w:val="none" w:sz="0" w:space="0" w:color="auto"/>
        <w:bottom w:val="none" w:sz="0" w:space="0" w:color="auto"/>
        <w:right w:val="none" w:sz="0" w:space="0" w:color="auto"/>
      </w:divBdr>
    </w:div>
    <w:div w:id="1279752251">
      <w:marLeft w:val="0"/>
      <w:marRight w:val="0"/>
      <w:marTop w:val="180"/>
      <w:marBottom w:val="0"/>
      <w:divBdr>
        <w:top w:val="none" w:sz="0" w:space="0" w:color="auto"/>
        <w:left w:val="none" w:sz="0" w:space="0" w:color="auto"/>
        <w:bottom w:val="none" w:sz="0" w:space="0" w:color="auto"/>
        <w:right w:val="none" w:sz="0" w:space="0" w:color="auto"/>
      </w:divBdr>
    </w:div>
    <w:div w:id="1290471671">
      <w:marLeft w:val="0"/>
      <w:marRight w:val="0"/>
      <w:marTop w:val="180"/>
      <w:marBottom w:val="120"/>
      <w:divBdr>
        <w:top w:val="none" w:sz="0" w:space="0" w:color="auto"/>
        <w:left w:val="none" w:sz="0" w:space="0" w:color="auto"/>
        <w:bottom w:val="none" w:sz="0" w:space="0" w:color="auto"/>
        <w:right w:val="none" w:sz="0" w:space="0" w:color="auto"/>
      </w:divBdr>
    </w:div>
    <w:div w:id="1292517743">
      <w:marLeft w:val="0"/>
      <w:marRight w:val="0"/>
      <w:marTop w:val="60"/>
      <w:marBottom w:val="120"/>
      <w:divBdr>
        <w:top w:val="none" w:sz="0" w:space="0" w:color="auto"/>
        <w:left w:val="none" w:sz="0" w:space="0" w:color="auto"/>
        <w:bottom w:val="none" w:sz="0" w:space="0" w:color="auto"/>
        <w:right w:val="none" w:sz="0" w:space="0" w:color="auto"/>
      </w:divBdr>
      <w:divsChild>
        <w:div w:id="1459450916">
          <w:marLeft w:val="0"/>
          <w:marRight w:val="0"/>
          <w:marTop w:val="0"/>
          <w:marBottom w:val="0"/>
          <w:divBdr>
            <w:top w:val="none" w:sz="0" w:space="0" w:color="auto"/>
            <w:left w:val="none" w:sz="0" w:space="0" w:color="auto"/>
            <w:bottom w:val="none" w:sz="0" w:space="0" w:color="auto"/>
            <w:right w:val="none" w:sz="0" w:space="0" w:color="auto"/>
          </w:divBdr>
        </w:div>
        <w:div w:id="744034889">
          <w:marLeft w:val="0"/>
          <w:marRight w:val="0"/>
          <w:marTop w:val="0"/>
          <w:marBottom w:val="0"/>
          <w:divBdr>
            <w:top w:val="none" w:sz="0" w:space="0" w:color="auto"/>
            <w:left w:val="none" w:sz="0" w:space="0" w:color="auto"/>
            <w:bottom w:val="none" w:sz="0" w:space="0" w:color="auto"/>
            <w:right w:val="none" w:sz="0" w:space="0" w:color="auto"/>
          </w:divBdr>
        </w:div>
        <w:div w:id="415977881">
          <w:marLeft w:val="0"/>
          <w:marRight w:val="0"/>
          <w:marTop w:val="0"/>
          <w:marBottom w:val="0"/>
          <w:divBdr>
            <w:top w:val="none" w:sz="0" w:space="0" w:color="auto"/>
            <w:left w:val="none" w:sz="0" w:space="0" w:color="auto"/>
            <w:bottom w:val="none" w:sz="0" w:space="0" w:color="auto"/>
            <w:right w:val="none" w:sz="0" w:space="0" w:color="auto"/>
          </w:divBdr>
        </w:div>
        <w:div w:id="1938638350">
          <w:marLeft w:val="0"/>
          <w:marRight w:val="0"/>
          <w:marTop w:val="0"/>
          <w:marBottom w:val="0"/>
          <w:divBdr>
            <w:top w:val="none" w:sz="0" w:space="0" w:color="auto"/>
            <w:left w:val="none" w:sz="0" w:space="0" w:color="auto"/>
            <w:bottom w:val="none" w:sz="0" w:space="0" w:color="auto"/>
            <w:right w:val="none" w:sz="0" w:space="0" w:color="auto"/>
          </w:divBdr>
        </w:div>
        <w:div w:id="855079001">
          <w:marLeft w:val="0"/>
          <w:marRight w:val="0"/>
          <w:marTop w:val="0"/>
          <w:marBottom w:val="0"/>
          <w:divBdr>
            <w:top w:val="none" w:sz="0" w:space="0" w:color="auto"/>
            <w:left w:val="none" w:sz="0" w:space="0" w:color="auto"/>
            <w:bottom w:val="none" w:sz="0" w:space="0" w:color="auto"/>
            <w:right w:val="none" w:sz="0" w:space="0" w:color="auto"/>
          </w:divBdr>
        </w:div>
      </w:divsChild>
    </w:div>
    <w:div w:id="1303149272">
      <w:marLeft w:val="0"/>
      <w:marRight w:val="0"/>
      <w:marTop w:val="60"/>
      <w:marBottom w:val="120"/>
      <w:divBdr>
        <w:top w:val="none" w:sz="0" w:space="0" w:color="auto"/>
        <w:left w:val="none" w:sz="0" w:space="0" w:color="auto"/>
        <w:bottom w:val="none" w:sz="0" w:space="0" w:color="auto"/>
        <w:right w:val="none" w:sz="0" w:space="0" w:color="auto"/>
      </w:divBdr>
    </w:div>
    <w:div w:id="1306011365">
      <w:marLeft w:val="0"/>
      <w:marRight w:val="0"/>
      <w:marTop w:val="0"/>
      <w:marBottom w:val="0"/>
      <w:divBdr>
        <w:top w:val="none" w:sz="0" w:space="0" w:color="auto"/>
        <w:left w:val="none" w:sz="0" w:space="0" w:color="auto"/>
        <w:bottom w:val="none" w:sz="0" w:space="0" w:color="auto"/>
        <w:right w:val="none" w:sz="0" w:space="0" w:color="auto"/>
      </w:divBdr>
      <w:divsChild>
        <w:div w:id="1708991903">
          <w:marLeft w:val="0"/>
          <w:marRight w:val="0"/>
          <w:marTop w:val="0"/>
          <w:marBottom w:val="0"/>
          <w:divBdr>
            <w:top w:val="none" w:sz="0" w:space="0" w:color="auto"/>
            <w:left w:val="none" w:sz="0" w:space="0" w:color="auto"/>
            <w:bottom w:val="none" w:sz="0" w:space="0" w:color="auto"/>
            <w:right w:val="none" w:sz="0" w:space="0" w:color="auto"/>
          </w:divBdr>
          <w:divsChild>
            <w:div w:id="12524713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8168220">
      <w:marLeft w:val="0"/>
      <w:marRight w:val="0"/>
      <w:marTop w:val="180"/>
      <w:marBottom w:val="0"/>
      <w:divBdr>
        <w:top w:val="none" w:sz="0" w:space="0" w:color="auto"/>
        <w:left w:val="none" w:sz="0" w:space="0" w:color="auto"/>
        <w:bottom w:val="none" w:sz="0" w:space="0" w:color="auto"/>
        <w:right w:val="none" w:sz="0" w:space="0" w:color="auto"/>
      </w:divBdr>
    </w:div>
    <w:div w:id="1311253993">
      <w:marLeft w:val="0"/>
      <w:marRight w:val="0"/>
      <w:marTop w:val="160"/>
      <w:marBottom w:val="120"/>
      <w:divBdr>
        <w:top w:val="none" w:sz="0" w:space="0" w:color="auto"/>
        <w:left w:val="none" w:sz="0" w:space="0" w:color="auto"/>
        <w:bottom w:val="none" w:sz="0" w:space="0" w:color="auto"/>
        <w:right w:val="none" w:sz="0" w:space="0" w:color="auto"/>
      </w:divBdr>
    </w:div>
    <w:div w:id="1315989961">
      <w:marLeft w:val="0"/>
      <w:marRight w:val="0"/>
      <w:marTop w:val="180"/>
      <w:marBottom w:val="0"/>
      <w:divBdr>
        <w:top w:val="none" w:sz="0" w:space="0" w:color="auto"/>
        <w:left w:val="none" w:sz="0" w:space="0" w:color="auto"/>
        <w:bottom w:val="none" w:sz="0" w:space="0" w:color="auto"/>
        <w:right w:val="none" w:sz="0" w:space="0" w:color="auto"/>
      </w:divBdr>
    </w:div>
    <w:div w:id="1317883272">
      <w:marLeft w:val="0"/>
      <w:marRight w:val="0"/>
      <w:marTop w:val="0"/>
      <w:marBottom w:val="0"/>
      <w:divBdr>
        <w:top w:val="none" w:sz="0" w:space="0" w:color="auto"/>
        <w:left w:val="none" w:sz="0" w:space="0" w:color="auto"/>
        <w:bottom w:val="none" w:sz="0" w:space="0" w:color="auto"/>
        <w:right w:val="none" w:sz="0" w:space="0" w:color="auto"/>
      </w:divBdr>
      <w:divsChild>
        <w:div w:id="1091194654">
          <w:marLeft w:val="0"/>
          <w:marRight w:val="0"/>
          <w:marTop w:val="180"/>
          <w:marBottom w:val="180"/>
          <w:divBdr>
            <w:top w:val="none" w:sz="0" w:space="0" w:color="auto"/>
            <w:left w:val="none" w:sz="0" w:space="0" w:color="auto"/>
            <w:bottom w:val="none" w:sz="0" w:space="0" w:color="auto"/>
            <w:right w:val="none" w:sz="0" w:space="0" w:color="auto"/>
          </w:divBdr>
        </w:div>
      </w:divsChild>
    </w:div>
    <w:div w:id="1317953910">
      <w:marLeft w:val="0"/>
      <w:marRight w:val="0"/>
      <w:marTop w:val="180"/>
      <w:marBottom w:val="0"/>
      <w:divBdr>
        <w:top w:val="none" w:sz="0" w:space="0" w:color="auto"/>
        <w:left w:val="none" w:sz="0" w:space="0" w:color="auto"/>
        <w:bottom w:val="none" w:sz="0" w:space="0" w:color="auto"/>
        <w:right w:val="none" w:sz="0" w:space="0" w:color="auto"/>
      </w:divBdr>
    </w:div>
    <w:div w:id="1329672999">
      <w:marLeft w:val="0"/>
      <w:marRight w:val="0"/>
      <w:marTop w:val="180"/>
      <w:marBottom w:val="0"/>
      <w:divBdr>
        <w:top w:val="none" w:sz="0" w:space="0" w:color="auto"/>
        <w:left w:val="none" w:sz="0" w:space="0" w:color="auto"/>
        <w:bottom w:val="none" w:sz="0" w:space="0" w:color="auto"/>
        <w:right w:val="none" w:sz="0" w:space="0" w:color="auto"/>
      </w:divBdr>
      <w:divsChild>
        <w:div w:id="83890183">
          <w:marLeft w:val="0"/>
          <w:marRight w:val="0"/>
          <w:marTop w:val="0"/>
          <w:marBottom w:val="0"/>
          <w:divBdr>
            <w:top w:val="none" w:sz="0" w:space="0" w:color="auto"/>
            <w:left w:val="none" w:sz="0" w:space="0" w:color="auto"/>
            <w:bottom w:val="none" w:sz="0" w:space="0" w:color="auto"/>
            <w:right w:val="none" w:sz="0" w:space="0" w:color="auto"/>
          </w:divBdr>
        </w:div>
        <w:div w:id="1796408130">
          <w:marLeft w:val="0"/>
          <w:marRight w:val="0"/>
          <w:marTop w:val="0"/>
          <w:marBottom w:val="0"/>
          <w:divBdr>
            <w:top w:val="none" w:sz="0" w:space="0" w:color="auto"/>
            <w:left w:val="none" w:sz="0" w:space="0" w:color="auto"/>
            <w:bottom w:val="none" w:sz="0" w:space="0" w:color="auto"/>
            <w:right w:val="none" w:sz="0" w:space="0" w:color="auto"/>
          </w:divBdr>
        </w:div>
        <w:div w:id="2117747472">
          <w:marLeft w:val="0"/>
          <w:marRight w:val="0"/>
          <w:marTop w:val="0"/>
          <w:marBottom w:val="0"/>
          <w:divBdr>
            <w:top w:val="none" w:sz="0" w:space="0" w:color="auto"/>
            <w:left w:val="none" w:sz="0" w:space="0" w:color="auto"/>
            <w:bottom w:val="none" w:sz="0" w:space="0" w:color="auto"/>
            <w:right w:val="none" w:sz="0" w:space="0" w:color="auto"/>
          </w:divBdr>
        </w:div>
        <w:div w:id="1249147265">
          <w:marLeft w:val="0"/>
          <w:marRight w:val="0"/>
          <w:marTop w:val="0"/>
          <w:marBottom w:val="0"/>
          <w:divBdr>
            <w:top w:val="none" w:sz="0" w:space="0" w:color="auto"/>
            <w:left w:val="none" w:sz="0" w:space="0" w:color="auto"/>
            <w:bottom w:val="none" w:sz="0" w:space="0" w:color="auto"/>
            <w:right w:val="none" w:sz="0" w:space="0" w:color="auto"/>
          </w:divBdr>
        </w:div>
        <w:div w:id="41681211">
          <w:marLeft w:val="0"/>
          <w:marRight w:val="0"/>
          <w:marTop w:val="0"/>
          <w:marBottom w:val="0"/>
          <w:divBdr>
            <w:top w:val="none" w:sz="0" w:space="0" w:color="auto"/>
            <w:left w:val="none" w:sz="0" w:space="0" w:color="auto"/>
            <w:bottom w:val="none" w:sz="0" w:space="0" w:color="auto"/>
            <w:right w:val="none" w:sz="0" w:space="0" w:color="auto"/>
          </w:divBdr>
        </w:div>
      </w:divsChild>
    </w:div>
    <w:div w:id="1330449590">
      <w:marLeft w:val="0"/>
      <w:marRight w:val="0"/>
      <w:marTop w:val="180"/>
      <w:marBottom w:val="0"/>
      <w:divBdr>
        <w:top w:val="none" w:sz="0" w:space="0" w:color="auto"/>
        <w:left w:val="none" w:sz="0" w:space="0" w:color="auto"/>
        <w:bottom w:val="none" w:sz="0" w:space="0" w:color="auto"/>
        <w:right w:val="none" w:sz="0" w:space="0" w:color="auto"/>
      </w:divBdr>
    </w:div>
    <w:div w:id="1335456239">
      <w:marLeft w:val="0"/>
      <w:marRight w:val="0"/>
      <w:marTop w:val="180"/>
      <w:marBottom w:val="0"/>
      <w:divBdr>
        <w:top w:val="none" w:sz="0" w:space="0" w:color="auto"/>
        <w:left w:val="none" w:sz="0" w:space="0" w:color="auto"/>
        <w:bottom w:val="none" w:sz="0" w:space="0" w:color="auto"/>
        <w:right w:val="none" w:sz="0" w:space="0" w:color="auto"/>
      </w:divBdr>
    </w:div>
    <w:div w:id="1337416357">
      <w:marLeft w:val="0"/>
      <w:marRight w:val="0"/>
      <w:marTop w:val="180"/>
      <w:marBottom w:val="0"/>
      <w:divBdr>
        <w:top w:val="none" w:sz="0" w:space="0" w:color="auto"/>
        <w:left w:val="none" w:sz="0" w:space="0" w:color="auto"/>
        <w:bottom w:val="none" w:sz="0" w:space="0" w:color="auto"/>
        <w:right w:val="none" w:sz="0" w:space="0" w:color="auto"/>
      </w:divBdr>
    </w:div>
    <w:div w:id="1338652705">
      <w:marLeft w:val="0"/>
      <w:marRight w:val="0"/>
      <w:marTop w:val="180"/>
      <w:marBottom w:val="0"/>
      <w:divBdr>
        <w:top w:val="none" w:sz="0" w:space="0" w:color="auto"/>
        <w:left w:val="none" w:sz="0" w:space="0" w:color="auto"/>
        <w:bottom w:val="none" w:sz="0" w:space="0" w:color="auto"/>
        <w:right w:val="none" w:sz="0" w:space="0" w:color="auto"/>
      </w:divBdr>
    </w:div>
    <w:div w:id="1349530147">
      <w:marLeft w:val="0"/>
      <w:marRight w:val="0"/>
      <w:marTop w:val="60"/>
      <w:marBottom w:val="0"/>
      <w:divBdr>
        <w:top w:val="none" w:sz="0" w:space="0" w:color="auto"/>
        <w:left w:val="none" w:sz="0" w:space="0" w:color="auto"/>
        <w:bottom w:val="none" w:sz="0" w:space="0" w:color="auto"/>
        <w:right w:val="none" w:sz="0" w:space="0" w:color="auto"/>
      </w:divBdr>
    </w:div>
    <w:div w:id="1350987890">
      <w:marLeft w:val="0"/>
      <w:marRight w:val="0"/>
      <w:marTop w:val="0"/>
      <w:marBottom w:val="0"/>
      <w:divBdr>
        <w:top w:val="none" w:sz="0" w:space="0" w:color="auto"/>
        <w:left w:val="none" w:sz="0" w:space="0" w:color="auto"/>
        <w:bottom w:val="none" w:sz="0" w:space="0" w:color="auto"/>
        <w:right w:val="none" w:sz="0" w:space="0" w:color="auto"/>
      </w:divBdr>
      <w:divsChild>
        <w:div w:id="1011176673">
          <w:marLeft w:val="0"/>
          <w:marRight w:val="0"/>
          <w:marTop w:val="0"/>
          <w:marBottom w:val="0"/>
          <w:divBdr>
            <w:top w:val="none" w:sz="0" w:space="0" w:color="auto"/>
            <w:left w:val="none" w:sz="0" w:space="0" w:color="auto"/>
            <w:bottom w:val="none" w:sz="0" w:space="0" w:color="auto"/>
            <w:right w:val="none" w:sz="0" w:space="0" w:color="auto"/>
          </w:divBdr>
          <w:divsChild>
            <w:div w:id="5245629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60739793">
      <w:marLeft w:val="0"/>
      <w:marRight w:val="0"/>
      <w:marTop w:val="180"/>
      <w:marBottom w:val="0"/>
      <w:divBdr>
        <w:top w:val="none" w:sz="0" w:space="0" w:color="auto"/>
        <w:left w:val="none" w:sz="0" w:space="0" w:color="auto"/>
        <w:bottom w:val="none" w:sz="0" w:space="0" w:color="auto"/>
        <w:right w:val="none" w:sz="0" w:space="0" w:color="auto"/>
      </w:divBdr>
    </w:div>
    <w:div w:id="1367758295">
      <w:marLeft w:val="0"/>
      <w:marRight w:val="0"/>
      <w:marTop w:val="130"/>
      <w:marBottom w:val="120"/>
      <w:divBdr>
        <w:top w:val="none" w:sz="0" w:space="0" w:color="auto"/>
        <w:left w:val="none" w:sz="0" w:space="0" w:color="auto"/>
        <w:bottom w:val="none" w:sz="0" w:space="0" w:color="auto"/>
        <w:right w:val="none" w:sz="0" w:space="0" w:color="auto"/>
      </w:divBdr>
      <w:divsChild>
        <w:div w:id="2033457621">
          <w:marLeft w:val="0"/>
          <w:marRight w:val="0"/>
          <w:marTop w:val="0"/>
          <w:marBottom w:val="0"/>
          <w:divBdr>
            <w:top w:val="none" w:sz="0" w:space="0" w:color="auto"/>
            <w:left w:val="none" w:sz="0" w:space="0" w:color="auto"/>
            <w:bottom w:val="none" w:sz="0" w:space="0" w:color="auto"/>
            <w:right w:val="none" w:sz="0" w:space="0" w:color="auto"/>
          </w:divBdr>
        </w:div>
        <w:div w:id="194739367">
          <w:marLeft w:val="0"/>
          <w:marRight w:val="0"/>
          <w:marTop w:val="0"/>
          <w:marBottom w:val="0"/>
          <w:divBdr>
            <w:top w:val="none" w:sz="0" w:space="0" w:color="auto"/>
            <w:left w:val="none" w:sz="0" w:space="0" w:color="auto"/>
            <w:bottom w:val="none" w:sz="0" w:space="0" w:color="auto"/>
            <w:right w:val="none" w:sz="0" w:space="0" w:color="auto"/>
          </w:divBdr>
        </w:div>
        <w:div w:id="1125469390">
          <w:marLeft w:val="0"/>
          <w:marRight w:val="0"/>
          <w:marTop w:val="0"/>
          <w:marBottom w:val="0"/>
          <w:divBdr>
            <w:top w:val="none" w:sz="0" w:space="0" w:color="auto"/>
            <w:left w:val="none" w:sz="0" w:space="0" w:color="auto"/>
            <w:bottom w:val="none" w:sz="0" w:space="0" w:color="auto"/>
            <w:right w:val="none" w:sz="0" w:space="0" w:color="auto"/>
          </w:divBdr>
        </w:div>
        <w:div w:id="531070249">
          <w:marLeft w:val="0"/>
          <w:marRight w:val="0"/>
          <w:marTop w:val="0"/>
          <w:marBottom w:val="0"/>
          <w:divBdr>
            <w:top w:val="none" w:sz="0" w:space="0" w:color="auto"/>
            <w:left w:val="none" w:sz="0" w:space="0" w:color="auto"/>
            <w:bottom w:val="none" w:sz="0" w:space="0" w:color="auto"/>
            <w:right w:val="none" w:sz="0" w:space="0" w:color="auto"/>
          </w:divBdr>
        </w:div>
        <w:div w:id="783422175">
          <w:marLeft w:val="0"/>
          <w:marRight w:val="0"/>
          <w:marTop w:val="0"/>
          <w:marBottom w:val="0"/>
          <w:divBdr>
            <w:top w:val="none" w:sz="0" w:space="0" w:color="auto"/>
            <w:left w:val="none" w:sz="0" w:space="0" w:color="auto"/>
            <w:bottom w:val="none" w:sz="0" w:space="0" w:color="auto"/>
            <w:right w:val="none" w:sz="0" w:space="0" w:color="auto"/>
          </w:divBdr>
        </w:div>
        <w:div w:id="2012098265">
          <w:marLeft w:val="0"/>
          <w:marRight w:val="0"/>
          <w:marTop w:val="0"/>
          <w:marBottom w:val="0"/>
          <w:divBdr>
            <w:top w:val="none" w:sz="0" w:space="0" w:color="auto"/>
            <w:left w:val="none" w:sz="0" w:space="0" w:color="auto"/>
            <w:bottom w:val="none" w:sz="0" w:space="0" w:color="auto"/>
            <w:right w:val="none" w:sz="0" w:space="0" w:color="auto"/>
          </w:divBdr>
        </w:div>
        <w:div w:id="1345746664">
          <w:marLeft w:val="0"/>
          <w:marRight w:val="0"/>
          <w:marTop w:val="0"/>
          <w:marBottom w:val="0"/>
          <w:divBdr>
            <w:top w:val="none" w:sz="0" w:space="0" w:color="auto"/>
            <w:left w:val="none" w:sz="0" w:space="0" w:color="auto"/>
            <w:bottom w:val="none" w:sz="0" w:space="0" w:color="auto"/>
            <w:right w:val="none" w:sz="0" w:space="0" w:color="auto"/>
          </w:divBdr>
        </w:div>
        <w:div w:id="1130514241">
          <w:marLeft w:val="0"/>
          <w:marRight w:val="0"/>
          <w:marTop w:val="0"/>
          <w:marBottom w:val="0"/>
          <w:divBdr>
            <w:top w:val="none" w:sz="0" w:space="0" w:color="auto"/>
            <w:left w:val="none" w:sz="0" w:space="0" w:color="auto"/>
            <w:bottom w:val="none" w:sz="0" w:space="0" w:color="auto"/>
            <w:right w:val="none" w:sz="0" w:space="0" w:color="auto"/>
          </w:divBdr>
        </w:div>
        <w:div w:id="504824834">
          <w:marLeft w:val="0"/>
          <w:marRight w:val="0"/>
          <w:marTop w:val="0"/>
          <w:marBottom w:val="0"/>
          <w:divBdr>
            <w:top w:val="none" w:sz="0" w:space="0" w:color="auto"/>
            <w:left w:val="none" w:sz="0" w:space="0" w:color="auto"/>
            <w:bottom w:val="none" w:sz="0" w:space="0" w:color="auto"/>
            <w:right w:val="none" w:sz="0" w:space="0" w:color="auto"/>
          </w:divBdr>
        </w:div>
        <w:div w:id="1209144091">
          <w:marLeft w:val="0"/>
          <w:marRight w:val="0"/>
          <w:marTop w:val="0"/>
          <w:marBottom w:val="0"/>
          <w:divBdr>
            <w:top w:val="none" w:sz="0" w:space="0" w:color="auto"/>
            <w:left w:val="none" w:sz="0" w:space="0" w:color="auto"/>
            <w:bottom w:val="none" w:sz="0" w:space="0" w:color="auto"/>
            <w:right w:val="none" w:sz="0" w:space="0" w:color="auto"/>
          </w:divBdr>
        </w:div>
      </w:divsChild>
    </w:div>
    <w:div w:id="1370715137">
      <w:marLeft w:val="0"/>
      <w:marRight w:val="0"/>
      <w:marTop w:val="0"/>
      <w:marBottom w:val="0"/>
      <w:divBdr>
        <w:top w:val="none" w:sz="0" w:space="0" w:color="auto"/>
        <w:left w:val="none" w:sz="0" w:space="0" w:color="auto"/>
        <w:bottom w:val="none" w:sz="0" w:space="0" w:color="auto"/>
        <w:right w:val="none" w:sz="0" w:space="0" w:color="auto"/>
      </w:divBdr>
      <w:divsChild>
        <w:div w:id="1458451445">
          <w:marLeft w:val="0"/>
          <w:marRight w:val="0"/>
          <w:marTop w:val="180"/>
          <w:marBottom w:val="180"/>
          <w:divBdr>
            <w:top w:val="none" w:sz="0" w:space="0" w:color="auto"/>
            <w:left w:val="none" w:sz="0" w:space="0" w:color="auto"/>
            <w:bottom w:val="none" w:sz="0" w:space="0" w:color="auto"/>
            <w:right w:val="none" w:sz="0" w:space="0" w:color="auto"/>
          </w:divBdr>
        </w:div>
      </w:divsChild>
    </w:div>
    <w:div w:id="1380517860">
      <w:marLeft w:val="0"/>
      <w:marRight w:val="0"/>
      <w:marTop w:val="180"/>
      <w:marBottom w:val="0"/>
      <w:divBdr>
        <w:top w:val="none" w:sz="0" w:space="0" w:color="auto"/>
        <w:left w:val="none" w:sz="0" w:space="0" w:color="auto"/>
        <w:bottom w:val="none" w:sz="0" w:space="0" w:color="auto"/>
        <w:right w:val="none" w:sz="0" w:space="0" w:color="auto"/>
      </w:divBdr>
    </w:div>
    <w:div w:id="1381974224">
      <w:marLeft w:val="0"/>
      <w:marRight w:val="0"/>
      <w:marTop w:val="120"/>
      <w:marBottom w:val="120"/>
      <w:divBdr>
        <w:top w:val="none" w:sz="0" w:space="0" w:color="auto"/>
        <w:left w:val="none" w:sz="0" w:space="0" w:color="auto"/>
        <w:bottom w:val="none" w:sz="0" w:space="0" w:color="auto"/>
        <w:right w:val="none" w:sz="0" w:space="0" w:color="auto"/>
      </w:divBdr>
    </w:div>
    <w:div w:id="1384719995">
      <w:marLeft w:val="0"/>
      <w:marRight w:val="0"/>
      <w:marTop w:val="180"/>
      <w:marBottom w:val="0"/>
      <w:divBdr>
        <w:top w:val="none" w:sz="0" w:space="0" w:color="auto"/>
        <w:left w:val="none" w:sz="0" w:space="0" w:color="auto"/>
        <w:bottom w:val="none" w:sz="0" w:space="0" w:color="auto"/>
        <w:right w:val="none" w:sz="0" w:space="0" w:color="auto"/>
      </w:divBdr>
    </w:div>
    <w:div w:id="1387223066">
      <w:marLeft w:val="0"/>
      <w:marRight w:val="0"/>
      <w:marTop w:val="60"/>
      <w:marBottom w:val="0"/>
      <w:divBdr>
        <w:top w:val="none" w:sz="0" w:space="0" w:color="auto"/>
        <w:left w:val="none" w:sz="0" w:space="0" w:color="auto"/>
        <w:bottom w:val="none" w:sz="0" w:space="0" w:color="auto"/>
        <w:right w:val="none" w:sz="0" w:space="0" w:color="auto"/>
      </w:divBdr>
    </w:div>
    <w:div w:id="1388798028">
      <w:marLeft w:val="0"/>
      <w:marRight w:val="0"/>
      <w:marTop w:val="180"/>
      <w:marBottom w:val="0"/>
      <w:divBdr>
        <w:top w:val="none" w:sz="0" w:space="0" w:color="auto"/>
        <w:left w:val="none" w:sz="0" w:space="0" w:color="auto"/>
        <w:bottom w:val="none" w:sz="0" w:space="0" w:color="auto"/>
        <w:right w:val="none" w:sz="0" w:space="0" w:color="auto"/>
      </w:divBdr>
    </w:div>
    <w:div w:id="1395659136">
      <w:marLeft w:val="0"/>
      <w:marRight w:val="0"/>
      <w:marTop w:val="180"/>
      <w:marBottom w:val="0"/>
      <w:divBdr>
        <w:top w:val="none" w:sz="0" w:space="0" w:color="auto"/>
        <w:left w:val="none" w:sz="0" w:space="0" w:color="auto"/>
        <w:bottom w:val="none" w:sz="0" w:space="0" w:color="auto"/>
        <w:right w:val="none" w:sz="0" w:space="0" w:color="auto"/>
      </w:divBdr>
    </w:div>
    <w:div w:id="1396466379">
      <w:marLeft w:val="0"/>
      <w:marRight w:val="0"/>
      <w:marTop w:val="0"/>
      <w:marBottom w:val="0"/>
      <w:divBdr>
        <w:top w:val="none" w:sz="0" w:space="0" w:color="auto"/>
        <w:left w:val="none" w:sz="0" w:space="0" w:color="auto"/>
        <w:bottom w:val="none" w:sz="0" w:space="0" w:color="auto"/>
        <w:right w:val="none" w:sz="0" w:space="0" w:color="auto"/>
      </w:divBdr>
      <w:divsChild>
        <w:div w:id="1071387982">
          <w:marLeft w:val="0"/>
          <w:marRight w:val="0"/>
          <w:marTop w:val="180"/>
          <w:marBottom w:val="180"/>
          <w:divBdr>
            <w:top w:val="none" w:sz="0" w:space="0" w:color="auto"/>
            <w:left w:val="none" w:sz="0" w:space="0" w:color="auto"/>
            <w:bottom w:val="none" w:sz="0" w:space="0" w:color="auto"/>
            <w:right w:val="none" w:sz="0" w:space="0" w:color="auto"/>
          </w:divBdr>
        </w:div>
      </w:divsChild>
    </w:div>
    <w:div w:id="1397513846">
      <w:marLeft w:val="0"/>
      <w:marRight w:val="0"/>
      <w:marTop w:val="180"/>
      <w:marBottom w:val="0"/>
      <w:divBdr>
        <w:top w:val="none" w:sz="0" w:space="0" w:color="auto"/>
        <w:left w:val="none" w:sz="0" w:space="0" w:color="auto"/>
        <w:bottom w:val="none" w:sz="0" w:space="0" w:color="auto"/>
        <w:right w:val="none" w:sz="0" w:space="0" w:color="auto"/>
      </w:divBdr>
    </w:div>
    <w:div w:id="1398281040">
      <w:marLeft w:val="0"/>
      <w:marRight w:val="0"/>
      <w:marTop w:val="180"/>
      <w:marBottom w:val="0"/>
      <w:divBdr>
        <w:top w:val="none" w:sz="0" w:space="0" w:color="auto"/>
        <w:left w:val="none" w:sz="0" w:space="0" w:color="auto"/>
        <w:bottom w:val="none" w:sz="0" w:space="0" w:color="auto"/>
        <w:right w:val="none" w:sz="0" w:space="0" w:color="auto"/>
      </w:divBdr>
    </w:div>
    <w:div w:id="1400982931">
      <w:marLeft w:val="0"/>
      <w:marRight w:val="0"/>
      <w:marTop w:val="180"/>
      <w:marBottom w:val="0"/>
      <w:divBdr>
        <w:top w:val="none" w:sz="0" w:space="0" w:color="auto"/>
        <w:left w:val="none" w:sz="0" w:space="0" w:color="auto"/>
        <w:bottom w:val="none" w:sz="0" w:space="0" w:color="auto"/>
        <w:right w:val="none" w:sz="0" w:space="0" w:color="auto"/>
      </w:divBdr>
    </w:div>
    <w:div w:id="1409234772">
      <w:marLeft w:val="0"/>
      <w:marRight w:val="0"/>
      <w:marTop w:val="180"/>
      <w:marBottom w:val="0"/>
      <w:divBdr>
        <w:top w:val="none" w:sz="0" w:space="0" w:color="auto"/>
        <w:left w:val="none" w:sz="0" w:space="0" w:color="auto"/>
        <w:bottom w:val="none" w:sz="0" w:space="0" w:color="auto"/>
        <w:right w:val="none" w:sz="0" w:space="0" w:color="auto"/>
      </w:divBdr>
    </w:div>
    <w:div w:id="1410233047">
      <w:marLeft w:val="0"/>
      <w:marRight w:val="0"/>
      <w:marTop w:val="0"/>
      <w:marBottom w:val="0"/>
      <w:divBdr>
        <w:top w:val="none" w:sz="0" w:space="0" w:color="auto"/>
        <w:left w:val="none" w:sz="0" w:space="0" w:color="auto"/>
        <w:bottom w:val="none" w:sz="0" w:space="0" w:color="auto"/>
        <w:right w:val="none" w:sz="0" w:space="0" w:color="auto"/>
      </w:divBdr>
      <w:divsChild>
        <w:div w:id="1688483916">
          <w:marLeft w:val="0"/>
          <w:marRight w:val="0"/>
          <w:marTop w:val="180"/>
          <w:marBottom w:val="180"/>
          <w:divBdr>
            <w:top w:val="none" w:sz="0" w:space="0" w:color="auto"/>
            <w:left w:val="none" w:sz="0" w:space="0" w:color="auto"/>
            <w:bottom w:val="none" w:sz="0" w:space="0" w:color="auto"/>
            <w:right w:val="none" w:sz="0" w:space="0" w:color="auto"/>
          </w:divBdr>
        </w:div>
      </w:divsChild>
    </w:div>
    <w:div w:id="1411002173">
      <w:marLeft w:val="0"/>
      <w:marRight w:val="0"/>
      <w:marTop w:val="240"/>
      <w:marBottom w:val="0"/>
      <w:divBdr>
        <w:top w:val="none" w:sz="0" w:space="0" w:color="auto"/>
        <w:left w:val="none" w:sz="0" w:space="0" w:color="auto"/>
        <w:bottom w:val="none" w:sz="0" w:space="0" w:color="auto"/>
        <w:right w:val="none" w:sz="0" w:space="0" w:color="auto"/>
      </w:divBdr>
    </w:div>
    <w:div w:id="1411580105">
      <w:marLeft w:val="0"/>
      <w:marRight w:val="0"/>
      <w:marTop w:val="180"/>
      <w:marBottom w:val="0"/>
      <w:divBdr>
        <w:top w:val="none" w:sz="0" w:space="0" w:color="auto"/>
        <w:left w:val="none" w:sz="0" w:space="0" w:color="auto"/>
        <w:bottom w:val="none" w:sz="0" w:space="0" w:color="auto"/>
        <w:right w:val="none" w:sz="0" w:space="0" w:color="auto"/>
      </w:divBdr>
    </w:div>
    <w:div w:id="1412308779">
      <w:marLeft w:val="0"/>
      <w:marRight w:val="0"/>
      <w:marTop w:val="180"/>
      <w:marBottom w:val="0"/>
      <w:divBdr>
        <w:top w:val="none" w:sz="0" w:space="0" w:color="auto"/>
        <w:left w:val="none" w:sz="0" w:space="0" w:color="auto"/>
        <w:bottom w:val="none" w:sz="0" w:space="0" w:color="auto"/>
        <w:right w:val="none" w:sz="0" w:space="0" w:color="auto"/>
      </w:divBdr>
    </w:div>
    <w:div w:id="1422069268">
      <w:marLeft w:val="0"/>
      <w:marRight w:val="0"/>
      <w:marTop w:val="180"/>
      <w:marBottom w:val="0"/>
      <w:divBdr>
        <w:top w:val="none" w:sz="0" w:space="0" w:color="auto"/>
        <w:left w:val="none" w:sz="0" w:space="0" w:color="auto"/>
        <w:bottom w:val="none" w:sz="0" w:space="0" w:color="auto"/>
        <w:right w:val="none" w:sz="0" w:space="0" w:color="auto"/>
      </w:divBdr>
    </w:div>
    <w:div w:id="1425807960">
      <w:marLeft w:val="0"/>
      <w:marRight w:val="0"/>
      <w:marTop w:val="240"/>
      <w:marBottom w:val="0"/>
      <w:divBdr>
        <w:top w:val="none" w:sz="0" w:space="0" w:color="auto"/>
        <w:left w:val="none" w:sz="0" w:space="0" w:color="auto"/>
        <w:bottom w:val="none" w:sz="0" w:space="0" w:color="auto"/>
        <w:right w:val="none" w:sz="0" w:space="0" w:color="auto"/>
      </w:divBdr>
    </w:div>
    <w:div w:id="1427920026">
      <w:marLeft w:val="0"/>
      <w:marRight w:val="0"/>
      <w:marTop w:val="180"/>
      <w:marBottom w:val="0"/>
      <w:divBdr>
        <w:top w:val="none" w:sz="0" w:space="0" w:color="auto"/>
        <w:left w:val="none" w:sz="0" w:space="0" w:color="auto"/>
        <w:bottom w:val="none" w:sz="0" w:space="0" w:color="auto"/>
        <w:right w:val="none" w:sz="0" w:space="0" w:color="auto"/>
      </w:divBdr>
    </w:div>
    <w:div w:id="1429891977">
      <w:marLeft w:val="0"/>
      <w:marRight w:val="0"/>
      <w:marTop w:val="60"/>
      <w:marBottom w:val="0"/>
      <w:divBdr>
        <w:top w:val="none" w:sz="0" w:space="0" w:color="auto"/>
        <w:left w:val="none" w:sz="0" w:space="0" w:color="auto"/>
        <w:bottom w:val="none" w:sz="0" w:space="0" w:color="auto"/>
        <w:right w:val="none" w:sz="0" w:space="0" w:color="auto"/>
      </w:divBdr>
    </w:div>
    <w:div w:id="1432628842">
      <w:marLeft w:val="0"/>
      <w:marRight w:val="0"/>
      <w:marTop w:val="180"/>
      <w:marBottom w:val="120"/>
      <w:divBdr>
        <w:top w:val="none" w:sz="0" w:space="0" w:color="auto"/>
        <w:left w:val="none" w:sz="0" w:space="0" w:color="auto"/>
        <w:bottom w:val="none" w:sz="0" w:space="0" w:color="auto"/>
        <w:right w:val="none" w:sz="0" w:space="0" w:color="auto"/>
      </w:divBdr>
      <w:divsChild>
        <w:div w:id="2105609449">
          <w:marLeft w:val="0"/>
          <w:marRight w:val="0"/>
          <w:marTop w:val="0"/>
          <w:marBottom w:val="0"/>
          <w:divBdr>
            <w:top w:val="none" w:sz="0" w:space="0" w:color="auto"/>
            <w:left w:val="none" w:sz="0" w:space="0" w:color="auto"/>
            <w:bottom w:val="none" w:sz="0" w:space="0" w:color="auto"/>
            <w:right w:val="none" w:sz="0" w:space="0" w:color="auto"/>
          </w:divBdr>
        </w:div>
        <w:div w:id="1423600267">
          <w:marLeft w:val="0"/>
          <w:marRight w:val="0"/>
          <w:marTop w:val="0"/>
          <w:marBottom w:val="0"/>
          <w:divBdr>
            <w:top w:val="none" w:sz="0" w:space="0" w:color="auto"/>
            <w:left w:val="none" w:sz="0" w:space="0" w:color="auto"/>
            <w:bottom w:val="none" w:sz="0" w:space="0" w:color="auto"/>
            <w:right w:val="none" w:sz="0" w:space="0" w:color="auto"/>
          </w:divBdr>
        </w:div>
        <w:div w:id="228812161">
          <w:marLeft w:val="0"/>
          <w:marRight w:val="0"/>
          <w:marTop w:val="0"/>
          <w:marBottom w:val="0"/>
          <w:divBdr>
            <w:top w:val="none" w:sz="0" w:space="0" w:color="auto"/>
            <w:left w:val="none" w:sz="0" w:space="0" w:color="auto"/>
            <w:bottom w:val="none" w:sz="0" w:space="0" w:color="auto"/>
            <w:right w:val="none" w:sz="0" w:space="0" w:color="auto"/>
          </w:divBdr>
        </w:div>
        <w:div w:id="938374649">
          <w:marLeft w:val="0"/>
          <w:marRight w:val="0"/>
          <w:marTop w:val="0"/>
          <w:marBottom w:val="0"/>
          <w:divBdr>
            <w:top w:val="none" w:sz="0" w:space="0" w:color="auto"/>
            <w:left w:val="none" w:sz="0" w:space="0" w:color="auto"/>
            <w:bottom w:val="none" w:sz="0" w:space="0" w:color="auto"/>
            <w:right w:val="none" w:sz="0" w:space="0" w:color="auto"/>
          </w:divBdr>
        </w:div>
        <w:div w:id="86922943">
          <w:marLeft w:val="0"/>
          <w:marRight w:val="0"/>
          <w:marTop w:val="0"/>
          <w:marBottom w:val="0"/>
          <w:divBdr>
            <w:top w:val="none" w:sz="0" w:space="0" w:color="auto"/>
            <w:left w:val="none" w:sz="0" w:space="0" w:color="auto"/>
            <w:bottom w:val="none" w:sz="0" w:space="0" w:color="auto"/>
            <w:right w:val="none" w:sz="0" w:space="0" w:color="auto"/>
          </w:divBdr>
        </w:div>
      </w:divsChild>
    </w:div>
    <w:div w:id="1435125901">
      <w:marLeft w:val="0"/>
      <w:marRight w:val="0"/>
      <w:marTop w:val="0"/>
      <w:marBottom w:val="0"/>
      <w:divBdr>
        <w:top w:val="none" w:sz="0" w:space="0" w:color="auto"/>
        <w:left w:val="none" w:sz="0" w:space="0" w:color="auto"/>
        <w:bottom w:val="none" w:sz="0" w:space="0" w:color="auto"/>
        <w:right w:val="none" w:sz="0" w:space="0" w:color="auto"/>
      </w:divBdr>
      <w:divsChild>
        <w:div w:id="147795086">
          <w:marLeft w:val="0"/>
          <w:marRight w:val="0"/>
          <w:marTop w:val="0"/>
          <w:marBottom w:val="0"/>
          <w:divBdr>
            <w:top w:val="none" w:sz="0" w:space="0" w:color="auto"/>
            <w:left w:val="none" w:sz="0" w:space="0" w:color="auto"/>
            <w:bottom w:val="none" w:sz="0" w:space="0" w:color="auto"/>
            <w:right w:val="none" w:sz="0" w:space="0" w:color="auto"/>
          </w:divBdr>
          <w:divsChild>
            <w:div w:id="18129881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5320495">
      <w:marLeft w:val="0"/>
      <w:marRight w:val="0"/>
      <w:marTop w:val="180"/>
      <w:marBottom w:val="60"/>
      <w:divBdr>
        <w:top w:val="none" w:sz="0" w:space="0" w:color="auto"/>
        <w:left w:val="none" w:sz="0" w:space="0" w:color="auto"/>
        <w:bottom w:val="none" w:sz="0" w:space="0" w:color="auto"/>
        <w:right w:val="none" w:sz="0" w:space="0" w:color="auto"/>
      </w:divBdr>
    </w:div>
    <w:div w:id="1435705700">
      <w:marLeft w:val="0"/>
      <w:marRight w:val="0"/>
      <w:marTop w:val="180"/>
      <w:marBottom w:val="0"/>
      <w:divBdr>
        <w:top w:val="none" w:sz="0" w:space="0" w:color="auto"/>
        <w:left w:val="none" w:sz="0" w:space="0" w:color="auto"/>
        <w:bottom w:val="none" w:sz="0" w:space="0" w:color="auto"/>
        <w:right w:val="none" w:sz="0" w:space="0" w:color="auto"/>
      </w:divBdr>
    </w:div>
    <w:div w:id="1436710675">
      <w:marLeft w:val="0"/>
      <w:marRight w:val="0"/>
      <w:marTop w:val="180"/>
      <w:marBottom w:val="0"/>
      <w:divBdr>
        <w:top w:val="none" w:sz="0" w:space="0" w:color="auto"/>
        <w:left w:val="none" w:sz="0" w:space="0" w:color="auto"/>
        <w:bottom w:val="none" w:sz="0" w:space="0" w:color="auto"/>
        <w:right w:val="none" w:sz="0" w:space="0" w:color="auto"/>
      </w:divBdr>
    </w:div>
    <w:div w:id="1440834417">
      <w:marLeft w:val="0"/>
      <w:marRight w:val="0"/>
      <w:marTop w:val="0"/>
      <w:marBottom w:val="0"/>
      <w:divBdr>
        <w:top w:val="none" w:sz="0" w:space="0" w:color="auto"/>
        <w:left w:val="none" w:sz="0" w:space="0" w:color="auto"/>
        <w:bottom w:val="none" w:sz="0" w:space="0" w:color="auto"/>
        <w:right w:val="none" w:sz="0" w:space="0" w:color="auto"/>
      </w:divBdr>
      <w:divsChild>
        <w:div w:id="1119450973">
          <w:marLeft w:val="0"/>
          <w:marRight w:val="0"/>
          <w:marTop w:val="0"/>
          <w:marBottom w:val="0"/>
          <w:divBdr>
            <w:top w:val="none" w:sz="0" w:space="0" w:color="auto"/>
            <w:left w:val="none" w:sz="0" w:space="0" w:color="auto"/>
            <w:bottom w:val="none" w:sz="0" w:space="0" w:color="auto"/>
            <w:right w:val="none" w:sz="0" w:space="0" w:color="auto"/>
          </w:divBdr>
          <w:divsChild>
            <w:div w:id="17118021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47653886">
      <w:marLeft w:val="0"/>
      <w:marRight w:val="0"/>
      <w:marTop w:val="180"/>
      <w:marBottom w:val="0"/>
      <w:divBdr>
        <w:top w:val="none" w:sz="0" w:space="0" w:color="auto"/>
        <w:left w:val="none" w:sz="0" w:space="0" w:color="auto"/>
        <w:bottom w:val="none" w:sz="0" w:space="0" w:color="auto"/>
        <w:right w:val="none" w:sz="0" w:space="0" w:color="auto"/>
      </w:divBdr>
    </w:div>
    <w:div w:id="1450515752">
      <w:marLeft w:val="0"/>
      <w:marRight w:val="0"/>
      <w:marTop w:val="180"/>
      <w:marBottom w:val="0"/>
      <w:divBdr>
        <w:top w:val="none" w:sz="0" w:space="0" w:color="auto"/>
        <w:left w:val="none" w:sz="0" w:space="0" w:color="auto"/>
        <w:bottom w:val="none" w:sz="0" w:space="0" w:color="auto"/>
        <w:right w:val="none" w:sz="0" w:space="0" w:color="auto"/>
      </w:divBdr>
    </w:div>
    <w:div w:id="1452820468">
      <w:marLeft w:val="0"/>
      <w:marRight w:val="0"/>
      <w:marTop w:val="180"/>
      <w:marBottom w:val="120"/>
      <w:divBdr>
        <w:top w:val="none" w:sz="0" w:space="0" w:color="auto"/>
        <w:left w:val="none" w:sz="0" w:space="0" w:color="auto"/>
        <w:bottom w:val="none" w:sz="0" w:space="0" w:color="auto"/>
        <w:right w:val="none" w:sz="0" w:space="0" w:color="auto"/>
      </w:divBdr>
    </w:div>
    <w:div w:id="1454708954">
      <w:marLeft w:val="0"/>
      <w:marRight w:val="0"/>
      <w:marTop w:val="180"/>
      <w:marBottom w:val="0"/>
      <w:divBdr>
        <w:top w:val="none" w:sz="0" w:space="0" w:color="auto"/>
        <w:left w:val="none" w:sz="0" w:space="0" w:color="auto"/>
        <w:bottom w:val="none" w:sz="0" w:space="0" w:color="auto"/>
        <w:right w:val="none" w:sz="0" w:space="0" w:color="auto"/>
      </w:divBdr>
    </w:div>
    <w:div w:id="1457485849">
      <w:marLeft w:val="0"/>
      <w:marRight w:val="0"/>
      <w:marTop w:val="180"/>
      <w:marBottom w:val="0"/>
      <w:divBdr>
        <w:top w:val="none" w:sz="0" w:space="0" w:color="auto"/>
        <w:left w:val="none" w:sz="0" w:space="0" w:color="auto"/>
        <w:bottom w:val="none" w:sz="0" w:space="0" w:color="auto"/>
        <w:right w:val="none" w:sz="0" w:space="0" w:color="auto"/>
      </w:divBdr>
    </w:div>
    <w:div w:id="1458255295">
      <w:marLeft w:val="0"/>
      <w:marRight w:val="0"/>
      <w:marTop w:val="120"/>
      <w:marBottom w:val="0"/>
      <w:divBdr>
        <w:top w:val="none" w:sz="0" w:space="0" w:color="auto"/>
        <w:left w:val="none" w:sz="0" w:space="0" w:color="auto"/>
        <w:bottom w:val="none" w:sz="0" w:space="0" w:color="auto"/>
        <w:right w:val="none" w:sz="0" w:space="0" w:color="auto"/>
      </w:divBdr>
    </w:div>
    <w:div w:id="1458521810">
      <w:marLeft w:val="0"/>
      <w:marRight w:val="0"/>
      <w:marTop w:val="180"/>
      <w:marBottom w:val="0"/>
      <w:divBdr>
        <w:top w:val="none" w:sz="0" w:space="0" w:color="auto"/>
        <w:left w:val="none" w:sz="0" w:space="0" w:color="auto"/>
        <w:bottom w:val="none" w:sz="0" w:space="0" w:color="auto"/>
        <w:right w:val="none" w:sz="0" w:space="0" w:color="auto"/>
      </w:divBdr>
    </w:div>
    <w:div w:id="1460759167">
      <w:marLeft w:val="0"/>
      <w:marRight w:val="0"/>
      <w:marTop w:val="120"/>
      <w:marBottom w:val="0"/>
      <w:divBdr>
        <w:top w:val="none" w:sz="0" w:space="0" w:color="auto"/>
        <w:left w:val="none" w:sz="0" w:space="0" w:color="auto"/>
        <w:bottom w:val="none" w:sz="0" w:space="0" w:color="auto"/>
        <w:right w:val="none" w:sz="0" w:space="0" w:color="auto"/>
      </w:divBdr>
    </w:div>
    <w:div w:id="1461068261">
      <w:marLeft w:val="0"/>
      <w:marRight w:val="0"/>
      <w:marTop w:val="60"/>
      <w:marBottom w:val="120"/>
      <w:divBdr>
        <w:top w:val="none" w:sz="0" w:space="0" w:color="auto"/>
        <w:left w:val="none" w:sz="0" w:space="0" w:color="auto"/>
        <w:bottom w:val="none" w:sz="0" w:space="0" w:color="auto"/>
        <w:right w:val="none" w:sz="0" w:space="0" w:color="auto"/>
      </w:divBdr>
    </w:div>
    <w:div w:id="1461680933">
      <w:marLeft w:val="0"/>
      <w:marRight w:val="0"/>
      <w:marTop w:val="180"/>
      <w:marBottom w:val="0"/>
      <w:divBdr>
        <w:top w:val="none" w:sz="0" w:space="0" w:color="auto"/>
        <w:left w:val="none" w:sz="0" w:space="0" w:color="auto"/>
        <w:bottom w:val="none" w:sz="0" w:space="0" w:color="auto"/>
        <w:right w:val="none" w:sz="0" w:space="0" w:color="auto"/>
      </w:divBdr>
    </w:div>
    <w:div w:id="1464039574">
      <w:marLeft w:val="0"/>
      <w:marRight w:val="0"/>
      <w:marTop w:val="180"/>
      <w:marBottom w:val="0"/>
      <w:divBdr>
        <w:top w:val="none" w:sz="0" w:space="0" w:color="auto"/>
        <w:left w:val="none" w:sz="0" w:space="0" w:color="auto"/>
        <w:bottom w:val="none" w:sz="0" w:space="0" w:color="auto"/>
        <w:right w:val="none" w:sz="0" w:space="0" w:color="auto"/>
      </w:divBdr>
    </w:div>
    <w:div w:id="1465847419">
      <w:marLeft w:val="0"/>
      <w:marRight w:val="0"/>
      <w:marTop w:val="180"/>
      <w:marBottom w:val="0"/>
      <w:divBdr>
        <w:top w:val="none" w:sz="0" w:space="0" w:color="auto"/>
        <w:left w:val="none" w:sz="0" w:space="0" w:color="auto"/>
        <w:bottom w:val="none" w:sz="0" w:space="0" w:color="auto"/>
        <w:right w:val="none" w:sz="0" w:space="0" w:color="auto"/>
      </w:divBdr>
    </w:div>
    <w:div w:id="1467503313">
      <w:marLeft w:val="0"/>
      <w:marRight w:val="0"/>
      <w:marTop w:val="180"/>
      <w:marBottom w:val="0"/>
      <w:divBdr>
        <w:top w:val="none" w:sz="0" w:space="0" w:color="auto"/>
        <w:left w:val="none" w:sz="0" w:space="0" w:color="auto"/>
        <w:bottom w:val="none" w:sz="0" w:space="0" w:color="auto"/>
        <w:right w:val="none" w:sz="0" w:space="0" w:color="auto"/>
      </w:divBdr>
    </w:div>
    <w:div w:id="1477604672">
      <w:marLeft w:val="0"/>
      <w:marRight w:val="0"/>
      <w:marTop w:val="0"/>
      <w:marBottom w:val="60"/>
      <w:divBdr>
        <w:top w:val="none" w:sz="0" w:space="0" w:color="auto"/>
        <w:left w:val="none" w:sz="0" w:space="0" w:color="auto"/>
        <w:bottom w:val="none" w:sz="0" w:space="0" w:color="auto"/>
        <w:right w:val="none" w:sz="0" w:space="0" w:color="auto"/>
      </w:divBdr>
    </w:div>
    <w:div w:id="1479617342">
      <w:marLeft w:val="0"/>
      <w:marRight w:val="0"/>
      <w:marTop w:val="180"/>
      <w:marBottom w:val="60"/>
      <w:divBdr>
        <w:top w:val="none" w:sz="0" w:space="0" w:color="auto"/>
        <w:left w:val="none" w:sz="0" w:space="0" w:color="auto"/>
        <w:bottom w:val="none" w:sz="0" w:space="0" w:color="auto"/>
        <w:right w:val="none" w:sz="0" w:space="0" w:color="auto"/>
      </w:divBdr>
    </w:div>
    <w:div w:id="1480003276">
      <w:marLeft w:val="0"/>
      <w:marRight w:val="0"/>
      <w:marTop w:val="60"/>
      <w:marBottom w:val="0"/>
      <w:divBdr>
        <w:top w:val="none" w:sz="0" w:space="0" w:color="auto"/>
        <w:left w:val="none" w:sz="0" w:space="0" w:color="auto"/>
        <w:bottom w:val="none" w:sz="0" w:space="0" w:color="auto"/>
        <w:right w:val="none" w:sz="0" w:space="0" w:color="auto"/>
      </w:divBdr>
    </w:div>
    <w:div w:id="1487431127">
      <w:marLeft w:val="0"/>
      <w:marRight w:val="0"/>
      <w:marTop w:val="240"/>
      <w:marBottom w:val="0"/>
      <w:divBdr>
        <w:top w:val="none" w:sz="0" w:space="0" w:color="auto"/>
        <w:left w:val="none" w:sz="0" w:space="0" w:color="auto"/>
        <w:bottom w:val="none" w:sz="0" w:space="0" w:color="auto"/>
        <w:right w:val="none" w:sz="0" w:space="0" w:color="auto"/>
      </w:divBdr>
    </w:div>
    <w:div w:id="1490361041">
      <w:marLeft w:val="0"/>
      <w:marRight w:val="0"/>
      <w:marTop w:val="180"/>
      <w:marBottom w:val="0"/>
      <w:divBdr>
        <w:top w:val="none" w:sz="0" w:space="0" w:color="auto"/>
        <w:left w:val="none" w:sz="0" w:space="0" w:color="auto"/>
        <w:bottom w:val="none" w:sz="0" w:space="0" w:color="auto"/>
        <w:right w:val="none" w:sz="0" w:space="0" w:color="auto"/>
      </w:divBdr>
    </w:div>
    <w:div w:id="1492863882">
      <w:marLeft w:val="0"/>
      <w:marRight w:val="0"/>
      <w:marTop w:val="180"/>
      <w:marBottom w:val="0"/>
      <w:divBdr>
        <w:top w:val="none" w:sz="0" w:space="0" w:color="auto"/>
        <w:left w:val="none" w:sz="0" w:space="0" w:color="auto"/>
        <w:bottom w:val="none" w:sz="0" w:space="0" w:color="auto"/>
        <w:right w:val="none" w:sz="0" w:space="0" w:color="auto"/>
      </w:divBdr>
    </w:div>
    <w:div w:id="1495292509">
      <w:marLeft w:val="0"/>
      <w:marRight w:val="0"/>
      <w:marTop w:val="180"/>
      <w:marBottom w:val="0"/>
      <w:divBdr>
        <w:top w:val="none" w:sz="0" w:space="0" w:color="auto"/>
        <w:left w:val="none" w:sz="0" w:space="0" w:color="auto"/>
        <w:bottom w:val="none" w:sz="0" w:space="0" w:color="auto"/>
        <w:right w:val="none" w:sz="0" w:space="0" w:color="auto"/>
      </w:divBdr>
    </w:div>
    <w:div w:id="1495487857">
      <w:marLeft w:val="0"/>
      <w:marRight w:val="0"/>
      <w:marTop w:val="180"/>
      <w:marBottom w:val="0"/>
      <w:divBdr>
        <w:top w:val="none" w:sz="0" w:space="0" w:color="auto"/>
        <w:left w:val="none" w:sz="0" w:space="0" w:color="auto"/>
        <w:bottom w:val="none" w:sz="0" w:space="0" w:color="auto"/>
        <w:right w:val="none" w:sz="0" w:space="0" w:color="auto"/>
      </w:divBdr>
    </w:div>
    <w:div w:id="1496608644">
      <w:marLeft w:val="0"/>
      <w:marRight w:val="0"/>
      <w:marTop w:val="0"/>
      <w:marBottom w:val="0"/>
      <w:divBdr>
        <w:top w:val="none" w:sz="0" w:space="0" w:color="auto"/>
        <w:left w:val="none" w:sz="0" w:space="0" w:color="auto"/>
        <w:bottom w:val="none" w:sz="0" w:space="0" w:color="auto"/>
        <w:right w:val="none" w:sz="0" w:space="0" w:color="auto"/>
      </w:divBdr>
      <w:divsChild>
        <w:div w:id="1465268263">
          <w:marLeft w:val="0"/>
          <w:marRight w:val="0"/>
          <w:marTop w:val="180"/>
          <w:marBottom w:val="180"/>
          <w:divBdr>
            <w:top w:val="none" w:sz="0" w:space="0" w:color="auto"/>
            <w:left w:val="none" w:sz="0" w:space="0" w:color="auto"/>
            <w:bottom w:val="none" w:sz="0" w:space="0" w:color="auto"/>
            <w:right w:val="none" w:sz="0" w:space="0" w:color="auto"/>
          </w:divBdr>
        </w:div>
      </w:divsChild>
    </w:div>
    <w:div w:id="1500000615">
      <w:marLeft w:val="0"/>
      <w:marRight w:val="0"/>
      <w:marTop w:val="0"/>
      <w:marBottom w:val="0"/>
      <w:divBdr>
        <w:top w:val="none" w:sz="0" w:space="0" w:color="auto"/>
        <w:left w:val="none" w:sz="0" w:space="0" w:color="auto"/>
        <w:bottom w:val="none" w:sz="0" w:space="0" w:color="auto"/>
        <w:right w:val="none" w:sz="0" w:space="0" w:color="auto"/>
      </w:divBdr>
      <w:divsChild>
        <w:div w:id="1339969007">
          <w:marLeft w:val="0"/>
          <w:marRight w:val="0"/>
          <w:marTop w:val="180"/>
          <w:marBottom w:val="180"/>
          <w:divBdr>
            <w:top w:val="none" w:sz="0" w:space="0" w:color="auto"/>
            <w:left w:val="none" w:sz="0" w:space="0" w:color="auto"/>
            <w:bottom w:val="none" w:sz="0" w:space="0" w:color="auto"/>
            <w:right w:val="none" w:sz="0" w:space="0" w:color="auto"/>
          </w:divBdr>
        </w:div>
      </w:divsChild>
    </w:div>
    <w:div w:id="1514614845">
      <w:marLeft w:val="0"/>
      <w:marRight w:val="0"/>
      <w:marTop w:val="180"/>
      <w:marBottom w:val="0"/>
      <w:divBdr>
        <w:top w:val="none" w:sz="0" w:space="0" w:color="auto"/>
        <w:left w:val="none" w:sz="0" w:space="0" w:color="auto"/>
        <w:bottom w:val="none" w:sz="0" w:space="0" w:color="auto"/>
        <w:right w:val="none" w:sz="0" w:space="0" w:color="auto"/>
      </w:divBdr>
    </w:div>
    <w:div w:id="1516723432">
      <w:marLeft w:val="0"/>
      <w:marRight w:val="0"/>
      <w:marTop w:val="0"/>
      <w:marBottom w:val="0"/>
      <w:divBdr>
        <w:top w:val="none" w:sz="0" w:space="0" w:color="auto"/>
        <w:left w:val="none" w:sz="0" w:space="0" w:color="auto"/>
        <w:bottom w:val="none" w:sz="0" w:space="0" w:color="auto"/>
        <w:right w:val="none" w:sz="0" w:space="0" w:color="auto"/>
      </w:divBdr>
      <w:divsChild>
        <w:div w:id="1516188748">
          <w:marLeft w:val="0"/>
          <w:marRight w:val="0"/>
          <w:marTop w:val="180"/>
          <w:marBottom w:val="0"/>
          <w:divBdr>
            <w:top w:val="none" w:sz="0" w:space="0" w:color="auto"/>
            <w:left w:val="none" w:sz="0" w:space="0" w:color="auto"/>
            <w:bottom w:val="none" w:sz="0" w:space="0" w:color="auto"/>
            <w:right w:val="none" w:sz="0" w:space="0" w:color="auto"/>
          </w:divBdr>
        </w:div>
      </w:divsChild>
    </w:div>
    <w:div w:id="1521819215">
      <w:marLeft w:val="0"/>
      <w:marRight w:val="0"/>
      <w:marTop w:val="180"/>
      <w:marBottom w:val="0"/>
      <w:divBdr>
        <w:top w:val="none" w:sz="0" w:space="0" w:color="auto"/>
        <w:left w:val="none" w:sz="0" w:space="0" w:color="auto"/>
        <w:bottom w:val="none" w:sz="0" w:space="0" w:color="auto"/>
        <w:right w:val="none" w:sz="0" w:space="0" w:color="auto"/>
      </w:divBdr>
    </w:div>
    <w:div w:id="1521967798">
      <w:marLeft w:val="0"/>
      <w:marRight w:val="0"/>
      <w:marTop w:val="180"/>
      <w:marBottom w:val="0"/>
      <w:divBdr>
        <w:top w:val="none" w:sz="0" w:space="0" w:color="auto"/>
        <w:left w:val="none" w:sz="0" w:space="0" w:color="auto"/>
        <w:bottom w:val="none" w:sz="0" w:space="0" w:color="auto"/>
        <w:right w:val="none" w:sz="0" w:space="0" w:color="auto"/>
      </w:divBdr>
    </w:div>
    <w:div w:id="1528445141">
      <w:marLeft w:val="0"/>
      <w:marRight w:val="0"/>
      <w:marTop w:val="180"/>
      <w:marBottom w:val="0"/>
      <w:divBdr>
        <w:top w:val="none" w:sz="0" w:space="0" w:color="auto"/>
        <w:left w:val="none" w:sz="0" w:space="0" w:color="auto"/>
        <w:bottom w:val="none" w:sz="0" w:space="0" w:color="auto"/>
        <w:right w:val="none" w:sz="0" w:space="0" w:color="auto"/>
      </w:divBdr>
    </w:div>
    <w:div w:id="1529372483">
      <w:marLeft w:val="0"/>
      <w:marRight w:val="0"/>
      <w:marTop w:val="180"/>
      <w:marBottom w:val="0"/>
      <w:divBdr>
        <w:top w:val="none" w:sz="0" w:space="0" w:color="auto"/>
        <w:left w:val="none" w:sz="0" w:space="0" w:color="auto"/>
        <w:bottom w:val="none" w:sz="0" w:space="0" w:color="auto"/>
        <w:right w:val="none" w:sz="0" w:space="0" w:color="auto"/>
      </w:divBdr>
    </w:div>
    <w:div w:id="1533567046">
      <w:marLeft w:val="0"/>
      <w:marRight w:val="0"/>
      <w:marTop w:val="180"/>
      <w:marBottom w:val="0"/>
      <w:divBdr>
        <w:top w:val="none" w:sz="0" w:space="0" w:color="auto"/>
        <w:left w:val="none" w:sz="0" w:space="0" w:color="auto"/>
        <w:bottom w:val="none" w:sz="0" w:space="0" w:color="auto"/>
        <w:right w:val="none" w:sz="0" w:space="0" w:color="auto"/>
      </w:divBdr>
    </w:div>
    <w:div w:id="1540244251">
      <w:marLeft w:val="0"/>
      <w:marRight w:val="0"/>
      <w:marTop w:val="120"/>
      <w:marBottom w:val="120"/>
      <w:divBdr>
        <w:top w:val="none" w:sz="0" w:space="0" w:color="auto"/>
        <w:left w:val="none" w:sz="0" w:space="0" w:color="auto"/>
        <w:bottom w:val="none" w:sz="0" w:space="0" w:color="auto"/>
        <w:right w:val="none" w:sz="0" w:space="0" w:color="auto"/>
      </w:divBdr>
    </w:div>
    <w:div w:id="1541892866">
      <w:marLeft w:val="0"/>
      <w:marRight w:val="0"/>
      <w:marTop w:val="0"/>
      <w:marBottom w:val="0"/>
      <w:divBdr>
        <w:top w:val="none" w:sz="0" w:space="0" w:color="auto"/>
        <w:left w:val="none" w:sz="0" w:space="0" w:color="auto"/>
        <w:bottom w:val="none" w:sz="0" w:space="0" w:color="auto"/>
        <w:right w:val="none" w:sz="0" w:space="0" w:color="auto"/>
      </w:divBdr>
      <w:divsChild>
        <w:div w:id="1848473314">
          <w:marLeft w:val="0"/>
          <w:marRight w:val="0"/>
          <w:marTop w:val="0"/>
          <w:marBottom w:val="0"/>
          <w:divBdr>
            <w:top w:val="none" w:sz="0" w:space="0" w:color="auto"/>
            <w:left w:val="none" w:sz="0" w:space="0" w:color="auto"/>
            <w:bottom w:val="none" w:sz="0" w:space="0" w:color="auto"/>
            <w:right w:val="none" w:sz="0" w:space="0" w:color="auto"/>
          </w:divBdr>
          <w:divsChild>
            <w:div w:id="19571770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3321156">
      <w:marLeft w:val="0"/>
      <w:marRight w:val="0"/>
      <w:marTop w:val="0"/>
      <w:marBottom w:val="0"/>
      <w:divBdr>
        <w:top w:val="none" w:sz="0" w:space="0" w:color="auto"/>
        <w:left w:val="none" w:sz="0" w:space="0" w:color="auto"/>
        <w:bottom w:val="none" w:sz="0" w:space="0" w:color="auto"/>
        <w:right w:val="none" w:sz="0" w:space="0" w:color="auto"/>
      </w:divBdr>
      <w:divsChild>
        <w:div w:id="1603103971">
          <w:marLeft w:val="0"/>
          <w:marRight w:val="0"/>
          <w:marTop w:val="0"/>
          <w:marBottom w:val="0"/>
          <w:divBdr>
            <w:top w:val="none" w:sz="0" w:space="0" w:color="auto"/>
            <w:left w:val="none" w:sz="0" w:space="0" w:color="auto"/>
            <w:bottom w:val="none" w:sz="0" w:space="0" w:color="auto"/>
            <w:right w:val="none" w:sz="0" w:space="0" w:color="auto"/>
          </w:divBdr>
          <w:divsChild>
            <w:div w:id="193080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4974863">
      <w:marLeft w:val="0"/>
      <w:marRight w:val="0"/>
      <w:marTop w:val="180"/>
      <w:marBottom w:val="0"/>
      <w:divBdr>
        <w:top w:val="none" w:sz="0" w:space="0" w:color="auto"/>
        <w:left w:val="none" w:sz="0" w:space="0" w:color="auto"/>
        <w:bottom w:val="none" w:sz="0" w:space="0" w:color="auto"/>
        <w:right w:val="none" w:sz="0" w:space="0" w:color="auto"/>
      </w:divBdr>
    </w:div>
    <w:div w:id="1546604710">
      <w:marLeft w:val="0"/>
      <w:marRight w:val="0"/>
      <w:marTop w:val="120"/>
      <w:marBottom w:val="120"/>
      <w:divBdr>
        <w:top w:val="none" w:sz="0" w:space="0" w:color="auto"/>
        <w:left w:val="none" w:sz="0" w:space="0" w:color="auto"/>
        <w:bottom w:val="none" w:sz="0" w:space="0" w:color="auto"/>
        <w:right w:val="none" w:sz="0" w:space="0" w:color="auto"/>
      </w:divBdr>
    </w:div>
    <w:div w:id="1555192248">
      <w:marLeft w:val="0"/>
      <w:marRight w:val="0"/>
      <w:marTop w:val="180"/>
      <w:marBottom w:val="0"/>
      <w:divBdr>
        <w:top w:val="none" w:sz="0" w:space="0" w:color="auto"/>
        <w:left w:val="none" w:sz="0" w:space="0" w:color="auto"/>
        <w:bottom w:val="none" w:sz="0" w:space="0" w:color="auto"/>
        <w:right w:val="none" w:sz="0" w:space="0" w:color="auto"/>
      </w:divBdr>
    </w:div>
    <w:div w:id="1557349186">
      <w:marLeft w:val="0"/>
      <w:marRight w:val="0"/>
      <w:marTop w:val="180"/>
      <w:marBottom w:val="0"/>
      <w:divBdr>
        <w:top w:val="none" w:sz="0" w:space="0" w:color="auto"/>
        <w:left w:val="none" w:sz="0" w:space="0" w:color="auto"/>
        <w:bottom w:val="none" w:sz="0" w:space="0" w:color="auto"/>
        <w:right w:val="none" w:sz="0" w:space="0" w:color="auto"/>
      </w:divBdr>
    </w:div>
    <w:div w:id="1560897011">
      <w:marLeft w:val="0"/>
      <w:marRight w:val="0"/>
      <w:marTop w:val="180"/>
      <w:marBottom w:val="120"/>
      <w:divBdr>
        <w:top w:val="none" w:sz="0" w:space="0" w:color="auto"/>
        <w:left w:val="none" w:sz="0" w:space="0" w:color="auto"/>
        <w:bottom w:val="none" w:sz="0" w:space="0" w:color="auto"/>
        <w:right w:val="none" w:sz="0" w:space="0" w:color="auto"/>
      </w:divBdr>
    </w:div>
    <w:div w:id="1569149459">
      <w:marLeft w:val="0"/>
      <w:marRight w:val="0"/>
      <w:marTop w:val="60"/>
      <w:marBottom w:val="120"/>
      <w:divBdr>
        <w:top w:val="none" w:sz="0" w:space="0" w:color="auto"/>
        <w:left w:val="none" w:sz="0" w:space="0" w:color="auto"/>
        <w:bottom w:val="none" w:sz="0" w:space="0" w:color="auto"/>
        <w:right w:val="none" w:sz="0" w:space="0" w:color="auto"/>
      </w:divBdr>
    </w:div>
    <w:div w:id="1575629449">
      <w:marLeft w:val="0"/>
      <w:marRight w:val="0"/>
      <w:marTop w:val="180"/>
      <w:marBottom w:val="0"/>
      <w:divBdr>
        <w:top w:val="none" w:sz="0" w:space="0" w:color="auto"/>
        <w:left w:val="none" w:sz="0" w:space="0" w:color="auto"/>
        <w:bottom w:val="none" w:sz="0" w:space="0" w:color="auto"/>
        <w:right w:val="none" w:sz="0" w:space="0" w:color="auto"/>
      </w:divBdr>
    </w:div>
    <w:div w:id="1588879477">
      <w:marLeft w:val="0"/>
      <w:marRight w:val="0"/>
      <w:marTop w:val="180"/>
      <w:marBottom w:val="0"/>
      <w:divBdr>
        <w:top w:val="none" w:sz="0" w:space="0" w:color="auto"/>
        <w:left w:val="none" w:sz="0" w:space="0" w:color="auto"/>
        <w:bottom w:val="none" w:sz="0" w:space="0" w:color="auto"/>
        <w:right w:val="none" w:sz="0" w:space="0" w:color="auto"/>
      </w:divBdr>
    </w:div>
    <w:div w:id="1589920964">
      <w:marLeft w:val="0"/>
      <w:marRight w:val="0"/>
      <w:marTop w:val="180"/>
      <w:marBottom w:val="0"/>
      <w:divBdr>
        <w:top w:val="none" w:sz="0" w:space="0" w:color="auto"/>
        <w:left w:val="none" w:sz="0" w:space="0" w:color="auto"/>
        <w:bottom w:val="none" w:sz="0" w:space="0" w:color="auto"/>
        <w:right w:val="none" w:sz="0" w:space="0" w:color="auto"/>
      </w:divBdr>
    </w:div>
    <w:div w:id="1589997158">
      <w:marLeft w:val="0"/>
      <w:marRight w:val="0"/>
      <w:marTop w:val="240"/>
      <w:marBottom w:val="0"/>
      <w:divBdr>
        <w:top w:val="none" w:sz="0" w:space="0" w:color="auto"/>
        <w:left w:val="none" w:sz="0" w:space="0" w:color="auto"/>
        <w:bottom w:val="none" w:sz="0" w:space="0" w:color="auto"/>
        <w:right w:val="none" w:sz="0" w:space="0" w:color="auto"/>
      </w:divBdr>
    </w:div>
    <w:div w:id="1591543404">
      <w:marLeft w:val="0"/>
      <w:marRight w:val="0"/>
      <w:marTop w:val="0"/>
      <w:marBottom w:val="0"/>
      <w:divBdr>
        <w:top w:val="none" w:sz="0" w:space="0" w:color="auto"/>
        <w:left w:val="none" w:sz="0" w:space="0" w:color="auto"/>
        <w:bottom w:val="none" w:sz="0" w:space="0" w:color="auto"/>
        <w:right w:val="none" w:sz="0" w:space="0" w:color="auto"/>
      </w:divBdr>
      <w:divsChild>
        <w:div w:id="1846045909">
          <w:marLeft w:val="0"/>
          <w:marRight w:val="0"/>
          <w:marTop w:val="180"/>
          <w:marBottom w:val="180"/>
          <w:divBdr>
            <w:top w:val="none" w:sz="0" w:space="0" w:color="auto"/>
            <w:left w:val="none" w:sz="0" w:space="0" w:color="auto"/>
            <w:bottom w:val="none" w:sz="0" w:space="0" w:color="auto"/>
            <w:right w:val="none" w:sz="0" w:space="0" w:color="auto"/>
          </w:divBdr>
        </w:div>
      </w:divsChild>
    </w:div>
    <w:div w:id="1594776515">
      <w:marLeft w:val="0"/>
      <w:marRight w:val="0"/>
      <w:marTop w:val="180"/>
      <w:marBottom w:val="0"/>
      <w:divBdr>
        <w:top w:val="none" w:sz="0" w:space="0" w:color="auto"/>
        <w:left w:val="none" w:sz="0" w:space="0" w:color="auto"/>
        <w:bottom w:val="none" w:sz="0" w:space="0" w:color="auto"/>
        <w:right w:val="none" w:sz="0" w:space="0" w:color="auto"/>
      </w:divBdr>
    </w:div>
    <w:div w:id="1597907315">
      <w:marLeft w:val="0"/>
      <w:marRight w:val="0"/>
      <w:marTop w:val="0"/>
      <w:marBottom w:val="0"/>
      <w:divBdr>
        <w:top w:val="none" w:sz="0" w:space="0" w:color="auto"/>
        <w:left w:val="none" w:sz="0" w:space="0" w:color="auto"/>
        <w:bottom w:val="none" w:sz="0" w:space="0" w:color="auto"/>
        <w:right w:val="none" w:sz="0" w:space="0" w:color="auto"/>
      </w:divBdr>
      <w:divsChild>
        <w:div w:id="1507985588">
          <w:marLeft w:val="0"/>
          <w:marRight w:val="0"/>
          <w:marTop w:val="0"/>
          <w:marBottom w:val="0"/>
          <w:divBdr>
            <w:top w:val="none" w:sz="0" w:space="0" w:color="auto"/>
            <w:left w:val="none" w:sz="0" w:space="0" w:color="auto"/>
            <w:bottom w:val="none" w:sz="0" w:space="0" w:color="auto"/>
            <w:right w:val="none" w:sz="0" w:space="0" w:color="auto"/>
          </w:divBdr>
          <w:divsChild>
            <w:div w:id="6726809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98488637">
      <w:marLeft w:val="0"/>
      <w:marRight w:val="0"/>
      <w:marTop w:val="120"/>
      <w:marBottom w:val="0"/>
      <w:divBdr>
        <w:top w:val="none" w:sz="0" w:space="0" w:color="auto"/>
        <w:left w:val="none" w:sz="0" w:space="0" w:color="auto"/>
        <w:bottom w:val="none" w:sz="0" w:space="0" w:color="auto"/>
        <w:right w:val="none" w:sz="0" w:space="0" w:color="auto"/>
      </w:divBdr>
    </w:div>
    <w:div w:id="1605188038">
      <w:marLeft w:val="0"/>
      <w:marRight w:val="0"/>
      <w:marTop w:val="240"/>
      <w:marBottom w:val="0"/>
      <w:divBdr>
        <w:top w:val="none" w:sz="0" w:space="0" w:color="auto"/>
        <w:left w:val="none" w:sz="0" w:space="0" w:color="auto"/>
        <w:bottom w:val="none" w:sz="0" w:space="0" w:color="auto"/>
        <w:right w:val="none" w:sz="0" w:space="0" w:color="auto"/>
      </w:divBdr>
    </w:div>
    <w:div w:id="1605570287">
      <w:marLeft w:val="0"/>
      <w:marRight w:val="0"/>
      <w:marTop w:val="180"/>
      <w:marBottom w:val="0"/>
      <w:divBdr>
        <w:top w:val="none" w:sz="0" w:space="0" w:color="auto"/>
        <w:left w:val="none" w:sz="0" w:space="0" w:color="auto"/>
        <w:bottom w:val="none" w:sz="0" w:space="0" w:color="auto"/>
        <w:right w:val="none" w:sz="0" w:space="0" w:color="auto"/>
      </w:divBdr>
    </w:div>
    <w:div w:id="1619792635">
      <w:marLeft w:val="0"/>
      <w:marRight w:val="0"/>
      <w:marTop w:val="180"/>
      <w:marBottom w:val="120"/>
      <w:divBdr>
        <w:top w:val="none" w:sz="0" w:space="0" w:color="auto"/>
        <w:left w:val="none" w:sz="0" w:space="0" w:color="auto"/>
        <w:bottom w:val="none" w:sz="0" w:space="0" w:color="auto"/>
        <w:right w:val="none" w:sz="0" w:space="0" w:color="auto"/>
      </w:divBdr>
    </w:div>
    <w:div w:id="1620260446">
      <w:marLeft w:val="0"/>
      <w:marRight w:val="0"/>
      <w:marTop w:val="180"/>
      <w:marBottom w:val="0"/>
      <w:divBdr>
        <w:top w:val="none" w:sz="0" w:space="0" w:color="auto"/>
        <w:left w:val="none" w:sz="0" w:space="0" w:color="auto"/>
        <w:bottom w:val="none" w:sz="0" w:space="0" w:color="auto"/>
        <w:right w:val="none" w:sz="0" w:space="0" w:color="auto"/>
      </w:divBdr>
    </w:div>
    <w:div w:id="1622150968">
      <w:marLeft w:val="0"/>
      <w:marRight w:val="0"/>
      <w:marTop w:val="180"/>
      <w:marBottom w:val="0"/>
      <w:divBdr>
        <w:top w:val="none" w:sz="0" w:space="0" w:color="auto"/>
        <w:left w:val="none" w:sz="0" w:space="0" w:color="auto"/>
        <w:bottom w:val="none" w:sz="0" w:space="0" w:color="auto"/>
        <w:right w:val="none" w:sz="0" w:space="0" w:color="auto"/>
      </w:divBdr>
    </w:div>
    <w:div w:id="1627001740">
      <w:marLeft w:val="0"/>
      <w:marRight w:val="0"/>
      <w:marTop w:val="0"/>
      <w:marBottom w:val="0"/>
      <w:divBdr>
        <w:top w:val="none" w:sz="0" w:space="0" w:color="auto"/>
        <w:left w:val="none" w:sz="0" w:space="0" w:color="auto"/>
        <w:bottom w:val="none" w:sz="0" w:space="0" w:color="auto"/>
        <w:right w:val="none" w:sz="0" w:space="0" w:color="auto"/>
      </w:divBdr>
      <w:divsChild>
        <w:div w:id="748888713">
          <w:marLeft w:val="0"/>
          <w:marRight w:val="0"/>
          <w:marTop w:val="0"/>
          <w:marBottom w:val="0"/>
          <w:divBdr>
            <w:top w:val="none" w:sz="0" w:space="0" w:color="auto"/>
            <w:left w:val="none" w:sz="0" w:space="0" w:color="auto"/>
            <w:bottom w:val="none" w:sz="0" w:space="0" w:color="auto"/>
            <w:right w:val="none" w:sz="0" w:space="0" w:color="auto"/>
          </w:divBdr>
          <w:divsChild>
            <w:div w:id="5886585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27811478">
      <w:marLeft w:val="0"/>
      <w:marRight w:val="0"/>
      <w:marTop w:val="240"/>
      <w:marBottom w:val="0"/>
      <w:divBdr>
        <w:top w:val="none" w:sz="0" w:space="0" w:color="auto"/>
        <w:left w:val="none" w:sz="0" w:space="0" w:color="auto"/>
        <w:bottom w:val="none" w:sz="0" w:space="0" w:color="auto"/>
        <w:right w:val="none" w:sz="0" w:space="0" w:color="auto"/>
      </w:divBdr>
    </w:div>
    <w:div w:id="1636138111">
      <w:marLeft w:val="0"/>
      <w:marRight w:val="0"/>
      <w:marTop w:val="180"/>
      <w:marBottom w:val="0"/>
      <w:divBdr>
        <w:top w:val="none" w:sz="0" w:space="0" w:color="auto"/>
        <w:left w:val="none" w:sz="0" w:space="0" w:color="auto"/>
        <w:bottom w:val="none" w:sz="0" w:space="0" w:color="auto"/>
        <w:right w:val="none" w:sz="0" w:space="0" w:color="auto"/>
      </w:divBdr>
    </w:div>
    <w:div w:id="1644309040">
      <w:marLeft w:val="0"/>
      <w:marRight w:val="0"/>
      <w:marTop w:val="240"/>
      <w:marBottom w:val="0"/>
      <w:divBdr>
        <w:top w:val="none" w:sz="0" w:space="0" w:color="auto"/>
        <w:left w:val="none" w:sz="0" w:space="0" w:color="auto"/>
        <w:bottom w:val="none" w:sz="0" w:space="0" w:color="auto"/>
        <w:right w:val="none" w:sz="0" w:space="0" w:color="auto"/>
      </w:divBdr>
    </w:div>
    <w:div w:id="1646349174">
      <w:marLeft w:val="0"/>
      <w:marRight w:val="0"/>
      <w:marTop w:val="130"/>
      <w:marBottom w:val="120"/>
      <w:divBdr>
        <w:top w:val="none" w:sz="0" w:space="0" w:color="auto"/>
        <w:left w:val="none" w:sz="0" w:space="0" w:color="auto"/>
        <w:bottom w:val="none" w:sz="0" w:space="0" w:color="auto"/>
        <w:right w:val="none" w:sz="0" w:space="0" w:color="auto"/>
      </w:divBdr>
    </w:div>
    <w:div w:id="1653219414">
      <w:marLeft w:val="0"/>
      <w:marRight w:val="0"/>
      <w:marTop w:val="0"/>
      <w:marBottom w:val="0"/>
      <w:divBdr>
        <w:top w:val="none" w:sz="0" w:space="0" w:color="auto"/>
        <w:left w:val="none" w:sz="0" w:space="0" w:color="auto"/>
        <w:bottom w:val="none" w:sz="0" w:space="0" w:color="auto"/>
        <w:right w:val="none" w:sz="0" w:space="0" w:color="auto"/>
      </w:divBdr>
      <w:divsChild>
        <w:div w:id="1114711002">
          <w:marLeft w:val="0"/>
          <w:marRight w:val="0"/>
          <w:marTop w:val="0"/>
          <w:marBottom w:val="0"/>
          <w:divBdr>
            <w:top w:val="none" w:sz="0" w:space="0" w:color="auto"/>
            <w:left w:val="none" w:sz="0" w:space="0" w:color="auto"/>
            <w:bottom w:val="none" w:sz="0" w:space="0" w:color="auto"/>
            <w:right w:val="none" w:sz="0" w:space="0" w:color="auto"/>
          </w:divBdr>
          <w:divsChild>
            <w:div w:id="4499048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8262707">
      <w:marLeft w:val="0"/>
      <w:marRight w:val="0"/>
      <w:marTop w:val="240"/>
      <w:marBottom w:val="0"/>
      <w:divBdr>
        <w:top w:val="none" w:sz="0" w:space="0" w:color="auto"/>
        <w:left w:val="none" w:sz="0" w:space="0" w:color="auto"/>
        <w:bottom w:val="none" w:sz="0" w:space="0" w:color="auto"/>
        <w:right w:val="none" w:sz="0" w:space="0" w:color="auto"/>
      </w:divBdr>
    </w:div>
    <w:div w:id="1658878994">
      <w:marLeft w:val="0"/>
      <w:marRight w:val="0"/>
      <w:marTop w:val="0"/>
      <w:marBottom w:val="0"/>
      <w:divBdr>
        <w:top w:val="none" w:sz="0" w:space="0" w:color="auto"/>
        <w:left w:val="none" w:sz="0" w:space="0" w:color="auto"/>
        <w:bottom w:val="none" w:sz="0" w:space="0" w:color="auto"/>
        <w:right w:val="none" w:sz="0" w:space="0" w:color="auto"/>
      </w:divBdr>
      <w:divsChild>
        <w:div w:id="2031026235">
          <w:marLeft w:val="0"/>
          <w:marRight w:val="0"/>
          <w:marTop w:val="0"/>
          <w:marBottom w:val="0"/>
          <w:divBdr>
            <w:top w:val="none" w:sz="0" w:space="0" w:color="auto"/>
            <w:left w:val="none" w:sz="0" w:space="0" w:color="auto"/>
            <w:bottom w:val="none" w:sz="0" w:space="0" w:color="auto"/>
            <w:right w:val="none" w:sz="0" w:space="0" w:color="auto"/>
          </w:divBdr>
          <w:divsChild>
            <w:div w:id="1744167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9115040">
      <w:marLeft w:val="0"/>
      <w:marRight w:val="0"/>
      <w:marTop w:val="180"/>
      <w:marBottom w:val="0"/>
      <w:divBdr>
        <w:top w:val="none" w:sz="0" w:space="0" w:color="auto"/>
        <w:left w:val="none" w:sz="0" w:space="0" w:color="auto"/>
        <w:bottom w:val="none" w:sz="0" w:space="0" w:color="auto"/>
        <w:right w:val="none" w:sz="0" w:space="0" w:color="auto"/>
      </w:divBdr>
    </w:div>
    <w:div w:id="1659192719">
      <w:marLeft w:val="0"/>
      <w:marRight w:val="0"/>
      <w:marTop w:val="180"/>
      <w:marBottom w:val="0"/>
      <w:divBdr>
        <w:top w:val="none" w:sz="0" w:space="0" w:color="auto"/>
        <w:left w:val="none" w:sz="0" w:space="0" w:color="auto"/>
        <w:bottom w:val="none" w:sz="0" w:space="0" w:color="auto"/>
        <w:right w:val="none" w:sz="0" w:space="0" w:color="auto"/>
      </w:divBdr>
    </w:div>
    <w:div w:id="1668553316">
      <w:marLeft w:val="0"/>
      <w:marRight w:val="0"/>
      <w:marTop w:val="180"/>
      <w:marBottom w:val="60"/>
      <w:divBdr>
        <w:top w:val="none" w:sz="0" w:space="0" w:color="auto"/>
        <w:left w:val="none" w:sz="0" w:space="0" w:color="auto"/>
        <w:bottom w:val="none" w:sz="0" w:space="0" w:color="auto"/>
        <w:right w:val="none" w:sz="0" w:space="0" w:color="auto"/>
      </w:divBdr>
    </w:div>
    <w:div w:id="1669021460">
      <w:marLeft w:val="0"/>
      <w:marRight w:val="0"/>
      <w:marTop w:val="60"/>
      <w:marBottom w:val="180"/>
      <w:divBdr>
        <w:top w:val="none" w:sz="0" w:space="0" w:color="auto"/>
        <w:left w:val="none" w:sz="0" w:space="0" w:color="auto"/>
        <w:bottom w:val="none" w:sz="0" w:space="0" w:color="auto"/>
        <w:right w:val="none" w:sz="0" w:space="0" w:color="auto"/>
      </w:divBdr>
    </w:div>
    <w:div w:id="1671055387">
      <w:marLeft w:val="0"/>
      <w:marRight w:val="0"/>
      <w:marTop w:val="180"/>
      <w:marBottom w:val="0"/>
      <w:divBdr>
        <w:top w:val="none" w:sz="0" w:space="0" w:color="auto"/>
        <w:left w:val="none" w:sz="0" w:space="0" w:color="auto"/>
        <w:bottom w:val="none" w:sz="0" w:space="0" w:color="auto"/>
        <w:right w:val="none" w:sz="0" w:space="0" w:color="auto"/>
      </w:divBdr>
    </w:div>
    <w:div w:id="1674642721">
      <w:marLeft w:val="0"/>
      <w:marRight w:val="0"/>
      <w:marTop w:val="180"/>
      <w:marBottom w:val="0"/>
      <w:divBdr>
        <w:top w:val="none" w:sz="0" w:space="0" w:color="auto"/>
        <w:left w:val="none" w:sz="0" w:space="0" w:color="auto"/>
        <w:bottom w:val="none" w:sz="0" w:space="0" w:color="auto"/>
        <w:right w:val="none" w:sz="0" w:space="0" w:color="auto"/>
      </w:divBdr>
    </w:div>
    <w:div w:id="1675957639">
      <w:marLeft w:val="0"/>
      <w:marRight w:val="0"/>
      <w:marTop w:val="180"/>
      <w:marBottom w:val="0"/>
      <w:divBdr>
        <w:top w:val="none" w:sz="0" w:space="0" w:color="auto"/>
        <w:left w:val="none" w:sz="0" w:space="0" w:color="auto"/>
        <w:bottom w:val="none" w:sz="0" w:space="0" w:color="auto"/>
        <w:right w:val="none" w:sz="0" w:space="0" w:color="auto"/>
      </w:divBdr>
    </w:div>
    <w:div w:id="1679695127">
      <w:marLeft w:val="0"/>
      <w:marRight w:val="0"/>
      <w:marTop w:val="180"/>
      <w:marBottom w:val="0"/>
      <w:divBdr>
        <w:top w:val="none" w:sz="0" w:space="0" w:color="auto"/>
        <w:left w:val="none" w:sz="0" w:space="0" w:color="auto"/>
        <w:bottom w:val="none" w:sz="0" w:space="0" w:color="auto"/>
        <w:right w:val="none" w:sz="0" w:space="0" w:color="auto"/>
      </w:divBdr>
    </w:div>
    <w:div w:id="1680350763">
      <w:marLeft w:val="0"/>
      <w:marRight w:val="0"/>
      <w:marTop w:val="180"/>
      <w:marBottom w:val="0"/>
      <w:divBdr>
        <w:top w:val="none" w:sz="0" w:space="0" w:color="auto"/>
        <w:left w:val="none" w:sz="0" w:space="0" w:color="auto"/>
        <w:bottom w:val="none" w:sz="0" w:space="0" w:color="auto"/>
        <w:right w:val="none" w:sz="0" w:space="0" w:color="auto"/>
      </w:divBdr>
    </w:div>
    <w:div w:id="1683699043">
      <w:marLeft w:val="0"/>
      <w:marRight w:val="0"/>
      <w:marTop w:val="60"/>
      <w:marBottom w:val="0"/>
      <w:divBdr>
        <w:top w:val="none" w:sz="0" w:space="0" w:color="auto"/>
        <w:left w:val="none" w:sz="0" w:space="0" w:color="auto"/>
        <w:bottom w:val="none" w:sz="0" w:space="0" w:color="auto"/>
        <w:right w:val="none" w:sz="0" w:space="0" w:color="auto"/>
      </w:divBdr>
      <w:divsChild>
        <w:div w:id="583105583">
          <w:marLeft w:val="0"/>
          <w:marRight w:val="0"/>
          <w:marTop w:val="0"/>
          <w:marBottom w:val="0"/>
          <w:divBdr>
            <w:top w:val="none" w:sz="0" w:space="0" w:color="auto"/>
            <w:left w:val="none" w:sz="0" w:space="0" w:color="auto"/>
            <w:bottom w:val="none" w:sz="0" w:space="0" w:color="auto"/>
            <w:right w:val="none" w:sz="0" w:space="0" w:color="auto"/>
          </w:divBdr>
        </w:div>
      </w:divsChild>
    </w:div>
    <w:div w:id="1685398968">
      <w:marLeft w:val="0"/>
      <w:marRight w:val="0"/>
      <w:marTop w:val="0"/>
      <w:marBottom w:val="0"/>
      <w:divBdr>
        <w:top w:val="none" w:sz="0" w:space="0" w:color="auto"/>
        <w:left w:val="none" w:sz="0" w:space="0" w:color="auto"/>
        <w:bottom w:val="none" w:sz="0" w:space="0" w:color="auto"/>
        <w:right w:val="none" w:sz="0" w:space="0" w:color="auto"/>
      </w:divBdr>
      <w:divsChild>
        <w:div w:id="1960605193">
          <w:marLeft w:val="0"/>
          <w:marRight w:val="0"/>
          <w:marTop w:val="180"/>
          <w:marBottom w:val="0"/>
          <w:divBdr>
            <w:top w:val="none" w:sz="0" w:space="0" w:color="auto"/>
            <w:left w:val="none" w:sz="0" w:space="0" w:color="auto"/>
            <w:bottom w:val="none" w:sz="0" w:space="0" w:color="auto"/>
            <w:right w:val="none" w:sz="0" w:space="0" w:color="auto"/>
          </w:divBdr>
        </w:div>
      </w:divsChild>
    </w:div>
    <w:div w:id="1687170252">
      <w:marLeft w:val="0"/>
      <w:marRight w:val="0"/>
      <w:marTop w:val="0"/>
      <w:marBottom w:val="0"/>
      <w:divBdr>
        <w:top w:val="none" w:sz="0" w:space="0" w:color="auto"/>
        <w:left w:val="none" w:sz="0" w:space="0" w:color="auto"/>
        <w:bottom w:val="none" w:sz="0" w:space="0" w:color="auto"/>
        <w:right w:val="none" w:sz="0" w:space="0" w:color="auto"/>
      </w:divBdr>
      <w:divsChild>
        <w:div w:id="1334844093">
          <w:marLeft w:val="0"/>
          <w:marRight w:val="0"/>
          <w:marTop w:val="0"/>
          <w:marBottom w:val="0"/>
          <w:divBdr>
            <w:top w:val="none" w:sz="0" w:space="0" w:color="auto"/>
            <w:left w:val="none" w:sz="0" w:space="0" w:color="auto"/>
            <w:bottom w:val="none" w:sz="0" w:space="0" w:color="auto"/>
            <w:right w:val="none" w:sz="0" w:space="0" w:color="auto"/>
          </w:divBdr>
          <w:divsChild>
            <w:div w:id="6551068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88749817">
      <w:marLeft w:val="0"/>
      <w:marRight w:val="0"/>
      <w:marTop w:val="60"/>
      <w:marBottom w:val="0"/>
      <w:divBdr>
        <w:top w:val="none" w:sz="0" w:space="0" w:color="auto"/>
        <w:left w:val="none" w:sz="0" w:space="0" w:color="auto"/>
        <w:bottom w:val="none" w:sz="0" w:space="0" w:color="auto"/>
        <w:right w:val="none" w:sz="0" w:space="0" w:color="auto"/>
      </w:divBdr>
    </w:div>
    <w:div w:id="1689137950">
      <w:marLeft w:val="0"/>
      <w:marRight w:val="0"/>
      <w:marTop w:val="180"/>
      <w:marBottom w:val="0"/>
      <w:divBdr>
        <w:top w:val="none" w:sz="0" w:space="0" w:color="auto"/>
        <w:left w:val="none" w:sz="0" w:space="0" w:color="auto"/>
        <w:bottom w:val="none" w:sz="0" w:space="0" w:color="auto"/>
        <w:right w:val="none" w:sz="0" w:space="0" w:color="auto"/>
      </w:divBdr>
    </w:div>
    <w:div w:id="1689285044">
      <w:marLeft w:val="0"/>
      <w:marRight w:val="0"/>
      <w:marTop w:val="120"/>
      <w:marBottom w:val="120"/>
      <w:divBdr>
        <w:top w:val="none" w:sz="0" w:space="0" w:color="auto"/>
        <w:left w:val="none" w:sz="0" w:space="0" w:color="auto"/>
        <w:bottom w:val="none" w:sz="0" w:space="0" w:color="auto"/>
        <w:right w:val="none" w:sz="0" w:space="0" w:color="auto"/>
      </w:divBdr>
      <w:divsChild>
        <w:div w:id="169608933">
          <w:marLeft w:val="0"/>
          <w:marRight w:val="0"/>
          <w:marTop w:val="120"/>
          <w:marBottom w:val="120"/>
          <w:divBdr>
            <w:top w:val="none" w:sz="0" w:space="0" w:color="auto"/>
            <w:left w:val="none" w:sz="0" w:space="0" w:color="auto"/>
            <w:bottom w:val="none" w:sz="0" w:space="0" w:color="auto"/>
            <w:right w:val="none" w:sz="0" w:space="0" w:color="auto"/>
          </w:divBdr>
        </w:div>
        <w:div w:id="1987587048">
          <w:marLeft w:val="0"/>
          <w:marRight w:val="0"/>
          <w:marTop w:val="120"/>
          <w:marBottom w:val="120"/>
          <w:divBdr>
            <w:top w:val="none" w:sz="0" w:space="0" w:color="auto"/>
            <w:left w:val="none" w:sz="0" w:space="0" w:color="auto"/>
            <w:bottom w:val="none" w:sz="0" w:space="0" w:color="auto"/>
            <w:right w:val="none" w:sz="0" w:space="0" w:color="auto"/>
          </w:divBdr>
        </w:div>
        <w:div w:id="79328545">
          <w:marLeft w:val="0"/>
          <w:marRight w:val="0"/>
          <w:marTop w:val="120"/>
          <w:marBottom w:val="120"/>
          <w:divBdr>
            <w:top w:val="none" w:sz="0" w:space="0" w:color="auto"/>
            <w:left w:val="none" w:sz="0" w:space="0" w:color="auto"/>
            <w:bottom w:val="none" w:sz="0" w:space="0" w:color="auto"/>
            <w:right w:val="none" w:sz="0" w:space="0" w:color="auto"/>
          </w:divBdr>
        </w:div>
        <w:div w:id="792602618">
          <w:marLeft w:val="0"/>
          <w:marRight w:val="0"/>
          <w:marTop w:val="120"/>
          <w:marBottom w:val="120"/>
          <w:divBdr>
            <w:top w:val="none" w:sz="0" w:space="0" w:color="auto"/>
            <w:left w:val="none" w:sz="0" w:space="0" w:color="auto"/>
            <w:bottom w:val="none" w:sz="0" w:space="0" w:color="auto"/>
            <w:right w:val="none" w:sz="0" w:space="0" w:color="auto"/>
          </w:divBdr>
        </w:div>
        <w:div w:id="1195121463">
          <w:marLeft w:val="0"/>
          <w:marRight w:val="0"/>
          <w:marTop w:val="120"/>
          <w:marBottom w:val="120"/>
          <w:divBdr>
            <w:top w:val="none" w:sz="0" w:space="0" w:color="auto"/>
            <w:left w:val="none" w:sz="0" w:space="0" w:color="auto"/>
            <w:bottom w:val="none" w:sz="0" w:space="0" w:color="auto"/>
            <w:right w:val="none" w:sz="0" w:space="0" w:color="auto"/>
          </w:divBdr>
        </w:div>
        <w:div w:id="627392747">
          <w:marLeft w:val="0"/>
          <w:marRight w:val="0"/>
          <w:marTop w:val="120"/>
          <w:marBottom w:val="120"/>
          <w:divBdr>
            <w:top w:val="none" w:sz="0" w:space="0" w:color="auto"/>
            <w:left w:val="none" w:sz="0" w:space="0" w:color="auto"/>
            <w:bottom w:val="none" w:sz="0" w:space="0" w:color="auto"/>
            <w:right w:val="none" w:sz="0" w:space="0" w:color="auto"/>
          </w:divBdr>
        </w:div>
        <w:div w:id="609582884">
          <w:marLeft w:val="0"/>
          <w:marRight w:val="0"/>
          <w:marTop w:val="120"/>
          <w:marBottom w:val="120"/>
          <w:divBdr>
            <w:top w:val="none" w:sz="0" w:space="0" w:color="auto"/>
            <w:left w:val="none" w:sz="0" w:space="0" w:color="auto"/>
            <w:bottom w:val="none" w:sz="0" w:space="0" w:color="auto"/>
            <w:right w:val="none" w:sz="0" w:space="0" w:color="auto"/>
          </w:divBdr>
        </w:div>
        <w:div w:id="869298380">
          <w:marLeft w:val="0"/>
          <w:marRight w:val="0"/>
          <w:marTop w:val="120"/>
          <w:marBottom w:val="120"/>
          <w:divBdr>
            <w:top w:val="none" w:sz="0" w:space="0" w:color="auto"/>
            <w:left w:val="none" w:sz="0" w:space="0" w:color="auto"/>
            <w:bottom w:val="none" w:sz="0" w:space="0" w:color="auto"/>
            <w:right w:val="none" w:sz="0" w:space="0" w:color="auto"/>
          </w:divBdr>
        </w:div>
        <w:div w:id="1839274705">
          <w:marLeft w:val="0"/>
          <w:marRight w:val="0"/>
          <w:marTop w:val="120"/>
          <w:marBottom w:val="120"/>
          <w:divBdr>
            <w:top w:val="none" w:sz="0" w:space="0" w:color="auto"/>
            <w:left w:val="none" w:sz="0" w:space="0" w:color="auto"/>
            <w:bottom w:val="none" w:sz="0" w:space="0" w:color="auto"/>
            <w:right w:val="none" w:sz="0" w:space="0" w:color="auto"/>
          </w:divBdr>
        </w:div>
        <w:div w:id="1130320870">
          <w:marLeft w:val="0"/>
          <w:marRight w:val="0"/>
          <w:marTop w:val="120"/>
          <w:marBottom w:val="120"/>
          <w:divBdr>
            <w:top w:val="none" w:sz="0" w:space="0" w:color="auto"/>
            <w:left w:val="none" w:sz="0" w:space="0" w:color="auto"/>
            <w:bottom w:val="none" w:sz="0" w:space="0" w:color="auto"/>
            <w:right w:val="none" w:sz="0" w:space="0" w:color="auto"/>
          </w:divBdr>
        </w:div>
      </w:divsChild>
    </w:div>
    <w:div w:id="1689676724">
      <w:marLeft w:val="0"/>
      <w:marRight w:val="0"/>
      <w:marTop w:val="0"/>
      <w:marBottom w:val="0"/>
      <w:divBdr>
        <w:top w:val="none" w:sz="0" w:space="0" w:color="auto"/>
        <w:left w:val="none" w:sz="0" w:space="0" w:color="auto"/>
        <w:bottom w:val="none" w:sz="0" w:space="0" w:color="auto"/>
        <w:right w:val="none" w:sz="0" w:space="0" w:color="auto"/>
      </w:divBdr>
      <w:divsChild>
        <w:div w:id="1806661022">
          <w:marLeft w:val="0"/>
          <w:marRight w:val="0"/>
          <w:marTop w:val="180"/>
          <w:marBottom w:val="180"/>
          <w:divBdr>
            <w:top w:val="none" w:sz="0" w:space="0" w:color="auto"/>
            <w:left w:val="none" w:sz="0" w:space="0" w:color="auto"/>
            <w:bottom w:val="none" w:sz="0" w:space="0" w:color="auto"/>
            <w:right w:val="none" w:sz="0" w:space="0" w:color="auto"/>
          </w:divBdr>
        </w:div>
      </w:divsChild>
    </w:div>
    <w:div w:id="1690060572">
      <w:marLeft w:val="0"/>
      <w:marRight w:val="0"/>
      <w:marTop w:val="180"/>
      <w:marBottom w:val="0"/>
      <w:divBdr>
        <w:top w:val="none" w:sz="0" w:space="0" w:color="auto"/>
        <w:left w:val="none" w:sz="0" w:space="0" w:color="auto"/>
        <w:bottom w:val="none" w:sz="0" w:space="0" w:color="auto"/>
        <w:right w:val="none" w:sz="0" w:space="0" w:color="auto"/>
      </w:divBdr>
    </w:div>
    <w:div w:id="1696880814">
      <w:marLeft w:val="0"/>
      <w:marRight w:val="0"/>
      <w:marTop w:val="120"/>
      <w:marBottom w:val="0"/>
      <w:divBdr>
        <w:top w:val="none" w:sz="0" w:space="0" w:color="auto"/>
        <w:left w:val="none" w:sz="0" w:space="0" w:color="auto"/>
        <w:bottom w:val="none" w:sz="0" w:space="0" w:color="auto"/>
        <w:right w:val="none" w:sz="0" w:space="0" w:color="auto"/>
      </w:divBdr>
    </w:div>
    <w:div w:id="1701275458">
      <w:marLeft w:val="0"/>
      <w:marRight w:val="0"/>
      <w:marTop w:val="0"/>
      <w:marBottom w:val="0"/>
      <w:divBdr>
        <w:top w:val="none" w:sz="0" w:space="0" w:color="auto"/>
        <w:left w:val="none" w:sz="0" w:space="0" w:color="auto"/>
        <w:bottom w:val="none" w:sz="0" w:space="0" w:color="auto"/>
        <w:right w:val="none" w:sz="0" w:space="0" w:color="auto"/>
      </w:divBdr>
      <w:divsChild>
        <w:div w:id="1030645373">
          <w:marLeft w:val="0"/>
          <w:marRight w:val="0"/>
          <w:marTop w:val="180"/>
          <w:marBottom w:val="180"/>
          <w:divBdr>
            <w:top w:val="none" w:sz="0" w:space="0" w:color="auto"/>
            <w:left w:val="none" w:sz="0" w:space="0" w:color="auto"/>
            <w:bottom w:val="none" w:sz="0" w:space="0" w:color="auto"/>
            <w:right w:val="none" w:sz="0" w:space="0" w:color="auto"/>
          </w:divBdr>
        </w:div>
      </w:divsChild>
    </w:div>
    <w:div w:id="1705522572">
      <w:marLeft w:val="0"/>
      <w:marRight w:val="0"/>
      <w:marTop w:val="180"/>
      <w:marBottom w:val="0"/>
      <w:divBdr>
        <w:top w:val="none" w:sz="0" w:space="0" w:color="auto"/>
        <w:left w:val="none" w:sz="0" w:space="0" w:color="auto"/>
        <w:bottom w:val="none" w:sz="0" w:space="0" w:color="auto"/>
        <w:right w:val="none" w:sz="0" w:space="0" w:color="auto"/>
      </w:divBdr>
    </w:div>
    <w:div w:id="1717074149">
      <w:marLeft w:val="0"/>
      <w:marRight w:val="0"/>
      <w:marTop w:val="180"/>
      <w:marBottom w:val="120"/>
      <w:divBdr>
        <w:top w:val="none" w:sz="0" w:space="0" w:color="auto"/>
        <w:left w:val="none" w:sz="0" w:space="0" w:color="auto"/>
        <w:bottom w:val="none" w:sz="0" w:space="0" w:color="auto"/>
        <w:right w:val="none" w:sz="0" w:space="0" w:color="auto"/>
      </w:divBdr>
    </w:div>
    <w:div w:id="1718233775">
      <w:marLeft w:val="0"/>
      <w:marRight w:val="0"/>
      <w:marTop w:val="120"/>
      <w:marBottom w:val="120"/>
      <w:divBdr>
        <w:top w:val="none" w:sz="0" w:space="0" w:color="auto"/>
        <w:left w:val="none" w:sz="0" w:space="0" w:color="auto"/>
        <w:bottom w:val="none" w:sz="0" w:space="0" w:color="auto"/>
        <w:right w:val="none" w:sz="0" w:space="0" w:color="auto"/>
      </w:divBdr>
    </w:div>
    <w:div w:id="1719160075">
      <w:marLeft w:val="0"/>
      <w:marRight w:val="0"/>
      <w:marTop w:val="180"/>
      <w:marBottom w:val="0"/>
      <w:divBdr>
        <w:top w:val="none" w:sz="0" w:space="0" w:color="auto"/>
        <w:left w:val="none" w:sz="0" w:space="0" w:color="auto"/>
        <w:bottom w:val="none" w:sz="0" w:space="0" w:color="auto"/>
        <w:right w:val="none" w:sz="0" w:space="0" w:color="auto"/>
      </w:divBdr>
    </w:div>
    <w:div w:id="1721320502">
      <w:marLeft w:val="0"/>
      <w:marRight w:val="0"/>
      <w:marTop w:val="240"/>
      <w:marBottom w:val="0"/>
      <w:divBdr>
        <w:top w:val="none" w:sz="0" w:space="0" w:color="auto"/>
        <w:left w:val="none" w:sz="0" w:space="0" w:color="auto"/>
        <w:bottom w:val="none" w:sz="0" w:space="0" w:color="auto"/>
        <w:right w:val="none" w:sz="0" w:space="0" w:color="auto"/>
      </w:divBdr>
    </w:div>
    <w:div w:id="1723358937">
      <w:marLeft w:val="0"/>
      <w:marRight w:val="0"/>
      <w:marTop w:val="180"/>
      <w:marBottom w:val="0"/>
      <w:divBdr>
        <w:top w:val="none" w:sz="0" w:space="0" w:color="auto"/>
        <w:left w:val="none" w:sz="0" w:space="0" w:color="auto"/>
        <w:bottom w:val="none" w:sz="0" w:space="0" w:color="auto"/>
        <w:right w:val="none" w:sz="0" w:space="0" w:color="auto"/>
      </w:divBdr>
    </w:div>
    <w:div w:id="1723676302">
      <w:marLeft w:val="0"/>
      <w:marRight w:val="0"/>
      <w:marTop w:val="240"/>
      <w:marBottom w:val="0"/>
      <w:divBdr>
        <w:top w:val="none" w:sz="0" w:space="0" w:color="auto"/>
        <w:left w:val="none" w:sz="0" w:space="0" w:color="auto"/>
        <w:bottom w:val="none" w:sz="0" w:space="0" w:color="auto"/>
        <w:right w:val="none" w:sz="0" w:space="0" w:color="auto"/>
      </w:divBdr>
    </w:div>
    <w:div w:id="1724328059">
      <w:marLeft w:val="0"/>
      <w:marRight w:val="0"/>
      <w:marTop w:val="180"/>
      <w:marBottom w:val="0"/>
      <w:divBdr>
        <w:top w:val="none" w:sz="0" w:space="0" w:color="auto"/>
        <w:left w:val="none" w:sz="0" w:space="0" w:color="auto"/>
        <w:bottom w:val="none" w:sz="0" w:space="0" w:color="auto"/>
        <w:right w:val="none" w:sz="0" w:space="0" w:color="auto"/>
      </w:divBdr>
    </w:div>
    <w:div w:id="1724719657">
      <w:marLeft w:val="0"/>
      <w:marRight w:val="0"/>
      <w:marTop w:val="160"/>
      <w:marBottom w:val="0"/>
      <w:divBdr>
        <w:top w:val="none" w:sz="0" w:space="0" w:color="auto"/>
        <w:left w:val="none" w:sz="0" w:space="0" w:color="auto"/>
        <w:bottom w:val="none" w:sz="0" w:space="0" w:color="auto"/>
        <w:right w:val="none" w:sz="0" w:space="0" w:color="auto"/>
      </w:divBdr>
    </w:div>
    <w:div w:id="1725174296">
      <w:marLeft w:val="0"/>
      <w:marRight w:val="0"/>
      <w:marTop w:val="180"/>
      <w:marBottom w:val="0"/>
      <w:divBdr>
        <w:top w:val="none" w:sz="0" w:space="0" w:color="auto"/>
        <w:left w:val="none" w:sz="0" w:space="0" w:color="auto"/>
        <w:bottom w:val="none" w:sz="0" w:space="0" w:color="auto"/>
        <w:right w:val="none" w:sz="0" w:space="0" w:color="auto"/>
      </w:divBdr>
    </w:div>
    <w:div w:id="1728917322">
      <w:marLeft w:val="0"/>
      <w:marRight w:val="0"/>
      <w:marTop w:val="180"/>
      <w:marBottom w:val="0"/>
      <w:divBdr>
        <w:top w:val="none" w:sz="0" w:space="0" w:color="auto"/>
        <w:left w:val="none" w:sz="0" w:space="0" w:color="auto"/>
        <w:bottom w:val="none" w:sz="0" w:space="0" w:color="auto"/>
        <w:right w:val="none" w:sz="0" w:space="0" w:color="auto"/>
      </w:divBdr>
    </w:div>
    <w:div w:id="1728918756">
      <w:marLeft w:val="0"/>
      <w:marRight w:val="0"/>
      <w:marTop w:val="180"/>
      <w:marBottom w:val="0"/>
      <w:divBdr>
        <w:top w:val="none" w:sz="0" w:space="0" w:color="auto"/>
        <w:left w:val="none" w:sz="0" w:space="0" w:color="auto"/>
        <w:bottom w:val="none" w:sz="0" w:space="0" w:color="auto"/>
        <w:right w:val="none" w:sz="0" w:space="0" w:color="auto"/>
      </w:divBdr>
    </w:div>
    <w:div w:id="1731689121">
      <w:marLeft w:val="0"/>
      <w:marRight w:val="0"/>
      <w:marTop w:val="180"/>
      <w:marBottom w:val="0"/>
      <w:divBdr>
        <w:top w:val="none" w:sz="0" w:space="0" w:color="auto"/>
        <w:left w:val="none" w:sz="0" w:space="0" w:color="auto"/>
        <w:bottom w:val="none" w:sz="0" w:space="0" w:color="auto"/>
        <w:right w:val="none" w:sz="0" w:space="0" w:color="auto"/>
      </w:divBdr>
    </w:div>
    <w:div w:id="1732456477">
      <w:marLeft w:val="0"/>
      <w:marRight w:val="0"/>
      <w:marTop w:val="180"/>
      <w:marBottom w:val="0"/>
      <w:divBdr>
        <w:top w:val="none" w:sz="0" w:space="0" w:color="auto"/>
        <w:left w:val="none" w:sz="0" w:space="0" w:color="auto"/>
        <w:bottom w:val="none" w:sz="0" w:space="0" w:color="auto"/>
        <w:right w:val="none" w:sz="0" w:space="0" w:color="auto"/>
      </w:divBdr>
    </w:div>
    <w:div w:id="1734039256">
      <w:marLeft w:val="0"/>
      <w:marRight w:val="0"/>
      <w:marTop w:val="180"/>
      <w:marBottom w:val="0"/>
      <w:divBdr>
        <w:top w:val="none" w:sz="0" w:space="0" w:color="auto"/>
        <w:left w:val="none" w:sz="0" w:space="0" w:color="auto"/>
        <w:bottom w:val="none" w:sz="0" w:space="0" w:color="auto"/>
        <w:right w:val="none" w:sz="0" w:space="0" w:color="auto"/>
      </w:divBdr>
    </w:div>
    <w:div w:id="1735394170">
      <w:marLeft w:val="0"/>
      <w:marRight w:val="0"/>
      <w:marTop w:val="180"/>
      <w:marBottom w:val="0"/>
      <w:divBdr>
        <w:top w:val="none" w:sz="0" w:space="0" w:color="auto"/>
        <w:left w:val="none" w:sz="0" w:space="0" w:color="auto"/>
        <w:bottom w:val="none" w:sz="0" w:space="0" w:color="auto"/>
        <w:right w:val="none" w:sz="0" w:space="0" w:color="auto"/>
      </w:divBdr>
    </w:div>
    <w:div w:id="1737123153">
      <w:marLeft w:val="0"/>
      <w:marRight w:val="0"/>
      <w:marTop w:val="0"/>
      <w:marBottom w:val="0"/>
      <w:divBdr>
        <w:top w:val="none" w:sz="0" w:space="0" w:color="auto"/>
        <w:left w:val="none" w:sz="0" w:space="0" w:color="auto"/>
        <w:bottom w:val="none" w:sz="0" w:space="0" w:color="auto"/>
        <w:right w:val="none" w:sz="0" w:space="0" w:color="auto"/>
      </w:divBdr>
      <w:divsChild>
        <w:div w:id="691221233">
          <w:marLeft w:val="0"/>
          <w:marRight w:val="0"/>
          <w:marTop w:val="180"/>
          <w:marBottom w:val="180"/>
          <w:divBdr>
            <w:top w:val="none" w:sz="0" w:space="0" w:color="auto"/>
            <w:left w:val="none" w:sz="0" w:space="0" w:color="auto"/>
            <w:bottom w:val="none" w:sz="0" w:space="0" w:color="auto"/>
            <w:right w:val="none" w:sz="0" w:space="0" w:color="auto"/>
          </w:divBdr>
        </w:div>
      </w:divsChild>
    </w:div>
    <w:div w:id="1737700707">
      <w:marLeft w:val="0"/>
      <w:marRight w:val="0"/>
      <w:marTop w:val="120"/>
      <w:marBottom w:val="0"/>
      <w:divBdr>
        <w:top w:val="none" w:sz="0" w:space="0" w:color="auto"/>
        <w:left w:val="none" w:sz="0" w:space="0" w:color="auto"/>
        <w:bottom w:val="none" w:sz="0" w:space="0" w:color="auto"/>
        <w:right w:val="none" w:sz="0" w:space="0" w:color="auto"/>
      </w:divBdr>
    </w:div>
    <w:div w:id="1738745187">
      <w:marLeft w:val="0"/>
      <w:marRight w:val="0"/>
      <w:marTop w:val="180"/>
      <w:marBottom w:val="0"/>
      <w:divBdr>
        <w:top w:val="none" w:sz="0" w:space="0" w:color="auto"/>
        <w:left w:val="none" w:sz="0" w:space="0" w:color="auto"/>
        <w:bottom w:val="none" w:sz="0" w:space="0" w:color="auto"/>
        <w:right w:val="none" w:sz="0" w:space="0" w:color="auto"/>
      </w:divBdr>
    </w:div>
    <w:div w:id="1745179653">
      <w:marLeft w:val="0"/>
      <w:marRight w:val="0"/>
      <w:marTop w:val="180"/>
      <w:marBottom w:val="0"/>
      <w:divBdr>
        <w:top w:val="none" w:sz="0" w:space="0" w:color="auto"/>
        <w:left w:val="none" w:sz="0" w:space="0" w:color="auto"/>
        <w:bottom w:val="none" w:sz="0" w:space="0" w:color="auto"/>
        <w:right w:val="none" w:sz="0" w:space="0" w:color="auto"/>
      </w:divBdr>
    </w:div>
    <w:div w:id="1745298901">
      <w:marLeft w:val="0"/>
      <w:marRight w:val="0"/>
      <w:marTop w:val="180"/>
      <w:marBottom w:val="0"/>
      <w:divBdr>
        <w:top w:val="none" w:sz="0" w:space="0" w:color="auto"/>
        <w:left w:val="none" w:sz="0" w:space="0" w:color="auto"/>
        <w:bottom w:val="none" w:sz="0" w:space="0" w:color="auto"/>
        <w:right w:val="none" w:sz="0" w:space="0" w:color="auto"/>
      </w:divBdr>
    </w:div>
    <w:div w:id="1748261287">
      <w:marLeft w:val="0"/>
      <w:marRight w:val="0"/>
      <w:marTop w:val="180"/>
      <w:marBottom w:val="120"/>
      <w:divBdr>
        <w:top w:val="none" w:sz="0" w:space="0" w:color="auto"/>
        <w:left w:val="none" w:sz="0" w:space="0" w:color="auto"/>
        <w:bottom w:val="none" w:sz="0" w:space="0" w:color="auto"/>
        <w:right w:val="none" w:sz="0" w:space="0" w:color="auto"/>
      </w:divBdr>
    </w:div>
    <w:div w:id="1752047215">
      <w:marLeft w:val="0"/>
      <w:marRight w:val="0"/>
      <w:marTop w:val="180"/>
      <w:marBottom w:val="0"/>
      <w:divBdr>
        <w:top w:val="none" w:sz="0" w:space="0" w:color="auto"/>
        <w:left w:val="none" w:sz="0" w:space="0" w:color="auto"/>
        <w:bottom w:val="none" w:sz="0" w:space="0" w:color="auto"/>
        <w:right w:val="none" w:sz="0" w:space="0" w:color="auto"/>
      </w:divBdr>
    </w:div>
    <w:div w:id="1757705157">
      <w:marLeft w:val="0"/>
      <w:marRight w:val="0"/>
      <w:marTop w:val="180"/>
      <w:marBottom w:val="0"/>
      <w:divBdr>
        <w:top w:val="none" w:sz="0" w:space="0" w:color="auto"/>
        <w:left w:val="none" w:sz="0" w:space="0" w:color="auto"/>
        <w:bottom w:val="none" w:sz="0" w:space="0" w:color="auto"/>
        <w:right w:val="none" w:sz="0" w:space="0" w:color="auto"/>
      </w:divBdr>
    </w:div>
    <w:div w:id="1759864486">
      <w:marLeft w:val="0"/>
      <w:marRight w:val="0"/>
      <w:marTop w:val="60"/>
      <w:marBottom w:val="120"/>
      <w:divBdr>
        <w:top w:val="none" w:sz="0" w:space="0" w:color="auto"/>
        <w:left w:val="none" w:sz="0" w:space="0" w:color="auto"/>
        <w:bottom w:val="none" w:sz="0" w:space="0" w:color="auto"/>
        <w:right w:val="none" w:sz="0" w:space="0" w:color="auto"/>
      </w:divBdr>
    </w:div>
    <w:div w:id="1762407992">
      <w:marLeft w:val="0"/>
      <w:marRight w:val="0"/>
      <w:marTop w:val="160"/>
      <w:marBottom w:val="0"/>
      <w:divBdr>
        <w:top w:val="none" w:sz="0" w:space="0" w:color="auto"/>
        <w:left w:val="none" w:sz="0" w:space="0" w:color="auto"/>
        <w:bottom w:val="none" w:sz="0" w:space="0" w:color="auto"/>
        <w:right w:val="none" w:sz="0" w:space="0" w:color="auto"/>
      </w:divBdr>
    </w:div>
    <w:div w:id="1768229937">
      <w:marLeft w:val="0"/>
      <w:marRight w:val="0"/>
      <w:marTop w:val="60"/>
      <w:marBottom w:val="0"/>
      <w:divBdr>
        <w:top w:val="none" w:sz="0" w:space="0" w:color="auto"/>
        <w:left w:val="none" w:sz="0" w:space="0" w:color="auto"/>
        <w:bottom w:val="none" w:sz="0" w:space="0" w:color="auto"/>
        <w:right w:val="none" w:sz="0" w:space="0" w:color="auto"/>
      </w:divBdr>
    </w:div>
    <w:div w:id="1770420748">
      <w:marLeft w:val="0"/>
      <w:marRight w:val="0"/>
      <w:marTop w:val="0"/>
      <w:marBottom w:val="0"/>
      <w:divBdr>
        <w:top w:val="none" w:sz="0" w:space="0" w:color="auto"/>
        <w:left w:val="none" w:sz="0" w:space="0" w:color="auto"/>
        <w:bottom w:val="none" w:sz="0" w:space="0" w:color="auto"/>
        <w:right w:val="none" w:sz="0" w:space="0" w:color="auto"/>
      </w:divBdr>
      <w:divsChild>
        <w:div w:id="1140539596">
          <w:marLeft w:val="0"/>
          <w:marRight w:val="0"/>
          <w:marTop w:val="0"/>
          <w:marBottom w:val="0"/>
          <w:divBdr>
            <w:top w:val="none" w:sz="0" w:space="0" w:color="auto"/>
            <w:left w:val="none" w:sz="0" w:space="0" w:color="auto"/>
            <w:bottom w:val="none" w:sz="0" w:space="0" w:color="auto"/>
            <w:right w:val="none" w:sz="0" w:space="0" w:color="auto"/>
          </w:divBdr>
          <w:divsChild>
            <w:div w:id="12495838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71587753">
      <w:marLeft w:val="0"/>
      <w:marRight w:val="0"/>
      <w:marTop w:val="0"/>
      <w:marBottom w:val="0"/>
      <w:divBdr>
        <w:top w:val="none" w:sz="0" w:space="0" w:color="auto"/>
        <w:left w:val="none" w:sz="0" w:space="0" w:color="auto"/>
        <w:bottom w:val="none" w:sz="0" w:space="0" w:color="auto"/>
        <w:right w:val="none" w:sz="0" w:space="0" w:color="auto"/>
      </w:divBdr>
      <w:divsChild>
        <w:div w:id="715201033">
          <w:marLeft w:val="0"/>
          <w:marRight w:val="0"/>
          <w:marTop w:val="180"/>
          <w:marBottom w:val="180"/>
          <w:divBdr>
            <w:top w:val="none" w:sz="0" w:space="0" w:color="auto"/>
            <w:left w:val="none" w:sz="0" w:space="0" w:color="auto"/>
            <w:bottom w:val="none" w:sz="0" w:space="0" w:color="auto"/>
            <w:right w:val="none" w:sz="0" w:space="0" w:color="auto"/>
          </w:divBdr>
        </w:div>
      </w:divsChild>
    </w:div>
    <w:div w:id="1772894334">
      <w:marLeft w:val="0"/>
      <w:marRight w:val="0"/>
      <w:marTop w:val="180"/>
      <w:marBottom w:val="0"/>
      <w:divBdr>
        <w:top w:val="none" w:sz="0" w:space="0" w:color="auto"/>
        <w:left w:val="none" w:sz="0" w:space="0" w:color="auto"/>
        <w:bottom w:val="none" w:sz="0" w:space="0" w:color="auto"/>
        <w:right w:val="none" w:sz="0" w:space="0" w:color="auto"/>
      </w:divBdr>
    </w:div>
    <w:div w:id="1775587287">
      <w:marLeft w:val="0"/>
      <w:marRight w:val="0"/>
      <w:marTop w:val="180"/>
      <w:marBottom w:val="0"/>
      <w:divBdr>
        <w:top w:val="none" w:sz="0" w:space="0" w:color="auto"/>
        <w:left w:val="none" w:sz="0" w:space="0" w:color="auto"/>
        <w:bottom w:val="none" w:sz="0" w:space="0" w:color="auto"/>
        <w:right w:val="none" w:sz="0" w:space="0" w:color="auto"/>
      </w:divBdr>
    </w:div>
    <w:div w:id="1781729079">
      <w:marLeft w:val="0"/>
      <w:marRight w:val="0"/>
      <w:marTop w:val="0"/>
      <w:marBottom w:val="0"/>
      <w:divBdr>
        <w:top w:val="none" w:sz="0" w:space="0" w:color="auto"/>
        <w:left w:val="none" w:sz="0" w:space="0" w:color="auto"/>
        <w:bottom w:val="none" w:sz="0" w:space="0" w:color="auto"/>
        <w:right w:val="none" w:sz="0" w:space="0" w:color="auto"/>
      </w:divBdr>
      <w:divsChild>
        <w:div w:id="968780824">
          <w:marLeft w:val="0"/>
          <w:marRight w:val="0"/>
          <w:marTop w:val="0"/>
          <w:marBottom w:val="0"/>
          <w:divBdr>
            <w:top w:val="none" w:sz="0" w:space="0" w:color="auto"/>
            <w:left w:val="none" w:sz="0" w:space="0" w:color="auto"/>
            <w:bottom w:val="none" w:sz="0" w:space="0" w:color="auto"/>
            <w:right w:val="none" w:sz="0" w:space="0" w:color="auto"/>
          </w:divBdr>
          <w:divsChild>
            <w:div w:id="8810140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3760717">
      <w:marLeft w:val="0"/>
      <w:marRight w:val="0"/>
      <w:marTop w:val="0"/>
      <w:marBottom w:val="0"/>
      <w:divBdr>
        <w:top w:val="none" w:sz="0" w:space="0" w:color="auto"/>
        <w:left w:val="none" w:sz="0" w:space="0" w:color="auto"/>
        <w:bottom w:val="none" w:sz="0" w:space="0" w:color="auto"/>
        <w:right w:val="none" w:sz="0" w:space="0" w:color="auto"/>
      </w:divBdr>
      <w:divsChild>
        <w:div w:id="1140686062">
          <w:marLeft w:val="0"/>
          <w:marRight w:val="0"/>
          <w:marTop w:val="0"/>
          <w:marBottom w:val="0"/>
          <w:divBdr>
            <w:top w:val="none" w:sz="0" w:space="0" w:color="auto"/>
            <w:left w:val="none" w:sz="0" w:space="0" w:color="auto"/>
            <w:bottom w:val="none" w:sz="0" w:space="0" w:color="auto"/>
            <w:right w:val="none" w:sz="0" w:space="0" w:color="auto"/>
          </w:divBdr>
          <w:divsChild>
            <w:div w:id="8856810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8306197">
      <w:marLeft w:val="0"/>
      <w:marRight w:val="0"/>
      <w:marTop w:val="180"/>
      <w:marBottom w:val="0"/>
      <w:divBdr>
        <w:top w:val="none" w:sz="0" w:space="0" w:color="auto"/>
        <w:left w:val="none" w:sz="0" w:space="0" w:color="auto"/>
        <w:bottom w:val="none" w:sz="0" w:space="0" w:color="auto"/>
        <w:right w:val="none" w:sz="0" w:space="0" w:color="auto"/>
      </w:divBdr>
    </w:div>
    <w:div w:id="1789080982">
      <w:marLeft w:val="0"/>
      <w:marRight w:val="0"/>
      <w:marTop w:val="120"/>
      <w:marBottom w:val="0"/>
      <w:divBdr>
        <w:top w:val="none" w:sz="0" w:space="0" w:color="auto"/>
        <w:left w:val="none" w:sz="0" w:space="0" w:color="auto"/>
        <w:bottom w:val="none" w:sz="0" w:space="0" w:color="auto"/>
        <w:right w:val="none" w:sz="0" w:space="0" w:color="auto"/>
      </w:divBdr>
    </w:div>
    <w:div w:id="1793207443">
      <w:marLeft w:val="0"/>
      <w:marRight w:val="0"/>
      <w:marTop w:val="60"/>
      <w:marBottom w:val="120"/>
      <w:divBdr>
        <w:top w:val="none" w:sz="0" w:space="0" w:color="auto"/>
        <w:left w:val="none" w:sz="0" w:space="0" w:color="auto"/>
        <w:bottom w:val="none" w:sz="0" w:space="0" w:color="auto"/>
        <w:right w:val="none" w:sz="0" w:space="0" w:color="auto"/>
      </w:divBdr>
    </w:div>
    <w:div w:id="1799182482">
      <w:marLeft w:val="0"/>
      <w:marRight w:val="0"/>
      <w:marTop w:val="120"/>
      <w:marBottom w:val="0"/>
      <w:divBdr>
        <w:top w:val="none" w:sz="0" w:space="0" w:color="auto"/>
        <w:left w:val="none" w:sz="0" w:space="0" w:color="auto"/>
        <w:bottom w:val="none" w:sz="0" w:space="0" w:color="auto"/>
        <w:right w:val="none" w:sz="0" w:space="0" w:color="auto"/>
      </w:divBdr>
    </w:div>
    <w:div w:id="1800103299">
      <w:marLeft w:val="0"/>
      <w:marRight w:val="0"/>
      <w:marTop w:val="0"/>
      <w:marBottom w:val="0"/>
      <w:divBdr>
        <w:top w:val="none" w:sz="0" w:space="0" w:color="auto"/>
        <w:left w:val="none" w:sz="0" w:space="0" w:color="auto"/>
        <w:bottom w:val="none" w:sz="0" w:space="0" w:color="auto"/>
        <w:right w:val="none" w:sz="0" w:space="0" w:color="auto"/>
      </w:divBdr>
      <w:divsChild>
        <w:div w:id="1449009627">
          <w:marLeft w:val="0"/>
          <w:marRight w:val="0"/>
          <w:marTop w:val="0"/>
          <w:marBottom w:val="0"/>
          <w:divBdr>
            <w:top w:val="none" w:sz="0" w:space="0" w:color="auto"/>
            <w:left w:val="none" w:sz="0" w:space="0" w:color="auto"/>
            <w:bottom w:val="none" w:sz="0" w:space="0" w:color="auto"/>
            <w:right w:val="none" w:sz="0" w:space="0" w:color="auto"/>
          </w:divBdr>
          <w:divsChild>
            <w:div w:id="15146845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3577126">
      <w:marLeft w:val="0"/>
      <w:marRight w:val="0"/>
      <w:marTop w:val="0"/>
      <w:marBottom w:val="0"/>
      <w:divBdr>
        <w:top w:val="none" w:sz="0" w:space="0" w:color="auto"/>
        <w:left w:val="none" w:sz="0" w:space="0" w:color="auto"/>
        <w:bottom w:val="none" w:sz="0" w:space="0" w:color="auto"/>
        <w:right w:val="none" w:sz="0" w:space="0" w:color="auto"/>
      </w:divBdr>
      <w:divsChild>
        <w:div w:id="289944632">
          <w:marLeft w:val="0"/>
          <w:marRight w:val="0"/>
          <w:marTop w:val="0"/>
          <w:marBottom w:val="0"/>
          <w:divBdr>
            <w:top w:val="none" w:sz="0" w:space="0" w:color="auto"/>
            <w:left w:val="none" w:sz="0" w:space="0" w:color="auto"/>
            <w:bottom w:val="none" w:sz="0" w:space="0" w:color="auto"/>
            <w:right w:val="none" w:sz="0" w:space="0" w:color="auto"/>
          </w:divBdr>
          <w:divsChild>
            <w:div w:id="12360118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8740670">
      <w:marLeft w:val="0"/>
      <w:marRight w:val="0"/>
      <w:marTop w:val="180"/>
      <w:marBottom w:val="0"/>
      <w:divBdr>
        <w:top w:val="none" w:sz="0" w:space="0" w:color="auto"/>
        <w:left w:val="none" w:sz="0" w:space="0" w:color="auto"/>
        <w:bottom w:val="none" w:sz="0" w:space="0" w:color="auto"/>
        <w:right w:val="none" w:sz="0" w:space="0" w:color="auto"/>
      </w:divBdr>
    </w:div>
    <w:div w:id="1817214490">
      <w:marLeft w:val="0"/>
      <w:marRight w:val="0"/>
      <w:marTop w:val="180"/>
      <w:marBottom w:val="0"/>
      <w:divBdr>
        <w:top w:val="none" w:sz="0" w:space="0" w:color="auto"/>
        <w:left w:val="none" w:sz="0" w:space="0" w:color="auto"/>
        <w:bottom w:val="none" w:sz="0" w:space="0" w:color="auto"/>
        <w:right w:val="none" w:sz="0" w:space="0" w:color="auto"/>
      </w:divBdr>
    </w:div>
    <w:div w:id="1818914635">
      <w:marLeft w:val="0"/>
      <w:marRight w:val="0"/>
      <w:marTop w:val="180"/>
      <w:marBottom w:val="0"/>
      <w:divBdr>
        <w:top w:val="none" w:sz="0" w:space="0" w:color="auto"/>
        <w:left w:val="none" w:sz="0" w:space="0" w:color="auto"/>
        <w:bottom w:val="none" w:sz="0" w:space="0" w:color="auto"/>
        <w:right w:val="none" w:sz="0" w:space="0" w:color="auto"/>
      </w:divBdr>
    </w:div>
    <w:div w:id="1819959000">
      <w:marLeft w:val="0"/>
      <w:marRight w:val="0"/>
      <w:marTop w:val="180"/>
      <w:marBottom w:val="0"/>
      <w:divBdr>
        <w:top w:val="none" w:sz="0" w:space="0" w:color="auto"/>
        <w:left w:val="none" w:sz="0" w:space="0" w:color="auto"/>
        <w:bottom w:val="none" w:sz="0" w:space="0" w:color="auto"/>
        <w:right w:val="none" w:sz="0" w:space="0" w:color="auto"/>
      </w:divBdr>
    </w:div>
    <w:div w:id="1821192998">
      <w:marLeft w:val="0"/>
      <w:marRight w:val="0"/>
      <w:marTop w:val="180"/>
      <w:marBottom w:val="60"/>
      <w:divBdr>
        <w:top w:val="none" w:sz="0" w:space="0" w:color="auto"/>
        <w:left w:val="none" w:sz="0" w:space="0" w:color="auto"/>
        <w:bottom w:val="none" w:sz="0" w:space="0" w:color="auto"/>
        <w:right w:val="none" w:sz="0" w:space="0" w:color="auto"/>
      </w:divBdr>
    </w:div>
    <w:div w:id="1825663506">
      <w:marLeft w:val="0"/>
      <w:marRight w:val="0"/>
      <w:marTop w:val="0"/>
      <w:marBottom w:val="0"/>
      <w:divBdr>
        <w:top w:val="none" w:sz="0" w:space="0" w:color="auto"/>
        <w:left w:val="none" w:sz="0" w:space="0" w:color="auto"/>
        <w:bottom w:val="none" w:sz="0" w:space="0" w:color="auto"/>
        <w:right w:val="none" w:sz="0" w:space="0" w:color="auto"/>
      </w:divBdr>
      <w:divsChild>
        <w:div w:id="771895032">
          <w:marLeft w:val="0"/>
          <w:marRight w:val="0"/>
          <w:marTop w:val="180"/>
          <w:marBottom w:val="180"/>
          <w:divBdr>
            <w:top w:val="none" w:sz="0" w:space="0" w:color="auto"/>
            <w:left w:val="none" w:sz="0" w:space="0" w:color="auto"/>
            <w:bottom w:val="none" w:sz="0" w:space="0" w:color="auto"/>
            <w:right w:val="none" w:sz="0" w:space="0" w:color="auto"/>
          </w:divBdr>
        </w:div>
      </w:divsChild>
    </w:div>
    <w:div w:id="1827352963">
      <w:marLeft w:val="0"/>
      <w:marRight w:val="0"/>
      <w:marTop w:val="180"/>
      <w:marBottom w:val="0"/>
      <w:divBdr>
        <w:top w:val="none" w:sz="0" w:space="0" w:color="auto"/>
        <w:left w:val="none" w:sz="0" w:space="0" w:color="auto"/>
        <w:bottom w:val="none" w:sz="0" w:space="0" w:color="auto"/>
        <w:right w:val="none" w:sz="0" w:space="0" w:color="auto"/>
      </w:divBdr>
    </w:div>
    <w:div w:id="1834567786">
      <w:marLeft w:val="0"/>
      <w:marRight w:val="0"/>
      <w:marTop w:val="180"/>
      <w:marBottom w:val="0"/>
      <w:divBdr>
        <w:top w:val="none" w:sz="0" w:space="0" w:color="auto"/>
        <w:left w:val="none" w:sz="0" w:space="0" w:color="auto"/>
        <w:bottom w:val="none" w:sz="0" w:space="0" w:color="auto"/>
        <w:right w:val="none" w:sz="0" w:space="0" w:color="auto"/>
      </w:divBdr>
    </w:div>
    <w:div w:id="1847358802">
      <w:marLeft w:val="0"/>
      <w:marRight w:val="0"/>
      <w:marTop w:val="180"/>
      <w:marBottom w:val="0"/>
      <w:divBdr>
        <w:top w:val="none" w:sz="0" w:space="0" w:color="auto"/>
        <w:left w:val="none" w:sz="0" w:space="0" w:color="auto"/>
        <w:bottom w:val="none" w:sz="0" w:space="0" w:color="auto"/>
        <w:right w:val="none" w:sz="0" w:space="0" w:color="auto"/>
      </w:divBdr>
    </w:div>
    <w:div w:id="1851336652">
      <w:marLeft w:val="0"/>
      <w:marRight w:val="0"/>
      <w:marTop w:val="180"/>
      <w:marBottom w:val="0"/>
      <w:divBdr>
        <w:top w:val="none" w:sz="0" w:space="0" w:color="auto"/>
        <w:left w:val="none" w:sz="0" w:space="0" w:color="auto"/>
        <w:bottom w:val="none" w:sz="0" w:space="0" w:color="auto"/>
        <w:right w:val="none" w:sz="0" w:space="0" w:color="auto"/>
      </w:divBdr>
    </w:div>
    <w:div w:id="1857383383">
      <w:marLeft w:val="0"/>
      <w:marRight w:val="0"/>
      <w:marTop w:val="180"/>
      <w:marBottom w:val="0"/>
      <w:divBdr>
        <w:top w:val="none" w:sz="0" w:space="0" w:color="auto"/>
        <w:left w:val="none" w:sz="0" w:space="0" w:color="auto"/>
        <w:bottom w:val="none" w:sz="0" w:space="0" w:color="auto"/>
        <w:right w:val="none" w:sz="0" w:space="0" w:color="auto"/>
      </w:divBdr>
    </w:div>
    <w:div w:id="1859417942">
      <w:marLeft w:val="0"/>
      <w:marRight w:val="0"/>
      <w:marTop w:val="0"/>
      <w:marBottom w:val="0"/>
      <w:divBdr>
        <w:top w:val="none" w:sz="0" w:space="0" w:color="auto"/>
        <w:left w:val="none" w:sz="0" w:space="0" w:color="auto"/>
        <w:bottom w:val="none" w:sz="0" w:space="0" w:color="auto"/>
        <w:right w:val="none" w:sz="0" w:space="0" w:color="auto"/>
      </w:divBdr>
      <w:divsChild>
        <w:div w:id="1693528601">
          <w:marLeft w:val="0"/>
          <w:marRight w:val="0"/>
          <w:marTop w:val="0"/>
          <w:marBottom w:val="0"/>
          <w:divBdr>
            <w:top w:val="none" w:sz="0" w:space="0" w:color="auto"/>
            <w:left w:val="none" w:sz="0" w:space="0" w:color="auto"/>
            <w:bottom w:val="none" w:sz="0" w:space="0" w:color="auto"/>
            <w:right w:val="none" w:sz="0" w:space="0" w:color="auto"/>
          </w:divBdr>
          <w:divsChild>
            <w:div w:id="10607106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62090730">
      <w:marLeft w:val="0"/>
      <w:marRight w:val="0"/>
      <w:marTop w:val="180"/>
      <w:marBottom w:val="0"/>
      <w:divBdr>
        <w:top w:val="none" w:sz="0" w:space="0" w:color="auto"/>
        <w:left w:val="none" w:sz="0" w:space="0" w:color="auto"/>
        <w:bottom w:val="none" w:sz="0" w:space="0" w:color="auto"/>
        <w:right w:val="none" w:sz="0" w:space="0" w:color="auto"/>
      </w:divBdr>
    </w:div>
    <w:div w:id="1866406528">
      <w:marLeft w:val="0"/>
      <w:marRight w:val="0"/>
      <w:marTop w:val="240"/>
      <w:marBottom w:val="0"/>
      <w:divBdr>
        <w:top w:val="none" w:sz="0" w:space="0" w:color="auto"/>
        <w:left w:val="none" w:sz="0" w:space="0" w:color="auto"/>
        <w:bottom w:val="none" w:sz="0" w:space="0" w:color="auto"/>
        <w:right w:val="none" w:sz="0" w:space="0" w:color="auto"/>
      </w:divBdr>
    </w:div>
    <w:div w:id="1866748856">
      <w:marLeft w:val="0"/>
      <w:marRight w:val="0"/>
      <w:marTop w:val="180"/>
      <w:marBottom w:val="0"/>
      <w:divBdr>
        <w:top w:val="none" w:sz="0" w:space="0" w:color="auto"/>
        <w:left w:val="none" w:sz="0" w:space="0" w:color="auto"/>
        <w:bottom w:val="none" w:sz="0" w:space="0" w:color="auto"/>
        <w:right w:val="none" w:sz="0" w:space="0" w:color="auto"/>
      </w:divBdr>
    </w:div>
    <w:div w:id="1868181084">
      <w:marLeft w:val="0"/>
      <w:marRight w:val="0"/>
      <w:marTop w:val="180"/>
      <w:marBottom w:val="0"/>
      <w:divBdr>
        <w:top w:val="none" w:sz="0" w:space="0" w:color="auto"/>
        <w:left w:val="none" w:sz="0" w:space="0" w:color="auto"/>
        <w:bottom w:val="none" w:sz="0" w:space="0" w:color="auto"/>
        <w:right w:val="none" w:sz="0" w:space="0" w:color="auto"/>
      </w:divBdr>
    </w:div>
    <w:div w:id="1871259490">
      <w:marLeft w:val="0"/>
      <w:marRight w:val="0"/>
      <w:marTop w:val="180"/>
      <w:marBottom w:val="0"/>
      <w:divBdr>
        <w:top w:val="none" w:sz="0" w:space="0" w:color="auto"/>
        <w:left w:val="none" w:sz="0" w:space="0" w:color="auto"/>
        <w:bottom w:val="none" w:sz="0" w:space="0" w:color="auto"/>
        <w:right w:val="none" w:sz="0" w:space="0" w:color="auto"/>
      </w:divBdr>
    </w:div>
    <w:div w:id="1878734602">
      <w:marLeft w:val="0"/>
      <w:marRight w:val="0"/>
      <w:marTop w:val="180"/>
      <w:marBottom w:val="0"/>
      <w:divBdr>
        <w:top w:val="none" w:sz="0" w:space="0" w:color="auto"/>
        <w:left w:val="none" w:sz="0" w:space="0" w:color="auto"/>
        <w:bottom w:val="none" w:sz="0" w:space="0" w:color="auto"/>
        <w:right w:val="none" w:sz="0" w:space="0" w:color="auto"/>
      </w:divBdr>
    </w:div>
    <w:div w:id="1879465571">
      <w:marLeft w:val="0"/>
      <w:marRight w:val="0"/>
      <w:marTop w:val="180"/>
      <w:marBottom w:val="0"/>
      <w:divBdr>
        <w:top w:val="none" w:sz="0" w:space="0" w:color="auto"/>
        <w:left w:val="none" w:sz="0" w:space="0" w:color="auto"/>
        <w:bottom w:val="none" w:sz="0" w:space="0" w:color="auto"/>
        <w:right w:val="none" w:sz="0" w:space="0" w:color="auto"/>
      </w:divBdr>
    </w:div>
    <w:div w:id="1881938877">
      <w:marLeft w:val="0"/>
      <w:marRight w:val="0"/>
      <w:marTop w:val="180"/>
      <w:marBottom w:val="0"/>
      <w:divBdr>
        <w:top w:val="none" w:sz="0" w:space="0" w:color="auto"/>
        <w:left w:val="none" w:sz="0" w:space="0" w:color="auto"/>
        <w:bottom w:val="none" w:sz="0" w:space="0" w:color="auto"/>
        <w:right w:val="none" w:sz="0" w:space="0" w:color="auto"/>
      </w:divBdr>
    </w:div>
    <w:div w:id="1884243100">
      <w:marLeft w:val="0"/>
      <w:marRight w:val="0"/>
      <w:marTop w:val="0"/>
      <w:marBottom w:val="0"/>
      <w:divBdr>
        <w:top w:val="none" w:sz="0" w:space="0" w:color="auto"/>
        <w:left w:val="none" w:sz="0" w:space="0" w:color="auto"/>
        <w:bottom w:val="none" w:sz="0" w:space="0" w:color="auto"/>
        <w:right w:val="none" w:sz="0" w:space="0" w:color="auto"/>
      </w:divBdr>
      <w:divsChild>
        <w:div w:id="799806762">
          <w:marLeft w:val="0"/>
          <w:marRight w:val="0"/>
          <w:marTop w:val="0"/>
          <w:marBottom w:val="0"/>
          <w:divBdr>
            <w:top w:val="none" w:sz="0" w:space="0" w:color="auto"/>
            <w:left w:val="none" w:sz="0" w:space="0" w:color="auto"/>
            <w:bottom w:val="none" w:sz="0" w:space="0" w:color="auto"/>
            <w:right w:val="none" w:sz="0" w:space="0" w:color="auto"/>
          </w:divBdr>
          <w:divsChild>
            <w:div w:id="1147197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1108136">
      <w:marLeft w:val="0"/>
      <w:marRight w:val="0"/>
      <w:marTop w:val="180"/>
      <w:marBottom w:val="0"/>
      <w:divBdr>
        <w:top w:val="none" w:sz="0" w:space="0" w:color="auto"/>
        <w:left w:val="none" w:sz="0" w:space="0" w:color="auto"/>
        <w:bottom w:val="none" w:sz="0" w:space="0" w:color="auto"/>
        <w:right w:val="none" w:sz="0" w:space="0" w:color="auto"/>
      </w:divBdr>
    </w:div>
    <w:div w:id="1895118914">
      <w:marLeft w:val="0"/>
      <w:marRight w:val="0"/>
      <w:marTop w:val="180"/>
      <w:marBottom w:val="0"/>
      <w:divBdr>
        <w:top w:val="none" w:sz="0" w:space="0" w:color="auto"/>
        <w:left w:val="none" w:sz="0" w:space="0" w:color="auto"/>
        <w:bottom w:val="none" w:sz="0" w:space="0" w:color="auto"/>
        <w:right w:val="none" w:sz="0" w:space="0" w:color="auto"/>
      </w:divBdr>
    </w:div>
    <w:div w:id="1895384510">
      <w:marLeft w:val="0"/>
      <w:marRight w:val="0"/>
      <w:marTop w:val="180"/>
      <w:marBottom w:val="0"/>
      <w:divBdr>
        <w:top w:val="none" w:sz="0" w:space="0" w:color="auto"/>
        <w:left w:val="none" w:sz="0" w:space="0" w:color="auto"/>
        <w:bottom w:val="none" w:sz="0" w:space="0" w:color="auto"/>
        <w:right w:val="none" w:sz="0" w:space="0" w:color="auto"/>
      </w:divBdr>
    </w:div>
    <w:div w:id="1895703052">
      <w:marLeft w:val="0"/>
      <w:marRight w:val="0"/>
      <w:marTop w:val="0"/>
      <w:marBottom w:val="0"/>
      <w:divBdr>
        <w:top w:val="none" w:sz="0" w:space="0" w:color="auto"/>
        <w:left w:val="none" w:sz="0" w:space="0" w:color="auto"/>
        <w:bottom w:val="none" w:sz="0" w:space="0" w:color="auto"/>
        <w:right w:val="none" w:sz="0" w:space="0" w:color="auto"/>
      </w:divBdr>
      <w:divsChild>
        <w:div w:id="928737297">
          <w:marLeft w:val="0"/>
          <w:marRight w:val="0"/>
          <w:marTop w:val="0"/>
          <w:marBottom w:val="0"/>
          <w:divBdr>
            <w:top w:val="none" w:sz="0" w:space="0" w:color="auto"/>
            <w:left w:val="none" w:sz="0" w:space="0" w:color="auto"/>
            <w:bottom w:val="none" w:sz="0" w:space="0" w:color="auto"/>
            <w:right w:val="none" w:sz="0" w:space="0" w:color="auto"/>
          </w:divBdr>
          <w:divsChild>
            <w:div w:id="18923793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7006270">
      <w:marLeft w:val="0"/>
      <w:marRight w:val="0"/>
      <w:marTop w:val="180"/>
      <w:marBottom w:val="0"/>
      <w:divBdr>
        <w:top w:val="none" w:sz="0" w:space="0" w:color="auto"/>
        <w:left w:val="none" w:sz="0" w:space="0" w:color="auto"/>
        <w:bottom w:val="none" w:sz="0" w:space="0" w:color="auto"/>
        <w:right w:val="none" w:sz="0" w:space="0" w:color="auto"/>
      </w:divBdr>
    </w:div>
    <w:div w:id="1898276440">
      <w:marLeft w:val="0"/>
      <w:marRight w:val="0"/>
      <w:marTop w:val="300"/>
      <w:marBottom w:val="0"/>
      <w:divBdr>
        <w:top w:val="none" w:sz="0" w:space="0" w:color="auto"/>
        <w:left w:val="none" w:sz="0" w:space="0" w:color="auto"/>
        <w:bottom w:val="none" w:sz="0" w:space="0" w:color="auto"/>
        <w:right w:val="none" w:sz="0" w:space="0" w:color="auto"/>
      </w:divBdr>
    </w:div>
    <w:div w:id="1902324944">
      <w:marLeft w:val="0"/>
      <w:marRight w:val="0"/>
      <w:marTop w:val="0"/>
      <w:marBottom w:val="0"/>
      <w:divBdr>
        <w:top w:val="none" w:sz="0" w:space="0" w:color="auto"/>
        <w:left w:val="none" w:sz="0" w:space="0" w:color="auto"/>
        <w:bottom w:val="none" w:sz="0" w:space="0" w:color="auto"/>
        <w:right w:val="none" w:sz="0" w:space="0" w:color="auto"/>
      </w:divBdr>
      <w:divsChild>
        <w:div w:id="1316641524">
          <w:marLeft w:val="0"/>
          <w:marRight w:val="0"/>
          <w:marTop w:val="0"/>
          <w:marBottom w:val="0"/>
          <w:divBdr>
            <w:top w:val="none" w:sz="0" w:space="0" w:color="auto"/>
            <w:left w:val="none" w:sz="0" w:space="0" w:color="auto"/>
            <w:bottom w:val="none" w:sz="0" w:space="0" w:color="auto"/>
            <w:right w:val="none" w:sz="0" w:space="0" w:color="auto"/>
          </w:divBdr>
          <w:divsChild>
            <w:div w:id="1582726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5527591">
      <w:marLeft w:val="0"/>
      <w:marRight w:val="0"/>
      <w:marTop w:val="180"/>
      <w:marBottom w:val="0"/>
      <w:divBdr>
        <w:top w:val="none" w:sz="0" w:space="0" w:color="auto"/>
        <w:left w:val="none" w:sz="0" w:space="0" w:color="auto"/>
        <w:bottom w:val="none" w:sz="0" w:space="0" w:color="auto"/>
        <w:right w:val="none" w:sz="0" w:space="0" w:color="auto"/>
      </w:divBdr>
    </w:div>
    <w:div w:id="1907910375">
      <w:marLeft w:val="0"/>
      <w:marRight w:val="0"/>
      <w:marTop w:val="60"/>
      <w:marBottom w:val="0"/>
      <w:divBdr>
        <w:top w:val="none" w:sz="0" w:space="0" w:color="auto"/>
        <w:left w:val="none" w:sz="0" w:space="0" w:color="auto"/>
        <w:bottom w:val="none" w:sz="0" w:space="0" w:color="auto"/>
        <w:right w:val="none" w:sz="0" w:space="0" w:color="auto"/>
      </w:divBdr>
    </w:div>
    <w:div w:id="1908875851">
      <w:marLeft w:val="0"/>
      <w:marRight w:val="0"/>
      <w:marTop w:val="180"/>
      <w:marBottom w:val="0"/>
      <w:divBdr>
        <w:top w:val="none" w:sz="0" w:space="0" w:color="auto"/>
        <w:left w:val="none" w:sz="0" w:space="0" w:color="auto"/>
        <w:bottom w:val="none" w:sz="0" w:space="0" w:color="auto"/>
        <w:right w:val="none" w:sz="0" w:space="0" w:color="auto"/>
      </w:divBdr>
    </w:div>
    <w:div w:id="1916013116">
      <w:marLeft w:val="0"/>
      <w:marRight w:val="0"/>
      <w:marTop w:val="240"/>
      <w:marBottom w:val="0"/>
      <w:divBdr>
        <w:top w:val="none" w:sz="0" w:space="0" w:color="auto"/>
        <w:left w:val="none" w:sz="0" w:space="0" w:color="auto"/>
        <w:bottom w:val="none" w:sz="0" w:space="0" w:color="auto"/>
        <w:right w:val="none" w:sz="0" w:space="0" w:color="auto"/>
      </w:divBdr>
    </w:div>
    <w:div w:id="1916821033">
      <w:marLeft w:val="0"/>
      <w:marRight w:val="0"/>
      <w:marTop w:val="0"/>
      <w:marBottom w:val="0"/>
      <w:divBdr>
        <w:top w:val="none" w:sz="0" w:space="0" w:color="auto"/>
        <w:left w:val="none" w:sz="0" w:space="0" w:color="auto"/>
        <w:bottom w:val="none" w:sz="0" w:space="0" w:color="auto"/>
        <w:right w:val="none" w:sz="0" w:space="0" w:color="auto"/>
      </w:divBdr>
      <w:divsChild>
        <w:div w:id="650333092">
          <w:marLeft w:val="0"/>
          <w:marRight w:val="0"/>
          <w:marTop w:val="180"/>
          <w:marBottom w:val="180"/>
          <w:divBdr>
            <w:top w:val="none" w:sz="0" w:space="0" w:color="auto"/>
            <w:left w:val="none" w:sz="0" w:space="0" w:color="auto"/>
            <w:bottom w:val="none" w:sz="0" w:space="0" w:color="auto"/>
            <w:right w:val="none" w:sz="0" w:space="0" w:color="auto"/>
          </w:divBdr>
        </w:div>
      </w:divsChild>
    </w:div>
    <w:div w:id="1917204521">
      <w:marLeft w:val="0"/>
      <w:marRight w:val="0"/>
      <w:marTop w:val="180"/>
      <w:marBottom w:val="0"/>
      <w:divBdr>
        <w:top w:val="none" w:sz="0" w:space="0" w:color="auto"/>
        <w:left w:val="none" w:sz="0" w:space="0" w:color="auto"/>
        <w:bottom w:val="none" w:sz="0" w:space="0" w:color="auto"/>
        <w:right w:val="none" w:sz="0" w:space="0" w:color="auto"/>
      </w:divBdr>
    </w:div>
    <w:div w:id="1917780428">
      <w:marLeft w:val="0"/>
      <w:marRight w:val="0"/>
      <w:marTop w:val="0"/>
      <w:marBottom w:val="0"/>
      <w:divBdr>
        <w:top w:val="none" w:sz="0" w:space="0" w:color="auto"/>
        <w:left w:val="none" w:sz="0" w:space="0" w:color="auto"/>
        <w:bottom w:val="none" w:sz="0" w:space="0" w:color="auto"/>
        <w:right w:val="none" w:sz="0" w:space="0" w:color="auto"/>
      </w:divBdr>
      <w:divsChild>
        <w:div w:id="2031181964">
          <w:marLeft w:val="0"/>
          <w:marRight w:val="0"/>
          <w:marTop w:val="180"/>
          <w:marBottom w:val="0"/>
          <w:divBdr>
            <w:top w:val="none" w:sz="0" w:space="0" w:color="auto"/>
            <w:left w:val="none" w:sz="0" w:space="0" w:color="auto"/>
            <w:bottom w:val="none" w:sz="0" w:space="0" w:color="auto"/>
            <w:right w:val="none" w:sz="0" w:space="0" w:color="auto"/>
          </w:divBdr>
        </w:div>
      </w:divsChild>
    </w:div>
    <w:div w:id="1927614200">
      <w:marLeft w:val="0"/>
      <w:marRight w:val="0"/>
      <w:marTop w:val="0"/>
      <w:marBottom w:val="0"/>
      <w:divBdr>
        <w:top w:val="none" w:sz="0" w:space="0" w:color="auto"/>
        <w:left w:val="none" w:sz="0" w:space="0" w:color="auto"/>
        <w:bottom w:val="none" w:sz="0" w:space="0" w:color="auto"/>
        <w:right w:val="none" w:sz="0" w:space="0" w:color="auto"/>
      </w:divBdr>
      <w:divsChild>
        <w:div w:id="296304621">
          <w:marLeft w:val="0"/>
          <w:marRight w:val="0"/>
          <w:marTop w:val="180"/>
          <w:marBottom w:val="180"/>
          <w:divBdr>
            <w:top w:val="none" w:sz="0" w:space="0" w:color="auto"/>
            <w:left w:val="none" w:sz="0" w:space="0" w:color="auto"/>
            <w:bottom w:val="none" w:sz="0" w:space="0" w:color="auto"/>
            <w:right w:val="none" w:sz="0" w:space="0" w:color="auto"/>
          </w:divBdr>
        </w:div>
      </w:divsChild>
    </w:div>
    <w:div w:id="1932816308">
      <w:marLeft w:val="0"/>
      <w:marRight w:val="0"/>
      <w:marTop w:val="180"/>
      <w:marBottom w:val="0"/>
      <w:divBdr>
        <w:top w:val="none" w:sz="0" w:space="0" w:color="auto"/>
        <w:left w:val="none" w:sz="0" w:space="0" w:color="auto"/>
        <w:bottom w:val="none" w:sz="0" w:space="0" w:color="auto"/>
        <w:right w:val="none" w:sz="0" w:space="0" w:color="auto"/>
      </w:divBdr>
    </w:div>
    <w:div w:id="1944721227">
      <w:marLeft w:val="0"/>
      <w:marRight w:val="0"/>
      <w:marTop w:val="240"/>
      <w:marBottom w:val="0"/>
      <w:divBdr>
        <w:top w:val="none" w:sz="0" w:space="0" w:color="auto"/>
        <w:left w:val="none" w:sz="0" w:space="0" w:color="auto"/>
        <w:bottom w:val="none" w:sz="0" w:space="0" w:color="auto"/>
        <w:right w:val="none" w:sz="0" w:space="0" w:color="auto"/>
      </w:divBdr>
    </w:div>
    <w:div w:id="1952393096">
      <w:marLeft w:val="0"/>
      <w:marRight w:val="0"/>
      <w:marTop w:val="180"/>
      <w:marBottom w:val="0"/>
      <w:divBdr>
        <w:top w:val="none" w:sz="0" w:space="0" w:color="auto"/>
        <w:left w:val="none" w:sz="0" w:space="0" w:color="auto"/>
        <w:bottom w:val="none" w:sz="0" w:space="0" w:color="auto"/>
        <w:right w:val="none" w:sz="0" w:space="0" w:color="auto"/>
      </w:divBdr>
    </w:div>
    <w:div w:id="1959143947">
      <w:marLeft w:val="0"/>
      <w:marRight w:val="0"/>
      <w:marTop w:val="180"/>
      <w:marBottom w:val="0"/>
      <w:divBdr>
        <w:top w:val="none" w:sz="0" w:space="0" w:color="auto"/>
        <w:left w:val="none" w:sz="0" w:space="0" w:color="auto"/>
        <w:bottom w:val="none" w:sz="0" w:space="0" w:color="auto"/>
        <w:right w:val="none" w:sz="0" w:space="0" w:color="auto"/>
      </w:divBdr>
    </w:div>
    <w:div w:id="1973369196">
      <w:marLeft w:val="0"/>
      <w:marRight w:val="0"/>
      <w:marTop w:val="180"/>
      <w:marBottom w:val="0"/>
      <w:divBdr>
        <w:top w:val="none" w:sz="0" w:space="0" w:color="auto"/>
        <w:left w:val="none" w:sz="0" w:space="0" w:color="auto"/>
        <w:bottom w:val="none" w:sz="0" w:space="0" w:color="auto"/>
        <w:right w:val="none" w:sz="0" w:space="0" w:color="auto"/>
      </w:divBdr>
    </w:div>
    <w:div w:id="1974481435">
      <w:marLeft w:val="0"/>
      <w:marRight w:val="0"/>
      <w:marTop w:val="180"/>
      <w:marBottom w:val="0"/>
      <w:divBdr>
        <w:top w:val="none" w:sz="0" w:space="0" w:color="auto"/>
        <w:left w:val="none" w:sz="0" w:space="0" w:color="auto"/>
        <w:bottom w:val="none" w:sz="0" w:space="0" w:color="auto"/>
        <w:right w:val="none" w:sz="0" w:space="0" w:color="auto"/>
      </w:divBdr>
    </w:div>
    <w:div w:id="1978871614">
      <w:marLeft w:val="0"/>
      <w:marRight w:val="0"/>
      <w:marTop w:val="240"/>
      <w:marBottom w:val="0"/>
      <w:divBdr>
        <w:top w:val="none" w:sz="0" w:space="0" w:color="auto"/>
        <w:left w:val="none" w:sz="0" w:space="0" w:color="auto"/>
        <w:bottom w:val="none" w:sz="0" w:space="0" w:color="auto"/>
        <w:right w:val="none" w:sz="0" w:space="0" w:color="auto"/>
      </w:divBdr>
    </w:div>
    <w:div w:id="1979914595">
      <w:marLeft w:val="0"/>
      <w:marRight w:val="0"/>
      <w:marTop w:val="60"/>
      <w:marBottom w:val="0"/>
      <w:divBdr>
        <w:top w:val="none" w:sz="0" w:space="0" w:color="auto"/>
        <w:left w:val="none" w:sz="0" w:space="0" w:color="auto"/>
        <w:bottom w:val="none" w:sz="0" w:space="0" w:color="auto"/>
        <w:right w:val="none" w:sz="0" w:space="0" w:color="auto"/>
      </w:divBdr>
    </w:div>
    <w:div w:id="1983583472">
      <w:marLeft w:val="0"/>
      <w:marRight w:val="0"/>
      <w:marTop w:val="0"/>
      <w:marBottom w:val="0"/>
      <w:divBdr>
        <w:top w:val="none" w:sz="0" w:space="0" w:color="auto"/>
        <w:left w:val="none" w:sz="0" w:space="0" w:color="auto"/>
        <w:bottom w:val="none" w:sz="0" w:space="0" w:color="auto"/>
        <w:right w:val="none" w:sz="0" w:space="0" w:color="auto"/>
      </w:divBdr>
      <w:divsChild>
        <w:div w:id="251402071">
          <w:marLeft w:val="0"/>
          <w:marRight w:val="0"/>
          <w:marTop w:val="0"/>
          <w:marBottom w:val="0"/>
          <w:divBdr>
            <w:top w:val="none" w:sz="0" w:space="0" w:color="auto"/>
            <w:left w:val="none" w:sz="0" w:space="0" w:color="auto"/>
            <w:bottom w:val="none" w:sz="0" w:space="0" w:color="auto"/>
            <w:right w:val="none" w:sz="0" w:space="0" w:color="auto"/>
          </w:divBdr>
          <w:divsChild>
            <w:div w:id="871848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5968943">
      <w:marLeft w:val="0"/>
      <w:marRight w:val="0"/>
      <w:marTop w:val="240"/>
      <w:marBottom w:val="0"/>
      <w:divBdr>
        <w:top w:val="none" w:sz="0" w:space="0" w:color="auto"/>
        <w:left w:val="none" w:sz="0" w:space="0" w:color="auto"/>
        <w:bottom w:val="none" w:sz="0" w:space="0" w:color="auto"/>
        <w:right w:val="none" w:sz="0" w:space="0" w:color="auto"/>
      </w:divBdr>
    </w:div>
    <w:div w:id="1987078455">
      <w:marLeft w:val="0"/>
      <w:marRight w:val="0"/>
      <w:marTop w:val="180"/>
      <w:marBottom w:val="0"/>
      <w:divBdr>
        <w:top w:val="none" w:sz="0" w:space="0" w:color="auto"/>
        <w:left w:val="none" w:sz="0" w:space="0" w:color="auto"/>
        <w:bottom w:val="none" w:sz="0" w:space="0" w:color="auto"/>
        <w:right w:val="none" w:sz="0" w:space="0" w:color="auto"/>
      </w:divBdr>
    </w:div>
    <w:div w:id="1991907077">
      <w:marLeft w:val="0"/>
      <w:marRight w:val="0"/>
      <w:marTop w:val="180"/>
      <w:marBottom w:val="0"/>
      <w:divBdr>
        <w:top w:val="none" w:sz="0" w:space="0" w:color="auto"/>
        <w:left w:val="none" w:sz="0" w:space="0" w:color="auto"/>
        <w:bottom w:val="none" w:sz="0" w:space="0" w:color="auto"/>
        <w:right w:val="none" w:sz="0" w:space="0" w:color="auto"/>
      </w:divBdr>
    </w:div>
    <w:div w:id="1994605056">
      <w:marLeft w:val="0"/>
      <w:marRight w:val="0"/>
      <w:marTop w:val="180"/>
      <w:marBottom w:val="0"/>
      <w:divBdr>
        <w:top w:val="none" w:sz="0" w:space="0" w:color="auto"/>
        <w:left w:val="none" w:sz="0" w:space="0" w:color="auto"/>
        <w:bottom w:val="none" w:sz="0" w:space="0" w:color="auto"/>
        <w:right w:val="none" w:sz="0" w:space="0" w:color="auto"/>
      </w:divBdr>
    </w:div>
    <w:div w:id="1996301457">
      <w:marLeft w:val="0"/>
      <w:marRight w:val="0"/>
      <w:marTop w:val="180"/>
      <w:marBottom w:val="0"/>
      <w:divBdr>
        <w:top w:val="none" w:sz="0" w:space="0" w:color="auto"/>
        <w:left w:val="none" w:sz="0" w:space="0" w:color="auto"/>
        <w:bottom w:val="none" w:sz="0" w:space="0" w:color="auto"/>
        <w:right w:val="none" w:sz="0" w:space="0" w:color="auto"/>
      </w:divBdr>
    </w:div>
    <w:div w:id="1996642663">
      <w:marLeft w:val="0"/>
      <w:marRight w:val="0"/>
      <w:marTop w:val="0"/>
      <w:marBottom w:val="0"/>
      <w:divBdr>
        <w:top w:val="none" w:sz="0" w:space="0" w:color="auto"/>
        <w:left w:val="none" w:sz="0" w:space="0" w:color="auto"/>
        <w:bottom w:val="none" w:sz="0" w:space="0" w:color="auto"/>
        <w:right w:val="none" w:sz="0" w:space="0" w:color="auto"/>
      </w:divBdr>
      <w:divsChild>
        <w:div w:id="703019695">
          <w:marLeft w:val="0"/>
          <w:marRight w:val="0"/>
          <w:marTop w:val="180"/>
          <w:marBottom w:val="180"/>
          <w:divBdr>
            <w:top w:val="none" w:sz="0" w:space="0" w:color="auto"/>
            <w:left w:val="none" w:sz="0" w:space="0" w:color="auto"/>
            <w:bottom w:val="none" w:sz="0" w:space="0" w:color="auto"/>
            <w:right w:val="none" w:sz="0" w:space="0" w:color="auto"/>
          </w:divBdr>
        </w:div>
      </w:divsChild>
    </w:div>
    <w:div w:id="1998416716">
      <w:marLeft w:val="0"/>
      <w:marRight w:val="0"/>
      <w:marTop w:val="60"/>
      <w:marBottom w:val="120"/>
      <w:divBdr>
        <w:top w:val="none" w:sz="0" w:space="0" w:color="auto"/>
        <w:left w:val="none" w:sz="0" w:space="0" w:color="auto"/>
        <w:bottom w:val="none" w:sz="0" w:space="0" w:color="auto"/>
        <w:right w:val="none" w:sz="0" w:space="0" w:color="auto"/>
      </w:divBdr>
      <w:divsChild>
        <w:div w:id="662440914">
          <w:marLeft w:val="0"/>
          <w:marRight w:val="0"/>
          <w:marTop w:val="0"/>
          <w:marBottom w:val="0"/>
          <w:divBdr>
            <w:top w:val="none" w:sz="0" w:space="0" w:color="auto"/>
            <w:left w:val="none" w:sz="0" w:space="0" w:color="auto"/>
            <w:bottom w:val="none" w:sz="0" w:space="0" w:color="auto"/>
            <w:right w:val="none" w:sz="0" w:space="0" w:color="auto"/>
          </w:divBdr>
        </w:div>
        <w:div w:id="1959212767">
          <w:marLeft w:val="0"/>
          <w:marRight w:val="0"/>
          <w:marTop w:val="0"/>
          <w:marBottom w:val="0"/>
          <w:divBdr>
            <w:top w:val="none" w:sz="0" w:space="0" w:color="auto"/>
            <w:left w:val="none" w:sz="0" w:space="0" w:color="auto"/>
            <w:bottom w:val="none" w:sz="0" w:space="0" w:color="auto"/>
            <w:right w:val="none" w:sz="0" w:space="0" w:color="auto"/>
          </w:divBdr>
        </w:div>
        <w:div w:id="448666125">
          <w:marLeft w:val="0"/>
          <w:marRight w:val="0"/>
          <w:marTop w:val="0"/>
          <w:marBottom w:val="0"/>
          <w:divBdr>
            <w:top w:val="none" w:sz="0" w:space="0" w:color="auto"/>
            <w:left w:val="none" w:sz="0" w:space="0" w:color="auto"/>
            <w:bottom w:val="none" w:sz="0" w:space="0" w:color="auto"/>
            <w:right w:val="none" w:sz="0" w:space="0" w:color="auto"/>
          </w:divBdr>
        </w:div>
        <w:div w:id="2104301351">
          <w:marLeft w:val="0"/>
          <w:marRight w:val="0"/>
          <w:marTop w:val="0"/>
          <w:marBottom w:val="0"/>
          <w:divBdr>
            <w:top w:val="none" w:sz="0" w:space="0" w:color="auto"/>
            <w:left w:val="none" w:sz="0" w:space="0" w:color="auto"/>
            <w:bottom w:val="none" w:sz="0" w:space="0" w:color="auto"/>
            <w:right w:val="none" w:sz="0" w:space="0" w:color="auto"/>
          </w:divBdr>
        </w:div>
        <w:div w:id="1260067057">
          <w:marLeft w:val="0"/>
          <w:marRight w:val="0"/>
          <w:marTop w:val="0"/>
          <w:marBottom w:val="0"/>
          <w:divBdr>
            <w:top w:val="none" w:sz="0" w:space="0" w:color="auto"/>
            <w:left w:val="none" w:sz="0" w:space="0" w:color="auto"/>
            <w:bottom w:val="none" w:sz="0" w:space="0" w:color="auto"/>
            <w:right w:val="none" w:sz="0" w:space="0" w:color="auto"/>
          </w:divBdr>
        </w:div>
      </w:divsChild>
    </w:div>
    <w:div w:id="1998997506">
      <w:marLeft w:val="0"/>
      <w:marRight w:val="0"/>
      <w:marTop w:val="180"/>
      <w:marBottom w:val="0"/>
      <w:divBdr>
        <w:top w:val="none" w:sz="0" w:space="0" w:color="auto"/>
        <w:left w:val="none" w:sz="0" w:space="0" w:color="auto"/>
        <w:bottom w:val="none" w:sz="0" w:space="0" w:color="auto"/>
        <w:right w:val="none" w:sz="0" w:space="0" w:color="auto"/>
      </w:divBdr>
    </w:div>
    <w:div w:id="2006007986">
      <w:marLeft w:val="0"/>
      <w:marRight w:val="0"/>
      <w:marTop w:val="180"/>
      <w:marBottom w:val="0"/>
      <w:divBdr>
        <w:top w:val="none" w:sz="0" w:space="0" w:color="auto"/>
        <w:left w:val="none" w:sz="0" w:space="0" w:color="auto"/>
        <w:bottom w:val="none" w:sz="0" w:space="0" w:color="auto"/>
        <w:right w:val="none" w:sz="0" w:space="0" w:color="auto"/>
      </w:divBdr>
    </w:div>
    <w:div w:id="2010596814">
      <w:marLeft w:val="0"/>
      <w:marRight w:val="0"/>
      <w:marTop w:val="180"/>
      <w:marBottom w:val="120"/>
      <w:divBdr>
        <w:top w:val="none" w:sz="0" w:space="0" w:color="auto"/>
        <w:left w:val="none" w:sz="0" w:space="0" w:color="auto"/>
        <w:bottom w:val="none" w:sz="0" w:space="0" w:color="auto"/>
        <w:right w:val="none" w:sz="0" w:space="0" w:color="auto"/>
      </w:divBdr>
    </w:div>
    <w:div w:id="2020572907">
      <w:marLeft w:val="0"/>
      <w:marRight w:val="0"/>
      <w:marTop w:val="180"/>
      <w:marBottom w:val="0"/>
      <w:divBdr>
        <w:top w:val="none" w:sz="0" w:space="0" w:color="auto"/>
        <w:left w:val="none" w:sz="0" w:space="0" w:color="auto"/>
        <w:bottom w:val="none" w:sz="0" w:space="0" w:color="auto"/>
        <w:right w:val="none" w:sz="0" w:space="0" w:color="auto"/>
      </w:divBdr>
    </w:div>
    <w:div w:id="2023897902">
      <w:marLeft w:val="0"/>
      <w:marRight w:val="0"/>
      <w:marTop w:val="0"/>
      <w:marBottom w:val="0"/>
      <w:divBdr>
        <w:top w:val="none" w:sz="0" w:space="0" w:color="auto"/>
        <w:left w:val="none" w:sz="0" w:space="0" w:color="auto"/>
        <w:bottom w:val="none" w:sz="0" w:space="0" w:color="auto"/>
        <w:right w:val="none" w:sz="0" w:space="0" w:color="auto"/>
      </w:divBdr>
      <w:divsChild>
        <w:div w:id="1276136450">
          <w:marLeft w:val="0"/>
          <w:marRight w:val="0"/>
          <w:marTop w:val="180"/>
          <w:marBottom w:val="180"/>
          <w:divBdr>
            <w:top w:val="none" w:sz="0" w:space="0" w:color="auto"/>
            <w:left w:val="none" w:sz="0" w:space="0" w:color="auto"/>
            <w:bottom w:val="none" w:sz="0" w:space="0" w:color="auto"/>
            <w:right w:val="none" w:sz="0" w:space="0" w:color="auto"/>
          </w:divBdr>
        </w:div>
      </w:divsChild>
    </w:div>
    <w:div w:id="2026596037">
      <w:marLeft w:val="0"/>
      <w:marRight w:val="0"/>
      <w:marTop w:val="180"/>
      <w:marBottom w:val="120"/>
      <w:divBdr>
        <w:top w:val="none" w:sz="0" w:space="0" w:color="auto"/>
        <w:left w:val="none" w:sz="0" w:space="0" w:color="auto"/>
        <w:bottom w:val="none" w:sz="0" w:space="0" w:color="auto"/>
        <w:right w:val="none" w:sz="0" w:space="0" w:color="auto"/>
      </w:divBdr>
    </w:div>
    <w:div w:id="2027367984">
      <w:marLeft w:val="0"/>
      <w:marRight w:val="0"/>
      <w:marTop w:val="180"/>
      <w:marBottom w:val="0"/>
      <w:divBdr>
        <w:top w:val="none" w:sz="0" w:space="0" w:color="auto"/>
        <w:left w:val="none" w:sz="0" w:space="0" w:color="auto"/>
        <w:bottom w:val="none" w:sz="0" w:space="0" w:color="auto"/>
        <w:right w:val="none" w:sz="0" w:space="0" w:color="auto"/>
      </w:divBdr>
    </w:div>
    <w:div w:id="2028361160">
      <w:marLeft w:val="0"/>
      <w:marRight w:val="0"/>
      <w:marTop w:val="240"/>
      <w:marBottom w:val="60"/>
      <w:divBdr>
        <w:top w:val="none" w:sz="0" w:space="0" w:color="auto"/>
        <w:left w:val="none" w:sz="0" w:space="0" w:color="auto"/>
        <w:bottom w:val="none" w:sz="0" w:space="0" w:color="auto"/>
        <w:right w:val="none" w:sz="0" w:space="0" w:color="auto"/>
      </w:divBdr>
    </w:div>
    <w:div w:id="2030057651">
      <w:marLeft w:val="0"/>
      <w:marRight w:val="0"/>
      <w:marTop w:val="0"/>
      <w:marBottom w:val="0"/>
      <w:divBdr>
        <w:top w:val="none" w:sz="0" w:space="0" w:color="auto"/>
        <w:left w:val="none" w:sz="0" w:space="0" w:color="auto"/>
        <w:bottom w:val="none" w:sz="0" w:space="0" w:color="auto"/>
        <w:right w:val="none" w:sz="0" w:space="0" w:color="auto"/>
      </w:divBdr>
      <w:divsChild>
        <w:div w:id="128790981">
          <w:marLeft w:val="0"/>
          <w:marRight w:val="0"/>
          <w:marTop w:val="0"/>
          <w:marBottom w:val="0"/>
          <w:divBdr>
            <w:top w:val="none" w:sz="0" w:space="0" w:color="auto"/>
            <w:left w:val="none" w:sz="0" w:space="0" w:color="auto"/>
            <w:bottom w:val="none" w:sz="0" w:space="0" w:color="auto"/>
            <w:right w:val="none" w:sz="0" w:space="0" w:color="auto"/>
          </w:divBdr>
          <w:divsChild>
            <w:div w:id="5984107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0428732">
      <w:marLeft w:val="0"/>
      <w:marRight w:val="0"/>
      <w:marTop w:val="180"/>
      <w:marBottom w:val="0"/>
      <w:divBdr>
        <w:top w:val="none" w:sz="0" w:space="0" w:color="auto"/>
        <w:left w:val="none" w:sz="0" w:space="0" w:color="auto"/>
        <w:bottom w:val="none" w:sz="0" w:space="0" w:color="auto"/>
        <w:right w:val="none" w:sz="0" w:space="0" w:color="auto"/>
      </w:divBdr>
    </w:div>
    <w:div w:id="2043048638">
      <w:marLeft w:val="0"/>
      <w:marRight w:val="0"/>
      <w:marTop w:val="180"/>
      <w:marBottom w:val="0"/>
      <w:divBdr>
        <w:top w:val="none" w:sz="0" w:space="0" w:color="auto"/>
        <w:left w:val="none" w:sz="0" w:space="0" w:color="auto"/>
        <w:bottom w:val="none" w:sz="0" w:space="0" w:color="auto"/>
        <w:right w:val="none" w:sz="0" w:space="0" w:color="auto"/>
      </w:divBdr>
    </w:div>
    <w:div w:id="2045783417">
      <w:marLeft w:val="0"/>
      <w:marRight w:val="0"/>
      <w:marTop w:val="60"/>
      <w:marBottom w:val="0"/>
      <w:divBdr>
        <w:top w:val="none" w:sz="0" w:space="0" w:color="auto"/>
        <w:left w:val="none" w:sz="0" w:space="0" w:color="auto"/>
        <w:bottom w:val="none" w:sz="0" w:space="0" w:color="auto"/>
        <w:right w:val="none" w:sz="0" w:space="0" w:color="auto"/>
      </w:divBdr>
    </w:div>
    <w:div w:id="2045787895">
      <w:marLeft w:val="0"/>
      <w:marRight w:val="0"/>
      <w:marTop w:val="60"/>
      <w:marBottom w:val="0"/>
      <w:divBdr>
        <w:top w:val="none" w:sz="0" w:space="0" w:color="auto"/>
        <w:left w:val="none" w:sz="0" w:space="0" w:color="auto"/>
        <w:bottom w:val="none" w:sz="0" w:space="0" w:color="auto"/>
        <w:right w:val="none" w:sz="0" w:space="0" w:color="auto"/>
      </w:divBdr>
    </w:div>
    <w:div w:id="2046561457">
      <w:marLeft w:val="0"/>
      <w:marRight w:val="0"/>
      <w:marTop w:val="180"/>
      <w:marBottom w:val="0"/>
      <w:divBdr>
        <w:top w:val="none" w:sz="0" w:space="0" w:color="auto"/>
        <w:left w:val="none" w:sz="0" w:space="0" w:color="auto"/>
        <w:bottom w:val="none" w:sz="0" w:space="0" w:color="auto"/>
        <w:right w:val="none" w:sz="0" w:space="0" w:color="auto"/>
      </w:divBdr>
    </w:div>
    <w:div w:id="2051176890">
      <w:marLeft w:val="0"/>
      <w:marRight w:val="0"/>
      <w:marTop w:val="180"/>
      <w:marBottom w:val="0"/>
      <w:divBdr>
        <w:top w:val="none" w:sz="0" w:space="0" w:color="auto"/>
        <w:left w:val="none" w:sz="0" w:space="0" w:color="auto"/>
        <w:bottom w:val="none" w:sz="0" w:space="0" w:color="auto"/>
        <w:right w:val="none" w:sz="0" w:space="0" w:color="auto"/>
      </w:divBdr>
    </w:div>
    <w:div w:id="2052345408">
      <w:marLeft w:val="0"/>
      <w:marRight w:val="0"/>
      <w:marTop w:val="240"/>
      <w:marBottom w:val="0"/>
      <w:divBdr>
        <w:top w:val="none" w:sz="0" w:space="0" w:color="auto"/>
        <w:left w:val="none" w:sz="0" w:space="0" w:color="auto"/>
        <w:bottom w:val="none" w:sz="0" w:space="0" w:color="auto"/>
        <w:right w:val="none" w:sz="0" w:space="0" w:color="auto"/>
      </w:divBdr>
    </w:div>
    <w:div w:id="2054116874">
      <w:marLeft w:val="0"/>
      <w:marRight w:val="0"/>
      <w:marTop w:val="120"/>
      <w:marBottom w:val="60"/>
      <w:divBdr>
        <w:top w:val="none" w:sz="0" w:space="0" w:color="auto"/>
        <w:left w:val="none" w:sz="0" w:space="0" w:color="auto"/>
        <w:bottom w:val="none" w:sz="0" w:space="0" w:color="auto"/>
        <w:right w:val="none" w:sz="0" w:space="0" w:color="auto"/>
      </w:divBdr>
    </w:div>
    <w:div w:id="2054495505">
      <w:marLeft w:val="0"/>
      <w:marRight w:val="0"/>
      <w:marTop w:val="180"/>
      <w:marBottom w:val="0"/>
      <w:divBdr>
        <w:top w:val="none" w:sz="0" w:space="0" w:color="auto"/>
        <w:left w:val="none" w:sz="0" w:space="0" w:color="auto"/>
        <w:bottom w:val="none" w:sz="0" w:space="0" w:color="auto"/>
        <w:right w:val="none" w:sz="0" w:space="0" w:color="auto"/>
      </w:divBdr>
    </w:div>
    <w:div w:id="2060199095">
      <w:marLeft w:val="0"/>
      <w:marRight w:val="0"/>
      <w:marTop w:val="0"/>
      <w:marBottom w:val="0"/>
      <w:divBdr>
        <w:top w:val="none" w:sz="0" w:space="0" w:color="auto"/>
        <w:left w:val="none" w:sz="0" w:space="0" w:color="auto"/>
        <w:bottom w:val="none" w:sz="0" w:space="0" w:color="auto"/>
        <w:right w:val="none" w:sz="0" w:space="0" w:color="auto"/>
      </w:divBdr>
      <w:divsChild>
        <w:div w:id="1540586851">
          <w:marLeft w:val="0"/>
          <w:marRight w:val="0"/>
          <w:marTop w:val="0"/>
          <w:marBottom w:val="0"/>
          <w:divBdr>
            <w:top w:val="none" w:sz="0" w:space="0" w:color="auto"/>
            <w:left w:val="none" w:sz="0" w:space="0" w:color="auto"/>
            <w:bottom w:val="none" w:sz="0" w:space="0" w:color="auto"/>
            <w:right w:val="none" w:sz="0" w:space="0" w:color="auto"/>
          </w:divBdr>
          <w:divsChild>
            <w:div w:id="8524927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0400713">
      <w:marLeft w:val="0"/>
      <w:marRight w:val="0"/>
      <w:marTop w:val="180"/>
      <w:marBottom w:val="0"/>
      <w:divBdr>
        <w:top w:val="none" w:sz="0" w:space="0" w:color="auto"/>
        <w:left w:val="none" w:sz="0" w:space="0" w:color="auto"/>
        <w:bottom w:val="none" w:sz="0" w:space="0" w:color="auto"/>
        <w:right w:val="none" w:sz="0" w:space="0" w:color="auto"/>
      </w:divBdr>
    </w:div>
    <w:div w:id="2070492158">
      <w:marLeft w:val="0"/>
      <w:marRight w:val="0"/>
      <w:marTop w:val="180"/>
      <w:marBottom w:val="0"/>
      <w:divBdr>
        <w:top w:val="none" w:sz="0" w:space="0" w:color="auto"/>
        <w:left w:val="none" w:sz="0" w:space="0" w:color="auto"/>
        <w:bottom w:val="none" w:sz="0" w:space="0" w:color="auto"/>
        <w:right w:val="none" w:sz="0" w:space="0" w:color="auto"/>
      </w:divBdr>
    </w:div>
    <w:div w:id="2075925503">
      <w:marLeft w:val="0"/>
      <w:marRight w:val="0"/>
      <w:marTop w:val="180"/>
      <w:marBottom w:val="0"/>
      <w:divBdr>
        <w:top w:val="none" w:sz="0" w:space="0" w:color="auto"/>
        <w:left w:val="none" w:sz="0" w:space="0" w:color="auto"/>
        <w:bottom w:val="none" w:sz="0" w:space="0" w:color="auto"/>
        <w:right w:val="none" w:sz="0" w:space="0" w:color="auto"/>
      </w:divBdr>
    </w:div>
    <w:div w:id="2076196216">
      <w:marLeft w:val="0"/>
      <w:marRight w:val="0"/>
      <w:marTop w:val="120"/>
      <w:marBottom w:val="0"/>
      <w:divBdr>
        <w:top w:val="none" w:sz="0" w:space="0" w:color="auto"/>
        <w:left w:val="none" w:sz="0" w:space="0" w:color="auto"/>
        <w:bottom w:val="none" w:sz="0" w:space="0" w:color="auto"/>
        <w:right w:val="none" w:sz="0" w:space="0" w:color="auto"/>
      </w:divBdr>
    </w:div>
    <w:div w:id="2079746222">
      <w:marLeft w:val="0"/>
      <w:marRight w:val="0"/>
      <w:marTop w:val="180"/>
      <w:marBottom w:val="120"/>
      <w:divBdr>
        <w:top w:val="none" w:sz="0" w:space="0" w:color="auto"/>
        <w:left w:val="none" w:sz="0" w:space="0" w:color="auto"/>
        <w:bottom w:val="none" w:sz="0" w:space="0" w:color="auto"/>
        <w:right w:val="none" w:sz="0" w:space="0" w:color="auto"/>
      </w:divBdr>
    </w:div>
    <w:div w:id="2081168473">
      <w:marLeft w:val="0"/>
      <w:marRight w:val="0"/>
      <w:marTop w:val="0"/>
      <w:marBottom w:val="0"/>
      <w:divBdr>
        <w:top w:val="none" w:sz="0" w:space="0" w:color="auto"/>
        <w:left w:val="none" w:sz="0" w:space="0" w:color="auto"/>
        <w:bottom w:val="none" w:sz="0" w:space="0" w:color="auto"/>
        <w:right w:val="none" w:sz="0" w:space="0" w:color="auto"/>
      </w:divBdr>
      <w:divsChild>
        <w:div w:id="1922831928">
          <w:marLeft w:val="0"/>
          <w:marRight w:val="0"/>
          <w:marTop w:val="180"/>
          <w:marBottom w:val="180"/>
          <w:divBdr>
            <w:top w:val="none" w:sz="0" w:space="0" w:color="auto"/>
            <w:left w:val="none" w:sz="0" w:space="0" w:color="auto"/>
            <w:bottom w:val="none" w:sz="0" w:space="0" w:color="auto"/>
            <w:right w:val="none" w:sz="0" w:space="0" w:color="auto"/>
          </w:divBdr>
        </w:div>
      </w:divsChild>
    </w:div>
    <w:div w:id="2081634515">
      <w:marLeft w:val="0"/>
      <w:marRight w:val="0"/>
      <w:marTop w:val="180"/>
      <w:marBottom w:val="0"/>
      <w:divBdr>
        <w:top w:val="none" w:sz="0" w:space="0" w:color="auto"/>
        <w:left w:val="none" w:sz="0" w:space="0" w:color="auto"/>
        <w:bottom w:val="none" w:sz="0" w:space="0" w:color="auto"/>
        <w:right w:val="none" w:sz="0" w:space="0" w:color="auto"/>
      </w:divBdr>
    </w:div>
    <w:div w:id="2082947482">
      <w:marLeft w:val="0"/>
      <w:marRight w:val="0"/>
      <w:marTop w:val="180"/>
      <w:marBottom w:val="120"/>
      <w:divBdr>
        <w:top w:val="none" w:sz="0" w:space="0" w:color="auto"/>
        <w:left w:val="none" w:sz="0" w:space="0" w:color="auto"/>
        <w:bottom w:val="none" w:sz="0" w:space="0" w:color="auto"/>
        <w:right w:val="none" w:sz="0" w:space="0" w:color="auto"/>
      </w:divBdr>
    </w:div>
    <w:div w:id="2083407485">
      <w:marLeft w:val="0"/>
      <w:marRight w:val="0"/>
      <w:marTop w:val="0"/>
      <w:marBottom w:val="0"/>
      <w:divBdr>
        <w:top w:val="none" w:sz="0" w:space="0" w:color="auto"/>
        <w:left w:val="none" w:sz="0" w:space="0" w:color="auto"/>
        <w:bottom w:val="none" w:sz="0" w:space="0" w:color="auto"/>
        <w:right w:val="none" w:sz="0" w:space="0" w:color="auto"/>
      </w:divBdr>
      <w:divsChild>
        <w:div w:id="639724361">
          <w:marLeft w:val="0"/>
          <w:marRight w:val="0"/>
          <w:marTop w:val="180"/>
          <w:marBottom w:val="180"/>
          <w:divBdr>
            <w:top w:val="none" w:sz="0" w:space="0" w:color="auto"/>
            <w:left w:val="none" w:sz="0" w:space="0" w:color="auto"/>
            <w:bottom w:val="none" w:sz="0" w:space="0" w:color="auto"/>
            <w:right w:val="none" w:sz="0" w:space="0" w:color="auto"/>
          </w:divBdr>
        </w:div>
      </w:divsChild>
    </w:div>
    <w:div w:id="2083408267">
      <w:marLeft w:val="0"/>
      <w:marRight w:val="0"/>
      <w:marTop w:val="180"/>
      <w:marBottom w:val="0"/>
      <w:divBdr>
        <w:top w:val="none" w:sz="0" w:space="0" w:color="auto"/>
        <w:left w:val="none" w:sz="0" w:space="0" w:color="auto"/>
        <w:bottom w:val="none" w:sz="0" w:space="0" w:color="auto"/>
        <w:right w:val="none" w:sz="0" w:space="0" w:color="auto"/>
      </w:divBdr>
    </w:div>
    <w:div w:id="2083477771">
      <w:marLeft w:val="0"/>
      <w:marRight w:val="0"/>
      <w:marTop w:val="0"/>
      <w:marBottom w:val="0"/>
      <w:divBdr>
        <w:top w:val="none" w:sz="0" w:space="0" w:color="auto"/>
        <w:left w:val="none" w:sz="0" w:space="0" w:color="auto"/>
        <w:bottom w:val="none" w:sz="0" w:space="0" w:color="auto"/>
        <w:right w:val="none" w:sz="0" w:space="0" w:color="auto"/>
      </w:divBdr>
      <w:divsChild>
        <w:div w:id="983394348">
          <w:marLeft w:val="0"/>
          <w:marRight w:val="0"/>
          <w:marTop w:val="0"/>
          <w:marBottom w:val="0"/>
          <w:divBdr>
            <w:top w:val="none" w:sz="0" w:space="0" w:color="auto"/>
            <w:left w:val="none" w:sz="0" w:space="0" w:color="auto"/>
            <w:bottom w:val="none" w:sz="0" w:space="0" w:color="auto"/>
            <w:right w:val="none" w:sz="0" w:space="0" w:color="auto"/>
          </w:divBdr>
          <w:divsChild>
            <w:div w:id="17298402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3942801">
      <w:marLeft w:val="0"/>
      <w:marRight w:val="0"/>
      <w:marTop w:val="180"/>
      <w:marBottom w:val="0"/>
      <w:divBdr>
        <w:top w:val="none" w:sz="0" w:space="0" w:color="auto"/>
        <w:left w:val="none" w:sz="0" w:space="0" w:color="auto"/>
        <w:bottom w:val="none" w:sz="0" w:space="0" w:color="auto"/>
        <w:right w:val="none" w:sz="0" w:space="0" w:color="auto"/>
      </w:divBdr>
    </w:div>
    <w:div w:id="2085683398">
      <w:marLeft w:val="0"/>
      <w:marRight w:val="0"/>
      <w:marTop w:val="180"/>
      <w:marBottom w:val="0"/>
      <w:divBdr>
        <w:top w:val="none" w:sz="0" w:space="0" w:color="auto"/>
        <w:left w:val="none" w:sz="0" w:space="0" w:color="auto"/>
        <w:bottom w:val="none" w:sz="0" w:space="0" w:color="auto"/>
        <w:right w:val="none" w:sz="0" w:space="0" w:color="auto"/>
      </w:divBdr>
    </w:div>
    <w:div w:id="2086873783">
      <w:marLeft w:val="0"/>
      <w:marRight w:val="0"/>
      <w:marTop w:val="0"/>
      <w:marBottom w:val="0"/>
      <w:divBdr>
        <w:top w:val="none" w:sz="0" w:space="0" w:color="auto"/>
        <w:left w:val="none" w:sz="0" w:space="0" w:color="auto"/>
        <w:bottom w:val="none" w:sz="0" w:space="0" w:color="auto"/>
        <w:right w:val="none" w:sz="0" w:space="0" w:color="auto"/>
      </w:divBdr>
      <w:divsChild>
        <w:div w:id="1084297691">
          <w:marLeft w:val="0"/>
          <w:marRight w:val="0"/>
          <w:marTop w:val="0"/>
          <w:marBottom w:val="0"/>
          <w:divBdr>
            <w:top w:val="none" w:sz="0" w:space="0" w:color="auto"/>
            <w:left w:val="none" w:sz="0" w:space="0" w:color="auto"/>
            <w:bottom w:val="none" w:sz="0" w:space="0" w:color="auto"/>
            <w:right w:val="none" w:sz="0" w:space="0" w:color="auto"/>
          </w:divBdr>
          <w:divsChild>
            <w:div w:id="5856472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7652442">
      <w:marLeft w:val="0"/>
      <w:marRight w:val="0"/>
      <w:marTop w:val="60"/>
      <w:marBottom w:val="120"/>
      <w:divBdr>
        <w:top w:val="none" w:sz="0" w:space="0" w:color="auto"/>
        <w:left w:val="none" w:sz="0" w:space="0" w:color="auto"/>
        <w:bottom w:val="none" w:sz="0" w:space="0" w:color="auto"/>
        <w:right w:val="none" w:sz="0" w:space="0" w:color="auto"/>
      </w:divBdr>
    </w:div>
    <w:div w:id="2088187567">
      <w:marLeft w:val="0"/>
      <w:marRight w:val="0"/>
      <w:marTop w:val="180"/>
      <w:marBottom w:val="0"/>
      <w:divBdr>
        <w:top w:val="none" w:sz="0" w:space="0" w:color="auto"/>
        <w:left w:val="none" w:sz="0" w:space="0" w:color="auto"/>
        <w:bottom w:val="none" w:sz="0" w:space="0" w:color="auto"/>
        <w:right w:val="none" w:sz="0" w:space="0" w:color="auto"/>
      </w:divBdr>
    </w:div>
    <w:div w:id="2097708088">
      <w:marLeft w:val="0"/>
      <w:marRight w:val="0"/>
      <w:marTop w:val="180"/>
      <w:marBottom w:val="0"/>
      <w:divBdr>
        <w:top w:val="none" w:sz="0" w:space="0" w:color="auto"/>
        <w:left w:val="none" w:sz="0" w:space="0" w:color="auto"/>
        <w:bottom w:val="none" w:sz="0" w:space="0" w:color="auto"/>
        <w:right w:val="none" w:sz="0" w:space="0" w:color="auto"/>
      </w:divBdr>
    </w:div>
    <w:div w:id="2102296411">
      <w:marLeft w:val="0"/>
      <w:marRight w:val="0"/>
      <w:marTop w:val="180"/>
      <w:marBottom w:val="0"/>
      <w:divBdr>
        <w:top w:val="none" w:sz="0" w:space="0" w:color="auto"/>
        <w:left w:val="none" w:sz="0" w:space="0" w:color="auto"/>
        <w:bottom w:val="none" w:sz="0" w:space="0" w:color="auto"/>
        <w:right w:val="none" w:sz="0" w:space="0" w:color="auto"/>
      </w:divBdr>
    </w:div>
    <w:div w:id="2102682946">
      <w:marLeft w:val="0"/>
      <w:marRight w:val="0"/>
      <w:marTop w:val="180"/>
      <w:marBottom w:val="0"/>
      <w:divBdr>
        <w:top w:val="none" w:sz="0" w:space="0" w:color="auto"/>
        <w:left w:val="none" w:sz="0" w:space="0" w:color="auto"/>
        <w:bottom w:val="none" w:sz="0" w:space="0" w:color="auto"/>
        <w:right w:val="none" w:sz="0" w:space="0" w:color="auto"/>
      </w:divBdr>
    </w:div>
    <w:div w:id="2107262978">
      <w:marLeft w:val="0"/>
      <w:marRight w:val="0"/>
      <w:marTop w:val="180"/>
      <w:marBottom w:val="0"/>
      <w:divBdr>
        <w:top w:val="none" w:sz="0" w:space="0" w:color="auto"/>
        <w:left w:val="none" w:sz="0" w:space="0" w:color="auto"/>
        <w:bottom w:val="none" w:sz="0" w:space="0" w:color="auto"/>
        <w:right w:val="none" w:sz="0" w:space="0" w:color="auto"/>
      </w:divBdr>
    </w:div>
    <w:div w:id="2114473630">
      <w:marLeft w:val="0"/>
      <w:marRight w:val="0"/>
      <w:marTop w:val="160"/>
      <w:marBottom w:val="0"/>
      <w:divBdr>
        <w:top w:val="none" w:sz="0" w:space="0" w:color="auto"/>
        <w:left w:val="none" w:sz="0" w:space="0" w:color="auto"/>
        <w:bottom w:val="none" w:sz="0" w:space="0" w:color="auto"/>
        <w:right w:val="none" w:sz="0" w:space="0" w:color="auto"/>
      </w:divBdr>
    </w:div>
    <w:div w:id="2116438537">
      <w:marLeft w:val="0"/>
      <w:marRight w:val="0"/>
      <w:marTop w:val="60"/>
      <w:marBottom w:val="0"/>
      <w:divBdr>
        <w:top w:val="none" w:sz="0" w:space="0" w:color="auto"/>
        <w:left w:val="none" w:sz="0" w:space="0" w:color="auto"/>
        <w:bottom w:val="none" w:sz="0" w:space="0" w:color="auto"/>
        <w:right w:val="none" w:sz="0" w:space="0" w:color="auto"/>
      </w:divBdr>
    </w:div>
    <w:div w:id="2129734211">
      <w:marLeft w:val="0"/>
      <w:marRight w:val="0"/>
      <w:marTop w:val="180"/>
      <w:marBottom w:val="0"/>
      <w:divBdr>
        <w:top w:val="none" w:sz="0" w:space="0" w:color="auto"/>
        <w:left w:val="none" w:sz="0" w:space="0" w:color="auto"/>
        <w:bottom w:val="none" w:sz="0" w:space="0" w:color="auto"/>
        <w:right w:val="none" w:sz="0" w:space="0" w:color="auto"/>
      </w:divBdr>
    </w:div>
    <w:div w:id="2142110664">
      <w:marLeft w:val="0"/>
      <w:marRight w:val="0"/>
      <w:marTop w:val="18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10430_g5.jpg" TargetMode="External"/><Relationship Id="rId13" Type="http://schemas.openxmlformats.org/officeDocument/2006/relationships/hyperlink" Target="abm4302021ex102.htm" TargetMode="External"/><Relationship Id="rId18" Type="http://schemas.openxmlformats.org/officeDocument/2006/relationships/hyperlink" Target="abm4302021ex105.htm" TargetMode="External"/><Relationship Id="rId26" Type="http://schemas.openxmlformats.org/officeDocument/2006/relationships/hyperlink" Target="abm4302021ex107.htm" TargetMode="External"/><Relationship Id="rId3" Type="http://schemas.openxmlformats.org/officeDocument/2006/relationships/webSettings" Target="webSettings.xml"/><Relationship Id="rId21" Type="http://schemas.openxmlformats.org/officeDocument/2006/relationships/hyperlink" Target="abm4302021ex105.htm" TargetMode="External"/><Relationship Id="rId7" Type="http://schemas.openxmlformats.org/officeDocument/2006/relationships/image" Target="file:///E:\projects\LLMs\new_data_collection\data_new\htm\ABM%20INDUSTRIES%20INC%20DE\abm-20210430_g4.jpg" TargetMode="External"/><Relationship Id="rId12" Type="http://schemas.openxmlformats.org/officeDocument/2006/relationships/hyperlink" Target="abm4302021ex101.htm" TargetMode="External"/><Relationship Id="rId17" Type="http://schemas.openxmlformats.org/officeDocument/2006/relationships/hyperlink" Target="abm4302021ex104.htm" TargetMode="External"/><Relationship Id="rId25" Type="http://schemas.openxmlformats.org/officeDocument/2006/relationships/hyperlink" Target="abm4302021ex106.htm" TargetMode="External"/><Relationship Id="rId2" Type="http://schemas.openxmlformats.org/officeDocument/2006/relationships/settings" Target="settings.xml"/><Relationship Id="rId16" Type="http://schemas.openxmlformats.org/officeDocument/2006/relationships/hyperlink" Target="abm4302021ex103.htm" TargetMode="External"/><Relationship Id="rId20" Type="http://schemas.openxmlformats.org/officeDocument/2006/relationships/hyperlink" Target="abm4302021ex105.htm" TargetMode="External"/><Relationship Id="rId29" Type="http://schemas.openxmlformats.org/officeDocument/2006/relationships/hyperlink" Target="abm4302021ex312.htm" TargetMode="External"/><Relationship Id="rId1" Type="http://schemas.openxmlformats.org/officeDocument/2006/relationships/styles" Target="styles.xml"/><Relationship Id="rId6" Type="http://schemas.openxmlformats.org/officeDocument/2006/relationships/image" Target="file:///E:\projects\LLMs\new_data_collection\data_new\htm\ABM%20INDUSTRIES%20INC%20DE\abm-20210430_g3.jpg" TargetMode="External"/><Relationship Id="rId11" Type="http://schemas.openxmlformats.org/officeDocument/2006/relationships/image" Target="file:///E:\projects\LLMs\new_data_collection\data_new\htm\ABM%20INDUSTRIES%20INC%20DE\abm-20210430_g8.jpg" TargetMode="External"/><Relationship Id="rId24" Type="http://schemas.openxmlformats.org/officeDocument/2006/relationships/hyperlink" Target="abm4302021ex106.htm" TargetMode="External"/><Relationship Id="rId32" Type="http://schemas.openxmlformats.org/officeDocument/2006/relationships/theme" Target="theme/theme1.xml"/><Relationship Id="rId5" Type="http://schemas.openxmlformats.org/officeDocument/2006/relationships/image" Target="file:///E:\projects\LLMs\new_data_collection\data_new\htm\ABM%20INDUSTRIES%20INC%20DE\abm-20210430_g2.jpg" TargetMode="External"/><Relationship Id="rId15" Type="http://schemas.openxmlformats.org/officeDocument/2006/relationships/hyperlink" Target="abm4302021ex103.htm" TargetMode="External"/><Relationship Id="rId23" Type="http://schemas.openxmlformats.org/officeDocument/2006/relationships/hyperlink" Target="abm4302021ex106.htm" TargetMode="External"/><Relationship Id="rId28" Type="http://schemas.openxmlformats.org/officeDocument/2006/relationships/hyperlink" Target="abm4302021ex311.htm" TargetMode="External"/><Relationship Id="rId10" Type="http://schemas.openxmlformats.org/officeDocument/2006/relationships/image" Target="file:///E:\projects\LLMs\new_data_collection\data_new\htm\ABM%20INDUSTRIES%20INC%20DE\abm-20210430_g7.jpg" TargetMode="External"/><Relationship Id="rId19" Type="http://schemas.openxmlformats.org/officeDocument/2006/relationships/hyperlink" Target="abm4302021ex105.htm" TargetMode="External"/><Relationship Id="rId31" Type="http://schemas.openxmlformats.org/officeDocument/2006/relationships/fontTable" Target="fontTable.xml"/><Relationship Id="rId4" Type="http://schemas.openxmlformats.org/officeDocument/2006/relationships/image" Target="file:///E:\projects\LLMs\new_data_collection\data_new\htm\ABM%20INDUSTRIES%20INC%20DE\abm-20210430_g1.jpg" TargetMode="External"/><Relationship Id="rId9" Type="http://schemas.openxmlformats.org/officeDocument/2006/relationships/image" Target="file:///E:\projects\LLMs\new_data_collection\data_new\htm\ABM%20INDUSTRIES%20INC%20DE\abm-20210430_g6.jpg" TargetMode="External"/><Relationship Id="rId14" Type="http://schemas.openxmlformats.org/officeDocument/2006/relationships/hyperlink" Target="abm4302021ex103.htm" TargetMode="External"/><Relationship Id="rId22" Type="http://schemas.openxmlformats.org/officeDocument/2006/relationships/hyperlink" Target="abm4302021ex105.htm" TargetMode="External"/><Relationship Id="rId27" Type="http://schemas.openxmlformats.org/officeDocument/2006/relationships/hyperlink" Target="abm4302021ex108.htm" TargetMode="External"/><Relationship Id="rId30" Type="http://schemas.openxmlformats.org/officeDocument/2006/relationships/hyperlink" Target="abm4302021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25490</Words>
  <Characters>145298</Characters>
  <Application>Microsoft Office Word</Application>
  <DocSecurity>0</DocSecurity>
  <Lines>1210</Lines>
  <Paragraphs>340</Paragraphs>
  <ScaleCrop>false</ScaleCrop>
  <Company/>
  <LinksUpToDate>false</LinksUpToDate>
  <CharactersWithSpaces>170448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abm-20210430</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