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85CCD">
      <w:pPr>
        <w:divId w:val="749275877"/>
        <w:rPr>
          <w:rFonts w:eastAsia="Times New Roman"/>
          <w:vanish/>
        </w:rPr>
      </w:pPr>
      <w:r>
        <w:rPr>
          <w:rFonts w:eastAsia="Times New Roman"/>
          <w:vanish/>
        </w:rPr>
        <w:t>00007714972021FYFALSEhttp://fasb.org/us-gaap/2021-01-31#AccountingStandardsUpdate201409MemberP1Y</w:t>
      </w:r>
      <w:r>
        <w:rPr>
          <w:rFonts w:eastAsia="Times New Roman"/>
          <w:vanish/>
        </w:rPr>
        <w:t>http://fasb.org/us-gaap/2021-01-31#PropertyPlantAndEquipmentAndFinanceLeaseRightOfUseAssetAfterAccumulatedDepreciationAndAmortizationhttp://fasb.org/us-gaap/2021-01-31#PropertyPlantAndEquipmentAndFinanceLeaseRightOfUseAssetAfterAccumulatedDepreciationAndAm</w:t>
      </w:r>
      <w:r>
        <w:rPr>
          <w:rFonts w:eastAsia="Times New Roman"/>
          <w:vanish/>
        </w:rPr>
        <w:t>ortizationhttp://fasb.org/us-gaap/2021-01-31#OtherAccruedLiabilitiesCurrenthttp://fasb.org/us-gaap/2021-01-31#OtherAccruedLiabilitiesCurrenthttp://fasb.org/us-gaap/2021-01-31#OtherLiabilitiesNoncurrenthttp://fasb.org/us-gaap/2021-01-31#OtherLiabilitiesNonc</w:t>
      </w:r>
      <w:r>
        <w:rPr>
          <w:rFonts w:eastAsia="Times New Roman"/>
          <w:vanish/>
        </w:rPr>
        <w:t>urrent131879376526148540366052390366486542946118939916145047NANANANANANANANA00007714972020-11-012021-10-3100007714972021-04-30iso4217:USD00007714972021-12-21xbrli:shares00007714972021-10-3100007714972020-10-31iso4217:USDxbrli:shares00007714972019-11-012020</w:t>
      </w:r>
      <w:r>
        <w:rPr>
          <w:rFonts w:eastAsia="Times New Roman"/>
          <w:vanish/>
        </w:rPr>
        <w:t>-10-3100007714972018-11-012019-10-310000771497us-gaap:CommonStockMember2020-10-310000771497us-gaap:CommonStockMember2019-10-310000771497us-gaap:CommonStockMember2018-10-310000771497us-gaap:CommonStockMember2020-11-012021-10-310000771497us-gaap:CommonStockM</w:t>
      </w:r>
      <w:r>
        <w:rPr>
          <w:rFonts w:eastAsia="Times New Roman"/>
          <w:vanish/>
        </w:rPr>
        <w:t>ember2019-11-012020-10-310000771497us-gaap:CommonStockMember2018-11-012019-10-310000771497us-gaap:CommonStockMember2021-10-310000771497us-gaap:AdditionalPaidInCapitalMember2020-10-310000771497us-gaap:AdditionalPaidInCapitalMember2019-10-310000771497us-gaap</w:t>
      </w:r>
      <w:r>
        <w:rPr>
          <w:rFonts w:eastAsia="Times New Roman"/>
          <w:vanish/>
        </w:rPr>
        <w:t>:AdditionalPaidInCapitalMember2018-10-310000771497us-gaap:AdditionalPaidInCapitalMember2020-11-012021-10-310000771497us-gaap:AdditionalPaidInCapitalMember2019-11-012020-10-310000771497us-gaap:AdditionalPaidInCapitalMember2018-11-012019-10-310000771497us-ga</w:t>
      </w:r>
      <w:r>
        <w:rPr>
          <w:rFonts w:eastAsia="Times New Roman"/>
          <w:vanish/>
        </w:rPr>
        <w:t>ap:AdditionalPaidInCapitalMember2021-10-310000771497us-gaap:AccumulatedOtherComprehensiveIncomeMember2020-10-310000771497us-gaap:AccumulatedOtherComprehensiveIncomeMember2019-10-310000771497us-gaap:AccumulatedOtherComprehensiveIncomeMember2018-10-310000771</w:t>
      </w:r>
      <w:r>
        <w:rPr>
          <w:rFonts w:eastAsia="Times New Roman"/>
          <w:vanish/>
        </w:rPr>
        <w:t>497us-gaap:AccumulatedOtherComprehensiveIncomeMember2020-11-012021-10-310000771497us-gaap:AccumulatedOtherComprehensiveIncomeMember2019-11-012020-10-310000771497us-gaap:AccumulatedOtherComprehensiveIncomeMember2018-11-012019-10-310000771497us-gaap:Accumula</w:t>
      </w:r>
      <w:r>
        <w:rPr>
          <w:rFonts w:eastAsia="Times New Roman"/>
          <w:vanish/>
        </w:rPr>
        <w:t>tedOtherComprehensiveIncomeMember2021-10-310000771497us-gaap:RetainedEarningsMember2020-10-310000771497us-gaap:RetainedEarningsMember2019-10-310000771497us-gaap:RetainedEarningsMember2018-10-310000771497us-gaap:RetainedEarningsMember2020-11-012021-10-31000</w:t>
      </w:r>
      <w:r>
        <w:rPr>
          <w:rFonts w:eastAsia="Times New Roman"/>
          <w:vanish/>
        </w:rPr>
        <w:t>0771497us-gaap:RetainedEarningsMember2019-11-012020-10-310000771497us-gaap:RetainedEarningsMember2018-11-012019-10-3100007714972017-11-012018-10-310000771497us-gaap:RetainedEarningsMembersrt:CumulativeEffectPeriodOfAdoptionAdjustmentMember2018-10-310000771</w:t>
      </w:r>
      <w:r>
        <w:rPr>
          <w:rFonts w:eastAsia="Times New Roman"/>
          <w:vanish/>
        </w:rPr>
        <w:t>497us-gaap:RetainedEarningsMember2021-10-3100007714972019-10-3100007714972018-10-31abm:industryGroupabm:segment0000771497srt:MinimumMember2021-10-31xbrli:pure0000771497srt:MaximumMember2021-10-310000771497abm:ComputerEquipmentAndSoftwareMembersrt:MinimumMe</w:t>
      </w:r>
      <w:r>
        <w:rPr>
          <w:rFonts w:eastAsia="Times New Roman"/>
          <w:vanish/>
        </w:rPr>
        <w:t>mber2020-11-012021-10-310000771497srt:MaximumMemberabm:ComputerEquipmentAndSoftwareMember2020-11-012021-10-310000771497us-gaap:MachineryAndEquipmentMembersrt:MinimumMember2020-11-012021-10-310000771497srt:MaximumMemberus-gaap:MachineryAndEquipmentMember202</w:t>
      </w:r>
      <w:r>
        <w:rPr>
          <w:rFonts w:eastAsia="Times New Roman"/>
          <w:vanish/>
        </w:rPr>
        <w:t>0-11-012021-10-310000771497us-gaap:TransportationEquipmentMembersrt:MinimumMember2020-11-012021-10-310000771497us-gaap:TransportationEquipmentMembersrt:MaximumMember2020-11-012021-10-310000771497srt:MinimumMemberus-gaap:BuildingMember2020-11-012021-10-3100</w:t>
      </w:r>
      <w:r>
        <w:rPr>
          <w:rFonts w:eastAsia="Times New Roman"/>
          <w:vanish/>
        </w:rPr>
        <w:t>00771497srt:MaximumMemberus-gaap:BuildingMember2020-11-012021-10-310000771497us-gaap:FurnitureAndFixturesMember2020-11-012021-10-310000771497srt:MinimumMember2020-11-012021-10-310000771497srt:MaximumMember2020-11-012021-10-310000771497abm:ManagementReimbur</w:t>
      </w:r>
      <w:r>
        <w:rPr>
          <w:rFonts w:eastAsia="Times New Roman"/>
          <w:vanish/>
        </w:rPr>
        <w:t>sementRevenueMemberabm:BusinessandIndustryMember2020-11-012021-10-310000771497abm:ManagementReimbursementRevenueMemberabm:BusinessandIndustryMember2019-11-012020-10-310000771497abm:ManagementReimbursementRevenueMemberabm:BusinessandIndustryMember2018-11-01</w:t>
      </w:r>
      <w:r>
        <w:rPr>
          <w:rFonts w:eastAsia="Times New Roman"/>
          <w:vanish/>
        </w:rPr>
        <w:t>2019-10-310000771497abm:AviationMemberabm:ManagementReimbursementRevenueMember2020-11-012021-10-310000771497abm:AviationMemberabm:ManagementReimbursementRevenueMember2019-11-012020-10-310000771497abm:AviationMemberabm:ManagementReimbursementRevenueMember20</w:t>
      </w:r>
      <w:r>
        <w:rPr>
          <w:rFonts w:eastAsia="Times New Roman"/>
          <w:vanish/>
        </w:rPr>
        <w:t>18-11-012019-10-310000771497abm:ManagementReimbursementRevenueMember2020-11-012021-10-310000771497abm:ManagementReimbursementRevenueMember2019-11-012020-10-310000771497abm:ManagementReimbursementRevenueMember2018-11-012019-10-310000771497us-gaap:OperatingS</w:t>
      </w:r>
      <w:r>
        <w:rPr>
          <w:rFonts w:eastAsia="Times New Roman"/>
          <w:vanish/>
        </w:rPr>
        <w:t>egmentsMemberabm:BusinessandIndustryMemberabm:JanitorialMember2020-11-012021-10-310000771497us-gaap:OperatingSegmentsMemberabm:JanitorialMemberabm:TechnologyAndManufacturingMember2020-11-012021-10-310000771497abm:EducationMemberus-gaap:OperatingSegmentsMem</w:t>
      </w:r>
      <w:r>
        <w:rPr>
          <w:rFonts w:eastAsia="Times New Roman"/>
          <w:vanish/>
        </w:rPr>
        <w:t>berabm:JanitorialMember2020-11-012021-10-310000771497abm:AviationMemberus-gaap:OperatingSegmentsMemberabm:JanitorialMember2020-11-012021-10-310000771497abm:TechnicalSolutionsMemberus-gaap:OperatingSegmentsMemberabm:JanitorialMember2020-11-012021-10-3100007</w:t>
      </w:r>
      <w:r>
        <w:rPr>
          <w:rFonts w:eastAsia="Times New Roman"/>
          <w:vanish/>
        </w:rPr>
        <w:t>71497us-gaap:OperatingSegmentsMemberabm:JanitorialMember2020-11-012021-10-310000771497us-gaap:ParkingMemberus-gaap:OperatingSegmentsMemberabm:BusinessandIndustryMember2020-11-012021-10-310000771497us-gaap:ParkingMemberus-gaap:OperatingSegmentsMemberabm:Tec</w:t>
      </w:r>
      <w:r>
        <w:rPr>
          <w:rFonts w:eastAsia="Times New Roman"/>
          <w:vanish/>
        </w:rPr>
        <w:t>hnologyAndManufacturingMember2020-11-012021-10-310000771497abm:EducationMemberus-gaap:ParkingMemberus-gaap:OperatingSegmentsMember2020-11-012021-10-310000771497abm:AviationMemberus-gaap:ParkingMemberus-gaap:OperatingSegmentsMember2020-11-012021-10-31000077</w:t>
      </w:r>
      <w:r>
        <w:rPr>
          <w:rFonts w:eastAsia="Times New Roman"/>
          <w:vanish/>
        </w:rPr>
        <w:t>1497abm:TechnicalSolutionsMemberus-gaap:ParkingMemberus-gaap:OperatingSegmentsMember2020-11-012021-10-310000771497us-gaap:ParkingMemberus-gaap:OperatingSegmentsMember2020-11-012021-10-310000771497abm:FacilityServicesMemberus-gaap:OperatingSegmentsMemberabm</w:t>
      </w:r>
      <w:r>
        <w:rPr>
          <w:rFonts w:eastAsia="Times New Roman"/>
          <w:vanish/>
        </w:rPr>
        <w:t>:BusinessandIndustryMember2020-11-012021-10-310000771497abm:FacilityServicesMemberus-gaap:OperatingSegmentsMemberabm:TechnologyAndManufacturingMember2020-11-012021-10-310000771497abm:FacilityServicesMemberabm:EducationMemberus-gaap:OperatingSegmentsMember2</w:t>
      </w:r>
      <w:r>
        <w:rPr>
          <w:rFonts w:eastAsia="Times New Roman"/>
          <w:vanish/>
        </w:rPr>
        <w:t>020-11-012021-10-310000771497abm:FacilityServicesMemberabm:AviationMemberus-gaap:OperatingSegmentsMember2020-11-012021-10-310000771497abm:FacilityServicesMemberabm:TechnicalSolutionsMemberus-gaap:OperatingSegmentsMember2020-11-012021-10-310000771497abm:Fac</w:t>
      </w:r>
      <w:r>
        <w:rPr>
          <w:rFonts w:eastAsia="Times New Roman"/>
          <w:vanish/>
        </w:rPr>
        <w:t>ilityServicesMemberus-gaap:OperatingSegmentsMember2020-11-012021-10-310000771497abm:BuildingEnergySolutionsMemberus-gaap:OperatingSegmentsMemberabm:BusinessandIndustryMember2020-11-012021-10-310000771497abm:BuildingEnergySolutionsMemberus-gaap:OperatingSeg</w:t>
      </w:r>
      <w:r>
        <w:rPr>
          <w:rFonts w:eastAsia="Times New Roman"/>
          <w:vanish/>
        </w:rPr>
        <w:t>mentsMemberabm:TechnologyAndManufacturingMember2020-11-012021-10-310000771497abm:EducationMemberabm:BuildingEnergySolutionsMemberus-gaap:OperatingSegmentsMember2020-11-012021-10-310000771497abm:AviationMemberabm:BuildingEnergySolutionsMemberus-gaap:Operati</w:t>
      </w:r>
      <w:r>
        <w:rPr>
          <w:rFonts w:eastAsia="Times New Roman"/>
          <w:vanish/>
        </w:rPr>
        <w:t>ngSegmentsMember2020-11-012021-10-310000771497abm:TechnicalSolutionsMemberabm:BuildingEnergySolutionsMemberus-gaap:OperatingSegmentsMember2020-11-012021-10-310000771497abm:BuildingEnergySolutionsMemberus-gaap:OperatingSegmentsMember2020-11-012021-10-310000</w:t>
      </w:r>
      <w:r>
        <w:rPr>
          <w:rFonts w:eastAsia="Times New Roman"/>
          <w:vanish/>
        </w:rPr>
        <w:t>771497us-gaap:OperatingSegmentsMemberabm:BusinessandIndustryMemberabm:AirlineServicesMember2020-11-012021-10-310000771497us-gaap:OperatingSegmentsMemberabm:AirlineServicesMemberabm:TechnologyAndManufacturingMember2020-11-012021-10-310000771497abm:Education</w:t>
      </w:r>
      <w:r>
        <w:rPr>
          <w:rFonts w:eastAsia="Times New Roman"/>
          <w:vanish/>
        </w:rPr>
        <w:t>Memberus-gaap:OperatingSegmentsMemberabm:AirlineServicesMember2020-11-012021-10-310000771497abm:AviationMemberus-gaap:OperatingSegmentsMemberabm:AirlineServicesMember2020-11-012021-10-310000771497abm:TechnicalSolutionsMemberus-gaap:OperatingSegmentsMembera</w:t>
      </w:r>
      <w:r>
        <w:rPr>
          <w:rFonts w:eastAsia="Times New Roman"/>
          <w:vanish/>
        </w:rPr>
        <w:t>bm:AirlineServicesMember2020-11-012021-10-310000771497us-gaap:OperatingSegmentsMemberabm:AirlineServicesMember2020-11-012021-10-310000771497us-gaap:OperatingSegmentsMemberabm:BusinessandIndustryMember2020-11-012021-10-310000771497us-gaap:OperatingSegmentsM</w:t>
      </w:r>
      <w:r>
        <w:rPr>
          <w:rFonts w:eastAsia="Times New Roman"/>
          <w:vanish/>
        </w:rPr>
        <w:t>emberabm:TechnologyAndManufacturingMember2020-11-012021-10-310000771497abm:EducationMemberus-gaap:OperatingSegmentsMember2020-11-012021-10-310000771497abm:AviationMemberus-gaap:OperatingSegmentsMember2020-11-012021-10-310000771497abm:TechnicalSolutionsMemb</w:t>
      </w:r>
      <w:r>
        <w:rPr>
          <w:rFonts w:eastAsia="Times New Roman"/>
          <w:vanish/>
        </w:rPr>
        <w:t>erus-gaap:OperatingSegmentsMember2020-11-012021-10-310000771497us-gaap:OperatingSegmentsMember2020-11-012021-10-310000771497us-gaap:IntersegmentEliminationMember2020-11-012021-10-310000771497us-gaap:OperatingSegmentsMemberabm:BusinessandIndustryMemberabm:J</w:t>
      </w:r>
      <w:r>
        <w:rPr>
          <w:rFonts w:eastAsia="Times New Roman"/>
          <w:vanish/>
        </w:rPr>
        <w:t>anitorialMember2019-11-012020-10-310000771497us-gaap:OperatingSegmentsMemberabm:JanitorialMemberabm:TechnologyAndManufacturingMember2019-11-012020-10-310000771497abm:EducationMemberus-gaap:OperatingSegmentsMemberabm:JanitorialMember2019-11-012020-10-310000</w:t>
      </w:r>
      <w:r>
        <w:rPr>
          <w:rFonts w:eastAsia="Times New Roman"/>
          <w:vanish/>
        </w:rPr>
        <w:t>771497abm:AviationMemberus-gaap:OperatingSegmentsMemberabm:JanitorialMember2019-11-012020-10-310000771497abm:TechnicalSolutionsMemberus-gaap:OperatingSegmentsMemberabm:JanitorialMember2019-11-012020-10-310000771497us-gaap:OperatingSegmentsMemberabm:Janitor</w:t>
      </w:r>
      <w:r>
        <w:rPr>
          <w:rFonts w:eastAsia="Times New Roman"/>
          <w:vanish/>
        </w:rPr>
        <w:t>ialMember2019-11-012020-10-310000771497us-gaap:ParkingMemberus-gaap:OperatingSegmentsMemberabm:BusinessandIndustryMember2019-11-012020-10-310000771497us-gaap:ParkingMemberus-gaap:OperatingSegmentsMemberabm:TechnologyAndManufacturingMember2019-11-012020-10-</w:t>
      </w:r>
      <w:r>
        <w:rPr>
          <w:rFonts w:eastAsia="Times New Roman"/>
          <w:vanish/>
        </w:rPr>
        <w:t>310000771497abm:EducationMemberus-gaap:ParkingMemberus-gaap:OperatingSegmentsMember2019-11-012020-10-310000771497abm:AviationMemberus-gaap:ParkingMemberus-gaap:OperatingSegmentsMember2019-11-012020-10-310000771497abm:TechnicalSolutionsMemberus-gaap:Parking</w:t>
      </w:r>
      <w:r>
        <w:rPr>
          <w:rFonts w:eastAsia="Times New Roman"/>
          <w:vanish/>
        </w:rPr>
        <w:t>Memberus-gaap:OperatingSegmentsMember2019-11-012020-10-310000771497us-gaap:ParkingMemberus-gaap:OperatingSegmentsMember2019-11-012020-10-310000771497abm:FacilityServicesMemberus-gaap:OperatingSegmentsMemberabm:BusinessandIndustryMember2019-11-012020-10-310</w:t>
      </w:r>
      <w:r>
        <w:rPr>
          <w:rFonts w:eastAsia="Times New Roman"/>
          <w:vanish/>
        </w:rPr>
        <w:t>000771497abm:FacilityServicesMemberus-gaap:OperatingSegmentsMemberabm:TechnologyAndManufacturingMember2019-11-012020-10-310000771497abm:FacilityServicesMemberabm:EducationMemberus-gaap:OperatingSegmentsMember2019-11-012020-10-310000771497abm:FacilityServic</w:t>
      </w:r>
      <w:r>
        <w:rPr>
          <w:rFonts w:eastAsia="Times New Roman"/>
          <w:vanish/>
        </w:rPr>
        <w:t>esMemberabm:AviationMemberus-gaap:OperatingSegmentsMember2019-11-012020-10-310000771497abm:FacilityServicesMemberabm:TechnicalSolutionsMemberus-gaap:OperatingSegmentsMember2019-11-012020-10-310000771497abm:FacilityServicesMemberus-gaap:OperatingSegmentsMem</w:t>
      </w:r>
      <w:r>
        <w:rPr>
          <w:rFonts w:eastAsia="Times New Roman"/>
          <w:vanish/>
        </w:rPr>
        <w:t>ber2019-11-012020-10-310000771497abm:BuildingEnergySolutionsMemberus-gaap:OperatingSegmentsMemberabm:BusinessandIndustryMember2019-11-012020-10-310000771497abm:BuildingEnergySolutionsMemberus-gaap:OperatingSegmentsMemberabm:TechnologyAndManufacturingMember</w:t>
      </w:r>
      <w:r>
        <w:rPr>
          <w:rFonts w:eastAsia="Times New Roman"/>
          <w:vanish/>
        </w:rPr>
        <w:t>2019-11-012020-10-310000771497abm:EducationMemberabm:BuildingEnergySolutionsMemberus-gaap:OperatingSegmentsMember2019-11-012020-10-310000771497abm:AviationMemberabm:BuildingEnergySolutionsMemberus-gaap:OperatingSegmentsMember2019-11-012020-10-310000771497a</w:t>
      </w:r>
      <w:r>
        <w:rPr>
          <w:rFonts w:eastAsia="Times New Roman"/>
          <w:vanish/>
        </w:rPr>
        <w:t>bm:TechnicalSolutionsMemberabm:BuildingEnergySolutionsMemberus-gaap:OperatingSegmentsMember2019-11-012020-10-310000771497abm:BuildingEnergySolutionsMemberus-gaap:OperatingSegmentsMember2019-11-012020-10-310000771497us-gaap:OperatingSegmentsMemberabm:Busine</w:t>
      </w:r>
      <w:r>
        <w:rPr>
          <w:rFonts w:eastAsia="Times New Roman"/>
          <w:vanish/>
        </w:rPr>
        <w:t>ssandIndustryMemberabm:AirlineServicesMember2019-11-012020-10-310000771497us-gaap:OperatingSegmentsMemberabm:AirlineServicesMemberabm:TechnologyAndManufacturingMember2019-11-012020-10-310000771497abm:EducationMemberus-gaap:OperatingSegmentsMemberabm:Airlin</w:t>
      </w:r>
      <w:r>
        <w:rPr>
          <w:rFonts w:eastAsia="Times New Roman"/>
          <w:vanish/>
        </w:rPr>
        <w:t>eServicesMember2019-11-012020-10-310000771497abm:AviationMemberus-gaap:OperatingSegmentsMemberabm:AirlineServicesMember2019-11-012020-10-310000771497abm:TechnicalSolutionsMemberus-gaap:OperatingSegmentsMemberabm:AirlineServicesMember2019-11-012020-10-31000</w:t>
      </w:r>
      <w:r>
        <w:rPr>
          <w:rFonts w:eastAsia="Times New Roman"/>
          <w:vanish/>
        </w:rPr>
        <w:t>0771497us-gaap:OperatingSegmentsMemberabm:AirlineServicesMember2019-11-012020-10-310000771497us-gaap:OperatingSegmentsMemberabm:BusinessandIndustryMember2019-11-012020-10-310000771497us-gaap:OperatingSegmentsMemberabm:TechnologyAndManufacturingMember2019-1</w:t>
      </w:r>
      <w:r>
        <w:rPr>
          <w:rFonts w:eastAsia="Times New Roman"/>
          <w:vanish/>
        </w:rPr>
        <w:t>1-012020-10-310000771497abm:EducationMemberus-gaap:OperatingSegmentsMember2019-11-012020-10-310000771497abm:AviationMemberus-gaap:OperatingSegmentsMember2019-11-012020-10-310000771497abm:TechnicalSolutionsMemberus-gaap:OperatingSegmentsMember2019-11-012020</w:t>
      </w:r>
      <w:r>
        <w:rPr>
          <w:rFonts w:eastAsia="Times New Roman"/>
          <w:vanish/>
        </w:rPr>
        <w:t>-10-310000771497us-gaap:OperatingSegmentsMember2019-11-012020-10-310000771497us-gaap:IntersegmentEliminationMember2019-11-012020-10-3100007714972021-11-012021-10-310000771497abm:AbleMember2021-09-302021-09-300000771497abm:AbleMember2021-09-300000771497us-g</w:t>
      </w:r>
      <w:r>
        <w:rPr>
          <w:rFonts w:eastAsia="Times New Roman"/>
          <w:vanish/>
        </w:rPr>
        <w:t>aap:RevolvingCreditFacilityMemberabm:AbleMember2021-09-302021-09-300000771497us-gaap:RevolvingCreditFacilityMemberabm:AbleMember2021-09-300000771497us-gaap:CustomerRelationshipsMemberabm:AbleMember2021-09-300000771497us-gaap:TradeNamesMemberabm:AbleMember2</w:t>
      </w:r>
      <w:r>
        <w:rPr>
          <w:rFonts w:eastAsia="Times New Roman"/>
          <w:vanish/>
        </w:rPr>
        <w:t>021-09-300000771497abm:AbleMember2021-10-310000771497us-gaap:CustomerRelationshipsMemberabm:AbleMember2021-09-302021-09-300000771497us-gaap:TradeNamesMemberabm:AbleMember2021-09-302021-09-300000771497abm:AbleMember2020-11-012021-10-310000771497abm:AbleMemb</w:t>
      </w:r>
      <w:r>
        <w:rPr>
          <w:rFonts w:eastAsia="Times New Roman"/>
          <w:vanish/>
        </w:rPr>
        <w:t>er2019-11-012020-10-310000771497us-gaap:OperatingExpenseMember2020-11-012021-10-310000771497us-gaap:OperatingExpenseMember2019-11-012020-10-310000771497us-gaap:SellingGeneralAndAdministrativeExpensesMember2020-11-012021-10-310000771497us-gaap:SellingGenera</w:t>
      </w:r>
      <w:r>
        <w:rPr>
          <w:rFonts w:eastAsia="Times New Roman"/>
          <w:vanish/>
        </w:rPr>
        <w:t>lAndAdministrativeExpensesMember2019-11-012020-10-310000771497us-gaap:RestrictedStockUnitsRSUMember2020-11-012021-10-310000771497us-gaap:RestrictedStockUnitsRSUMember2019-11-012020-10-310000771497us-gaap:RestrictedStockUnitsRSUMember2018-11-012019-10-31000</w:t>
      </w:r>
      <w:r>
        <w:rPr>
          <w:rFonts w:eastAsia="Times New Roman"/>
          <w:vanish/>
        </w:rPr>
        <w:t>0771497us-gaap:EmployeeStockOptionMember2020-11-012021-10-310000771497us-gaap:EmployeeStockOptionMember2019-11-012020-10-310000771497us-gaap:EmployeeStockOptionMember2018-11-012019-10-310000771497us-gaap:PerformanceSharesMember2020-11-012021-10-31000077149</w:t>
      </w:r>
      <w:r>
        <w:rPr>
          <w:rFonts w:eastAsia="Times New Roman"/>
          <w:vanish/>
        </w:rPr>
        <w:t>7us-gaap:PerformanceSharesMember2019-11-012020-10-310000771497us-gaap:PerformanceSharesMember2018-11-012019-10-310000771497us-gaap:FairValueMeasurementsRecurringMemberus-gaap:FairValueInputsLevel1Member2021-10-310000771497us-gaap:FairValueMeasurementsRecur</w:t>
      </w:r>
      <w:r>
        <w:rPr>
          <w:rFonts w:eastAsia="Times New Roman"/>
          <w:vanish/>
        </w:rPr>
        <w:t>ringMemberus-gaap:FairValueInputsLevel1Member2020-10-310000771497us-gaap:FairValueMeasurementsRecurringMemberus-gaap:FairValueInputsLevel2Member2021-10-310000771497us-gaap:FairValueMeasurementsRecurringMemberus-gaap:FairValueInputsLevel2Member2020-10-31000</w:t>
      </w:r>
      <w:r>
        <w:rPr>
          <w:rFonts w:eastAsia="Times New Roman"/>
          <w:vanish/>
        </w:rPr>
        <w:t>0771497us-gaap:CorporateNonSegmentMemberus-gaap:SoftwareDevelopmentMember2021-05-012021-07-310000771497us-gaap:CorporateNonSegmentMemberus-gaap:SoftwareDevelopmentMember2021-10-310000771497us-gaap:MachineryAndEquipmentMember2021-10-310000771497us-gaap:Mach</w:t>
      </w:r>
      <w:r>
        <w:rPr>
          <w:rFonts w:eastAsia="Times New Roman"/>
          <w:vanish/>
        </w:rPr>
        <w:t>ineryAndEquipmentMember2020-10-310000771497abm:ComputerEquipmentAndSoftwareMember2021-10-310000771497abm:ComputerEquipmentAndSoftwareMember2020-10-310000771497us-gaap:TransportationEquipmentMember2021-10-310000771497us-gaap:TransportationEquipmentMember202</w:t>
      </w:r>
      <w:r>
        <w:rPr>
          <w:rFonts w:eastAsia="Times New Roman"/>
          <w:vanish/>
        </w:rPr>
        <w:t>0-10-310000771497us-gaap:LeaseholdImprovementsMember2021-10-310000771497us-gaap:LeaseholdImprovementsMember2020-10-310000771497us-gaap:FurnitureAndFixturesMember2021-10-310000771497us-gaap:FurnitureAndFixturesMember2020-10-310000771497us-gaap:BuildingMembe</w:t>
      </w:r>
      <w:r>
        <w:rPr>
          <w:rFonts w:eastAsia="Times New Roman"/>
          <w:vanish/>
        </w:rPr>
        <w:t>r2021-10-310000771497us-gaap:BuildingMember2020-10-310000771497us-gaap:LandMember2021-10-310000771497us-gaap:LandMember2020-10-310000771497abm:BusinessandIndustryMember2019-10-310000771497abm:TechnologyAndManufacturingMember2019-10-310000771497abm:Educatio</w:t>
      </w:r>
      <w:r>
        <w:rPr>
          <w:rFonts w:eastAsia="Times New Roman"/>
          <w:vanish/>
        </w:rPr>
        <w:t>nMember2019-10-310000771497abm:AviationMember2019-10-310000771497abm:TechnicalSolutionsMember2019-10-310000771497abm:BusinessandIndustryMember2019-11-012020-10-310000771497abm:TechnologyAndManufacturingMember2019-11-012020-10-310000771497abm:EducationMembe</w:t>
      </w:r>
      <w:r>
        <w:rPr>
          <w:rFonts w:eastAsia="Times New Roman"/>
          <w:vanish/>
        </w:rPr>
        <w:t>r2019-11-012020-10-310000771497abm:AviationMember2019-11-012020-10-310000771497abm:TechnicalSolutionsMember2019-11-012020-10-310000771497abm:BusinessandIndustryMember2020-10-310000771497abm:TechnologyAndManufacturingMember2020-10-310000771497abm:EducationM</w:t>
      </w:r>
      <w:r>
        <w:rPr>
          <w:rFonts w:eastAsia="Times New Roman"/>
          <w:vanish/>
        </w:rPr>
        <w:t>ember2020-10-310000771497abm:AviationMember2020-10-310000771497abm:TechnicalSolutionsMember2020-10-310000771497abm:BusinessandIndustryMember2020-11-012021-10-310000771497abm:TechnologyAndManufacturingMember2020-11-012021-10-310000771497abm:EducationMember2</w:t>
      </w:r>
      <w:r>
        <w:rPr>
          <w:rFonts w:eastAsia="Times New Roman"/>
          <w:vanish/>
        </w:rPr>
        <w:t>020-11-012021-10-310000771497abm:AviationMember2020-11-012021-10-310000771497abm:TechnicalSolutionsMember2020-11-012021-10-310000771497abm:BusinessandIndustryMember2021-10-310000771497abm:TechnologyAndManufacturingMember2021-10-310000771497abm:EducationMem</w:t>
      </w:r>
      <w:r>
        <w:rPr>
          <w:rFonts w:eastAsia="Times New Roman"/>
          <w:vanish/>
        </w:rPr>
        <w:t>ber2021-10-310000771497abm:AviationMember2021-10-310000771497abm:TechnicalSolutionsMember2021-10-3100007714972020-02-012020-04-3000007714972021-02-012021-04-30abm:reportingUnit0000771497abm:EducationMember2020-02-012020-04-300000771497abm:AviationMember202</w:t>
      </w:r>
      <w:r>
        <w:rPr>
          <w:rFonts w:eastAsia="Times New Roman"/>
          <w:vanish/>
        </w:rPr>
        <w:t>0-02-012020-04-300000771497abm:TechnicalSolutionsMember2020-02-012020-04-300000771497us-gaap:CustomerRelationshipsMember2021-10-310000771497us-gaap:CustomerRelationshipsMember2020-10-310000771497us-gaap:TrademarksAndTradeNamesMember2021-10-310000771497us-g</w:t>
      </w:r>
      <w:r>
        <w:rPr>
          <w:rFonts w:eastAsia="Times New Roman"/>
          <w:vanish/>
        </w:rPr>
        <w:t>aap:TrademarksAndTradeNamesMember2020-10-310000771497abm:ContractRightsAndOtherMember2021-10-310000771497abm:ContractRightsAndOtherMember2020-10-310000771497abm:AllOtherClaimTypesExcludingMedicalAndDentalSelfInsuranceProgramMember2021-10-310000771497abm:Al</w:t>
      </w:r>
      <w:r>
        <w:rPr>
          <w:rFonts w:eastAsia="Times New Roman"/>
          <w:vanish/>
        </w:rPr>
        <w:t>lOtherClaimTypesExcludingMedicalAndDentalSelfInsuranceProgramMember2020-10-310000771497abm:MedicalAndDentalSelfInsuranceProgramMember2021-10-310000771497abm:MedicalAndDentalSelfInsuranceProgramMember2020-10-310000771497us-gaap:StandbyLettersOfCreditMember2</w:t>
      </w:r>
      <w:r>
        <w:rPr>
          <w:rFonts w:eastAsia="Times New Roman"/>
          <w:vanish/>
        </w:rPr>
        <w:t>021-10-310000771497us-gaap:StandbyLettersOfCreditMember2020-10-310000771497us-gaap:SuretyBondMember2021-10-310000771497us-gaap:SuretyBondMember2020-10-310000771497us-gaap:DepositsMember2021-10-310000771497us-gaap:DepositsMember2020-10-310000771497abm:Prior</w:t>
      </w:r>
      <w:r>
        <w:rPr>
          <w:rFonts w:eastAsia="Times New Roman"/>
          <w:vanish/>
        </w:rPr>
        <w:t>CreditFacilityMemberus-gaap:RevolvingCreditFacilityMemberus-gaap:LineOfCreditMember2017-08-310000771497abm:CreditFacilityMember2017-09-012017-09-010000771497abm:CreditFacilityMemberus-gaap:RevolvingCreditFacilityMemberus-gaap:LineOfCreditMember2017-09-0100</w:t>
      </w:r>
      <w:r>
        <w:rPr>
          <w:rFonts w:eastAsia="Times New Roman"/>
          <w:vanish/>
        </w:rPr>
        <w:t>00771497abm:CreditFacilityMemberus-gaap:LoansPayableMember2017-09-010000771497abm:CreditFacilityMemberus-gaap:RevolvingCreditFacilityMemberus-gaap:LineOfCreditMember2018-09-010000771497us-gaap:RevolvingCreditFacilityMemberus-gaap:LineOfCreditMember2020-03-</w:t>
      </w:r>
      <w:r>
        <w:rPr>
          <w:rFonts w:eastAsia="Times New Roman"/>
          <w:vanish/>
        </w:rPr>
        <w:t>012020-03-310000771497abm:CreditFacilityMemberabm:CovenantPeriodQuarterEndedOctober2020Member2020-05-280000771497abm:CreditFacilityMemberabm:CovenantPeriodQuarterEndingOctober2022Member2020-05-280000771497abm:CreditFacilityMember2020-05-280000771497abm:Cre</w:t>
      </w:r>
      <w:r>
        <w:rPr>
          <w:rFonts w:eastAsia="Times New Roman"/>
          <w:vanish/>
        </w:rPr>
        <w:t>ditFacilityMemberus-gaap:EurodollarMembersrt:MinimumMember2017-09-012017-09-010000771497srt:MaximumMemberabm:CreditFacilityMemberus-gaap:EurodollarMember2017-09-012017-09-010000771497abm:CreditFacilityMembersrt:MinimumMemberus-gaap:BaseRateMember2017-09-01</w:t>
      </w:r>
      <w:r>
        <w:rPr>
          <w:rFonts w:eastAsia="Times New Roman"/>
          <w:vanish/>
        </w:rPr>
        <w:t>2017-09-010000771497srt:MaximumMemberabm:CreditFacilityMemberus-gaap:BaseRateMember2017-09-012017-09-010000771497abm:CreditFacilityMemberus-gaap:RevolvingCreditFacilityMembersrt:MinimumMember2017-09-012017-09-010000771497srt:MaximumMemberabm:CreditFacility</w:t>
      </w:r>
      <w:r>
        <w:rPr>
          <w:rFonts w:eastAsia="Times New Roman"/>
          <w:vanish/>
        </w:rPr>
        <w:t>Memberus-gaap:RevolvingCreditFacilityMember2017-09-012017-09-010000771497abm:CreditFacilityMemberus-gaap:EurodollarMembersrt:MinimumMember2020-05-282020-05-280000771497srt:MaximumMemberabm:CreditFacilityMemberus-gaap:EurodollarMember2020-05-282020-05-28000</w:t>
      </w:r>
      <w:r>
        <w:rPr>
          <w:rFonts w:eastAsia="Times New Roman"/>
          <w:vanish/>
        </w:rPr>
        <w:t>0771497abm:CreditFacilityMembersrt:MinimumMemberus-gaap:BaseRateMember2020-05-282020-05-280000771497srt:MaximumMemberabm:CreditFacilityMemberus-gaap:BaseRateMember2020-05-282020-05-280000771497abm:CreditFacilityMemberus-gaap:RevolvingCreditFacilityMembersr</w:t>
      </w:r>
      <w:r>
        <w:rPr>
          <w:rFonts w:eastAsia="Times New Roman"/>
          <w:vanish/>
        </w:rPr>
        <w:t>t:MinimumMember2020-05-282020-05-280000771497srt:MaximumMemberabm:CreditFacilityMemberus-gaap:RevolvingCreditFacilityMember2020-05-282020-05-280000771497abm:CreditFacilityMemberus-gaap:RevolvingCreditFacilityMemberus-gaap:LineOfCreditMember2021-06-27000077</w:t>
      </w:r>
      <w:r>
        <w:rPr>
          <w:rFonts w:eastAsia="Times New Roman"/>
          <w:vanish/>
        </w:rPr>
        <w:t>1497us-gaap:RevolvingCreditFacilityMemberabm:AmendedCreditFacilityMemberus-gaap:LineOfCreditMember2021-06-280000771497abm:CreditFacilityMemberus-gaap:LoansPayableMember2021-06-270000771497abm:AmendedCreditFacilityMemberus-gaap:LoansPayableMember2021-06-280</w:t>
      </w:r>
      <w:r>
        <w:rPr>
          <w:rFonts w:eastAsia="Times New Roman"/>
          <w:vanish/>
        </w:rPr>
        <w:t>000771497us-gaap:StandbyLettersOfCreditMemberabm:AmendedCreditFacilityMember2021-06-280000771497abm:AmendedCreditFacilityMemberabm:SwingLineLoanMember2021-06-280000771497abm:AmendedCreditFacilityMemberus-gaap:EurodollarMembersrt:MinimumMember2021-06-282021</w:t>
      </w:r>
      <w:r>
        <w:rPr>
          <w:rFonts w:eastAsia="Times New Roman"/>
          <w:vanish/>
        </w:rPr>
        <w:t>-06-280000771497srt:MaximumMemberabm:AmendedCreditFacilityMemberus-gaap:EurodollarMember2021-06-282021-06-280000771497abm:AmendedCreditFacilityMembersrt:MinimumMemberus-gaap:BaseRateMember2021-06-282021-06-280000771497srt:MaximumMemberabm:AmendedCreditFaci</w:t>
      </w:r>
      <w:r>
        <w:rPr>
          <w:rFonts w:eastAsia="Times New Roman"/>
          <w:vanish/>
        </w:rPr>
        <w:t>lityMemberus-gaap:BaseRateMember2021-06-282021-06-280000771497abm:AmendedCreditFacilityMember2021-10-310000771497us-gaap:RevolvingCreditFacilityMemberabm:AmendedCreditFacilityMembersrt:MinimumMember2021-06-282021-06-280000771497srt:MaximumMemberus-gaap:Rev</w:t>
      </w:r>
      <w:r>
        <w:rPr>
          <w:rFonts w:eastAsia="Times New Roman"/>
          <w:vanish/>
        </w:rPr>
        <w:t>olvingCreditFacilityMemberabm:AmendedCreditFacilityMember2021-06-282021-06-280000771497abm:AmendedCreditFacilityMember2021-06-280000771497abm:AmendedCreditFacilityMemberus-gaap:ScenarioPlanMember2021-06-280000771497abm:CreditFacilityMember2021-06-280000771</w:t>
      </w:r>
      <w:r>
        <w:rPr>
          <w:rFonts w:eastAsia="Times New Roman"/>
          <w:vanish/>
        </w:rPr>
        <w:t>497abm:CreditFacilityMemberus-gaap:LoansPayableMember2021-06-2800007714972021-06-280000771497us-gaap:LoansPayableMember2021-06-280000771497us-gaap:LineOfCreditMember2021-06-280000771497us-gaap:LoansPayableMember2021-10-310000771497abm:InterestRateSwapMatur</w:t>
      </w:r>
      <w:r>
        <w:rPr>
          <w:rFonts w:eastAsia="Times New Roman"/>
          <w:vanish/>
        </w:rPr>
        <w:t>ity4302022Member2018-11-010000771497abm:InterestRateSwapMaturity912022Member2018-11-010000771497us-gaap:AccumulatedGainLossNetCashFlowHedgeParentMember2020-11-012021-10-310000771497us-gaap:AccumulatedGainLossNetCashFlowHedgeParentMember2019-11-012020-10-31</w:t>
      </w:r>
      <w:r>
        <w:rPr>
          <w:rFonts w:eastAsia="Times New Roman"/>
          <w:vanish/>
        </w:rPr>
        <w:t>0000771497us-gaap:UnfundedPlanMember2021-10-310000771497us-gaap:EquitySecuritiesMember2021-10-310000771497us-gaap:FixedIncomeFundsMember2021-10-310000771497us-gaap:DeferredCompensationArrangementWithIndividualByTypeOfCompensationPensionAndOtherPostretireme</w:t>
      </w:r>
      <w:r>
        <w:rPr>
          <w:rFonts w:eastAsia="Times New Roman"/>
          <w:vanish/>
        </w:rPr>
        <w:t>ntBenefitsMember2021-10-310000771497us-gaap:DeferredCompensationArrangementWithIndividualByTypeOfCompensationPensionAndOtherPostretirementBenefitsMemberabm:AbleMember2021-09-300000771497us-gaap:DeferredCompensationArrangementWithIndividualByTypeOfCompensat</w:t>
      </w:r>
      <w:r>
        <w:rPr>
          <w:rFonts w:eastAsia="Times New Roman"/>
          <w:vanish/>
        </w:rPr>
        <w:t>ionPensionAndOtherPostretirementBenefitsMember2020-10-310000771497abm:RabbiTrustMember2021-10-310000771497abm:RabbiTrustMember2020-10-310000771497us-gaap:DeferredCompensationArrangementWithIndividualByTypeOfCompensationPensionAndOtherPostretirementBenefits</w:t>
      </w:r>
      <w:r>
        <w:rPr>
          <w:rFonts w:eastAsia="Times New Roman"/>
          <w:vanish/>
        </w:rPr>
        <w:t>Member2020-11-012021-10-310000771497us-gaap:DeferredCompensationArrangementWithIndividualByTypeOfCompensationPensionAndOtherPostretirementBenefitsMember2019-11-012020-10-310000771497us-gaap:DeferredCompensationArrangementWithIndividualByTypeOfCompensationP</w:t>
      </w:r>
      <w:r>
        <w:rPr>
          <w:rFonts w:eastAsia="Times New Roman"/>
          <w:vanish/>
        </w:rPr>
        <w:t>ensionAndOtherPostretirementBenefitsMember2018-11-012019-10-31abm:plan0000771497abm:BuildingService32BJPensionFundMember2020-11-012021-10-310000771497abm:BuildingService32BJPensionFundMember2019-11-012020-10-310000771497us-gaap:PensionPlansDefinedBenefitMe</w:t>
      </w:r>
      <w:r>
        <w:rPr>
          <w:rFonts w:eastAsia="Times New Roman"/>
          <w:vanish/>
        </w:rPr>
        <w:t>mberabm:BuildingService32BJPensionFundMember2020-11-012021-10-310000771497us-gaap:PensionPlansDefinedBenefitMemberabm:BuildingService32BJPensionFundMember2019-11-012020-10-310000771497us-gaap:PensionPlansDefinedBenefitMemberabm:BuildingService32BJPensionFu</w:t>
      </w:r>
      <w:r>
        <w:rPr>
          <w:rFonts w:eastAsia="Times New Roman"/>
          <w:vanish/>
        </w:rPr>
        <w:t>ndMember2018-11-012019-10-310000771497abm:BuildingService32BJPensionFundMembersrt:MinimumMember2020-11-012021-10-310000771497abm:BuildingService32BJPensionFundMembersrt:MaximumMember2020-11-012021-10-310000771497abm:SEIUNationalIndustryPensionFundMember202</w:t>
      </w:r>
      <w:r>
        <w:rPr>
          <w:rFonts w:eastAsia="Times New Roman"/>
          <w:vanish/>
        </w:rPr>
        <w:t>0-11-012021-10-310000771497abm:SEIUNationalIndustryPensionFundMember2019-11-012020-10-310000771497us-gaap:PensionPlansDefinedBenefitMemberabm:SEIUNationalIndustryPensionFundMember2020-11-012021-10-310000771497us-gaap:PensionPlansDefinedBenefitMemberabm:SEI</w:t>
      </w:r>
      <w:r>
        <w:rPr>
          <w:rFonts w:eastAsia="Times New Roman"/>
          <w:vanish/>
        </w:rPr>
        <w:t>UNationalIndustryPensionFundMember2019-11-012020-10-310000771497us-gaap:PensionPlansDefinedBenefitMemberabm:SEIUNationalIndustryPensionFundMember2018-11-012019-10-310000771497abm:SEIUNationalIndustryPensionFundMembersrt:MinimumMember2020-11-012021-10-31000</w:t>
      </w:r>
      <w:r>
        <w:rPr>
          <w:rFonts w:eastAsia="Times New Roman"/>
          <w:vanish/>
        </w:rPr>
        <w:t>0771497srt:MaximumMemberabm:SEIUNationalIndustryPensionFundMember2020-11-012021-10-310000771497abm:IUOEStationaryEngineersLocal39PensionFundMember2020-11-012021-10-310000771497abm:IUOEStationaryEngineersLocal39PensionFundMember2019-11-012020-10-31000077149</w:t>
      </w:r>
      <w:r>
        <w:rPr>
          <w:rFonts w:eastAsia="Times New Roman"/>
          <w:vanish/>
        </w:rPr>
        <w:t>7us-gaap:PensionPlansDefinedBenefitMemberabm:IUOEStationaryEngineersLocal39PensionFundMember2020-11-012021-10-310000771497us-gaap:PensionPlansDefinedBenefitMemberabm:IUOEStationaryEngineersLocal39PensionFundMember2019-11-012020-10-310000771497us-gaap:Pensi</w:t>
      </w:r>
      <w:r>
        <w:rPr>
          <w:rFonts w:eastAsia="Times New Roman"/>
          <w:vanish/>
        </w:rPr>
        <w:t>onPlansDefinedBenefitMemberabm:IUOEStationaryEngineersLocal39PensionFundMember2018-11-012019-10-310000771497srt:MinimumMemberabm:IUOEStationaryEngineersLocal39PensionFundMember2020-11-012021-10-310000771497srt:MaximumMemberabm:IUOEStationaryEngineersLocal3</w:t>
      </w:r>
      <w:r>
        <w:rPr>
          <w:rFonts w:eastAsia="Times New Roman"/>
          <w:vanish/>
        </w:rPr>
        <w:t>9PensionFundMember2020-11-012021-10-310000771497abm:CentralPensionFundOfTheIUOEAndParticipatingEmployersMember2020-11-012021-10-310000771497abm:CentralPensionFundOfTheIUOEAndParticipatingEmployersMember2019-11-012020-10-310000771497us-gaap:PensionPlansDefi</w:t>
      </w:r>
      <w:r>
        <w:rPr>
          <w:rFonts w:eastAsia="Times New Roman"/>
          <w:vanish/>
        </w:rPr>
        <w:t>nedBenefitMemberabm:CentralPensionFundOfTheIUOEAndParticipatingEmployersMember2020-11-012021-10-310000771497us-gaap:PensionPlansDefinedBenefitMemberabm:CentralPensionFundOfTheIUOEAndParticipatingEmployersMember2019-11-012020-10-310000771497us-gaap:PensionP</w:t>
      </w:r>
      <w:r>
        <w:rPr>
          <w:rFonts w:eastAsia="Times New Roman"/>
          <w:vanish/>
        </w:rPr>
        <w:t>lansDefinedBenefitMemberabm:CentralPensionFundOfTheIUOEAndParticipatingEmployersMember2018-11-012019-10-310000771497abm:SEIULocal1AndParticipatingEmployersPensionTrustMember2020-11-012021-10-310000771497abm:SEIULocal1AndParticipatingEmployersPensionTrustMe</w:t>
      </w:r>
      <w:r>
        <w:rPr>
          <w:rFonts w:eastAsia="Times New Roman"/>
          <w:vanish/>
        </w:rPr>
        <w:t>mber2019-11-012020-10-310000771497us-gaap:PensionPlansDefinedBenefitMemberabm:SEIULocal1AndParticipatingEmployersPensionTrustMember2020-11-012021-10-310000771497us-gaap:PensionPlansDefinedBenefitMemberabm:SEIULocal1AndParticipatingEmployersPensionTrustMemb</w:t>
      </w:r>
      <w:r>
        <w:rPr>
          <w:rFonts w:eastAsia="Times New Roman"/>
          <w:vanish/>
        </w:rPr>
        <w:t>er2019-11-012020-10-310000771497us-gaap:PensionPlansDefinedBenefitMemberabm:SEIULocal1AndParticipatingEmployersPensionTrustMember2018-11-012019-10-310000771497abm:WesternConferenceofTeamstersPensionPlanMember2020-11-012021-10-310000771497abm:WesternConfere</w:t>
      </w:r>
      <w:r>
        <w:rPr>
          <w:rFonts w:eastAsia="Times New Roman"/>
          <w:vanish/>
        </w:rPr>
        <w:t>nceofTeamstersPensionPlanMember2019-11-012020-10-310000771497us-gaap:PensionPlansDefinedBenefitMemberabm:WesternConferenceofTeamstersPensionPlanMember2020-11-012021-10-310000771497us-gaap:PensionPlansDefinedBenefitMemberabm:WesternConferenceofTeamstersPens</w:t>
      </w:r>
      <w:r>
        <w:rPr>
          <w:rFonts w:eastAsia="Times New Roman"/>
          <w:vanish/>
        </w:rPr>
        <w:t>ionPlanMember2019-11-012020-10-310000771497us-gaap:PensionPlansDefinedBenefitMemberabm:WesternConferenceofTeamstersPensionPlanMember2018-11-012019-10-310000771497abm:WesternConferenceofTeamstersPensionPlanMembersrt:MinimumMember2020-11-012021-10-3100007714</w:t>
      </w:r>
      <w:r>
        <w:rPr>
          <w:rFonts w:eastAsia="Times New Roman"/>
          <w:vanish/>
        </w:rPr>
        <w:t>97srt:MaximumMemberabm:WesternConferenceofTeamstersPensionPlanMember2020-11-012021-10-310000771497us-gaap:PensionPlansDefinedBenefitMemberabm:OtherPlansMember2020-11-012021-10-310000771497us-gaap:PensionPlansDefinedBenefitMemberabm:OtherPlansMember2019-11-</w:t>
      </w:r>
      <w:r>
        <w:rPr>
          <w:rFonts w:eastAsia="Times New Roman"/>
          <w:vanish/>
        </w:rPr>
        <w:t>012020-10-310000771497us-gaap:PensionPlansDefinedBenefitMemberabm:OtherPlansMember2018-11-012019-10-310000771497us-gaap:PensionPlansDefinedBenefitMember2020-11-012021-10-310000771497us-gaap:PensionPlansDefinedBenefitMember2019-11-012020-10-310000771497us-g</w:t>
      </w:r>
      <w:r>
        <w:rPr>
          <w:rFonts w:eastAsia="Times New Roman"/>
          <w:vanish/>
        </w:rPr>
        <w:t>aap:PensionPlansDefinedBenefitMember2018-11-012019-10-310000771497us-gaap:PensionPlansDefinedBenefitMembersrt:MaximumMember2020-11-012021-10-310000771497us-gaap:PensionPlansDefinedBenefitMembersrt:MaximumMember2019-11-012020-10-310000771497us-gaap:PensionP</w:t>
      </w:r>
      <w:r>
        <w:rPr>
          <w:rFonts w:eastAsia="Times New Roman"/>
          <w:vanish/>
        </w:rPr>
        <w:t>lansDefinedBenefitMembersrt:MinimumMember2020-11-012021-10-310000771497us-gaap:PensionPlansDefinedBenefitMembersrt:MinimumMember2019-11-012020-10-310000771497us-gaap:PensionPlansDefinedBenefitMemberabm:AbleMember2020-11-012021-10-310000771497us-gaap:Pensio</w:t>
      </w:r>
      <w:r>
        <w:rPr>
          <w:rFonts w:eastAsia="Times New Roman"/>
          <w:vanish/>
        </w:rPr>
        <w:t>nPlansDefinedBenefitMemberabm:MultiemployerPlansDefinedContributionPlansMember2020-11-012021-10-310000771497us-gaap:PensionPlansDefinedBenefitMemberabm:MultiemployerPlansDefinedContributionPlansMember2019-11-012020-10-310000771497us-gaap:PensionPlansDefine</w:t>
      </w:r>
      <w:r>
        <w:rPr>
          <w:rFonts w:eastAsia="Times New Roman"/>
          <w:vanish/>
        </w:rPr>
        <w:t>dBenefitMemberabm:MultiemployerPlansDefinedContributionPlansMember2018-11-012019-10-310000771497us-gaap:OtherPostretirementBenefitPlansDefinedBenefitMember2020-11-012021-10-310000771497us-gaap:OtherPostretirementBenefitPlansDefinedBenefitMember2019-11-0120</w:t>
      </w:r>
      <w:r>
        <w:rPr>
          <w:rFonts w:eastAsia="Times New Roman"/>
          <w:vanish/>
        </w:rPr>
        <w:t>20-10-310000771497us-gaap:OtherPostretirementBenefitPlansDefinedBenefitMember2018-11-012019-10-310000771497abm:EnergySavingsContractsMember2021-10-310000771497abm:EnergySavingsContractsMember2020-10-310000771497us-gaap:PendingLitigationMember2021-10-310000</w:t>
      </w:r>
      <w:r>
        <w:rPr>
          <w:rFonts w:eastAsia="Times New Roman"/>
          <w:vanish/>
        </w:rPr>
        <w:t>771497abm:BucioMember2018-09-202018-09-20abm:subclass0000771497abm:BucioMemberus-gaap:SettledLitigationMember2021-07-072021-07-070000771497abm:BucioMemberus-gaap:SettledLitigationMember2021-10-310000771497abm:BucioMemberus-gaap:SettledLitigationMemberus-ga</w:t>
      </w:r>
      <w:r>
        <w:rPr>
          <w:rFonts w:eastAsia="Times New Roman"/>
          <w:vanish/>
        </w:rPr>
        <w:t>ap:OtherCurrentLiabilitiesMember2021-10-310000771497abm:BucioMemberus-gaap:SettledLitigationMember2020-11-012021-10-310000771497abm:A2019ShareRepurchaseProgramMember2019-12-180000771497abm:A2019ShareRepurchaseProgramMember2021-10-310000771497abm:A2021Equit</w:t>
      </w:r>
      <w:r>
        <w:rPr>
          <w:rFonts w:eastAsia="Times New Roman"/>
          <w:vanish/>
        </w:rPr>
        <w:t>yIncentivePlanMember2018-03-310000771497abm:A2021EquityIncentivePlanMember2021-10-310000771497abm:A2004EmployeeStockPurchasePlanMember2016-03-310000771497abm:A2004EmployeeStockPurchasePlanMember2006-05-010000771497abm:A2004EmployeeStockPurchasePlanMember20</w:t>
      </w:r>
      <w:r>
        <w:rPr>
          <w:rFonts w:eastAsia="Times New Roman"/>
          <w:vanish/>
        </w:rPr>
        <w:t>20-11-012021-10-310000771497abm:A2004EmployeeStockPurchasePlanMember2021-10-310000771497us-gaap:RestrictedStockUnitsRSUMember2020-10-310000771497us-gaap:RestrictedStockUnitsRSUMember2021-10-310000771497us-gaap:PerformanceSharesMembersrt:MinimumMember2020-1</w:t>
      </w:r>
      <w:r>
        <w:rPr>
          <w:rFonts w:eastAsia="Times New Roman"/>
          <w:vanish/>
        </w:rPr>
        <w:t>1-012021-10-310000771497srt:MaximumMemberus-gaap:PerformanceSharesMember2020-11-012021-10-310000771497us-gaap:PerformanceSharesMember2020-10-310000771497us-gaap:PerformanceSharesMember2021-10-310000771497us-gaap:PerformanceSharesMember2019-10-310000771497u</w:t>
      </w:r>
      <w:r>
        <w:rPr>
          <w:rFonts w:eastAsia="Times New Roman"/>
          <w:vanish/>
        </w:rPr>
        <w:t>s-gaap:EmployeeStockMember2020-11-012021-10-310000771497us-gaap:EmployeeStockMember2019-11-012020-10-310000771497us-gaap:EmployeeStockMember2018-11-012019-10-3100007714972020-03-272020-12-310000771497us-gaap:StateAndLocalJurisdictionMember2021-10-31abm:sta</w:t>
      </w:r>
      <w:r>
        <w:rPr>
          <w:rFonts w:eastAsia="Times New Roman"/>
          <w:vanish/>
        </w:rPr>
        <w:t>te0000771497us-gaap:OperatingSegmentsMemberabm:BusinessandIndustryMember2018-11-012019-10-310000771497us-gaap:OperatingSegmentsMemberabm:TechnologyAndManufacturingMember2018-11-012019-10-310000771497abm:EducationMemberus-gaap:OperatingSegmentsMember2018-11</w:t>
      </w:r>
      <w:r>
        <w:rPr>
          <w:rFonts w:eastAsia="Times New Roman"/>
          <w:vanish/>
        </w:rPr>
        <w:t>-012019-10-310000771497abm:AviationMemberus-gaap:OperatingSegmentsMember2018-11-012019-10-310000771497abm:TechnicalSolutionsMemberus-gaap:OperatingSegmentsMember2018-11-012019-10-310000771497us-gaap:IntersegmentEliminationMember2018-11-012019-10-3100007714</w:t>
      </w:r>
      <w:r>
        <w:rPr>
          <w:rFonts w:eastAsia="Times New Roman"/>
          <w:vanish/>
        </w:rPr>
        <w:t>97abm:GovernmentServicesMemberus-gaap:OperatingSegmentsMember2020-11-012021-10-310000771497abm:GovernmentServicesMemberus-gaap:OperatingSegmentsMember2019-11-012020-10-310000771497abm:GovernmentServicesMemberus-gaap:OperatingSegmentsMember2018-11-012019-10</w:t>
      </w:r>
      <w:r>
        <w:rPr>
          <w:rFonts w:eastAsia="Times New Roman"/>
          <w:vanish/>
        </w:rPr>
        <w:t>-310000771497us-gaap:CorporateNonSegmentMember2020-11-012021-10-310000771497us-gaap:CorporateNonSegmentMember2019-11-012020-10-310000771497us-gaap:CorporateNonSegmentMember2018-11-012019-10-310000771497us-gaap:MaterialReconcilingItemsMember2020-11-012021-1</w:t>
      </w:r>
      <w:r>
        <w:rPr>
          <w:rFonts w:eastAsia="Times New Roman"/>
          <w:vanish/>
        </w:rPr>
        <w:t>0-310000771497us-gaap:MaterialReconcilingItemsMember2019-11-012020-10-310000771497us-gaap:MaterialReconcilingItemsMember2018-11-012019-10-310000771497country:US2020-11-012021-10-310000771497country:US2019-11-012020-10-310000771497country:US2018-11-012019-1</w:t>
      </w:r>
      <w:r>
        <w:rPr>
          <w:rFonts w:eastAsia="Times New Roman"/>
          <w:vanish/>
        </w:rPr>
        <w:t>0-310000771497us-gaap:NonUsMember2020-11-012021-10-310000771497us-gaap:NonUsMember2019-11-012020-10-310000771497us-gaap:NonUsMember2018-11-012019-10-310000771497us-gaap:AllowanceForCreditLossMember2020-10-310000771497us-gaap:AllowanceForCreditLossMember202</w:t>
      </w:r>
      <w:r>
        <w:rPr>
          <w:rFonts w:eastAsia="Times New Roman"/>
          <w:vanish/>
        </w:rPr>
        <w:t>0-11-012021-10-310000771497us-gaap:AllowanceForCreditLossMember2021-10-310000771497us-gaap:AllowanceForCreditLossMember2019-10-310000771497us-gaap:AllowanceForCreditLossMember2019-11-012020-10-310000771497us-gaap:AllowanceForCreditLossMember2018-10-3100007</w:t>
      </w:r>
      <w:r>
        <w:rPr>
          <w:rFonts w:eastAsia="Times New Roman"/>
          <w:vanish/>
        </w:rPr>
        <w:t>71497us-gaap:AllowanceForCreditLossMember2018-11-012019-10-31</w:t>
      </w:r>
    </w:p>
    <w:p w:rsidR="00000000" w:rsidRDefault="00485CCD">
      <w:pPr>
        <w:jc w:val="center"/>
        <w:divId w:val="10373312"/>
        <w:rPr>
          <w:rFonts w:eastAsia="Times New Roman"/>
        </w:rPr>
      </w:pPr>
    </w:p>
    <w:p w:rsidR="00000000" w:rsidRDefault="00485CCD">
      <w:pPr>
        <w:jc w:val="center"/>
        <w:divId w:val="122063546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08543900"/>
          <w:jc w:val="center"/>
        </w:trPr>
        <w:tc>
          <w:tcPr>
            <w:tcW w:w="50" w:type="pct"/>
            <w:vAlign w:val="center"/>
            <w:hideMark/>
          </w:tcPr>
          <w:p w:rsidR="00000000" w:rsidRDefault="00485CCD">
            <w:pPr>
              <w:jc w:val="center"/>
              <w:rPr>
                <w:rFonts w:eastAsia="Times New Roman"/>
              </w:rPr>
            </w:pPr>
          </w:p>
        </w:tc>
        <w:tc>
          <w:tcPr>
            <w:tcW w:w="49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0854390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center"/>
        <w:rPr>
          <w:rFonts w:eastAsia="Times New Roman"/>
        </w:rPr>
      </w:pPr>
      <w:r>
        <w:rPr>
          <w:rFonts w:eastAsia="Times New Roman"/>
          <w:b/>
          <w:bCs/>
          <w:color w:val="000000"/>
          <w:sz w:val="36"/>
          <w:szCs w:val="36"/>
        </w:rPr>
        <w:t xml:space="preserve">UNITED STATES </w:t>
      </w:r>
    </w:p>
    <w:p w:rsidR="00000000" w:rsidRDefault="00485CCD">
      <w:pPr>
        <w:jc w:val="center"/>
        <w:rPr>
          <w:rFonts w:eastAsia="Times New Roman"/>
        </w:rPr>
      </w:pPr>
      <w:r>
        <w:rPr>
          <w:rFonts w:eastAsia="Times New Roman"/>
          <w:b/>
          <w:bCs/>
          <w:color w:val="000000"/>
          <w:sz w:val="36"/>
          <w:szCs w:val="36"/>
        </w:rPr>
        <w:t>SECURITIES AND EXCHANGE COMMISSION</w:t>
      </w:r>
    </w:p>
    <w:p w:rsidR="00000000" w:rsidRDefault="00485CCD">
      <w:pPr>
        <w:jc w:val="center"/>
        <w:rPr>
          <w:rFonts w:eastAsia="Times New Roman"/>
        </w:rPr>
      </w:pPr>
      <w:r>
        <w:rPr>
          <w:rFonts w:eastAsia="Times New Roman"/>
          <w:b/>
          <w:bCs/>
          <w:color w:val="000000"/>
        </w:rPr>
        <w:t>Washington, D.C. 20549</w:t>
      </w:r>
    </w:p>
    <w:p w:rsidR="00000000" w:rsidRDefault="00485CCD">
      <w:pPr>
        <w:jc w:val="center"/>
        <w:rPr>
          <w:rFonts w:eastAsia="Times New Roman"/>
        </w:rPr>
      </w:pPr>
      <w:r>
        <w:rPr>
          <w:rFonts w:ascii="Arial" w:eastAsia="Times New Roman" w:hAnsi="Arial" w:cs="Arial"/>
          <w:color w:val="000000"/>
          <w:sz w:val="20"/>
          <w:szCs w:val="20"/>
        </w:rPr>
        <w:t>__________________________</w:t>
      </w:r>
    </w:p>
    <w:p w:rsidR="00000000" w:rsidRDefault="00485CCD">
      <w:pPr>
        <w:jc w:val="center"/>
        <w:rPr>
          <w:rFonts w:eastAsia="Times New Roman"/>
        </w:rPr>
      </w:pPr>
      <w:r>
        <w:rPr>
          <w:rFonts w:ascii="Arial" w:eastAsia="Times New Roman" w:hAnsi="Arial" w:cs="Arial"/>
          <w:b/>
          <w:bCs/>
          <w:color w:val="000000"/>
          <w:sz w:val="36"/>
          <w:szCs w:val="36"/>
        </w:rPr>
        <w:t xml:space="preserve">FORM 10-K </w:t>
      </w:r>
    </w:p>
    <w:p w:rsidR="00000000" w:rsidRDefault="00485CCD">
      <w:pPr>
        <w:divId w:val="927732603"/>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484471053"/>
        </w:trPr>
        <w:tc>
          <w:tcPr>
            <w:tcW w:w="50" w:type="pct"/>
            <w:vAlign w:val="center"/>
            <w:hideMark/>
          </w:tcPr>
          <w:p w:rsidR="00000000" w:rsidRDefault="00485CCD">
            <w:pPr>
              <w:rPr>
                <w:rFonts w:eastAsia="Times New Roman"/>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5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84471053"/>
        </w:trPr>
        <w:tc>
          <w:tcPr>
            <w:tcW w:w="0" w:type="auto"/>
            <w:gridSpan w:val="3"/>
            <w:tcMar>
              <w:top w:w="30" w:type="dxa"/>
              <w:left w:w="20" w:type="dxa"/>
              <w:bottom w:w="30" w:type="dxa"/>
              <w:right w:w="20" w:type="dxa"/>
            </w:tcMar>
            <w:hideMark/>
          </w:tcPr>
          <w:p w:rsidR="00000000" w:rsidRDefault="00485CCD">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b/>
                <w:bCs/>
                <w:color w:val="000000"/>
              </w:rPr>
              <w:t>ANNUAL REPORT PURSUANT TO SECTION 13 OR 15(d) OF THE SECURITIES EXCHANGE ACT OF 1934</w:t>
            </w:r>
          </w:p>
        </w:tc>
      </w:tr>
    </w:tbl>
    <w:p w:rsidR="00000000" w:rsidRDefault="00485CCD">
      <w:pPr>
        <w:ind w:firstLine="630"/>
        <w:jc w:val="center"/>
        <w:rPr>
          <w:rFonts w:eastAsia="Times New Roman"/>
        </w:rPr>
      </w:pPr>
      <w:r>
        <w:rPr>
          <w:rFonts w:ascii="Arial" w:eastAsia="Times New Roman" w:hAnsi="Arial" w:cs="Arial"/>
          <w:b/>
          <w:bCs/>
          <w:color w:val="000000"/>
        </w:rPr>
        <w:t xml:space="preserve">For the fiscal year ended </w:t>
      </w:r>
      <w:r>
        <w:rPr>
          <w:rFonts w:ascii="Arial" w:eastAsia="Times New Roman" w:hAnsi="Arial" w:cs="Arial"/>
          <w:b/>
          <w:bCs/>
          <w:color w:val="000000"/>
          <w:u w:val="single"/>
        </w:rPr>
        <w:t xml:space="preserve">October 31, 2021 </w:t>
      </w:r>
    </w:p>
    <w:p w:rsidR="00000000" w:rsidRDefault="00485CCD">
      <w:pPr>
        <w:ind w:firstLine="630"/>
        <w:jc w:val="center"/>
        <w:rPr>
          <w:rFonts w:eastAsia="Times New Roman"/>
        </w:rPr>
      </w:pPr>
      <w:r>
        <w:rPr>
          <w:rFonts w:ascii="Arial" w:eastAsia="Times New Roman" w:hAnsi="Arial" w:cs="Arial"/>
          <w:color w:val="00000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965693581"/>
          <w:jc w:val="center"/>
        </w:trPr>
        <w:tc>
          <w:tcPr>
            <w:tcW w:w="50" w:type="pct"/>
            <w:vAlign w:val="center"/>
            <w:hideMark/>
          </w:tcPr>
          <w:p w:rsidR="00000000" w:rsidRDefault="00485CCD">
            <w:pPr>
              <w:ind w:firstLine="630"/>
              <w:jc w:val="center"/>
              <w:rPr>
                <w:rFonts w:eastAsia="Times New Roman"/>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5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65693581"/>
          <w:jc w:val="center"/>
        </w:trPr>
        <w:tc>
          <w:tcPr>
            <w:tcW w:w="0" w:type="auto"/>
            <w:gridSpan w:val="3"/>
            <w:tcMar>
              <w:top w:w="30" w:type="dxa"/>
              <w:left w:w="20" w:type="dxa"/>
              <w:bottom w:w="30" w:type="dxa"/>
              <w:right w:w="20" w:type="dxa"/>
            </w:tcMar>
            <w:hideMark/>
          </w:tcPr>
          <w:p w:rsidR="00000000" w:rsidRDefault="00485CCD">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485CCD">
      <w:pPr>
        <w:jc w:val="center"/>
        <w:divId w:val="1168911704"/>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485CCD">
      <w:pPr>
        <w:jc w:val="center"/>
        <w:divId w:val="217596994"/>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485CCD">
      <w:pPr>
        <w:jc w:val="center"/>
        <w:divId w:val="1101530621"/>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85CCD">
      <w:pPr>
        <w:jc w:val="center"/>
        <w:divId w:val="978800987"/>
        <w:rPr>
          <w:rFonts w:eastAsia="Times New Roman"/>
        </w:rPr>
      </w:pPr>
      <w:r>
        <w:rPr>
          <w:rFonts w:ascii="Arial" w:eastAsia="Times New Roman" w:hAnsi="Arial" w:cs="Arial"/>
          <w:b/>
          <w:bCs/>
          <w:color w:val="000000"/>
          <w:sz w:val="48"/>
          <w:szCs w:val="48"/>
        </w:rPr>
        <w:t>ABM INDUSTRIES INCORPORATED</w:t>
      </w:r>
    </w:p>
    <w:p w:rsidR="00000000" w:rsidRDefault="00485CCD">
      <w:pPr>
        <w:jc w:val="center"/>
        <w:divId w:val="513804654"/>
        <w:rPr>
          <w:rFonts w:eastAsia="Times New Roman"/>
        </w:rPr>
      </w:pPr>
      <w:r>
        <w:rPr>
          <w:rFonts w:ascii="Arial" w:eastAsia="Times New Roman" w:hAnsi="Arial" w:cs="Arial"/>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47"/>
        <w:gridCol w:w="36"/>
        <w:gridCol w:w="70"/>
        <w:gridCol w:w="2166"/>
        <w:gridCol w:w="36"/>
      </w:tblGrid>
      <w:tr w:rsidR="00000000">
        <w:trPr>
          <w:divId w:val="2102023284"/>
          <w:jc w:val="center"/>
        </w:trPr>
        <w:tc>
          <w:tcPr>
            <w:tcW w:w="50" w:type="pct"/>
            <w:vAlign w:val="center"/>
            <w:hideMark/>
          </w:tcPr>
          <w:p w:rsidR="00000000" w:rsidRDefault="00485CCD">
            <w:pPr>
              <w:jc w:val="center"/>
              <w:rPr>
                <w:rFonts w:eastAsia="Times New Roman"/>
              </w:rPr>
            </w:pPr>
          </w:p>
        </w:tc>
        <w:tc>
          <w:tcPr>
            <w:tcW w:w="131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2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31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102023284"/>
          <w:trHeight w:val="600"/>
          <w:jc w:val="center"/>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Delaware</w:t>
            </w:r>
          </w:p>
        </w:tc>
        <w:tc>
          <w:tcPr>
            <w:tcW w:w="0" w:type="auto"/>
            <w:gridSpan w:val="3"/>
            <w:vMerge w:val="restart"/>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94-1369354</w:t>
            </w:r>
          </w:p>
        </w:tc>
      </w:tr>
      <w:tr w:rsidR="00000000">
        <w:trPr>
          <w:divId w:val="2102023284"/>
          <w:trHeight w:val="600"/>
          <w:jc w:val="center"/>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r>
            <w:r>
              <w:rPr>
                <w:rFonts w:ascii="Arial" w:eastAsia="Times New Roman" w:hAnsi="Arial" w:cs="Arial"/>
                <w:color w:val="000000"/>
                <w:sz w:val="20"/>
                <w:szCs w:val="20"/>
              </w:rPr>
              <w:t>incorporation or organization)</w:t>
            </w:r>
          </w:p>
        </w:tc>
        <w:tc>
          <w:tcPr>
            <w:tcW w:w="0" w:type="auto"/>
            <w:gridSpan w:val="3"/>
            <w:vMerge/>
            <w:vAlign w:val="center"/>
            <w:hideMark/>
          </w:tcPr>
          <w:p w:rsidR="00000000" w:rsidRDefault="00485CCD">
            <w:pP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t>Identification No.)</w:t>
            </w:r>
          </w:p>
        </w:tc>
      </w:tr>
    </w:tbl>
    <w:p w:rsidR="00000000" w:rsidRDefault="00485CCD">
      <w:pPr>
        <w:jc w:val="center"/>
        <w:divId w:val="14618253"/>
        <w:rPr>
          <w:rFonts w:eastAsia="Times New Roman"/>
        </w:rPr>
      </w:pPr>
      <w:r>
        <w:rPr>
          <w:rFonts w:ascii="Arial" w:eastAsia="Times New Roman" w:hAnsi="Arial" w:cs="Arial"/>
          <w:color w:val="000000"/>
          <w:sz w:val="20"/>
          <w:szCs w:val="20"/>
        </w:rPr>
        <w:t>__________________________</w:t>
      </w:r>
    </w:p>
    <w:p w:rsidR="00000000" w:rsidRDefault="00485CCD">
      <w:pPr>
        <w:jc w:val="center"/>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485CCD">
      <w:pPr>
        <w:jc w:val="center"/>
        <w:rPr>
          <w:rFonts w:eastAsia="Times New Roman"/>
        </w:rPr>
      </w:pPr>
      <w:r>
        <w:rPr>
          <w:rFonts w:ascii="Arial" w:eastAsia="Times New Roman" w:hAnsi="Arial" w:cs="Arial"/>
          <w:b/>
          <w:bCs/>
          <w:color w:val="000000"/>
          <w:sz w:val="20"/>
          <w:szCs w:val="20"/>
        </w:rPr>
        <w:t xml:space="preserve">New York, New York 10006 </w:t>
      </w:r>
    </w:p>
    <w:p w:rsidR="00000000" w:rsidRDefault="00485CCD">
      <w:pPr>
        <w:jc w:val="center"/>
        <w:divId w:val="1227494391"/>
        <w:rPr>
          <w:rFonts w:eastAsia="Times New Roman"/>
        </w:rPr>
      </w:pPr>
      <w:r>
        <w:rPr>
          <w:rFonts w:ascii="Arial" w:eastAsia="Times New Roman" w:hAnsi="Arial" w:cs="Arial"/>
          <w:color w:val="000000"/>
          <w:sz w:val="20"/>
          <w:szCs w:val="20"/>
        </w:rPr>
        <w:t>(Address of principal executive offices)</w:t>
      </w:r>
    </w:p>
    <w:p w:rsidR="00000000" w:rsidRDefault="00485CCD">
      <w:pPr>
        <w:jc w:val="center"/>
        <w:divId w:val="1986817678"/>
        <w:rPr>
          <w:rFonts w:eastAsia="Times New Roman"/>
        </w:rPr>
      </w:pPr>
    </w:p>
    <w:p w:rsidR="00000000" w:rsidRDefault="00485CCD">
      <w:pPr>
        <w:jc w:val="center"/>
        <w:divId w:val="1609241349"/>
        <w:rPr>
          <w:rFonts w:eastAsia="Times New Roman"/>
        </w:rPr>
      </w:pPr>
      <w:r>
        <w:rPr>
          <w:rFonts w:ascii="Arial" w:eastAsia="Times New Roman" w:hAnsi="Arial" w:cs="Arial"/>
          <w:b/>
          <w:bCs/>
          <w:color w:val="000000"/>
          <w:sz w:val="20"/>
          <w:szCs w:val="20"/>
          <w:u w:val="single"/>
        </w:rPr>
        <w:t xml:space="preserve">(212) 297-0200 </w:t>
      </w:r>
    </w:p>
    <w:p w:rsidR="00000000" w:rsidRDefault="00485CCD">
      <w:pPr>
        <w:jc w:val="center"/>
        <w:rPr>
          <w:rFonts w:eastAsia="Times New Roman"/>
        </w:rPr>
      </w:pPr>
      <w:r>
        <w:rPr>
          <w:rFonts w:ascii="Arial" w:eastAsia="Times New Roman" w:hAnsi="Arial" w:cs="Arial"/>
          <w:color w:val="000000"/>
          <w:sz w:val="20"/>
          <w:szCs w:val="20"/>
        </w:rPr>
        <w:t>(Registrant’</w:t>
      </w:r>
      <w:r>
        <w:rPr>
          <w:rFonts w:ascii="Arial" w:eastAsia="Times New Roman" w:hAnsi="Arial" w:cs="Arial"/>
          <w:color w:val="000000"/>
          <w:sz w:val="20"/>
          <w:szCs w:val="20"/>
        </w:rPr>
        <w:t xml:space="preserve">s telephone number, including area code) </w:t>
      </w:r>
    </w:p>
    <w:p w:rsidR="00000000" w:rsidRDefault="00485CCD">
      <w:pPr>
        <w:jc w:val="center"/>
        <w:divId w:val="678119971"/>
        <w:rPr>
          <w:rFonts w:eastAsia="Times New Roman"/>
        </w:rPr>
      </w:pPr>
      <w:r>
        <w:rPr>
          <w:rFonts w:ascii="Arial" w:eastAsia="Times New Roman" w:hAnsi="Arial" w:cs="Arial"/>
          <w:color w:val="000000"/>
          <w:sz w:val="20"/>
          <w:szCs w:val="20"/>
        </w:rPr>
        <w:t>__________________</w:t>
      </w:r>
    </w:p>
    <w:p w:rsidR="00000000" w:rsidRDefault="00485CCD">
      <w:pPr>
        <w:jc w:val="center"/>
        <w:divId w:val="994917551"/>
        <w:rPr>
          <w:rFonts w:eastAsia="Times New Roman"/>
        </w:rPr>
      </w:pPr>
      <w:r>
        <w:rPr>
          <w:rFonts w:ascii="Arial" w:eastAsia="Times New Roman" w:hAnsi="Arial" w:cs="Arial"/>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55"/>
        <w:gridCol w:w="36"/>
        <w:gridCol w:w="58"/>
        <w:gridCol w:w="1936"/>
        <w:gridCol w:w="36"/>
        <w:gridCol w:w="36"/>
        <w:gridCol w:w="44"/>
        <w:gridCol w:w="36"/>
        <w:gridCol w:w="59"/>
        <w:gridCol w:w="3237"/>
        <w:gridCol w:w="37"/>
      </w:tblGrid>
      <w:tr w:rsidR="00000000">
        <w:trPr>
          <w:divId w:val="2048022769"/>
          <w:jc w:val="center"/>
        </w:trPr>
        <w:tc>
          <w:tcPr>
            <w:tcW w:w="50" w:type="pct"/>
            <w:vAlign w:val="center"/>
            <w:hideMark/>
          </w:tcPr>
          <w:p w:rsidR="00000000" w:rsidRDefault="00485CCD">
            <w:pPr>
              <w:jc w:val="center"/>
              <w:rPr>
                <w:rFonts w:eastAsia="Times New Roman"/>
              </w:rPr>
            </w:pPr>
          </w:p>
        </w:tc>
        <w:tc>
          <w:tcPr>
            <w:tcW w:w="157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4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18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4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96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48022769"/>
          <w:jc w:val="center"/>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Title of each class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Name of each exchange on which registered</w:t>
            </w:r>
          </w:p>
        </w:tc>
      </w:tr>
      <w:tr w:rsidR="00000000">
        <w:trPr>
          <w:divId w:val="204802276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lastRenderedPageBreak/>
              <w:t>Common Stock, $0.01 par value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ABM</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New York Stock Exchange</w:t>
            </w:r>
          </w:p>
        </w:tc>
      </w:tr>
    </w:tbl>
    <w:p w:rsidR="00000000" w:rsidRDefault="00485CCD">
      <w:pPr>
        <w:jc w:val="center"/>
        <w:divId w:val="1020424838"/>
        <w:rPr>
          <w:rFonts w:eastAsia="Times New Roman"/>
        </w:rPr>
      </w:pPr>
      <w:r>
        <w:rPr>
          <w:rFonts w:ascii="Arial" w:eastAsia="Times New Roman" w:hAnsi="Arial" w:cs="Arial"/>
          <w:color w:val="000000"/>
          <w:sz w:val="20"/>
          <w:szCs w:val="20"/>
        </w:rPr>
        <w:t>__________________________</w:t>
      </w:r>
    </w:p>
    <w:p w:rsidR="00000000" w:rsidRDefault="00485CCD">
      <w:pPr>
        <w:divId w:val="969870378"/>
        <w:rPr>
          <w:rFonts w:eastAsia="Times New Roman"/>
        </w:rPr>
      </w:pPr>
    </w:p>
    <w:p w:rsidR="00000000" w:rsidRDefault="00485CCD">
      <w:pPr>
        <w:rPr>
          <w:rFonts w:eastAsia="Times New Roman"/>
        </w:rPr>
      </w:pPr>
      <w:r>
        <w:rPr>
          <w:rFonts w:eastAsia="Times New Roman"/>
        </w:rPr>
        <w:pict>
          <v:rect id="_x0000_i1027" style="width:0;height:1.5pt" o:hralign="center" o:hrstd="t" o:hr="t" fillcolor="#a0a0a0" stroked="f"/>
        </w:pict>
      </w:r>
    </w:p>
    <w:p w:rsidR="00000000" w:rsidRDefault="00485CCD">
      <w:pPr>
        <w:divId w:val="272707881"/>
        <w:rPr>
          <w:rFonts w:eastAsia="Times New Roman"/>
        </w:rPr>
      </w:pPr>
    </w:p>
    <w:p w:rsidR="00000000" w:rsidRDefault="00485CCD">
      <w:pPr>
        <w:jc w:val="center"/>
        <w:divId w:val="1586451116"/>
        <w:rPr>
          <w:rFonts w:eastAsia="Times New Roman"/>
        </w:rPr>
      </w:pPr>
      <w:r>
        <w:rPr>
          <w:rFonts w:ascii="Arial" w:eastAsia="Times New Roman" w:hAnsi="Arial" w:cs="Arial"/>
          <w:color w:val="000000"/>
          <w:sz w:val="20"/>
          <w:szCs w:val="20"/>
        </w:rPr>
        <w:t>Securities registered pursuant to Section 12(g) of the Act: None</w:t>
      </w:r>
    </w:p>
    <w:p w:rsidR="00000000" w:rsidRDefault="00485CCD">
      <w:pPr>
        <w:jc w:val="center"/>
        <w:divId w:val="564678494"/>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Indicate by check mark if the registrant is not required to file reports pursuant to Section 13 or Section 15(d)</w:t>
      </w:r>
      <w:r>
        <w:rPr>
          <w:rFonts w:ascii="Arial" w:eastAsia="Times New Roman" w:hAnsi="Arial" w:cs="Arial"/>
          <w:color w:val="000000"/>
          <w:sz w:val="20"/>
          <w:szCs w:val="20"/>
        </w:rPr>
        <w:t xml:space="preserve">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w:t>
      </w:r>
      <w:r>
        <w:rPr>
          <w:rFonts w:ascii="Arial" w:eastAsia="Times New Roman" w:hAnsi="Arial" w:cs="Arial"/>
          <w:color w:val="000000"/>
          <w:sz w:val="20"/>
          <w:szCs w:val="20"/>
        </w:rPr>
        <w:t>No  </w:t>
      </w:r>
      <w:r>
        <w:rPr>
          <w:rFonts w:ascii="Segoe UI Emoji" w:eastAsia="Times New Roman" w:hAnsi="Segoe UI Emoji" w:cs="Segoe UI Emoji"/>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 the</w:t>
      </w:r>
      <w:r>
        <w:rPr>
          <w:rFonts w:ascii="Arial" w:eastAsia="Times New Roman" w:hAnsi="Arial" w:cs="Arial"/>
          <w:color w:val="000000"/>
          <w:sz w:val="20"/>
          <w:szCs w:val="20"/>
        </w:rPr>
        <w:t xml:space="preserv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 xml:space="preserve">Indicate by check mark whether the registrant has submitted electronically every Interactive Data File required </w:t>
      </w:r>
      <w:r>
        <w:rPr>
          <w:rFonts w:ascii="Arial" w:eastAsia="Times New Roman" w:hAnsi="Arial" w:cs="Arial"/>
          <w:color w:val="000000"/>
          <w:sz w:val="20"/>
          <w:szCs w:val="20"/>
        </w:rPr>
        <w:t>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Indicate by check mark whether the re</w:t>
      </w:r>
      <w:r>
        <w:rPr>
          <w:rFonts w:ascii="Arial" w:eastAsia="Times New Roman" w:hAnsi="Arial" w:cs="Arial"/>
          <w:color w:val="000000"/>
          <w:sz w:val="20"/>
          <w:szCs w:val="20"/>
        </w:rPr>
        <w:t>gistrant is a large accelerated filer, an accelerated filer, a non-accelerated filer, a smaller reporting company, or an emerging growth company. See the definitions of “large accelerated filer,” “accelerated filer,” “smaller reporting company,” and “emerg</w:t>
      </w:r>
      <w:r>
        <w:rPr>
          <w:rFonts w:ascii="Arial" w:eastAsia="Times New Roman" w:hAnsi="Arial" w:cs="Arial"/>
          <w:color w:val="000000"/>
          <w:sz w:val="20"/>
          <w:szCs w:val="20"/>
        </w:rPr>
        <w:t>ing growth company” in Rule 12b-2 of the Exchange Act.</w:t>
      </w:r>
    </w:p>
    <w:tbl>
      <w:tblPr>
        <w:tblW w:w="4978" w:type="pct"/>
        <w:tblCellMar>
          <w:top w:w="15" w:type="dxa"/>
          <w:left w:w="15" w:type="dxa"/>
          <w:bottom w:w="15" w:type="dxa"/>
          <w:right w:w="15" w:type="dxa"/>
        </w:tblCellMar>
        <w:tblLook w:val="04A0" w:firstRow="1" w:lastRow="0" w:firstColumn="1" w:lastColumn="0" w:noHBand="0" w:noVBand="1"/>
      </w:tblPr>
      <w:tblGrid>
        <w:gridCol w:w="61"/>
        <w:gridCol w:w="1289"/>
        <w:gridCol w:w="36"/>
        <w:gridCol w:w="37"/>
        <w:gridCol w:w="292"/>
        <w:gridCol w:w="36"/>
        <w:gridCol w:w="86"/>
        <w:gridCol w:w="1003"/>
        <w:gridCol w:w="36"/>
        <w:gridCol w:w="37"/>
        <w:gridCol w:w="198"/>
        <w:gridCol w:w="36"/>
        <w:gridCol w:w="69"/>
        <w:gridCol w:w="1093"/>
        <w:gridCol w:w="36"/>
        <w:gridCol w:w="37"/>
        <w:gridCol w:w="198"/>
        <w:gridCol w:w="36"/>
        <w:gridCol w:w="81"/>
        <w:gridCol w:w="1530"/>
        <w:gridCol w:w="36"/>
        <w:gridCol w:w="37"/>
        <w:gridCol w:w="198"/>
        <w:gridCol w:w="36"/>
        <w:gridCol w:w="46"/>
        <w:gridCol w:w="1382"/>
        <w:gridCol w:w="36"/>
        <w:gridCol w:w="37"/>
        <w:gridCol w:w="198"/>
        <w:gridCol w:w="36"/>
      </w:tblGrid>
      <w:tr w:rsidR="00000000">
        <w:trPr>
          <w:divId w:val="37437018"/>
        </w:trPr>
        <w:tc>
          <w:tcPr>
            <w:tcW w:w="50" w:type="pct"/>
            <w:vAlign w:val="center"/>
            <w:hideMark/>
          </w:tcPr>
          <w:p w:rsidR="00000000" w:rsidRDefault="00485CCD">
            <w:pPr>
              <w:jc w:val="both"/>
              <w:rPr>
                <w:rFonts w:eastAsia="Times New Roman"/>
              </w:rPr>
            </w:pPr>
          </w:p>
        </w:tc>
        <w:tc>
          <w:tcPr>
            <w:tcW w:w="8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8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5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7437018"/>
        </w:trPr>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Accelerated</w:t>
            </w:r>
            <w:r>
              <w:rPr>
                <w:rFonts w:ascii="Arial" w:eastAsia="Times New Roman" w:hAnsi="Arial" w:cs="Arial"/>
                <w:color w:val="000000"/>
                <w:sz w:val="20"/>
                <w:szCs w:val="20"/>
              </w:rPr>
              <w:br/>
              <w:t>filer</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Smaller reporting </w:t>
            </w:r>
            <w:r>
              <w:rPr>
                <w:rFonts w:ascii="Arial" w:eastAsia="Times New Roman" w:hAnsi="Arial" w:cs="Arial"/>
                <w:color w:val="000000"/>
                <w:sz w:val="20"/>
                <w:szCs w:val="20"/>
              </w:rPr>
              <w:br/>
              <w:t>company</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485CCD">
            <w:pPr>
              <w:jc w:val="center"/>
              <w:rPr>
                <w:rFonts w:eastAsia="Times New Roman"/>
              </w:rPr>
            </w:pPr>
            <w:r>
              <w:rPr>
                <w:rFonts w:ascii="Segoe UI Symbol" w:eastAsia="Times New Roman" w:hAnsi="Segoe UI Symbol" w:cs="Segoe UI Symbol"/>
                <w:color w:val="000000"/>
                <w:sz w:val="20"/>
                <w:szCs w:val="20"/>
              </w:rPr>
              <w:t>☐</w:t>
            </w:r>
          </w:p>
        </w:tc>
      </w:tr>
    </w:tbl>
    <w:p w:rsidR="00000000" w:rsidRDefault="00485CCD">
      <w:pPr>
        <w:jc w:val="both"/>
        <w:divId w:val="386270709"/>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485CCD">
      <w:pPr>
        <w:jc w:val="both"/>
        <w:divId w:val="114033542"/>
        <w:rPr>
          <w:rFonts w:eastAsia="Times New Roman"/>
        </w:rPr>
      </w:pPr>
      <w:r>
        <w:rPr>
          <w:rFonts w:ascii="Arial" w:eastAsia="Times New Roman" w:hAnsi="Arial" w:cs="Arial"/>
          <w:color w:val="000000"/>
          <w:sz w:val="20"/>
          <w:szCs w:val="20"/>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Arial" w:eastAsia="Times New Roman" w:hAnsi="Arial" w:cs="Arial"/>
          <w:color w:val="000000"/>
          <w:sz w:val="20"/>
          <w:szCs w:val="20"/>
        </w:rPr>
        <w:t xml:space="preserve">he registered public accounting firm that prepared or issued its audit report. </w:t>
      </w:r>
      <w:r>
        <w:rPr>
          <w:rFonts w:ascii="Segoe UI Emoji" w:eastAsia="Times New Roman" w:hAnsi="Segoe UI Emoji" w:cs="Segoe UI Emoji"/>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Emoji" w:eastAsia="Times New Roman" w:hAnsi="Segoe UI Emoji" w:cs="Segoe UI Emoji"/>
          <w:color w:val="000000"/>
          <w:sz w:val="20"/>
          <w:szCs w:val="20"/>
        </w:rPr>
        <w:t>☑</w:t>
      </w:r>
    </w:p>
    <w:p w:rsidR="00000000" w:rsidRDefault="00485CCD">
      <w:pPr>
        <w:jc w:val="both"/>
        <w:rPr>
          <w:rFonts w:eastAsia="Times New Roman"/>
        </w:rPr>
      </w:pPr>
    </w:p>
    <w:p w:rsidR="00000000" w:rsidRDefault="00485CCD">
      <w:pPr>
        <w:jc w:val="both"/>
        <w:rPr>
          <w:rFonts w:eastAsia="Times New Roman"/>
        </w:rPr>
      </w:pPr>
      <w:r>
        <w:rPr>
          <w:rFonts w:ascii="Arial" w:eastAsia="Times New Roman" w:hAnsi="Arial" w:cs="Arial"/>
          <w:color w:val="000000"/>
          <w:sz w:val="20"/>
          <w:szCs w:val="20"/>
        </w:rPr>
        <w:t>Aggregate market value of the registrant’s common sto</w:t>
      </w:r>
      <w:r>
        <w:rPr>
          <w:rFonts w:ascii="Arial" w:eastAsia="Times New Roman" w:hAnsi="Arial" w:cs="Arial"/>
          <w:color w:val="000000"/>
          <w:sz w:val="20"/>
          <w:szCs w:val="20"/>
        </w:rPr>
        <w:t>ck held by non-affiliates of the registrant, based upon the closing price of a share of the registrant’s common stock on April 30, 2021 as reported on the New York Stock Exchange on that date: $3,412,315,302</w:t>
      </w:r>
    </w:p>
    <w:p w:rsidR="00000000" w:rsidRDefault="00485CCD">
      <w:pPr>
        <w:divId w:val="879050157"/>
        <w:rPr>
          <w:rFonts w:eastAsia="Times New Roman"/>
        </w:rPr>
      </w:pPr>
    </w:p>
    <w:p w:rsidR="00000000" w:rsidRDefault="00485CCD">
      <w:pPr>
        <w:divId w:val="693656219"/>
        <w:rPr>
          <w:rFonts w:eastAsia="Times New Roman"/>
        </w:rPr>
      </w:pPr>
      <w:r>
        <w:rPr>
          <w:rFonts w:ascii="Arial" w:eastAsia="Times New Roman" w:hAnsi="Arial" w:cs="Arial"/>
          <w:color w:val="000000"/>
          <w:sz w:val="20"/>
          <w:szCs w:val="20"/>
        </w:rPr>
        <w:t>Number of shares of the registrant’s common st</w:t>
      </w:r>
      <w:r>
        <w:rPr>
          <w:rFonts w:ascii="Arial" w:eastAsia="Times New Roman" w:hAnsi="Arial" w:cs="Arial"/>
          <w:color w:val="000000"/>
          <w:sz w:val="20"/>
          <w:szCs w:val="20"/>
        </w:rPr>
        <w:t>ock outstanding as of December 21, 2021: 67,317,979</w:t>
      </w:r>
    </w:p>
    <w:p w:rsidR="00000000" w:rsidRDefault="00485CCD">
      <w:pPr>
        <w:jc w:val="center"/>
        <w:rPr>
          <w:rFonts w:eastAsia="Times New Roman"/>
        </w:rPr>
      </w:pPr>
      <w:r>
        <w:rPr>
          <w:rFonts w:ascii="Arial" w:eastAsia="Times New Roman" w:hAnsi="Arial" w:cs="Arial"/>
          <w:color w:val="000000"/>
          <w:sz w:val="20"/>
          <w:szCs w:val="20"/>
        </w:rPr>
        <w:t>_______________________________________________ </w:t>
      </w:r>
    </w:p>
    <w:p w:rsidR="00000000" w:rsidRDefault="00485CCD">
      <w:pPr>
        <w:jc w:val="center"/>
        <w:divId w:val="217909650"/>
        <w:rPr>
          <w:rFonts w:eastAsia="Times New Roman"/>
        </w:rPr>
      </w:pPr>
      <w:r>
        <w:rPr>
          <w:rFonts w:ascii="Arial" w:eastAsia="Times New Roman" w:hAnsi="Arial" w:cs="Arial"/>
          <w:b/>
          <w:bCs/>
          <w:color w:val="000000"/>
          <w:sz w:val="20"/>
          <w:szCs w:val="20"/>
        </w:rPr>
        <w:lastRenderedPageBreak/>
        <w:t>DOCUMENTS INCORPORATED BY REFERENCE</w:t>
      </w:r>
    </w:p>
    <w:p w:rsidR="00000000" w:rsidRDefault="00485CCD">
      <w:pPr>
        <w:jc w:val="both"/>
        <w:divId w:val="932127844"/>
        <w:rPr>
          <w:rFonts w:eastAsia="Times New Roman"/>
        </w:rPr>
      </w:pPr>
      <w:r>
        <w:rPr>
          <w:rFonts w:ascii="Arial" w:eastAsia="Times New Roman" w:hAnsi="Arial" w:cs="Arial"/>
          <w:color w:val="000000"/>
          <w:sz w:val="20"/>
          <w:szCs w:val="20"/>
        </w:rPr>
        <w:t>Certain parts of the registrant’s Definitive Proxy Statement relating to the registrant’s 2022 Annual Meeting of Stockh</w:t>
      </w:r>
      <w:r>
        <w:rPr>
          <w:rFonts w:ascii="Arial" w:eastAsia="Times New Roman" w:hAnsi="Arial" w:cs="Arial"/>
          <w:color w:val="000000"/>
          <w:sz w:val="20"/>
          <w:szCs w:val="20"/>
        </w:rPr>
        <w:t>olders are incorporated by reference into Part III of this Annual Report on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95568231"/>
          <w:jc w:val="center"/>
        </w:trPr>
        <w:tc>
          <w:tcPr>
            <w:tcW w:w="50" w:type="pct"/>
            <w:vAlign w:val="center"/>
            <w:hideMark/>
          </w:tcPr>
          <w:p w:rsidR="00000000" w:rsidRDefault="00485CCD">
            <w:pPr>
              <w:jc w:val="both"/>
              <w:rPr>
                <w:rFonts w:eastAsia="Times New Roman"/>
              </w:rPr>
            </w:pPr>
          </w:p>
        </w:tc>
        <w:tc>
          <w:tcPr>
            <w:tcW w:w="49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95568231"/>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center"/>
        <w:divId w:val="1268348146"/>
        <w:rPr>
          <w:rFonts w:eastAsia="Times New Roman"/>
        </w:rPr>
      </w:pPr>
    </w:p>
    <w:p w:rsidR="00000000" w:rsidRDefault="00485CCD">
      <w:pPr>
        <w:divId w:val="111634611"/>
        <w:rPr>
          <w:rFonts w:eastAsia="Times New Roman"/>
        </w:rPr>
      </w:pPr>
    </w:p>
    <w:p w:rsidR="00000000" w:rsidRDefault="00485CCD">
      <w:pPr>
        <w:rPr>
          <w:rFonts w:eastAsia="Times New Roman"/>
        </w:rPr>
      </w:pPr>
      <w:r>
        <w:rPr>
          <w:rFonts w:eastAsia="Times New Roman"/>
        </w:rPr>
        <w:pict>
          <v:rect id="_x0000_i1028" style="width:0;height:1.5pt" o:hralign="center" o:hrstd="t" o:hr="t" fillcolor="#a0a0a0" stroked="f"/>
        </w:pict>
      </w:r>
    </w:p>
    <w:p w:rsidR="00000000" w:rsidRDefault="00485CCD">
      <w:pPr>
        <w:divId w:val="590041404"/>
        <w:rPr>
          <w:rFonts w:eastAsia="Times New Roman"/>
        </w:rPr>
      </w:pPr>
    </w:p>
    <w:p w:rsidR="00000000" w:rsidRDefault="00485CCD">
      <w:pPr>
        <w:jc w:val="center"/>
        <w:divId w:val="2004429072"/>
        <w:rPr>
          <w:rFonts w:eastAsia="Times New Roman"/>
        </w:rPr>
      </w:pPr>
      <w:r>
        <w:rPr>
          <w:rFonts w:ascii="Arial" w:eastAsia="Times New Roman" w:hAnsi="Arial" w:cs="Arial"/>
          <w:b/>
          <w:bCs/>
          <w:color w:val="000000"/>
          <w:sz w:val="20"/>
          <w:szCs w:val="20"/>
        </w:rPr>
        <w:t>ABM INDUSTRIES INCORPORATED AND SUBSIDIARIES</w:t>
      </w:r>
    </w:p>
    <w:p w:rsidR="00000000" w:rsidRDefault="00485CCD">
      <w:pPr>
        <w:jc w:val="center"/>
        <w:divId w:val="1450708591"/>
        <w:rPr>
          <w:rFonts w:eastAsia="Times New Roman"/>
        </w:rPr>
      </w:pPr>
      <w:r>
        <w:rPr>
          <w:rFonts w:ascii="Arial" w:eastAsia="Times New Roman" w:hAnsi="Arial" w:cs="Arial"/>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9"/>
        <w:gridCol w:w="7277"/>
        <w:gridCol w:w="36"/>
        <w:gridCol w:w="69"/>
        <w:gridCol w:w="806"/>
        <w:gridCol w:w="36"/>
      </w:tblGrid>
      <w:tr w:rsidR="00000000">
        <w:trPr>
          <w:divId w:val="1970431665"/>
        </w:trPr>
        <w:tc>
          <w:tcPr>
            <w:tcW w:w="50" w:type="pct"/>
            <w:vAlign w:val="center"/>
            <w:hideMark/>
          </w:tcPr>
          <w:p w:rsidR="00000000" w:rsidRDefault="00485CCD">
            <w:pPr>
              <w:jc w:val="center"/>
              <w:rPr>
                <w:rFonts w:eastAsia="Times New Roman"/>
              </w:rPr>
            </w:pPr>
          </w:p>
        </w:tc>
        <w:tc>
          <w:tcPr>
            <w:tcW w:w="439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9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341153968"/>
              <w:rPr>
                <w:rFonts w:eastAsia="Times New Roman"/>
              </w:rPr>
            </w:pPr>
            <w:hyperlink w:anchor="i4eb6c6320a4d466e9abca1a62108c25f_10" w:history="1">
              <w:r>
                <w:rPr>
                  <w:rStyle w:val="a3"/>
                  <w:rFonts w:ascii="Arial" w:eastAsia="Times New Roman" w:hAnsi="Arial" w:cs="Arial"/>
                  <w:b/>
                  <w:bCs/>
                  <w:sz w:val="16"/>
                  <w:szCs w:val="16"/>
                  <w:u w:val="none"/>
                </w:rPr>
                <w:t>FORWARD-LOOKING STATEMENTS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0" w:history="1">
              <w:r>
                <w:rPr>
                  <w:rStyle w:val="a3"/>
                  <w:rFonts w:ascii="Arial" w:eastAsia="Times New Roman" w:hAnsi="Arial" w:cs="Arial"/>
                  <w:sz w:val="17"/>
                  <w:szCs w:val="17"/>
                </w:rPr>
                <w:t>1</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779229405"/>
              <w:rPr>
                <w:rFonts w:eastAsia="Times New Roman"/>
              </w:rPr>
            </w:pPr>
            <w:hyperlink w:anchor="i4eb6c6320a4d466e9abca1a62108c25f_13" w:history="1">
              <w:r>
                <w:rPr>
                  <w:rStyle w:val="a3"/>
                  <w:rFonts w:ascii="Arial" w:eastAsia="Times New Roman" w:hAnsi="Arial" w:cs="Arial"/>
                  <w:b/>
                  <w:bCs/>
                  <w:sz w:val="16"/>
                  <w:szCs w:val="16"/>
                  <w:u w:val="none"/>
                </w:rPr>
                <w:t>PART I</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3" w:history="1">
              <w:r>
                <w:rPr>
                  <w:rStyle w:val="a3"/>
                  <w:rFonts w:ascii="Arial" w:eastAsia="Times New Roman" w:hAnsi="Arial" w:cs="Arial"/>
                  <w:sz w:val="17"/>
                  <w:szCs w:val="17"/>
                </w:rPr>
                <w:t>2</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440638068"/>
              <w:rPr>
                <w:rFonts w:eastAsia="Times New Roman"/>
              </w:rPr>
            </w:pPr>
            <w:hyperlink w:anchor="i4eb6c6320a4d466e9abca1a62108c25f_16" w:history="1">
              <w:r>
                <w:rPr>
                  <w:rStyle w:val="a3"/>
                  <w:rFonts w:ascii="Arial" w:eastAsia="Times New Roman" w:hAnsi="Arial" w:cs="Arial"/>
                  <w:sz w:val="16"/>
                  <w:szCs w:val="16"/>
                  <w:u w:val="none"/>
                </w:rPr>
                <w:t>Item 1. Business.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6" w:history="1">
              <w:r>
                <w:rPr>
                  <w:rStyle w:val="a3"/>
                  <w:rFonts w:ascii="Arial" w:eastAsia="Times New Roman" w:hAnsi="Arial" w:cs="Arial"/>
                  <w:sz w:val="17"/>
                  <w:szCs w:val="17"/>
                </w:rPr>
                <w:t>2</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492983204"/>
              <w:rPr>
                <w:rFonts w:eastAsia="Times New Roman"/>
              </w:rPr>
            </w:pPr>
            <w:hyperlink w:anchor="i4eb6c6320a4d466e9abca1a62108c25f_19" w:history="1">
              <w:r>
                <w:rPr>
                  <w:rStyle w:val="a3"/>
                  <w:rFonts w:ascii="Arial" w:eastAsia="Times New Roman" w:hAnsi="Arial" w:cs="Arial"/>
                  <w:sz w:val="16"/>
                  <w:szCs w:val="16"/>
                  <w:u w:val="none"/>
                </w:rPr>
                <w:t>Item 1A. Risk Factors.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9" w:history="1">
              <w:r>
                <w:rPr>
                  <w:rStyle w:val="a3"/>
                  <w:rFonts w:ascii="Arial" w:eastAsia="Times New Roman" w:hAnsi="Arial" w:cs="Arial"/>
                  <w:sz w:val="17"/>
                  <w:szCs w:val="17"/>
                </w:rPr>
                <w:t>10</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808398568"/>
              <w:rPr>
                <w:rFonts w:eastAsia="Times New Roman"/>
              </w:rPr>
            </w:pPr>
            <w:hyperlink w:anchor="i4eb6c6320a4d466e9abca1a62108c25f_22" w:history="1">
              <w:r>
                <w:rPr>
                  <w:rStyle w:val="a3"/>
                  <w:rFonts w:ascii="Arial" w:eastAsia="Times New Roman" w:hAnsi="Arial" w:cs="Arial"/>
                  <w:sz w:val="16"/>
                  <w:szCs w:val="16"/>
                  <w:u w:val="none"/>
                </w:rPr>
                <w:t>Item 1B. Unresolved Staff Comments.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2" w:history="1">
              <w:r>
                <w:rPr>
                  <w:rStyle w:val="a3"/>
                  <w:rFonts w:ascii="Arial" w:eastAsia="Times New Roman" w:hAnsi="Arial" w:cs="Arial"/>
                  <w:sz w:val="17"/>
                  <w:szCs w:val="17"/>
                </w:rPr>
                <w:t>18</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93809679"/>
              <w:rPr>
                <w:rFonts w:eastAsia="Times New Roman"/>
              </w:rPr>
            </w:pPr>
            <w:hyperlink w:anchor="i4eb6c6320a4d466e9abca1a62108c25f_25" w:history="1">
              <w:r>
                <w:rPr>
                  <w:rStyle w:val="a3"/>
                  <w:rFonts w:ascii="Arial" w:eastAsia="Times New Roman" w:hAnsi="Arial" w:cs="Arial"/>
                  <w:sz w:val="16"/>
                  <w:szCs w:val="16"/>
                  <w:u w:val="none"/>
                </w:rPr>
                <w:t>Item 2. Properties.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5" w:history="1">
              <w:r>
                <w:rPr>
                  <w:rStyle w:val="a3"/>
                  <w:rFonts w:ascii="Arial" w:eastAsia="Times New Roman" w:hAnsi="Arial" w:cs="Arial"/>
                  <w:sz w:val="17"/>
                  <w:szCs w:val="17"/>
                </w:rPr>
                <w:t>19</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371879464"/>
              <w:rPr>
                <w:rFonts w:eastAsia="Times New Roman"/>
              </w:rPr>
            </w:pPr>
            <w:hyperlink w:anchor="i4eb6c6320a4d466e9abca1a62108c25f_28" w:history="1">
              <w:r>
                <w:rPr>
                  <w:rStyle w:val="a3"/>
                  <w:rFonts w:ascii="Arial" w:eastAsia="Times New Roman" w:hAnsi="Arial" w:cs="Arial"/>
                  <w:sz w:val="16"/>
                  <w:szCs w:val="16"/>
                  <w:u w:val="none"/>
                </w:rPr>
                <w:t>Item 3. Legal Proceedings.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8" w:history="1">
              <w:r>
                <w:rPr>
                  <w:rStyle w:val="a3"/>
                  <w:rFonts w:ascii="Arial" w:eastAsia="Times New Roman" w:hAnsi="Arial" w:cs="Arial"/>
                  <w:sz w:val="17"/>
                  <w:szCs w:val="17"/>
                </w:rPr>
                <w:t>19</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2108190379"/>
              <w:rPr>
                <w:rFonts w:eastAsia="Times New Roman"/>
              </w:rPr>
            </w:pPr>
            <w:hyperlink w:anchor="i4eb6c6320a4d466e9abca1a62108c25f_31" w:history="1">
              <w:r>
                <w:rPr>
                  <w:rStyle w:val="a3"/>
                  <w:rFonts w:ascii="Arial" w:eastAsia="Times New Roman" w:hAnsi="Arial" w:cs="Arial"/>
                  <w:sz w:val="16"/>
                  <w:szCs w:val="16"/>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31" w:history="1">
              <w:r>
                <w:rPr>
                  <w:rStyle w:val="a3"/>
                  <w:rFonts w:ascii="Arial" w:eastAsia="Times New Roman" w:hAnsi="Arial" w:cs="Arial"/>
                  <w:sz w:val="17"/>
                  <w:szCs w:val="17"/>
                </w:rPr>
                <w:t>19</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172795603"/>
              <w:rPr>
                <w:rFonts w:eastAsia="Times New Roman"/>
              </w:rPr>
            </w:pPr>
            <w:hyperlink w:anchor="i4eb6c6320a4d466e9abca1a62108c25f_34" w:history="1">
              <w:r>
                <w:rPr>
                  <w:rStyle w:val="a3"/>
                  <w:rFonts w:ascii="Arial" w:eastAsia="Times New Roman" w:hAnsi="Arial" w:cs="Arial"/>
                  <w:b/>
                  <w:bCs/>
                  <w:sz w:val="16"/>
                  <w:szCs w:val="16"/>
                  <w:u w:val="none"/>
                </w:rPr>
                <w:t>PART II</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34" w:history="1">
              <w:r>
                <w:rPr>
                  <w:rStyle w:val="a3"/>
                  <w:rFonts w:ascii="Arial" w:eastAsia="Times New Roman" w:hAnsi="Arial" w:cs="Arial"/>
                  <w:sz w:val="17"/>
                  <w:szCs w:val="17"/>
                </w:rPr>
                <w:t>20</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2100173092"/>
              <w:rPr>
                <w:rFonts w:eastAsia="Times New Roman"/>
              </w:rPr>
            </w:pPr>
            <w:hyperlink w:anchor="i4eb6c6320a4d466e9abca1a62108c25f_37" w:history="1">
              <w:r>
                <w:rPr>
                  <w:rStyle w:val="a3"/>
                  <w:rFonts w:ascii="Arial" w:eastAsia="Times New Roman" w:hAnsi="Arial" w:cs="Arial"/>
                  <w:sz w:val="16"/>
                  <w:szCs w:val="16"/>
                  <w:u w:val="none"/>
                </w:rPr>
                <w:t>Item 5. Market for Registrant’</w:t>
              </w:r>
              <w:r>
                <w:rPr>
                  <w:rStyle w:val="a3"/>
                  <w:rFonts w:ascii="Arial" w:eastAsia="Times New Roman" w:hAnsi="Arial" w:cs="Arial"/>
                  <w:sz w:val="16"/>
                  <w:szCs w:val="16"/>
                  <w:u w:val="none"/>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37" w:history="1">
              <w:r>
                <w:rPr>
                  <w:rStyle w:val="a3"/>
                  <w:rFonts w:ascii="Arial" w:eastAsia="Times New Roman" w:hAnsi="Arial" w:cs="Arial"/>
                  <w:sz w:val="17"/>
                  <w:szCs w:val="17"/>
                </w:rPr>
                <w:t>20</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2018799173"/>
              <w:rPr>
                <w:rFonts w:eastAsia="Times New Roman"/>
              </w:rPr>
            </w:pPr>
            <w:hyperlink w:anchor="i4eb6c6320a4d466e9abca1a62108c25f_1823" w:history="1">
              <w:r>
                <w:rPr>
                  <w:rStyle w:val="a3"/>
                  <w:rFonts w:ascii="Arial" w:eastAsia="Times New Roman" w:hAnsi="Arial" w:cs="Arial"/>
                  <w:sz w:val="16"/>
                  <w:szCs w:val="16"/>
                  <w:u w:val="none"/>
                </w:rPr>
                <w:t>Item 6.</w:t>
              </w:r>
            </w:hyperlink>
            <w:hyperlink w:anchor="i4eb6c6320a4d466e9abca1a62108c25f_1823" w:history="1">
              <w:r>
                <w:rPr>
                  <w:rStyle w:val="a3"/>
                  <w:rFonts w:ascii="Arial" w:eastAsia="Times New Roman" w:hAnsi="Arial" w:cs="Arial"/>
                  <w:sz w:val="16"/>
                  <w:szCs w:val="16"/>
                  <w:u w:val="none"/>
                </w:rPr>
                <w:t xml:space="preserve"> [</w:t>
              </w:r>
            </w:hyperlink>
            <w:hyperlink w:anchor="i4eb6c6320a4d466e9abca1a62108c25f_1823" w:history="1">
              <w:r>
                <w:rPr>
                  <w:rStyle w:val="a3"/>
                  <w:rFonts w:ascii="Arial" w:eastAsia="Times New Roman" w:hAnsi="Arial" w:cs="Arial"/>
                  <w:sz w:val="16"/>
                  <w:szCs w:val="16"/>
                  <w:u w:val="none"/>
                </w:rPr>
                <w:t>Reserved]</w:t>
              </w:r>
            </w:hyperlink>
            <w:hyperlink w:anchor="i4eb6c6320a4d466e9abca1a62108c25f_1823" w:history="1">
              <w:r>
                <w:rPr>
                  <w:rStyle w:val="a3"/>
                  <w:rFonts w:ascii="Arial" w:eastAsia="Times New Roman" w:hAnsi="Arial" w:cs="Arial"/>
                  <w:sz w:val="16"/>
                  <w:szCs w:val="16"/>
                  <w:u w:val="none"/>
                </w:rPr>
                <w:t>.</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823" w:history="1">
              <w:r>
                <w:rPr>
                  <w:rStyle w:val="a3"/>
                  <w:rFonts w:ascii="Arial" w:eastAsia="Times New Roman" w:hAnsi="Arial" w:cs="Arial"/>
                  <w:sz w:val="17"/>
                  <w:szCs w:val="17"/>
                </w:rPr>
                <w:t>22</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65882799"/>
              <w:rPr>
                <w:rFonts w:eastAsia="Times New Roman"/>
              </w:rPr>
            </w:pPr>
            <w:hyperlink w:anchor="i4eb6c6320a4d466e9abca1a62108c25f_43" w:history="1">
              <w:r>
                <w:rPr>
                  <w:rStyle w:val="a3"/>
                  <w:rFonts w:ascii="Arial" w:eastAsia="Times New Roman" w:hAnsi="Arial" w:cs="Arial"/>
                  <w:sz w:val="16"/>
                  <w:szCs w:val="16"/>
                  <w:u w:val="none"/>
                </w:rPr>
                <w:t>Item 7. Management’</w:t>
              </w:r>
              <w:r>
                <w:rPr>
                  <w:rStyle w:val="a3"/>
                  <w:rFonts w:ascii="Arial" w:eastAsia="Times New Roman" w:hAnsi="Arial" w:cs="Arial"/>
                  <w:sz w:val="16"/>
                  <w:szCs w:val="16"/>
                  <w:u w:val="none"/>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43" w:history="1">
              <w:r>
                <w:rPr>
                  <w:rStyle w:val="a3"/>
                  <w:rFonts w:ascii="Arial" w:eastAsia="Times New Roman" w:hAnsi="Arial" w:cs="Arial"/>
                  <w:sz w:val="17"/>
                  <w:szCs w:val="17"/>
                </w:rPr>
                <w:t>22</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806095680"/>
              <w:rPr>
                <w:rFonts w:eastAsia="Times New Roman"/>
              </w:rPr>
            </w:pPr>
            <w:hyperlink w:anchor="i4eb6c6320a4d466e9abca1a62108c25f_70" w:history="1">
              <w:r>
                <w:rPr>
                  <w:rStyle w:val="a3"/>
                  <w:rFonts w:ascii="Arial" w:eastAsia="Times New Roman" w:hAnsi="Arial" w:cs="Arial"/>
                  <w:sz w:val="16"/>
                  <w:szCs w:val="16"/>
                  <w:u w:val="none"/>
                </w:rPr>
                <w:t>Item 7A. Quantitative and Qualitative Disclosures Abou</w:t>
              </w:r>
              <w:r>
                <w:rPr>
                  <w:rStyle w:val="a3"/>
                  <w:rFonts w:ascii="Arial" w:eastAsia="Times New Roman" w:hAnsi="Arial" w:cs="Arial"/>
                  <w:sz w:val="16"/>
                  <w:szCs w:val="16"/>
                  <w:u w:val="none"/>
                </w:rPr>
                <w:t>t Market Risk.</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70" w:history="1">
              <w:r>
                <w:rPr>
                  <w:rStyle w:val="a3"/>
                  <w:rFonts w:ascii="Arial" w:eastAsia="Times New Roman" w:hAnsi="Arial" w:cs="Arial"/>
                  <w:sz w:val="17"/>
                  <w:szCs w:val="17"/>
                </w:rPr>
                <w:t>44</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493568748"/>
              <w:rPr>
                <w:rFonts w:eastAsia="Times New Roman"/>
              </w:rPr>
            </w:pPr>
            <w:hyperlink w:anchor="i4eb6c6320a4d466e9abca1a62108c25f_73" w:history="1">
              <w:r>
                <w:rPr>
                  <w:rStyle w:val="a3"/>
                  <w:rFonts w:ascii="Arial" w:eastAsia="Times New Roman" w:hAnsi="Arial" w:cs="Arial"/>
                  <w:sz w:val="16"/>
                  <w:szCs w:val="16"/>
                  <w:u w:val="none"/>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73" w:history="1">
              <w:r>
                <w:rPr>
                  <w:rStyle w:val="a3"/>
                  <w:rFonts w:ascii="Arial" w:eastAsia="Times New Roman" w:hAnsi="Arial" w:cs="Arial"/>
                  <w:sz w:val="17"/>
                  <w:szCs w:val="17"/>
                </w:rPr>
                <w:t>45</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2127892516"/>
              <w:rPr>
                <w:rFonts w:eastAsia="Times New Roman"/>
              </w:rPr>
            </w:pPr>
            <w:hyperlink w:anchor="i4eb6c6320a4d466e9abca1a62108c25f_181" w:history="1">
              <w:r>
                <w:rPr>
                  <w:rStyle w:val="a3"/>
                  <w:rFonts w:ascii="Arial" w:eastAsia="Times New Roman" w:hAnsi="Arial" w:cs="Arial"/>
                  <w:sz w:val="16"/>
                  <w:szCs w:val="16"/>
                  <w:u w:val="none"/>
                </w:rPr>
                <w:t>Item </w:t>
              </w:r>
              <w:r>
                <w:rPr>
                  <w:rStyle w:val="a3"/>
                  <w:rFonts w:ascii="Arial" w:eastAsia="Times New Roman" w:hAnsi="Arial" w:cs="Arial"/>
                  <w:sz w:val="16"/>
                  <w:szCs w:val="16"/>
                  <w:u w:val="none"/>
                </w:rPr>
                <w:t>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81" w:history="1">
              <w:r>
                <w:rPr>
                  <w:rStyle w:val="a3"/>
                  <w:rFonts w:ascii="Arial" w:eastAsia="Times New Roman" w:hAnsi="Arial" w:cs="Arial"/>
                  <w:sz w:val="17"/>
                  <w:szCs w:val="17"/>
                </w:rPr>
                <w:t>94</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165393660"/>
              <w:rPr>
                <w:rFonts w:eastAsia="Times New Roman"/>
              </w:rPr>
            </w:pPr>
            <w:hyperlink w:anchor="i4eb6c6320a4d466e9abca1a62108c25f_184" w:history="1">
              <w:r>
                <w:rPr>
                  <w:rStyle w:val="a3"/>
                  <w:rFonts w:ascii="Arial" w:eastAsia="Times New Roman" w:hAnsi="Arial" w:cs="Arial"/>
                  <w:sz w:val="16"/>
                  <w:szCs w:val="16"/>
                  <w:u w:val="none"/>
                </w:rPr>
                <w:t>Item 9A. Controls and Procedures.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84" w:history="1">
              <w:r>
                <w:rPr>
                  <w:rStyle w:val="a3"/>
                  <w:rFonts w:ascii="Arial" w:eastAsia="Times New Roman" w:hAnsi="Arial" w:cs="Arial"/>
                  <w:sz w:val="17"/>
                  <w:szCs w:val="17"/>
                </w:rPr>
                <w:t>94</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892889999"/>
              <w:rPr>
                <w:rFonts w:eastAsia="Times New Roman"/>
              </w:rPr>
            </w:pPr>
            <w:hyperlink w:anchor="i4eb6c6320a4d466e9abca1a62108c25f_187" w:history="1">
              <w:r>
                <w:rPr>
                  <w:rStyle w:val="a3"/>
                  <w:rFonts w:ascii="Arial" w:eastAsia="Times New Roman" w:hAnsi="Arial" w:cs="Arial"/>
                  <w:sz w:val="16"/>
                  <w:szCs w:val="16"/>
                  <w:u w:val="none"/>
                </w:rPr>
                <w:t>Item 9B. Other Information.</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87" w:history="1">
              <w:r>
                <w:rPr>
                  <w:rStyle w:val="a3"/>
                  <w:rFonts w:ascii="Arial" w:eastAsia="Times New Roman" w:hAnsi="Arial" w:cs="Arial"/>
                  <w:sz w:val="17"/>
                  <w:szCs w:val="17"/>
                </w:rPr>
                <w:t>95</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784108790"/>
              <w:rPr>
                <w:rFonts w:eastAsia="Times New Roman"/>
              </w:rPr>
            </w:pPr>
            <w:hyperlink w:anchor="i4eb6c6320a4d466e9abca1a62108c25f_190" w:history="1">
              <w:r>
                <w:rPr>
                  <w:rStyle w:val="a3"/>
                  <w:rFonts w:ascii="Arial" w:eastAsia="Times New Roman" w:hAnsi="Arial" w:cs="Arial"/>
                  <w:b/>
                  <w:bCs/>
                  <w:sz w:val="16"/>
                  <w:szCs w:val="16"/>
                  <w:u w:val="none"/>
                </w:rPr>
                <w:t>PART III</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90"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037779092"/>
              <w:rPr>
                <w:rFonts w:eastAsia="Times New Roman"/>
              </w:rPr>
            </w:pPr>
            <w:hyperlink w:anchor="i4eb6c6320a4d466e9abca1a62108c25f_193" w:history="1">
              <w:r>
                <w:rPr>
                  <w:rStyle w:val="a3"/>
                  <w:rFonts w:ascii="Arial" w:eastAsia="Times New Roman" w:hAnsi="Arial" w:cs="Arial"/>
                  <w:sz w:val="16"/>
                  <w:szCs w:val="16"/>
                  <w:u w:val="none"/>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93"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979727001"/>
              <w:rPr>
                <w:rFonts w:eastAsia="Times New Roman"/>
              </w:rPr>
            </w:pPr>
            <w:hyperlink w:anchor="i4eb6c6320a4d466e9abca1a62108c25f_196" w:history="1">
              <w:r>
                <w:rPr>
                  <w:rStyle w:val="a3"/>
                  <w:rFonts w:ascii="Arial" w:eastAsia="Times New Roman" w:hAnsi="Arial" w:cs="Arial"/>
                  <w:sz w:val="16"/>
                  <w:szCs w:val="16"/>
                  <w:u w:val="none"/>
                </w:rPr>
                <w:t>Item 11. Executive Compensation.</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96"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142044955"/>
              <w:rPr>
                <w:rFonts w:eastAsia="Times New Roman"/>
              </w:rPr>
            </w:pPr>
            <w:hyperlink w:anchor="i4eb6c6320a4d466e9abca1a62108c25f_199" w:history="1">
              <w:r>
                <w:rPr>
                  <w:rStyle w:val="a3"/>
                  <w:rFonts w:ascii="Arial" w:eastAsia="Times New Roman" w:hAnsi="Arial" w:cs="Arial"/>
                  <w:sz w:val="16"/>
                  <w:szCs w:val="16"/>
                  <w:u w:val="none"/>
                </w:rPr>
                <w:t>Item </w:t>
              </w:r>
              <w:r>
                <w:rPr>
                  <w:rStyle w:val="a3"/>
                  <w:rFonts w:ascii="Arial" w:eastAsia="Times New Roman" w:hAnsi="Arial" w:cs="Arial"/>
                  <w:sz w:val="16"/>
                  <w:szCs w:val="16"/>
                  <w:u w:val="none"/>
                </w:rPr>
                <w:t>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199"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435129682"/>
              <w:rPr>
                <w:rFonts w:eastAsia="Times New Roman"/>
              </w:rPr>
            </w:pPr>
            <w:hyperlink w:anchor="i4eb6c6320a4d466e9abca1a62108c25f_202" w:history="1">
              <w:r>
                <w:rPr>
                  <w:rStyle w:val="a3"/>
                  <w:rFonts w:ascii="Arial" w:eastAsia="Times New Roman" w:hAnsi="Arial" w:cs="Arial"/>
                  <w:sz w:val="16"/>
                  <w:szCs w:val="16"/>
                  <w:u w:val="none"/>
                </w:rPr>
                <w:t>Item 13. Certain Relationshi</w:t>
              </w:r>
              <w:r>
                <w:rPr>
                  <w:rStyle w:val="a3"/>
                  <w:rFonts w:ascii="Arial" w:eastAsia="Times New Roman" w:hAnsi="Arial" w:cs="Arial"/>
                  <w:sz w:val="16"/>
                  <w:szCs w:val="16"/>
                  <w:u w:val="none"/>
                </w:rPr>
                <w:t>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02"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314263607"/>
              <w:rPr>
                <w:rFonts w:eastAsia="Times New Roman"/>
              </w:rPr>
            </w:pPr>
            <w:hyperlink w:anchor="i4eb6c6320a4d466e9abca1a62108c25f_205" w:history="1">
              <w:r>
                <w:rPr>
                  <w:rStyle w:val="a3"/>
                  <w:rFonts w:ascii="Arial" w:eastAsia="Times New Roman" w:hAnsi="Arial" w:cs="Arial"/>
                  <w:sz w:val="16"/>
                  <w:szCs w:val="16"/>
                  <w:u w:val="none"/>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05" w:history="1">
              <w:r>
                <w:rPr>
                  <w:rStyle w:val="a3"/>
                  <w:rFonts w:ascii="Arial" w:eastAsia="Times New Roman" w:hAnsi="Arial" w:cs="Arial"/>
                  <w:sz w:val="17"/>
                  <w:szCs w:val="17"/>
                </w:rPr>
                <w:t>96</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264658556"/>
              <w:rPr>
                <w:rFonts w:eastAsia="Times New Roman"/>
              </w:rPr>
            </w:pPr>
            <w:hyperlink w:anchor="i4eb6c6320a4d466e9abca1a62108c25f_208" w:history="1">
              <w:r>
                <w:rPr>
                  <w:rStyle w:val="a3"/>
                  <w:rFonts w:ascii="Arial" w:eastAsia="Times New Roman" w:hAnsi="Arial" w:cs="Arial"/>
                  <w:b/>
                  <w:bCs/>
                  <w:sz w:val="16"/>
                  <w:szCs w:val="16"/>
                  <w:u w:val="none"/>
                </w:rPr>
                <w:t>PART IV</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08" w:history="1">
              <w:r>
                <w:rPr>
                  <w:rStyle w:val="a3"/>
                  <w:rFonts w:ascii="Arial" w:eastAsia="Times New Roman" w:hAnsi="Arial" w:cs="Arial"/>
                  <w:sz w:val="17"/>
                  <w:szCs w:val="17"/>
                </w:rPr>
                <w:t>97</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324891390"/>
              <w:rPr>
                <w:rFonts w:eastAsia="Times New Roman"/>
              </w:rPr>
            </w:pPr>
            <w:hyperlink w:anchor="i4eb6c6320a4d466e9abca1a62108c25f_211" w:history="1">
              <w:r>
                <w:rPr>
                  <w:rStyle w:val="a3"/>
                  <w:rFonts w:ascii="Arial" w:eastAsia="Times New Roman" w:hAnsi="Arial" w:cs="Arial"/>
                  <w:sz w:val="16"/>
                  <w:szCs w:val="16"/>
                  <w:u w:val="none"/>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11" w:history="1">
              <w:r>
                <w:rPr>
                  <w:rStyle w:val="a3"/>
                  <w:rFonts w:ascii="Arial" w:eastAsia="Times New Roman" w:hAnsi="Arial" w:cs="Arial"/>
                  <w:sz w:val="17"/>
                  <w:szCs w:val="17"/>
                </w:rPr>
                <w:t>97</w:t>
              </w:r>
            </w:hyperlink>
          </w:p>
        </w:tc>
      </w:tr>
      <w:tr w:rsidR="00000000">
        <w:trPr>
          <w:divId w:val="1970431665"/>
        </w:trPr>
        <w:tc>
          <w:tcPr>
            <w:tcW w:w="0" w:type="auto"/>
            <w:gridSpan w:val="3"/>
            <w:tcMar>
              <w:top w:w="30" w:type="dxa"/>
              <w:left w:w="20" w:type="dxa"/>
              <w:bottom w:w="30" w:type="dxa"/>
              <w:right w:w="20" w:type="dxa"/>
            </w:tcMar>
            <w:vAlign w:val="bottom"/>
            <w:hideMark/>
          </w:tcPr>
          <w:p w:rsidR="00000000" w:rsidRDefault="00485CCD">
            <w:pPr>
              <w:divId w:val="1700423505"/>
              <w:rPr>
                <w:rFonts w:eastAsia="Times New Roman"/>
              </w:rPr>
            </w:pPr>
            <w:hyperlink w:anchor="i4eb6c6320a4d466e9abca1a62108c25f_220" w:history="1">
              <w:r>
                <w:rPr>
                  <w:rStyle w:val="a3"/>
                  <w:rFonts w:ascii="Arial" w:eastAsia="Times New Roman" w:hAnsi="Arial" w:cs="Arial"/>
                  <w:b/>
                  <w:bCs/>
                  <w:sz w:val="16"/>
                  <w:szCs w:val="16"/>
                  <w:u w:val="none"/>
                </w:rPr>
                <w:t>SIGNATURES</w:t>
              </w:r>
            </w:hyperlink>
          </w:p>
        </w:tc>
        <w:tc>
          <w:tcPr>
            <w:tcW w:w="0" w:type="auto"/>
            <w:gridSpan w:val="3"/>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20" w:history="1">
              <w:r>
                <w:rPr>
                  <w:rStyle w:val="a3"/>
                  <w:rFonts w:ascii="Arial" w:eastAsia="Times New Roman" w:hAnsi="Arial" w:cs="Arial"/>
                  <w:sz w:val="17"/>
                  <w:szCs w:val="17"/>
                </w:rPr>
                <w:t>103</w:t>
              </w:r>
            </w:hyperlink>
          </w:p>
        </w:tc>
      </w:tr>
    </w:tbl>
    <w:p w:rsidR="00000000" w:rsidRDefault="00485CCD">
      <w:pPr>
        <w:divId w:val="782576616"/>
        <w:rPr>
          <w:rFonts w:eastAsia="Times New Roman"/>
        </w:rPr>
      </w:pPr>
    </w:p>
    <w:p w:rsidR="00000000" w:rsidRDefault="00485CCD">
      <w:pPr>
        <w:divId w:val="2143379788"/>
        <w:rPr>
          <w:rFonts w:eastAsia="Times New Roman"/>
        </w:rPr>
      </w:pPr>
    </w:p>
    <w:p w:rsidR="00000000" w:rsidRDefault="00485CCD">
      <w:pPr>
        <w:rPr>
          <w:rFonts w:eastAsia="Times New Roman"/>
        </w:rPr>
      </w:pPr>
      <w:r>
        <w:rPr>
          <w:rFonts w:eastAsia="Times New Roman"/>
        </w:rPr>
        <w:pict>
          <v:rect id="_x0000_i1029" style="width:0;height:1.5pt" o:hralign="center" o:hrstd="t" o:hr="t" fillcolor="#a0a0a0" stroked="f"/>
        </w:pict>
      </w:r>
    </w:p>
    <w:p w:rsidR="00000000" w:rsidRDefault="00485CCD">
      <w:pPr>
        <w:divId w:val="856892831"/>
        <w:rPr>
          <w:rFonts w:eastAsia="Times New Roman"/>
        </w:rPr>
      </w:pPr>
    </w:p>
    <w:p w:rsidR="00000000" w:rsidRDefault="00485CCD">
      <w:pPr>
        <w:divId w:val="857699801"/>
        <w:rPr>
          <w:rFonts w:eastAsia="Times New Roman"/>
        </w:rPr>
      </w:pPr>
      <w:r>
        <w:rPr>
          <w:rFonts w:ascii="Arial" w:eastAsia="Times New Roman" w:hAnsi="Arial" w:cs="Arial"/>
          <w:b/>
          <w:bCs/>
          <w:color w:val="0046AD"/>
          <w:sz w:val="20"/>
          <w:szCs w:val="20"/>
        </w:rPr>
        <w:t>FORWARD-LOOKING STATEMENTS</w:t>
      </w:r>
    </w:p>
    <w:p w:rsidR="00000000" w:rsidRDefault="00485CCD">
      <w:pPr>
        <w:ind w:firstLine="720"/>
        <w:jc w:val="both"/>
        <w:divId w:val="676467468"/>
        <w:rPr>
          <w:rFonts w:eastAsia="Times New Roman"/>
        </w:rPr>
      </w:pPr>
      <w:r>
        <w:rPr>
          <w:rFonts w:ascii="Arial" w:eastAsia="Times New Roman" w:hAnsi="Arial" w:cs="Arial"/>
          <w:color w:val="000000"/>
          <w:sz w:val="20"/>
          <w:szCs w:val="20"/>
        </w:rPr>
        <w:t xml:space="preserve">This Annual Report on Form 10-K for ABM Industries Incorporated and its subsidiaries (collectively referred to as “ABM,” “we,” “us,” “our,” or the “Company”) contains both historical </w:t>
      </w:r>
      <w:r>
        <w:rPr>
          <w:rFonts w:ascii="Arial" w:eastAsia="Times New Roman" w:hAnsi="Arial" w:cs="Arial"/>
          <w:color w:val="000000"/>
          <w:sz w:val="20"/>
          <w:szCs w:val="20"/>
        </w:rPr>
        <w:lastRenderedPageBreak/>
        <w:t>and forw</w:t>
      </w:r>
      <w:r>
        <w:rPr>
          <w:rFonts w:ascii="Arial" w:eastAsia="Times New Roman" w:hAnsi="Arial" w:cs="Arial"/>
          <w:color w:val="000000"/>
          <w:sz w:val="20"/>
          <w:szCs w:val="20"/>
        </w:rPr>
        <w:t>ard-looking statements, within the meaning of the Private Securities Litigation Reform Act of 1995, that involve risks and uncertainties. We make forward-looking statements related to future expectations, estimates, and projections that are uncertain and o</w:t>
      </w:r>
      <w:r>
        <w:rPr>
          <w:rFonts w:ascii="Arial" w:eastAsia="Times New Roman" w:hAnsi="Arial" w:cs="Arial"/>
          <w:color w:val="000000"/>
          <w:sz w:val="20"/>
          <w:szCs w:val="20"/>
        </w:rPr>
        <w:t>ften contain words such as “anticipate,” “believe,” “could,” “estimate,” “expect,” “forecast,” “intend,” “likely,” “may,” “outlook,” “plan,” “predict,” “should,” “target,” or other similar words or phrases. These statements are not guarantees of future per</w:t>
      </w:r>
      <w:r>
        <w:rPr>
          <w:rFonts w:ascii="Arial" w:eastAsia="Times New Roman" w:hAnsi="Arial" w:cs="Arial"/>
          <w:color w:val="000000"/>
          <w:sz w:val="20"/>
          <w:szCs w:val="20"/>
        </w:rPr>
        <w:t xml:space="preserve">formance and are subject to known and unknown risks, uncertainties, and assumptions that are difficult to predict. Factors that might cause such differences include, but are not limited to, those discussed in Part 1 of this Form 10-K under Item 1A., “Risk </w:t>
      </w:r>
      <w:r>
        <w:rPr>
          <w:rFonts w:ascii="Arial" w:eastAsia="Times New Roman" w:hAnsi="Arial" w:cs="Arial"/>
          <w:color w:val="000000"/>
          <w:sz w:val="20"/>
          <w:szCs w:val="20"/>
        </w:rPr>
        <w:t>Factors,” and we urge readers to consider these risks and uncertainties in evaluating our forward-looking statements. We caution readers not to place undue reliance upon any such forward-looking statements, which speak only as of the date made. We undertak</w:t>
      </w:r>
      <w:r>
        <w:rPr>
          <w:rFonts w:ascii="Arial" w:eastAsia="Times New Roman" w:hAnsi="Arial" w:cs="Arial"/>
          <w:color w:val="000000"/>
          <w:sz w:val="20"/>
          <w:szCs w:val="20"/>
        </w:rPr>
        <w:t xml:space="preserve">e no obligation to publicly update any forward-looking statements, whether as a result of new information, future events, or otherwise, except as required by law. </w:t>
      </w:r>
    </w:p>
    <w:p w:rsidR="00000000" w:rsidRDefault="00485CCD">
      <w:pPr>
        <w:jc w:val="both"/>
        <w:divId w:val="1138110228"/>
        <w:rPr>
          <w:rFonts w:eastAsia="Times New Roman"/>
        </w:rPr>
      </w:pPr>
    </w:p>
    <w:p w:rsidR="00000000" w:rsidRDefault="00485CCD">
      <w:pPr>
        <w:jc w:val="both"/>
        <w:divId w:val="476991782"/>
        <w:rPr>
          <w:rFonts w:eastAsia="Times New Roman"/>
        </w:rPr>
      </w:pPr>
    </w:p>
    <w:p w:rsidR="00000000" w:rsidRDefault="00485CCD">
      <w:pPr>
        <w:jc w:val="center"/>
        <w:divId w:val="860974332"/>
        <w:rPr>
          <w:rFonts w:eastAsia="Times New Roman"/>
        </w:rPr>
      </w:pPr>
      <w:r>
        <w:rPr>
          <w:rFonts w:ascii="Arial" w:eastAsia="Times New Roman" w:hAnsi="Arial" w:cs="Arial"/>
          <w:color w:val="000000"/>
          <w:sz w:val="20"/>
          <w:szCs w:val="20"/>
        </w:rPr>
        <w:t>1</w:t>
      </w:r>
    </w:p>
    <w:p w:rsidR="00000000" w:rsidRDefault="00485CCD">
      <w:pPr>
        <w:rPr>
          <w:rFonts w:eastAsia="Times New Roman"/>
        </w:rPr>
      </w:pPr>
      <w:r>
        <w:rPr>
          <w:rFonts w:eastAsia="Times New Roman"/>
        </w:rPr>
        <w:pict>
          <v:rect id="_x0000_i1030" style="width:0;height:1.5pt" o:hralign="center" o:hrstd="t" o:hr="t" fillcolor="#a0a0a0" stroked="f"/>
        </w:pict>
      </w:r>
    </w:p>
    <w:p w:rsidR="00000000" w:rsidRDefault="00485CCD">
      <w:pPr>
        <w:divId w:val="581181746"/>
        <w:rPr>
          <w:rFonts w:eastAsia="Times New Roman"/>
        </w:rPr>
      </w:pPr>
    </w:p>
    <w:p w:rsidR="00000000" w:rsidRDefault="00485CCD">
      <w:pPr>
        <w:jc w:val="center"/>
        <w:divId w:val="1700813641"/>
        <w:rPr>
          <w:rFonts w:eastAsia="Times New Roman"/>
        </w:rPr>
      </w:pPr>
      <w:r>
        <w:rPr>
          <w:rFonts w:ascii="Arial" w:eastAsia="Times New Roman" w:hAnsi="Arial" w:cs="Arial"/>
          <w:b/>
          <w:bCs/>
          <w:color w:val="0046AD"/>
          <w:sz w:val="20"/>
          <w:szCs w:val="20"/>
        </w:rPr>
        <w:t>PART I</w:t>
      </w:r>
    </w:p>
    <w:p w:rsidR="00000000" w:rsidRDefault="00485CCD">
      <w:pPr>
        <w:divId w:val="396978612"/>
        <w:rPr>
          <w:rFonts w:eastAsia="Times New Roman"/>
        </w:rPr>
      </w:pPr>
      <w:r>
        <w:rPr>
          <w:rFonts w:ascii="Arial" w:eastAsia="Times New Roman" w:hAnsi="Arial" w:cs="Arial"/>
          <w:b/>
          <w:bCs/>
          <w:color w:val="0046AD"/>
          <w:sz w:val="20"/>
          <w:szCs w:val="20"/>
        </w:rPr>
        <w:t>ITEM 1. BUSINESS.</w:t>
      </w:r>
    </w:p>
    <w:p w:rsidR="00000000" w:rsidRDefault="00485CCD">
      <w:pPr>
        <w:divId w:val="1062143936"/>
        <w:rPr>
          <w:rFonts w:eastAsia="Times New Roman"/>
        </w:rPr>
      </w:pPr>
      <w:r>
        <w:rPr>
          <w:rFonts w:ascii="Arial" w:eastAsia="Times New Roman" w:hAnsi="Arial" w:cs="Arial"/>
          <w:b/>
          <w:bCs/>
          <w:color w:val="0046AD"/>
          <w:sz w:val="20"/>
          <w:szCs w:val="20"/>
        </w:rPr>
        <w:t xml:space="preserve">General </w:t>
      </w:r>
    </w:p>
    <w:p w:rsidR="00000000" w:rsidRDefault="00485CCD">
      <w:pPr>
        <w:ind w:firstLine="720"/>
        <w:jc w:val="both"/>
        <w:divId w:val="1646622772"/>
        <w:rPr>
          <w:rFonts w:eastAsia="Times New Roman"/>
        </w:rPr>
      </w:pPr>
      <w:r>
        <w:rPr>
          <w:rFonts w:ascii="Arial" w:eastAsia="Times New Roman" w:hAnsi="Arial" w:cs="Arial"/>
          <w:color w:val="000000"/>
          <w:sz w:val="20"/>
          <w:szCs w:val="20"/>
        </w:rPr>
        <w:t xml:space="preserve">ABM Industries Incorporated, which operates through its subsidiaries (collectively referred to as “ABM,” “we,” “us,” “our,” or the “Company”), is a leading provider of integrated facility solutions with a mission to </w:t>
      </w:r>
      <w:r>
        <w:rPr>
          <w:rFonts w:ascii="Arial" w:eastAsia="Times New Roman" w:hAnsi="Arial" w:cs="Arial"/>
          <w:b/>
          <w:bCs/>
          <w:color w:val="003DA5"/>
          <w:sz w:val="20"/>
          <w:szCs w:val="20"/>
        </w:rPr>
        <w:t>make a difference, every person, every d</w:t>
      </w:r>
      <w:r>
        <w:rPr>
          <w:rFonts w:ascii="Arial" w:eastAsia="Times New Roman" w:hAnsi="Arial" w:cs="Arial"/>
          <w:b/>
          <w:bCs/>
          <w:color w:val="003DA5"/>
          <w:sz w:val="20"/>
          <w:szCs w:val="20"/>
        </w:rPr>
        <w:t>ay</w:t>
      </w:r>
      <w:r>
        <w:rPr>
          <w:rFonts w:ascii="Arial" w:eastAsia="Times New Roman" w:hAnsi="Arial" w:cs="Arial"/>
          <w:color w:val="000000"/>
          <w:sz w:val="20"/>
          <w:szCs w:val="20"/>
        </w:rPr>
        <w:t>. Our history dates back to 1909, when American Building Maintenance Company began as a window washing company in San Francisco with one employee. In 1985, we were incorporated in Delaware under the name American Building Maintenance Industries, Inc., as</w:t>
      </w:r>
      <w:r>
        <w:rPr>
          <w:rFonts w:ascii="Arial" w:eastAsia="Times New Roman" w:hAnsi="Arial" w:cs="Arial"/>
          <w:color w:val="000000"/>
          <w:sz w:val="20"/>
          <w:szCs w:val="20"/>
        </w:rPr>
        <w:t xml:space="preserve"> the successor to the business originally founded in 1909. In 1994, we changed our name to ABM Industries Incorporated. Since that time, we have grown into a multi-segment facility solutions company, primarily through strategic acquisitions and new service</w:t>
      </w:r>
      <w:r>
        <w:rPr>
          <w:rFonts w:ascii="Arial" w:eastAsia="Times New Roman" w:hAnsi="Arial" w:cs="Arial"/>
          <w:color w:val="000000"/>
          <w:sz w:val="20"/>
          <w:szCs w:val="20"/>
        </w:rPr>
        <w:t xml:space="preserve"> offerings, increasing our revenue from $3 billion to more than $6 billion.</w:t>
      </w:r>
    </w:p>
    <w:p w:rsidR="00000000" w:rsidRDefault="00485CCD">
      <w:pPr>
        <w:jc w:val="center"/>
        <w:divId w:val="217593323"/>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85CCD">
      <w:pPr>
        <w:ind w:firstLine="720"/>
        <w:jc w:val="both"/>
        <w:divId w:val="421880402"/>
        <w:rPr>
          <w:rFonts w:eastAsia="Times New Roman"/>
        </w:rPr>
      </w:pPr>
      <w:r>
        <w:rPr>
          <w:rFonts w:ascii="Arial" w:eastAsia="Times New Roman" w:hAnsi="Arial" w:cs="Arial"/>
          <w:color w:val="000000"/>
          <w:sz w:val="20"/>
          <w:szCs w:val="20"/>
        </w:rPr>
        <w:t>The acquisition of OneSource in 2007 bolstered ABM</w:t>
      </w:r>
      <w:r>
        <w:rPr>
          <w:rFonts w:ascii="Arial" w:eastAsia="Times New Roman" w:hAnsi="Arial" w:cs="Arial"/>
          <w:color w:val="000000"/>
          <w:sz w:val="20"/>
          <w:szCs w:val="20"/>
        </w:rPr>
        <w:t xml:space="preserve"> as a leader in the janitorial market, while the Linc Group acquisition in 2010 established ABM as a “facility solutions” company with new service offerings, including lighting, mechanical, and electrical “technical solutions.” With demand increasing for i</w:t>
      </w:r>
      <w:r>
        <w:rPr>
          <w:rFonts w:ascii="Arial" w:eastAsia="Times New Roman" w:hAnsi="Arial" w:cs="Arial"/>
          <w:color w:val="000000"/>
          <w:sz w:val="20"/>
          <w:szCs w:val="20"/>
        </w:rPr>
        <w:t>ndustry-specific service providers, in 2012 we purchased Air Serv and established our first industry group, “aviation.” In recent years, we have strategically acquired companies in the United Kingdom (“U.K.”), particularly with the GBM and Westway acquisit</w:t>
      </w:r>
      <w:r>
        <w:rPr>
          <w:rFonts w:ascii="Arial" w:eastAsia="Times New Roman" w:hAnsi="Arial" w:cs="Arial"/>
          <w:color w:val="000000"/>
          <w:sz w:val="20"/>
          <w:szCs w:val="20"/>
        </w:rPr>
        <w:t xml:space="preserve">ions, which expanded our janitorial and technical solutions businesses overseas. </w:t>
      </w:r>
    </w:p>
    <w:p w:rsidR="00000000" w:rsidRDefault="00485CCD">
      <w:pPr>
        <w:ind w:firstLine="720"/>
        <w:jc w:val="both"/>
        <w:divId w:val="242957595"/>
        <w:rPr>
          <w:rFonts w:eastAsia="Times New Roman"/>
        </w:rPr>
      </w:pPr>
      <w:r>
        <w:rPr>
          <w:rFonts w:ascii="Arial" w:eastAsia="Times New Roman" w:hAnsi="Arial" w:cs="Arial"/>
          <w:color w:val="000000"/>
          <w:sz w:val="20"/>
          <w:szCs w:val="20"/>
        </w:rPr>
        <w:t>In 2015, we began a comprehensive transformational initiative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xml:space="preserve">”) to drive long-term, profitable growth through an industry-based, go-to-market approach. As part </w:t>
      </w:r>
      <w:r>
        <w:rPr>
          <w:rFonts w:ascii="Arial" w:eastAsia="Times New Roman" w:hAnsi="Arial" w:cs="Arial"/>
          <w:color w:val="000000"/>
          <w:sz w:val="20"/>
          <w:szCs w:val="20"/>
        </w:rPr>
        <w:t>of this initiative, we centralized key functional areas, strengthened our sales capabilities, and initiated investments in service delivery tools and processes to help support standard operating practices that we believe are foundational to our long-term s</w:t>
      </w:r>
      <w:r>
        <w:rPr>
          <w:rFonts w:ascii="Arial" w:eastAsia="Times New Roman" w:hAnsi="Arial" w:cs="Arial"/>
          <w:color w:val="000000"/>
          <w:sz w:val="20"/>
          <w:szCs w:val="20"/>
        </w:rPr>
        <w:t xml:space="preserve">uccess. </w:t>
      </w:r>
    </w:p>
    <w:p w:rsidR="00000000" w:rsidRDefault="00485CCD">
      <w:pPr>
        <w:ind w:firstLine="720"/>
        <w:jc w:val="both"/>
        <w:divId w:val="1520702756"/>
        <w:rPr>
          <w:rFonts w:eastAsia="Times New Roman"/>
        </w:rPr>
      </w:pPr>
      <w:r>
        <w:rPr>
          <w:rFonts w:ascii="Arial" w:eastAsia="Times New Roman" w:hAnsi="Arial" w:cs="Arial"/>
          <w:color w:val="000000"/>
          <w:sz w:val="20"/>
          <w:szCs w:val="20"/>
        </w:rPr>
        <w:t>As part of the transformation initiative, we also evaluated all of our service offerings and sold our Security and Government Services businesses, which did not align with our long-term focus on industry groups.</w:t>
      </w:r>
    </w:p>
    <w:p w:rsidR="00000000" w:rsidRDefault="00485CCD">
      <w:pPr>
        <w:ind w:firstLine="720"/>
        <w:jc w:val="both"/>
        <w:divId w:val="638340073"/>
        <w:rPr>
          <w:rFonts w:eastAsia="Times New Roman"/>
        </w:rPr>
      </w:pPr>
      <w:r>
        <w:rPr>
          <w:rFonts w:ascii="Arial" w:eastAsia="Times New Roman" w:hAnsi="Arial" w:cs="Arial"/>
          <w:color w:val="000000"/>
          <w:sz w:val="20"/>
          <w:szCs w:val="20"/>
        </w:rPr>
        <w:lastRenderedPageBreak/>
        <w:t>In 2017, we acquired GCA Services Group (“GC</w:t>
      </w:r>
      <w:r>
        <w:rPr>
          <w:rFonts w:ascii="Arial" w:eastAsia="Times New Roman" w:hAnsi="Arial" w:cs="Arial"/>
          <w:color w:val="000000"/>
          <w:sz w:val="20"/>
          <w:szCs w:val="20"/>
        </w:rPr>
        <w:t>A”), a provider of integrated facility services to educational institutions and commercial facilities, for approximately $1.3 billion, the largest acquisition in ABM history. The acquisition accelerated the Company’s position as a leading facility solution</w:t>
      </w:r>
      <w:r>
        <w:rPr>
          <w:rFonts w:ascii="Arial" w:eastAsia="Times New Roman" w:hAnsi="Arial" w:cs="Arial"/>
          <w:color w:val="000000"/>
          <w:sz w:val="20"/>
          <w:szCs w:val="20"/>
        </w:rPr>
        <w:t xml:space="preserve">s provider in the education market. </w:t>
      </w:r>
    </w:p>
    <w:p w:rsidR="00000000" w:rsidRDefault="00485CCD">
      <w:pPr>
        <w:ind w:firstLine="720"/>
        <w:jc w:val="both"/>
        <w:divId w:val="1118648912"/>
        <w:rPr>
          <w:rFonts w:eastAsia="Times New Roman"/>
        </w:rPr>
      </w:pPr>
      <w:r>
        <w:rPr>
          <w:rFonts w:ascii="Arial" w:eastAsia="Times New Roman" w:hAnsi="Arial" w:cs="Arial"/>
          <w:color w:val="000000"/>
          <w:sz w:val="20"/>
          <w:szCs w:val="20"/>
        </w:rPr>
        <w:t>In 2021, we acquired Crown Building Maintenance Co. and Crown Energy Services, Inc. (collectively, “Able”), a leading facilities services company headquartered in San Francisco, California, with the goal to provide addi</w:t>
      </w:r>
      <w:r>
        <w:rPr>
          <w:rFonts w:ascii="Arial" w:eastAsia="Times New Roman" w:hAnsi="Arial" w:cs="Arial"/>
          <w:color w:val="000000"/>
          <w:sz w:val="20"/>
          <w:szCs w:val="20"/>
        </w:rPr>
        <w:t>tional scaling to the Company’s core businesses and key geographies and bolstering ABM’s janitorial and facilities services service lines. In addition, the acquisition of Able (“the Able Acquisition”) further expands ABM’s sustainability and energy efficie</w:t>
      </w:r>
      <w:r>
        <w:rPr>
          <w:rFonts w:ascii="Arial" w:eastAsia="Times New Roman" w:hAnsi="Arial" w:cs="Arial"/>
          <w:color w:val="000000"/>
          <w:sz w:val="20"/>
          <w:szCs w:val="20"/>
        </w:rPr>
        <w:t>ncy offerings amid growing demand for environmentally responsible solutions.</w:t>
      </w:r>
    </w:p>
    <w:p w:rsidR="00000000" w:rsidRDefault="00485CCD">
      <w:pPr>
        <w:ind w:firstLine="720"/>
        <w:jc w:val="both"/>
        <w:divId w:val="410083859"/>
        <w:rPr>
          <w:rFonts w:eastAsia="Times New Roman"/>
        </w:rPr>
      </w:pPr>
      <w:r>
        <w:rPr>
          <w:rFonts w:ascii="Arial" w:eastAsia="Times New Roman" w:hAnsi="Arial" w:cs="Arial"/>
          <w:color w:val="000000"/>
          <w:sz w:val="20"/>
          <w:szCs w:val="20"/>
        </w:rPr>
        <w:t>As a result of these strategic changes, we have strengthened our ability to offer Janitorial, Parking, Facilities Services, Building &amp; Energy Solutions, and Airline Services, on a</w:t>
      </w:r>
      <w:r>
        <w:rPr>
          <w:rFonts w:ascii="Arial" w:eastAsia="Times New Roman" w:hAnsi="Arial" w:cs="Arial"/>
          <w:color w:val="000000"/>
          <w:sz w:val="20"/>
          <w:szCs w:val="20"/>
        </w:rPr>
        <w:t xml:space="preserve"> standalone basis or in combination, and positioned ourselves as a leading integrated facilities management company.</w:t>
      </w:r>
    </w:p>
    <w:p w:rsidR="00000000" w:rsidRDefault="00485CCD">
      <w:pPr>
        <w:jc w:val="center"/>
        <w:divId w:val="525096749"/>
        <w:rPr>
          <w:rFonts w:eastAsia="Times New Roman"/>
        </w:rPr>
      </w:pPr>
      <w:r>
        <w:rPr>
          <w:rFonts w:ascii="Arial" w:eastAsia="Times New Roman" w:hAnsi="Arial" w:cs="Arial"/>
          <w:color w:val="000000"/>
          <w:sz w:val="20"/>
          <w:szCs w:val="20"/>
        </w:rPr>
        <w:t>2</w:t>
      </w:r>
    </w:p>
    <w:p w:rsidR="00000000" w:rsidRDefault="00485CCD">
      <w:pPr>
        <w:rPr>
          <w:rFonts w:eastAsia="Times New Roman"/>
        </w:rPr>
      </w:pPr>
      <w:r>
        <w:rPr>
          <w:rFonts w:eastAsia="Times New Roman"/>
        </w:rPr>
        <w:pict>
          <v:rect id="_x0000_i1032" style="width:0;height:1.5pt" o:hralign="center" o:hrstd="t" o:hr="t" fillcolor="#a0a0a0" stroked="f"/>
        </w:pict>
      </w:r>
    </w:p>
    <w:p w:rsidR="00000000" w:rsidRDefault="00485CCD">
      <w:pPr>
        <w:divId w:val="1504927528"/>
        <w:rPr>
          <w:rFonts w:eastAsia="Times New Roman"/>
        </w:rPr>
      </w:pPr>
    </w:p>
    <w:p w:rsidR="00000000" w:rsidRDefault="00485CCD">
      <w:pPr>
        <w:ind w:firstLine="720"/>
        <w:jc w:val="both"/>
        <w:divId w:val="1355686453"/>
        <w:rPr>
          <w:rFonts w:eastAsia="Times New Roman"/>
        </w:rPr>
      </w:pPr>
      <w:r>
        <w:rPr>
          <w:rFonts w:ascii="Arial" w:eastAsia="Times New Roman" w:hAnsi="Arial" w:cs="Arial"/>
          <w:color w:val="000000"/>
          <w:sz w:val="20"/>
          <w:szCs w:val="20"/>
        </w:rPr>
        <w:t>Unless otherwise indicated, all references to years are to our fiscal year, which ends on October 31.</w:t>
      </w:r>
    </w:p>
    <w:p w:rsidR="00000000" w:rsidRDefault="00485CCD">
      <w:pPr>
        <w:jc w:val="both"/>
        <w:divId w:val="1458987472"/>
        <w:rPr>
          <w:rFonts w:eastAsia="Times New Roman"/>
        </w:rPr>
      </w:pPr>
      <w:r>
        <w:rPr>
          <w:rFonts w:ascii="Arial" w:eastAsia="Times New Roman" w:hAnsi="Arial" w:cs="Arial"/>
          <w:b/>
          <w:bCs/>
          <w:color w:val="0046AD"/>
          <w:sz w:val="20"/>
          <w:szCs w:val="20"/>
        </w:rPr>
        <w:t>Forward-Looking Strategic Plan</w:t>
      </w:r>
    </w:p>
    <w:p w:rsidR="00000000" w:rsidRDefault="00485CCD">
      <w:pPr>
        <w:ind w:firstLine="720"/>
        <w:jc w:val="both"/>
        <w:divId w:val="298803479"/>
        <w:rPr>
          <w:rFonts w:eastAsia="Times New Roman"/>
        </w:rPr>
      </w:pPr>
      <w:r>
        <w:rPr>
          <w:rFonts w:ascii="Arial" w:eastAsia="Times New Roman" w:hAnsi="Arial" w:cs="Arial"/>
          <w:color w:val="000000"/>
          <w:sz w:val="20"/>
          <w:szCs w:val="20"/>
        </w:rPr>
        <w:t xml:space="preserve">Leveraging the various accomplishments achieved through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the Company is embarking on the next step of our journ</w:t>
      </w:r>
      <w:r>
        <w:rPr>
          <w:rFonts w:ascii="Arial" w:eastAsia="Times New Roman" w:hAnsi="Arial" w:cs="Arial"/>
          <w:color w:val="000000"/>
          <w:sz w:val="20"/>
          <w:szCs w:val="20"/>
        </w:rPr>
        <w:t xml:space="preserve">ey with a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Our new strategy is designed to strengthen our industry leadership position through end-market repositioning and build on our core services, which we expect will drive significant long-term value for our </w:t>
      </w:r>
      <w:r>
        <w:rPr>
          <w:rFonts w:ascii="Arial" w:eastAsia="Times New Roman" w:hAnsi="Arial" w:cs="Arial"/>
          <w:color w:val="000000"/>
          <w:sz w:val="20"/>
          <w:szCs w:val="20"/>
        </w:rPr>
        <w:t xml:space="preserve">stakeholders. </w:t>
      </w:r>
    </w:p>
    <w:p w:rsidR="00000000" w:rsidRDefault="00485CCD">
      <w:pPr>
        <w:ind w:firstLine="720"/>
        <w:jc w:val="both"/>
        <w:divId w:val="1379089335"/>
        <w:rPr>
          <w:rFonts w:eastAsia="Times New Roman"/>
        </w:rPr>
      </w:pPr>
      <w:r>
        <w:rPr>
          <w:rFonts w:ascii="Arial" w:eastAsia="Times New Roman" w:hAnsi="Arial" w:cs="Arial"/>
          <w:color w:val="000000"/>
          <w:sz w:val="20"/>
          <w:szCs w:val="20"/>
        </w:rPr>
        <w:t xml:space="preserve">Over the next four years, we plan to make significant investments totaling $150 - $175 million and implement various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485CCD">
      <w:pPr>
        <w:divId w:val="1664550892"/>
        <w:rPr>
          <w:rFonts w:eastAsia="Times New Roman"/>
        </w:rPr>
      </w:pPr>
    </w:p>
    <w:p w:rsidR="00000000" w:rsidRDefault="00485CCD">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client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serving as a trusted advisor who can provide innovative multi</w:t>
      </w:r>
      <w:r>
        <w:rPr>
          <w:rFonts w:ascii="Arial" w:eastAsia="Times New Roman" w:hAnsi="Arial" w:cs="Arial"/>
          <w:color w:val="000000"/>
          <w:sz w:val="20"/>
          <w:szCs w:val="20"/>
        </w:rPr>
        <w:t>service solutions and consistent service delivery;</w:t>
      </w:r>
    </w:p>
    <w:p w:rsidR="00000000" w:rsidRDefault="00485CCD">
      <w:pPr>
        <w:divId w:val="1821724975"/>
        <w:rPr>
          <w:rFonts w:eastAsia="Times New Roman"/>
        </w:rPr>
      </w:pPr>
    </w:p>
    <w:p w:rsidR="00000000" w:rsidRDefault="00485CCD">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team member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investing in workforce management, training, developing the next generation of ABM leaders, and building on our inclusive culture; and</w:t>
      </w:r>
    </w:p>
    <w:p w:rsidR="00000000" w:rsidRDefault="00485CCD">
      <w:pPr>
        <w:divId w:val="523710125"/>
        <w:rPr>
          <w:rFonts w:eastAsia="Times New Roman"/>
        </w:rPr>
      </w:pPr>
    </w:p>
    <w:p w:rsidR="00000000" w:rsidRDefault="00485CCD">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our use of technology and data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to</w:t>
      </w:r>
      <w:r>
        <w:rPr>
          <w:rFonts w:ascii="Arial" w:eastAsia="Times New Roman" w:hAnsi="Arial" w:cs="Arial"/>
          <w:color w:val="000000"/>
          <w:sz w:val="20"/>
          <w:szCs w:val="20"/>
        </w:rPr>
        <w:t xml:space="preserve"> power client and employee experiences with cutting-edge data and analytics, processes, and tools that will fundamentally change how we operate our business.</w:t>
      </w:r>
    </w:p>
    <w:p w:rsidR="00000000" w:rsidRDefault="00485CCD">
      <w:pPr>
        <w:divId w:val="1243446381"/>
        <w:rPr>
          <w:rFonts w:eastAsia="Times New Roman"/>
        </w:rPr>
      </w:pPr>
    </w:p>
    <w:p w:rsidR="00000000" w:rsidRDefault="00485CCD">
      <w:pPr>
        <w:divId w:val="541014020"/>
        <w:rPr>
          <w:rFonts w:eastAsia="Times New Roman"/>
        </w:rPr>
      </w:pPr>
    </w:p>
    <w:p w:rsidR="00000000" w:rsidRDefault="00485CCD">
      <w:pPr>
        <w:divId w:val="257711976"/>
        <w:rPr>
          <w:rFonts w:eastAsia="Times New Roman"/>
        </w:rPr>
      </w:pPr>
    </w:p>
    <w:p w:rsidR="00000000" w:rsidRDefault="00485CCD">
      <w:pPr>
        <w:divId w:val="1306085057"/>
        <w:rPr>
          <w:rFonts w:eastAsia="Times New Roman"/>
        </w:rPr>
      </w:pPr>
    </w:p>
    <w:p w:rsidR="00000000" w:rsidRDefault="00485CCD">
      <w:pPr>
        <w:divId w:val="8221404"/>
        <w:rPr>
          <w:rFonts w:eastAsia="Times New Roman"/>
        </w:rPr>
      </w:pPr>
    </w:p>
    <w:p w:rsidR="00000000" w:rsidRDefault="00485CCD">
      <w:pPr>
        <w:divId w:val="142090143"/>
        <w:rPr>
          <w:rFonts w:eastAsia="Times New Roman"/>
        </w:rPr>
      </w:pPr>
    </w:p>
    <w:p w:rsidR="00000000" w:rsidRDefault="00485CCD">
      <w:pPr>
        <w:divId w:val="800346582"/>
        <w:rPr>
          <w:rFonts w:eastAsia="Times New Roman"/>
        </w:rPr>
      </w:pPr>
    </w:p>
    <w:p w:rsidR="00000000" w:rsidRDefault="00485CCD">
      <w:pPr>
        <w:divId w:val="830372975"/>
        <w:rPr>
          <w:rFonts w:eastAsia="Times New Roman"/>
        </w:rPr>
      </w:pPr>
    </w:p>
    <w:p w:rsidR="00000000" w:rsidRDefault="00485CCD">
      <w:pPr>
        <w:divId w:val="1454514991"/>
        <w:rPr>
          <w:rFonts w:eastAsia="Times New Roman"/>
        </w:rPr>
      </w:pPr>
    </w:p>
    <w:p w:rsidR="00000000" w:rsidRDefault="00485CCD">
      <w:pPr>
        <w:divId w:val="1573928094"/>
        <w:rPr>
          <w:rFonts w:eastAsia="Times New Roman"/>
        </w:rPr>
      </w:pPr>
    </w:p>
    <w:p w:rsidR="00000000" w:rsidRDefault="00485CCD">
      <w:pPr>
        <w:divId w:val="303124242"/>
        <w:rPr>
          <w:rFonts w:eastAsia="Times New Roman"/>
        </w:rPr>
      </w:pPr>
    </w:p>
    <w:p w:rsidR="00000000" w:rsidRDefault="00485CCD">
      <w:pPr>
        <w:divId w:val="11349617"/>
        <w:rPr>
          <w:rFonts w:eastAsia="Times New Roman"/>
        </w:rPr>
      </w:pPr>
    </w:p>
    <w:p w:rsidR="00000000" w:rsidRDefault="00485CCD">
      <w:pPr>
        <w:divId w:val="774208056"/>
        <w:rPr>
          <w:rFonts w:eastAsia="Times New Roman"/>
        </w:rPr>
      </w:pPr>
    </w:p>
    <w:p w:rsidR="00000000" w:rsidRDefault="00485CCD">
      <w:pPr>
        <w:divId w:val="1427193677"/>
        <w:rPr>
          <w:rFonts w:eastAsia="Times New Roman"/>
        </w:rPr>
      </w:pPr>
    </w:p>
    <w:p w:rsidR="00000000" w:rsidRDefault="00485CCD">
      <w:pPr>
        <w:divId w:val="61950854"/>
        <w:rPr>
          <w:rFonts w:eastAsia="Times New Roman"/>
        </w:rPr>
      </w:pPr>
    </w:p>
    <w:p w:rsidR="00000000" w:rsidRDefault="00485CCD">
      <w:pPr>
        <w:divId w:val="1860316991"/>
        <w:rPr>
          <w:rFonts w:eastAsia="Times New Roman"/>
        </w:rPr>
      </w:pPr>
    </w:p>
    <w:p w:rsidR="00000000" w:rsidRDefault="00485CCD">
      <w:pPr>
        <w:divId w:val="705911700"/>
        <w:rPr>
          <w:rFonts w:eastAsia="Times New Roman"/>
        </w:rPr>
      </w:pPr>
    </w:p>
    <w:p w:rsidR="00000000" w:rsidRDefault="00485CCD">
      <w:pPr>
        <w:divId w:val="1864198455"/>
        <w:rPr>
          <w:rFonts w:eastAsia="Times New Roman"/>
        </w:rPr>
      </w:pPr>
    </w:p>
    <w:p w:rsidR="00000000" w:rsidRDefault="00485CCD">
      <w:pPr>
        <w:divId w:val="268663336"/>
        <w:rPr>
          <w:rFonts w:eastAsia="Times New Roman"/>
        </w:rPr>
      </w:pPr>
    </w:p>
    <w:p w:rsidR="00000000" w:rsidRDefault="00485CCD">
      <w:pPr>
        <w:divId w:val="40981077"/>
        <w:rPr>
          <w:rFonts w:eastAsia="Times New Roman"/>
        </w:rPr>
      </w:pPr>
    </w:p>
    <w:p w:rsidR="00000000" w:rsidRDefault="00485CCD">
      <w:pPr>
        <w:divId w:val="696853358"/>
        <w:rPr>
          <w:rFonts w:eastAsia="Times New Roman"/>
        </w:rPr>
      </w:pPr>
    </w:p>
    <w:p w:rsidR="00000000" w:rsidRDefault="00485CCD">
      <w:pPr>
        <w:divId w:val="1194657199"/>
        <w:rPr>
          <w:rFonts w:eastAsia="Times New Roman"/>
        </w:rPr>
      </w:pPr>
    </w:p>
    <w:p w:rsidR="00000000" w:rsidRDefault="00485CCD">
      <w:pPr>
        <w:jc w:val="center"/>
        <w:divId w:val="605574100"/>
        <w:rPr>
          <w:rFonts w:eastAsia="Times New Roman"/>
        </w:rPr>
      </w:pPr>
      <w:r>
        <w:rPr>
          <w:rFonts w:ascii="Arial" w:eastAsia="Times New Roman" w:hAnsi="Arial" w:cs="Arial"/>
          <w:color w:val="000000"/>
          <w:sz w:val="20"/>
          <w:szCs w:val="20"/>
        </w:rPr>
        <w:t>3</w:t>
      </w:r>
    </w:p>
    <w:p w:rsidR="00000000" w:rsidRDefault="00485CCD">
      <w:pPr>
        <w:rPr>
          <w:rFonts w:eastAsia="Times New Roman"/>
        </w:rPr>
      </w:pPr>
      <w:r>
        <w:rPr>
          <w:rFonts w:eastAsia="Times New Roman"/>
        </w:rPr>
        <w:pict>
          <v:rect id="_x0000_i1033" style="width:0;height:1.5pt" o:hralign="center" o:hrstd="t" o:hr="t" fillcolor="#a0a0a0" stroked="f"/>
        </w:pict>
      </w:r>
    </w:p>
    <w:p w:rsidR="00000000" w:rsidRDefault="00485CCD">
      <w:pPr>
        <w:divId w:val="372195605"/>
        <w:rPr>
          <w:rFonts w:eastAsia="Times New Roman"/>
        </w:rPr>
      </w:pPr>
    </w:p>
    <w:p w:rsidR="00000000" w:rsidRDefault="00485CCD">
      <w:pPr>
        <w:divId w:val="2003268049"/>
        <w:rPr>
          <w:rFonts w:eastAsia="Times New Roman"/>
        </w:rPr>
      </w:pPr>
      <w:r>
        <w:rPr>
          <w:rFonts w:ascii="Arial" w:eastAsia="Times New Roman" w:hAnsi="Arial" w:cs="Arial"/>
          <w:b/>
          <w:bCs/>
          <w:color w:val="0046AD"/>
          <w:sz w:val="20"/>
          <w:szCs w:val="20"/>
        </w:rPr>
        <w:t>Contract Types</w:t>
      </w:r>
    </w:p>
    <w:p w:rsidR="00000000" w:rsidRDefault="00485CCD">
      <w:pPr>
        <w:ind w:firstLine="720"/>
        <w:jc w:val="both"/>
        <w:divId w:val="158663448"/>
        <w:rPr>
          <w:rFonts w:eastAsia="Times New Roman"/>
        </w:rPr>
      </w:pPr>
      <w:r>
        <w:rPr>
          <w:rFonts w:ascii="Arial" w:eastAsia="Times New Roman" w:hAnsi="Arial" w:cs="Arial"/>
          <w:color w:val="000000"/>
          <w:sz w:val="20"/>
          <w:szCs w:val="20"/>
        </w:rPr>
        <w:t>We generate revenues under several types of contracts, as explained below. Generally, the type of contract is determined by the nature of the services. Although many of our service agreements are cancela</w:t>
      </w:r>
      <w:r>
        <w:rPr>
          <w:rFonts w:ascii="Arial" w:eastAsia="Times New Roman" w:hAnsi="Arial" w:cs="Arial"/>
          <w:color w:val="000000"/>
          <w:sz w:val="20"/>
          <w:szCs w:val="20"/>
        </w:rPr>
        <w:t>ble on short notice, we have historically had a high rate of client retention and expect to continue maintaining long-term relationships with our clients. See Note 2, “Basis of Presentation and Significant Accounting Policies,” in the Notes to consolidated</w:t>
      </w:r>
      <w:r>
        <w:rPr>
          <w:rFonts w:ascii="Arial" w:eastAsia="Times New Roman" w:hAnsi="Arial" w:cs="Arial"/>
          <w:color w:val="000000"/>
          <w:sz w:val="20"/>
          <w:szCs w:val="20"/>
        </w:rPr>
        <w:t xml:space="preserve"> financial statements for additional information regarding the contract types that are most common in each of our service lines. </w:t>
      </w:r>
    </w:p>
    <w:tbl>
      <w:tblPr>
        <w:tblW w:w="4992" w:type="pct"/>
        <w:tblCellMar>
          <w:top w:w="15" w:type="dxa"/>
          <w:left w:w="15" w:type="dxa"/>
          <w:bottom w:w="15" w:type="dxa"/>
          <w:right w:w="15" w:type="dxa"/>
        </w:tblCellMar>
        <w:tblLook w:val="04A0" w:firstRow="1" w:lastRow="0" w:firstColumn="1" w:lastColumn="0" w:noHBand="0" w:noVBand="1"/>
      </w:tblPr>
      <w:tblGrid>
        <w:gridCol w:w="93"/>
        <w:gridCol w:w="1351"/>
        <w:gridCol w:w="38"/>
        <w:gridCol w:w="36"/>
        <w:gridCol w:w="38"/>
        <w:gridCol w:w="6701"/>
        <w:gridCol w:w="36"/>
      </w:tblGrid>
      <w:tr w:rsidR="00000000">
        <w:trPr>
          <w:divId w:val="612788878"/>
        </w:trPr>
        <w:tc>
          <w:tcPr>
            <w:tcW w:w="50" w:type="pct"/>
            <w:vAlign w:val="center"/>
            <w:hideMark/>
          </w:tcPr>
          <w:p w:rsidR="00000000" w:rsidRDefault="00485CCD">
            <w:pPr>
              <w:ind w:firstLine="720"/>
              <w:jc w:val="both"/>
              <w:rPr>
                <w:rFonts w:eastAsia="Times New Roman"/>
              </w:rPr>
            </w:pPr>
          </w:p>
        </w:tc>
        <w:tc>
          <w:tcPr>
            <w:tcW w:w="7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1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12788878"/>
        </w:trPr>
        <w:tc>
          <w:tcPr>
            <w:tcW w:w="0" w:type="auto"/>
            <w:gridSpan w:val="3"/>
            <w:tcBorders>
              <w:top w:val="single" w:sz="8" w:space="0" w:color="000000"/>
              <w:lef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46AD"/>
                <w:sz w:val="20"/>
                <w:szCs w:val="20"/>
              </w:rPr>
              <w:t>Contract Type</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46AD"/>
                <w:sz w:val="20"/>
                <w:szCs w:val="20"/>
              </w:rPr>
              <w:t>Description</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Monthly Fixed-Price</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These arrangements are contracts in which the client agrees to pay a fixed fee every month over a specified contract term.</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Square-Foot</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 xml:space="preserve">Square-foot arrangements are contracts in which the client agrees to pay a fixed fee every month based on the actual square footage serviced over a specified contract term. </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Cost-Plus</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 xml:space="preserve">These arrangements are contracts in which the clients reimburse </w:t>
            </w:r>
            <w:r>
              <w:rPr>
                <w:rFonts w:ascii="Arial" w:eastAsia="Times New Roman" w:hAnsi="Arial" w:cs="Arial"/>
                <w:color w:val="000000"/>
                <w:sz w:val="20"/>
                <w:szCs w:val="20"/>
              </w:rPr>
              <w:t xml:space="preserve">us for the agreed-upon amount of wages and benefits, payroll taxes, insurance charges, and other expenses associated with the contracted work, plus a profit margin. </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Work Orders</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 xml:space="preserve">Work orders generally consist of supplemental services requested by clients outside of the standard service specification and include cleanup after tenant moves, construction cleanup, flood cleanup, snow removal, and high touchpoint disinfecting services. </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Transaction-Price</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 xml:space="preserve">These are arrangements in which customers are billed a fixed price for each transaction performed on a monthly basis (e.g., wheelchair passengers served or airplane cabins cleaned). </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Hourly</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 xml:space="preserve">In hourly arrangements, the client is billed a fixed hourly rate for each labor hour provided. </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Management Reimbursement</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Under these parking arrangements, we manage a parking facility for a management fee and pass through the revenue and expenses a</w:t>
            </w:r>
            <w:r>
              <w:rPr>
                <w:rFonts w:ascii="Arial" w:eastAsia="Times New Roman" w:hAnsi="Arial" w:cs="Arial"/>
                <w:color w:val="000000"/>
                <w:sz w:val="20"/>
                <w:szCs w:val="20"/>
              </w:rPr>
              <w:t>ssociated with the facility to the owner.</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Leased Location</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Under these parking arrangements, we pay a fixed amount of rent plus a percentage of revenues derived from monthly and transient parkers to the property owner. We retain all revenues receive</w:t>
            </w:r>
            <w:r>
              <w:rPr>
                <w:rFonts w:ascii="Arial" w:eastAsia="Times New Roman" w:hAnsi="Arial" w:cs="Arial"/>
                <w:color w:val="000000"/>
                <w:sz w:val="20"/>
                <w:szCs w:val="20"/>
              </w:rPr>
              <w:t>d and are responsible for most operating expenses incurred.</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Allowance</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Under these parking arrangements, we are paid a fixed amount or hourly fee to provide parking services, and we are responsible for certain operating expenses, as specified in the contract.</w:t>
            </w:r>
          </w:p>
        </w:tc>
      </w:tr>
      <w:tr w:rsidR="00000000">
        <w:trPr>
          <w:divId w:val="612788878"/>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Energy Savings Contracts and Fixed-Price Repair and Refurbishmen</w:t>
            </w:r>
            <w:r>
              <w:rPr>
                <w:rFonts w:ascii="Arial" w:eastAsia="Times New Roman" w:hAnsi="Arial" w:cs="Arial"/>
                <w:color w:val="000000"/>
                <w:sz w:val="20"/>
                <w:szCs w:val="20"/>
              </w:rPr>
              <w:t>t</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Under these arrangements, we agree to develop, design, engineer, and construct a project. Additionally, as part of bundled energy solutions arrangements, we guarantee the project will satisfy agreed-upon performance standards.</w:t>
            </w:r>
          </w:p>
        </w:tc>
      </w:tr>
      <w:tr w:rsidR="00000000">
        <w:trPr>
          <w:divId w:val="61278887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Franchise</w:t>
            </w:r>
          </w:p>
        </w:tc>
        <w:tc>
          <w:tcPr>
            <w:tcW w:w="0" w:type="auto"/>
            <w:vAlign w:val="center"/>
            <w:hideMark/>
          </w:tcPr>
          <w:p w:rsidR="00000000" w:rsidRDefault="00485CCD">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w:t>
            </w:r>
          </w:p>
        </w:tc>
      </w:tr>
    </w:tbl>
    <w:p w:rsidR="00000000" w:rsidRDefault="00485CCD">
      <w:pPr>
        <w:jc w:val="center"/>
        <w:divId w:val="16736711"/>
        <w:rPr>
          <w:rFonts w:eastAsia="Times New Roman"/>
        </w:rPr>
      </w:pPr>
      <w:r>
        <w:rPr>
          <w:rFonts w:ascii="Arial" w:eastAsia="Times New Roman" w:hAnsi="Arial" w:cs="Arial"/>
          <w:color w:val="000000"/>
          <w:sz w:val="20"/>
          <w:szCs w:val="20"/>
        </w:rPr>
        <w:t>4</w:t>
      </w:r>
    </w:p>
    <w:p w:rsidR="00000000" w:rsidRDefault="00485CCD">
      <w:pPr>
        <w:rPr>
          <w:rFonts w:eastAsia="Times New Roman"/>
        </w:rPr>
      </w:pPr>
      <w:r>
        <w:rPr>
          <w:rFonts w:eastAsia="Times New Roman"/>
        </w:rPr>
        <w:pict>
          <v:rect id="_x0000_i1034" style="width:0;height:1.5pt" o:hralign="center" o:hrstd="t" o:hr="t" fillcolor="#a0a0a0" stroked="f"/>
        </w:pict>
      </w:r>
    </w:p>
    <w:p w:rsidR="00000000" w:rsidRDefault="00485CCD">
      <w:pPr>
        <w:divId w:val="191920635"/>
        <w:rPr>
          <w:rFonts w:eastAsia="Times New Roman"/>
        </w:rPr>
      </w:pPr>
    </w:p>
    <w:p w:rsidR="00000000" w:rsidRDefault="00485CCD">
      <w:pPr>
        <w:divId w:val="1577089385"/>
        <w:rPr>
          <w:rFonts w:eastAsia="Times New Roman"/>
        </w:rPr>
      </w:pPr>
      <w:r>
        <w:rPr>
          <w:rFonts w:ascii="Arial" w:eastAsia="Times New Roman" w:hAnsi="Arial" w:cs="Arial"/>
          <w:b/>
          <w:bCs/>
          <w:color w:val="0046AD"/>
          <w:sz w:val="20"/>
          <w:szCs w:val="20"/>
        </w:rPr>
        <w:t>Segment and Geographic Financial Information</w:t>
      </w:r>
    </w:p>
    <w:p w:rsidR="00000000" w:rsidRDefault="00485CCD">
      <w:pPr>
        <w:ind w:firstLine="720"/>
        <w:jc w:val="both"/>
        <w:divId w:val="1773894316"/>
        <w:rPr>
          <w:rFonts w:eastAsia="Times New Roman"/>
        </w:rPr>
      </w:pPr>
      <w:r>
        <w:rPr>
          <w:rFonts w:ascii="Arial" w:eastAsia="Times New Roman" w:hAnsi="Arial" w:cs="Arial"/>
          <w:color w:val="000000"/>
          <w:sz w:val="20"/>
          <w:szCs w:val="20"/>
        </w:rPr>
        <w:t xml:space="preserve">Our current reportable segments consist of Business &amp; Industry (“B&amp;I”), Technology &amp; Manufacturing (“T&amp;M”), Education, Aviation, and Technical Solutions. The newly acquired </w:t>
      </w:r>
      <w:r>
        <w:rPr>
          <w:rFonts w:ascii="Arial" w:eastAsia="Times New Roman" w:hAnsi="Arial" w:cs="Arial"/>
          <w:color w:val="000000"/>
          <w:sz w:val="20"/>
          <w:szCs w:val="20"/>
        </w:rPr>
        <w:t xml:space="preserve">Able is integrated within our B&amp;I reportable segment. For segment and geographic financial information, see Note 17, “Segment and Geographic Information,” in the Notes to consolidated financial statements.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2723"/>
        <w:gridCol w:w="37"/>
        <w:gridCol w:w="69"/>
        <w:gridCol w:w="5347"/>
        <w:gridCol w:w="37"/>
      </w:tblGrid>
      <w:tr w:rsidR="00000000">
        <w:trPr>
          <w:divId w:val="1726636841"/>
          <w:jc w:val="center"/>
        </w:trPr>
        <w:tc>
          <w:tcPr>
            <w:tcW w:w="50" w:type="pct"/>
            <w:vAlign w:val="center"/>
            <w:hideMark/>
          </w:tcPr>
          <w:p w:rsidR="00000000" w:rsidRDefault="00485CCD">
            <w:pPr>
              <w:ind w:firstLine="720"/>
              <w:jc w:val="both"/>
              <w:rPr>
                <w:rFonts w:eastAsia="Times New Roman"/>
              </w:rPr>
            </w:pPr>
          </w:p>
        </w:tc>
        <w:tc>
          <w:tcPr>
            <w:tcW w:w="165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2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26636841"/>
          <w:jc w:val="center"/>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b/>
                <w:bCs/>
                <w:color w:val="0046AD"/>
                <w:sz w:val="20"/>
                <w:szCs w:val="20"/>
              </w:rPr>
              <w:t> </w:t>
            </w:r>
            <w:r>
              <w:rPr>
                <w:rFonts w:ascii="Arial" w:eastAsia="Times New Roman" w:hAnsi="Arial" w:cs="Arial"/>
                <w:b/>
                <w:bCs/>
                <w:color w:val="0046AD"/>
                <w:sz w:val="20"/>
                <w:szCs w:val="20"/>
              </w:rPr>
              <w:t>REPORTABLE SEGMENTS AND DESCRIPTIONS</w:t>
            </w:r>
          </w:p>
        </w:tc>
      </w:tr>
      <w:tr w:rsidR="00000000">
        <w:trPr>
          <w:divId w:val="1726636841"/>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1100643364"/>
              <w:rPr>
                <w:rFonts w:eastAsia="Times New Roman"/>
              </w:rPr>
            </w:pPr>
            <w:r>
              <w:rPr>
                <w:rFonts w:ascii="Arial" w:eastAsia="Times New Roman" w:hAnsi="Arial" w:cs="Arial"/>
                <w:color w:val="000000"/>
                <w:sz w:val="20"/>
                <w:szCs w:val="20"/>
              </w:rPr>
              <w:t>B&amp;I, our largest r</w:t>
            </w:r>
            <w:r>
              <w:rPr>
                <w:rFonts w:ascii="Arial" w:eastAsia="Times New Roman" w:hAnsi="Arial" w:cs="Arial"/>
                <w:color w:val="000000"/>
                <w:sz w:val="20"/>
                <w:szCs w:val="20"/>
              </w:rPr>
              <w:t>eportable segment, encompasses janitorial, facilities engineering, and parking services for commercial real estate properties, sports and entertainment venues, and traditional hospitals and non-acute healthcare facilities. B&amp;I also provides vehicle mainten</w:t>
            </w:r>
            <w:r>
              <w:rPr>
                <w:rFonts w:ascii="Arial" w:eastAsia="Times New Roman" w:hAnsi="Arial" w:cs="Arial"/>
                <w:color w:val="000000"/>
                <w:sz w:val="20"/>
                <w:szCs w:val="20"/>
              </w:rPr>
              <w:t>ance and other services to rental car providers. We typically provide services in this segment pursuant to monthly fixed-price, square-foot, cost-plus, and parking arrangements (i.e., management reimbursement, leased location, or allowance) that are obtain</w:t>
            </w:r>
            <w:r>
              <w:rPr>
                <w:rFonts w:ascii="Arial" w:eastAsia="Times New Roman" w:hAnsi="Arial" w:cs="Arial"/>
                <w:color w:val="000000"/>
                <w:sz w:val="20"/>
                <w:szCs w:val="20"/>
              </w:rPr>
              <w:t>ed through a competitive bid process as well as pursuant to work orders.</w:t>
            </w:r>
          </w:p>
        </w:tc>
      </w:tr>
      <w:tr w:rsidR="00000000">
        <w:trPr>
          <w:divId w:val="1726636841"/>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372921430"/>
              <w:rPr>
                <w:rFonts w:eastAsia="Times New Roman"/>
              </w:rPr>
            </w:pPr>
            <w:r>
              <w:rPr>
                <w:rFonts w:ascii="Arial" w:eastAsia="Times New Roman" w:hAnsi="Arial" w:cs="Arial"/>
                <w:color w:val="000000"/>
                <w:sz w:val="20"/>
                <w:szCs w:val="20"/>
              </w:rPr>
              <w:t xml:space="preserve">T&amp;M provides janitorial, facilities engineering, and parking services to industrial and high-tech manufacturing facilities. </w:t>
            </w:r>
            <w:r>
              <w:rPr>
                <w:rFonts w:ascii="Arial" w:eastAsia="Times New Roman" w:hAnsi="Arial" w:cs="Arial"/>
                <w:color w:val="000000"/>
                <w:sz w:val="20"/>
                <w:szCs w:val="20"/>
              </w:rPr>
              <w:t>We typically provide these services pursuant to monthly fixed-price, square-foot, cost-plus, and parking arrangements that are obtained through a competitive bid process as well as pursuant to work orders.</w:t>
            </w:r>
          </w:p>
        </w:tc>
      </w:tr>
      <w:tr w:rsidR="00000000">
        <w:trPr>
          <w:divId w:val="1726636841"/>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90589212"/>
              <w:rPr>
                <w:rFonts w:eastAsia="Times New Roman"/>
              </w:rPr>
            </w:pPr>
            <w:r>
              <w:rPr>
                <w:rFonts w:ascii="Arial" w:eastAsia="Times New Roman" w:hAnsi="Arial" w:cs="Arial"/>
                <w:color w:val="000000"/>
                <w:sz w:val="20"/>
                <w:szCs w:val="20"/>
              </w:rPr>
              <w:t>Education delivers janitorial, custodial, landscaping and grounds, facilities engineering,</w:t>
            </w:r>
            <w:r>
              <w:rPr>
                <w:rFonts w:ascii="Arial" w:eastAsia="Times New Roman" w:hAnsi="Arial" w:cs="Arial"/>
                <w:color w:val="000000"/>
                <w:sz w:val="20"/>
                <w:szCs w:val="20"/>
              </w:rPr>
              <w:t xml:space="preserve"> and parking services for public school districts, private schools, colleges, and universities. These services are typically provided pursuant to monthly fixed-price, square-foot, and cost-plus arrangements that are obtained through either a competitive bi</w:t>
            </w:r>
            <w:r>
              <w:rPr>
                <w:rFonts w:ascii="Arial" w:eastAsia="Times New Roman" w:hAnsi="Arial" w:cs="Arial"/>
                <w:color w:val="000000"/>
                <w:sz w:val="20"/>
                <w:szCs w:val="20"/>
              </w:rPr>
              <w:t>d process or re-bid upon renewal as well as pursuant to work orders.</w:t>
            </w:r>
          </w:p>
        </w:tc>
      </w:tr>
      <w:tr w:rsidR="00000000">
        <w:trPr>
          <w:divId w:val="1726636841"/>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1784227969"/>
              <w:rPr>
                <w:rFonts w:eastAsia="Times New Roman"/>
              </w:rPr>
            </w:pPr>
            <w:r>
              <w:rPr>
                <w:rFonts w:ascii="Arial" w:eastAsia="Times New Roman" w:hAnsi="Arial" w:cs="Arial"/>
                <w:color w:val="000000"/>
                <w:sz w:val="20"/>
                <w:szCs w:val="20"/>
              </w:rPr>
              <w:t>Aviation supports airlines and airports with service</w:t>
            </w:r>
            <w:r>
              <w:rPr>
                <w:rFonts w:ascii="Arial" w:eastAsia="Times New Roman" w:hAnsi="Arial" w:cs="Arial"/>
                <w:color w:val="000000"/>
                <w:sz w:val="20"/>
                <w:szCs w:val="20"/>
              </w:rPr>
              <w:t>s ranging from parking and janitorial to passenger assistance, catering logistics, air cabin maintenance, and transportation. We typically provide services to clients in this segment under master services agreements. These agreements are typically re-bid u</w:t>
            </w:r>
            <w:r>
              <w:rPr>
                <w:rFonts w:ascii="Arial" w:eastAsia="Times New Roman" w:hAnsi="Arial" w:cs="Arial"/>
                <w:color w:val="000000"/>
                <w:sz w:val="20"/>
                <w:szCs w:val="20"/>
              </w:rPr>
              <w:t>pon renewal and are generally structured as monthly fixed-price, square-foot, cost-plus, parking, transaction-price, and hourly arrangements. One client accounted for approximately 16% of revenues for this segment in 2021.</w:t>
            </w:r>
          </w:p>
        </w:tc>
      </w:tr>
      <w:tr w:rsidR="00000000">
        <w:trPr>
          <w:divId w:val="1726636841"/>
          <w:jc w:val="center"/>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r>
              <w:rPr>
                <w:rFonts w:eastAsia="Times New Roman"/>
                <w:noProof/>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37360412"/>
              <w:rPr>
                <w:rFonts w:eastAsia="Times New Roman"/>
              </w:rPr>
            </w:pPr>
            <w:r>
              <w:rPr>
                <w:rFonts w:ascii="Arial" w:eastAsia="Times New Roman" w:hAnsi="Arial" w:cs="Arial"/>
                <w:color w:val="000000"/>
                <w:sz w:val="20"/>
                <w:szCs w:val="20"/>
              </w:rPr>
              <w:t>Technical Solutions specializes in mechanical and electrical services. These services can also be leveraged for cross-selling across all of our industry groups, both domestically and internationally. Contracts for this segment are generally structured as e</w:t>
            </w:r>
            <w:r>
              <w:rPr>
                <w:rFonts w:ascii="Arial" w:eastAsia="Times New Roman" w:hAnsi="Arial" w:cs="Arial"/>
                <w:color w:val="000000"/>
                <w:sz w:val="20"/>
                <w:szCs w:val="20"/>
              </w:rPr>
              <w:t>nergy savings, fixed-price repair, refurbishment contracts, and franchise arrangements.</w:t>
            </w:r>
          </w:p>
        </w:tc>
      </w:tr>
    </w:tbl>
    <w:p w:rsidR="00000000" w:rsidRDefault="00485CCD">
      <w:pPr>
        <w:jc w:val="center"/>
        <w:divId w:val="1228803029"/>
        <w:rPr>
          <w:rFonts w:eastAsia="Times New Roman"/>
        </w:rPr>
      </w:pPr>
    </w:p>
    <w:p w:rsidR="00000000" w:rsidRDefault="00485CCD">
      <w:pPr>
        <w:jc w:val="center"/>
        <w:divId w:val="1710496811"/>
        <w:rPr>
          <w:rFonts w:eastAsia="Times New Roman"/>
        </w:rPr>
      </w:pPr>
      <w:r>
        <w:rPr>
          <w:rFonts w:ascii="Arial" w:eastAsia="Times New Roman" w:hAnsi="Arial" w:cs="Arial"/>
          <w:color w:val="000000"/>
          <w:sz w:val="20"/>
          <w:szCs w:val="20"/>
        </w:rPr>
        <w:t>5</w:t>
      </w:r>
    </w:p>
    <w:p w:rsidR="00000000" w:rsidRDefault="00485CCD">
      <w:pPr>
        <w:rPr>
          <w:rFonts w:eastAsia="Times New Roman"/>
        </w:rPr>
      </w:pPr>
      <w:r>
        <w:rPr>
          <w:rFonts w:eastAsia="Times New Roman"/>
        </w:rPr>
        <w:pict>
          <v:rect id="_x0000_i1040" style="width:0;height:1.5pt" o:hralign="center" o:hrstd="t" o:hr="t" fillcolor="#a0a0a0" stroked="f"/>
        </w:pict>
      </w:r>
    </w:p>
    <w:p w:rsidR="00000000" w:rsidRDefault="00485CCD">
      <w:pPr>
        <w:divId w:val="487672676"/>
        <w:rPr>
          <w:rFonts w:eastAsia="Times New Roman"/>
        </w:rPr>
      </w:pPr>
    </w:p>
    <w:p w:rsidR="00000000" w:rsidRDefault="00485CCD">
      <w:pPr>
        <w:divId w:val="1874923754"/>
        <w:rPr>
          <w:rFonts w:eastAsia="Times New Roman"/>
        </w:rPr>
      </w:pPr>
      <w:r>
        <w:rPr>
          <w:rFonts w:ascii="Arial" w:eastAsia="Times New Roman" w:hAnsi="Arial" w:cs="Arial"/>
          <w:b/>
          <w:bCs/>
          <w:color w:val="0046AD"/>
          <w:sz w:val="20"/>
          <w:szCs w:val="20"/>
        </w:rPr>
        <w:t>Service Marks, Trademarks, and Trade Names</w:t>
      </w:r>
    </w:p>
    <w:p w:rsidR="00000000" w:rsidRDefault="00485CCD">
      <w:pPr>
        <w:ind w:firstLine="720"/>
        <w:jc w:val="both"/>
        <w:divId w:val="1656176974"/>
        <w:rPr>
          <w:rFonts w:eastAsia="Times New Roman"/>
        </w:rPr>
      </w:pPr>
      <w:r>
        <w:rPr>
          <w:rFonts w:ascii="Arial" w:eastAsia="Times New Roman" w:hAnsi="Arial" w:cs="Arial"/>
          <w:color w:val="000000"/>
          <w:sz w:val="20"/>
          <w:szCs w:val="20"/>
        </w:rPr>
        <w:t>We hold various service marks, trademarks, and trade names, such as “ABM,” “ABM Building Value,” “ABM Greencare,” “EnhancedClean,” “EnhancedFacility,” “</w:t>
      </w:r>
      <w:r>
        <w:rPr>
          <w:rFonts w:ascii="Arial" w:eastAsia="Times New Roman" w:hAnsi="Arial" w:cs="Arial"/>
          <w:color w:val="000000"/>
          <w:sz w:val="20"/>
          <w:szCs w:val="20"/>
        </w:rPr>
        <w:t>Linc Service,” “MPower,” and “TEGG,” which we deem important to our marketing activities, to our business, and, in some cases, to the franchising activities conducted by our Technical Solutions segment.</w:t>
      </w:r>
    </w:p>
    <w:p w:rsidR="00000000" w:rsidRDefault="00485CCD">
      <w:pPr>
        <w:divId w:val="1713267992"/>
        <w:rPr>
          <w:rFonts w:eastAsia="Times New Roman"/>
        </w:rPr>
      </w:pPr>
      <w:r>
        <w:rPr>
          <w:rFonts w:ascii="Arial" w:eastAsia="Times New Roman" w:hAnsi="Arial" w:cs="Arial"/>
          <w:b/>
          <w:bCs/>
          <w:color w:val="0046AD"/>
          <w:sz w:val="20"/>
          <w:szCs w:val="20"/>
        </w:rPr>
        <w:t>Dependence on Significant Client</w:t>
      </w:r>
    </w:p>
    <w:p w:rsidR="00000000" w:rsidRDefault="00485CCD">
      <w:pPr>
        <w:ind w:firstLine="720"/>
        <w:jc w:val="both"/>
        <w:divId w:val="1635989543"/>
        <w:rPr>
          <w:rFonts w:eastAsia="Times New Roman"/>
        </w:rPr>
      </w:pPr>
      <w:r>
        <w:rPr>
          <w:rFonts w:ascii="Arial" w:eastAsia="Times New Roman" w:hAnsi="Arial" w:cs="Arial"/>
          <w:color w:val="000000"/>
          <w:sz w:val="20"/>
          <w:szCs w:val="20"/>
        </w:rPr>
        <w:t xml:space="preserve">No client accounted </w:t>
      </w:r>
      <w:r>
        <w:rPr>
          <w:rFonts w:ascii="Arial" w:eastAsia="Times New Roman" w:hAnsi="Arial" w:cs="Arial"/>
          <w:color w:val="000000"/>
          <w:sz w:val="20"/>
          <w:szCs w:val="20"/>
        </w:rPr>
        <w:t>for more than 10% of our consolidated revenues during 2021, 2020, or 2019.</w:t>
      </w:r>
    </w:p>
    <w:p w:rsidR="00000000" w:rsidRDefault="00485CCD">
      <w:pPr>
        <w:jc w:val="both"/>
        <w:divId w:val="1442384854"/>
        <w:rPr>
          <w:rFonts w:eastAsia="Times New Roman"/>
        </w:rPr>
      </w:pPr>
      <w:r>
        <w:rPr>
          <w:rFonts w:ascii="Arial" w:eastAsia="Times New Roman" w:hAnsi="Arial" w:cs="Arial"/>
          <w:b/>
          <w:bCs/>
          <w:color w:val="0046AD"/>
          <w:sz w:val="20"/>
          <w:szCs w:val="20"/>
        </w:rPr>
        <w:t>Competition</w:t>
      </w:r>
    </w:p>
    <w:p w:rsidR="00000000" w:rsidRDefault="00485CCD">
      <w:pPr>
        <w:ind w:firstLine="720"/>
        <w:jc w:val="both"/>
        <w:divId w:val="637296498"/>
        <w:rPr>
          <w:rFonts w:eastAsia="Times New Roman"/>
        </w:rPr>
      </w:pPr>
      <w:r>
        <w:rPr>
          <w:rFonts w:ascii="Arial" w:eastAsia="Times New Roman" w:hAnsi="Arial" w:cs="Arial"/>
          <w:color w:val="000000"/>
          <w:sz w:val="20"/>
          <w:szCs w:val="20"/>
        </w:rPr>
        <w:t>We believe that each aspect of our business is highly competitive and that such competition is based primarily on price, quality of service, efficiency enhancements, ada</w:t>
      </w:r>
      <w:r>
        <w:rPr>
          <w:rFonts w:ascii="Arial" w:eastAsia="Times New Roman" w:hAnsi="Arial" w:cs="Arial"/>
          <w:color w:val="000000"/>
          <w:sz w:val="20"/>
          <w:szCs w:val="20"/>
        </w:rPr>
        <w:t>pting to changing workplace conditions, and ability to anticipate and respond to industry changes. A majority of our revenue is derived from projects requiring competitive bids; however, an invitation to bid is often conditioned upon prior experience, indu</w:t>
      </w:r>
      <w:r>
        <w:rPr>
          <w:rFonts w:ascii="Arial" w:eastAsia="Times New Roman" w:hAnsi="Arial" w:cs="Arial"/>
          <w:color w:val="000000"/>
          <w:sz w:val="20"/>
          <w:szCs w:val="20"/>
        </w:rPr>
        <w:t xml:space="preserve">stry expertise, and financial strength. The low cost of entry in the facility services business results in a very competitive market. We mainly compete with regional and local owner-operated companies that may have more acute vision into local markets and </w:t>
      </w:r>
      <w:r>
        <w:rPr>
          <w:rFonts w:ascii="Arial" w:eastAsia="Times New Roman" w:hAnsi="Arial" w:cs="Arial"/>
          <w:color w:val="000000"/>
          <w:sz w:val="20"/>
          <w:szCs w:val="20"/>
        </w:rPr>
        <w:t xml:space="preserve">significantly lower labor and overhead costs, providing them with competitive advantages in those regards. We also compete indirectly with companies that can perform for themselves one or more of the services we provide. </w:t>
      </w:r>
    </w:p>
    <w:p w:rsidR="00000000" w:rsidRDefault="00485CCD">
      <w:pPr>
        <w:jc w:val="both"/>
        <w:divId w:val="834414007"/>
        <w:rPr>
          <w:rFonts w:eastAsia="Times New Roman"/>
        </w:rPr>
      </w:pPr>
      <w:r>
        <w:rPr>
          <w:rFonts w:ascii="Arial" w:eastAsia="Times New Roman" w:hAnsi="Arial" w:cs="Arial"/>
          <w:b/>
          <w:bCs/>
          <w:color w:val="0046AD"/>
          <w:sz w:val="20"/>
          <w:szCs w:val="20"/>
        </w:rPr>
        <w:t>Sales and Marketing</w:t>
      </w:r>
    </w:p>
    <w:p w:rsidR="00000000" w:rsidRDefault="00485CCD">
      <w:pPr>
        <w:ind w:firstLine="720"/>
        <w:jc w:val="both"/>
        <w:divId w:val="1827431464"/>
        <w:rPr>
          <w:rFonts w:eastAsia="Times New Roman"/>
        </w:rPr>
      </w:pPr>
      <w:r>
        <w:rPr>
          <w:rFonts w:ascii="Arial" w:eastAsia="Times New Roman" w:hAnsi="Arial" w:cs="Arial"/>
          <w:color w:val="000000"/>
          <w:sz w:val="20"/>
          <w:szCs w:val="20"/>
        </w:rPr>
        <w:t xml:space="preserve">Our sales and </w:t>
      </w:r>
      <w:r>
        <w:rPr>
          <w:rFonts w:ascii="Arial" w:eastAsia="Times New Roman" w:hAnsi="Arial" w:cs="Arial"/>
          <w:color w:val="000000"/>
          <w:sz w:val="20"/>
          <w:szCs w:val="20"/>
        </w:rPr>
        <w:t>marketing activities include digital engagement and direct interactions with prospective and existing clients, pricing, proposal management, and customer relationship management by dedicated business development teams, operations personnel, and management.</w:t>
      </w:r>
      <w:r>
        <w:rPr>
          <w:rFonts w:ascii="Arial" w:eastAsia="Times New Roman" w:hAnsi="Arial" w:cs="Arial"/>
          <w:color w:val="000000"/>
          <w:sz w:val="20"/>
          <w:szCs w:val="20"/>
        </w:rPr>
        <w:t xml:space="preserve"> These activities are executed by branch and regional sales, marketing, and operations teams assigned to our industry groups and are supported by centralized sales support teams, inside sales teams, and marketing personnel. The sales and marketing teams ac</w:t>
      </w:r>
      <w:r>
        <w:rPr>
          <w:rFonts w:ascii="Arial" w:eastAsia="Times New Roman" w:hAnsi="Arial" w:cs="Arial"/>
          <w:color w:val="000000"/>
          <w:sz w:val="20"/>
          <w:szCs w:val="20"/>
        </w:rPr>
        <w:t xml:space="preserve">quire, nurture, and manage leads through the sales buying process, as well as train personnel on product offerings, sales tools, and proposal systems, all governed by standard operating procedures. </w:t>
      </w:r>
    </w:p>
    <w:p w:rsidR="00000000" w:rsidRDefault="00485CCD">
      <w:pPr>
        <w:jc w:val="both"/>
        <w:divId w:val="1928273135"/>
        <w:rPr>
          <w:rFonts w:eastAsia="Times New Roman"/>
        </w:rPr>
      </w:pPr>
      <w:r>
        <w:rPr>
          <w:rFonts w:ascii="Arial" w:eastAsia="Times New Roman" w:hAnsi="Arial" w:cs="Arial"/>
          <w:b/>
          <w:bCs/>
          <w:color w:val="0046AD"/>
          <w:sz w:val="20"/>
          <w:szCs w:val="20"/>
        </w:rPr>
        <w:t>Regulatory Environment</w:t>
      </w:r>
    </w:p>
    <w:p w:rsidR="00000000" w:rsidRDefault="00485CCD">
      <w:pPr>
        <w:ind w:firstLine="720"/>
        <w:jc w:val="both"/>
        <w:divId w:val="2099014261"/>
        <w:rPr>
          <w:rFonts w:eastAsia="Times New Roman"/>
        </w:rPr>
      </w:pPr>
      <w:r>
        <w:rPr>
          <w:rFonts w:ascii="Arial" w:eastAsia="Times New Roman" w:hAnsi="Arial" w:cs="Arial"/>
          <w:color w:val="000000"/>
          <w:sz w:val="20"/>
          <w:szCs w:val="20"/>
        </w:rPr>
        <w:t>Our operations are subject to vari</w:t>
      </w:r>
      <w:r>
        <w:rPr>
          <w:rFonts w:ascii="Arial" w:eastAsia="Times New Roman" w:hAnsi="Arial" w:cs="Arial"/>
          <w:color w:val="000000"/>
          <w:sz w:val="20"/>
          <w:szCs w:val="20"/>
        </w:rPr>
        <w:t>ous federal, state, and/or local laws, rules, and regulations regulating the discharge of materials into the environment or otherwise relating to the protection of the environment, as well as laws and regulations relating to, among other things, labor, wag</w:t>
      </w:r>
      <w:r>
        <w:rPr>
          <w:rFonts w:ascii="Arial" w:eastAsia="Times New Roman" w:hAnsi="Arial" w:cs="Arial"/>
          <w:color w:val="000000"/>
          <w:sz w:val="20"/>
          <w:szCs w:val="20"/>
        </w:rPr>
        <w:t xml:space="preserve">es, and health and safety matters. Historically, the cost of complying with these laws, rules, and regulations has not had a material adverse effect on our financial position, results of operations, or cash flows. </w:t>
      </w:r>
    </w:p>
    <w:p w:rsidR="00000000" w:rsidRDefault="00485CCD">
      <w:pPr>
        <w:jc w:val="both"/>
        <w:divId w:val="1133714215"/>
        <w:rPr>
          <w:rFonts w:eastAsia="Times New Roman"/>
        </w:rPr>
      </w:pPr>
      <w:r>
        <w:rPr>
          <w:rFonts w:ascii="Arial" w:eastAsia="Times New Roman" w:hAnsi="Arial" w:cs="Arial"/>
          <w:b/>
          <w:bCs/>
          <w:color w:val="0046AD"/>
          <w:sz w:val="20"/>
          <w:szCs w:val="20"/>
        </w:rPr>
        <w:t>Corporate Responsibility and Sustainabili</w:t>
      </w:r>
      <w:r>
        <w:rPr>
          <w:rFonts w:ascii="Arial" w:eastAsia="Times New Roman" w:hAnsi="Arial" w:cs="Arial"/>
          <w:b/>
          <w:bCs/>
          <w:color w:val="0046AD"/>
          <w:sz w:val="20"/>
          <w:szCs w:val="20"/>
        </w:rPr>
        <w:t>ty</w:t>
      </w:r>
    </w:p>
    <w:p w:rsidR="00000000" w:rsidRDefault="00485CCD">
      <w:pPr>
        <w:ind w:firstLine="720"/>
        <w:jc w:val="both"/>
        <w:divId w:val="675111883"/>
        <w:rPr>
          <w:rFonts w:eastAsia="Times New Roman"/>
        </w:rPr>
      </w:pPr>
      <w:r>
        <w:rPr>
          <w:rFonts w:ascii="Arial" w:eastAsia="Times New Roman" w:hAnsi="Arial" w:cs="Arial"/>
          <w:color w:val="000000"/>
          <w:sz w:val="20"/>
          <w:szCs w:val="20"/>
        </w:rPr>
        <w:t>As a company with more than 110 years of history and experience, we understand the need to embed and integrate corporate responsibility into and within our business practices and commit to sustainable operations to create value and support the long-term</w:t>
      </w:r>
      <w:r>
        <w:rPr>
          <w:rFonts w:ascii="Arial" w:eastAsia="Times New Roman" w:hAnsi="Arial" w:cs="Arial"/>
          <w:color w:val="000000"/>
          <w:sz w:val="20"/>
          <w:szCs w:val="20"/>
        </w:rPr>
        <w:t xml:space="preserve"> success of our business, shareholders, employees, and clients. </w:t>
      </w:r>
    </w:p>
    <w:p w:rsidR="00000000" w:rsidRDefault="00485CCD">
      <w:pPr>
        <w:ind w:firstLine="720"/>
        <w:jc w:val="both"/>
        <w:divId w:val="73623609"/>
        <w:rPr>
          <w:rFonts w:eastAsia="Times New Roman"/>
        </w:rPr>
      </w:pPr>
      <w:r>
        <w:rPr>
          <w:rFonts w:ascii="Arial" w:eastAsia="Times New Roman" w:hAnsi="Arial" w:cs="Arial"/>
          <w:color w:val="000000"/>
          <w:sz w:val="20"/>
          <w:szCs w:val="20"/>
        </w:rPr>
        <w:t>Our strategy has evolved over the years to align with our stakeholders’ expectations regarding environmental, social, and governance (“ESG”) policies. We have established three strategic axes</w:t>
      </w:r>
      <w:r>
        <w:rPr>
          <w:rFonts w:ascii="Arial" w:eastAsia="Times New Roman" w:hAnsi="Arial" w:cs="Arial"/>
          <w:color w:val="000000"/>
          <w:sz w:val="20"/>
          <w:szCs w:val="20"/>
        </w:rPr>
        <w:t xml:space="preserve"> of our sustainability strategy based on the topics that are critical to our business: doing business in a responsible way to ensure compliance with ethical business practices and bring sustainable services to the market; ensuring the well-being and profes</w:t>
      </w:r>
      <w:r>
        <w:rPr>
          <w:rFonts w:ascii="Arial" w:eastAsia="Times New Roman" w:hAnsi="Arial" w:cs="Arial"/>
          <w:color w:val="000000"/>
          <w:sz w:val="20"/>
          <w:szCs w:val="20"/>
        </w:rPr>
        <w:t xml:space="preserve">sional development of our employees; and managing our carbon footprint to grow environmentally friendly practices. </w:t>
      </w:r>
    </w:p>
    <w:p w:rsidR="00000000" w:rsidRDefault="00485CCD">
      <w:pPr>
        <w:ind w:firstLine="720"/>
        <w:jc w:val="both"/>
        <w:divId w:val="153692641"/>
        <w:rPr>
          <w:rFonts w:eastAsia="Times New Roman"/>
        </w:rPr>
      </w:pPr>
      <w:r>
        <w:rPr>
          <w:rFonts w:ascii="Arial" w:eastAsia="Times New Roman" w:hAnsi="Arial" w:cs="Arial"/>
          <w:color w:val="000000"/>
          <w:sz w:val="20"/>
          <w:szCs w:val="20"/>
        </w:rPr>
        <w:t>Our Board of Directors and its Stakeholder and Enterprise Risk Committee are responsible for the Company’s activities and practices relating</w:t>
      </w:r>
      <w:r>
        <w:rPr>
          <w:rFonts w:ascii="Arial" w:eastAsia="Times New Roman" w:hAnsi="Arial" w:cs="Arial"/>
          <w:color w:val="000000"/>
          <w:sz w:val="20"/>
          <w:szCs w:val="20"/>
        </w:rPr>
        <w:t xml:space="preserve"> to social, environmental, and public policy matters. Additionally, our internal sustainability team works in cross functional collaboration with departments throughout and across the enterprise to advance our sustainability and ESG strategies.</w:t>
      </w:r>
    </w:p>
    <w:p w:rsidR="00000000" w:rsidRDefault="00485CCD">
      <w:pPr>
        <w:ind w:firstLine="720"/>
        <w:jc w:val="both"/>
        <w:divId w:val="835611685"/>
        <w:rPr>
          <w:rFonts w:eastAsia="Times New Roman"/>
        </w:rPr>
      </w:pPr>
      <w:r>
        <w:rPr>
          <w:rFonts w:ascii="Arial" w:eastAsia="Times New Roman" w:hAnsi="Arial" w:cs="Arial"/>
          <w:color w:val="000000"/>
          <w:sz w:val="20"/>
          <w:szCs w:val="20"/>
        </w:rPr>
        <w:t>Since 2011,</w:t>
      </w:r>
      <w:r>
        <w:rPr>
          <w:rFonts w:ascii="Arial" w:eastAsia="Times New Roman" w:hAnsi="Arial" w:cs="Arial"/>
          <w:color w:val="000000"/>
          <w:sz w:val="20"/>
          <w:szCs w:val="20"/>
        </w:rPr>
        <w:t xml:space="preserve"> we have voluntarily published a Sustainability Report on an annual basis in alignment with the Global Reporting Initiative framework and the Sustainability Accounting Standards Board to address our business, </w:t>
      </w:r>
    </w:p>
    <w:p w:rsidR="00000000" w:rsidRDefault="00485CCD">
      <w:pPr>
        <w:jc w:val="center"/>
        <w:divId w:val="2078042719"/>
        <w:rPr>
          <w:rFonts w:eastAsia="Times New Roman"/>
        </w:rPr>
      </w:pPr>
      <w:r>
        <w:rPr>
          <w:rFonts w:ascii="Arial" w:eastAsia="Times New Roman" w:hAnsi="Arial" w:cs="Arial"/>
          <w:color w:val="000000"/>
          <w:sz w:val="20"/>
          <w:szCs w:val="20"/>
        </w:rPr>
        <w:t>6</w:t>
      </w:r>
    </w:p>
    <w:p w:rsidR="00000000" w:rsidRDefault="00485CCD">
      <w:pPr>
        <w:rPr>
          <w:rFonts w:eastAsia="Times New Roman"/>
        </w:rPr>
      </w:pPr>
      <w:r>
        <w:rPr>
          <w:rFonts w:eastAsia="Times New Roman"/>
        </w:rPr>
        <w:pict>
          <v:rect id="_x0000_i1041" style="width:0;height:1.5pt" o:hralign="center" o:hrstd="t" o:hr="t" fillcolor="#a0a0a0" stroked="f"/>
        </w:pict>
      </w:r>
    </w:p>
    <w:p w:rsidR="00000000" w:rsidRDefault="00485CCD">
      <w:pPr>
        <w:divId w:val="1728727734"/>
        <w:rPr>
          <w:rFonts w:eastAsia="Times New Roman"/>
        </w:rPr>
      </w:pPr>
    </w:p>
    <w:p w:rsidR="00000000" w:rsidRDefault="00485CCD">
      <w:pPr>
        <w:jc w:val="both"/>
        <w:divId w:val="1990740724"/>
        <w:rPr>
          <w:rFonts w:eastAsia="Times New Roman"/>
        </w:rPr>
      </w:pPr>
      <w:r>
        <w:rPr>
          <w:rFonts w:ascii="Arial" w:eastAsia="Times New Roman" w:hAnsi="Arial" w:cs="Arial"/>
          <w:color w:val="000000"/>
          <w:sz w:val="20"/>
          <w:szCs w:val="20"/>
        </w:rPr>
        <w:t>our em</w:t>
      </w:r>
      <w:r>
        <w:rPr>
          <w:rFonts w:ascii="Arial" w:eastAsia="Times New Roman" w:hAnsi="Arial" w:cs="Arial"/>
          <w:color w:val="000000"/>
          <w:sz w:val="20"/>
          <w:szCs w:val="20"/>
        </w:rPr>
        <w:t xml:space="preserve">ployees, and the environment. More information about our sustainability performance, progress, and goals can be found in the corporate sustainability section of our corporate website. </w:t>
      </w:r>
    </w:p>
    <w:p w:rsidR="00000000" w:rsidRDefault="00485CCD">
      <w:pPr>
        <w:jc w:val="both"/>
        <w:divId w:val="571935217"/>
        <w:rPr>
          <w:rFonts w:eastAsia="Times New Roman"/>
        </w:rPr>
      </w:pPr>
      <w:r>
        <w:rPr>
          <w:rFonts w:ascii="Arial" w:eastAsia="Times New Roman" w:hAnsi="Arial" w:cs="Arial"/>
          <w:b/>
          <w:bCs/>
          <w:color w:val="0046AD"/>
          <w:sz w:val="20"/>
          <w:szCs w:val="20"/>
        </w:rPr>
        <w:t>Human Capital</w:t>
      </w:r>
    </w:p>
    <w:p w:rsidR="00000000" w:rsidRDefault="00485CCD">
      <w:pPr>
        <w:ind w:firstLine="720"/>
        <w:jc w:val="both"/>
        <w:divId w:val="2050260869"/>
        <w:rPr>
          <w:rFonts w:eastAsia="Times New Roman"/>
        </w:rPr>
      </w:pPr>
      <w:r>
        <w:rPr>
          <w:rFonts w:ascii="Arial" w:eastAsia="Times New Roman" w:hAnsi="Arial" w:cs="Arial"/>
          <w:color w:val="000000"/>
          <w:sz w:val="20"/>
          <w:szCs w:val="20"/>
        </w:rPr>
        <w:t xml:space="preserve">Our employees are the driving force behind everything we </w:t>
      </w:r>
      <w:r>
        <w:rPr>
          <w:rFonts w:ascii="Arial" w:eastAsia="Times New Roman" w:hAnsi="Arial" w:cs="Arial"/>
          <w:color w:val="000000"/>
          <w:sz w:val="20"/>
          <w:szCs w:val="20"/>
        </w:rPr>
        <w:t>do, and supporting our employees is a foundational value for the Company. Direct labor costs represented 68% of our total revenue for fiscal year 2021. As of October 31, 2021, we employed approximately 124,000 employees, of whom approximately 44,000, or 35</w:t>
      </w:r>
      <w:r>
        <w:rPr>
          <w:rFonts w:ascii="Arial" w:eastAsia="Times New Roman" w:hAnsi="Arial" w:cs="Arial"/>
          <w:color w:val="000000"/>
          <w:sz w:val="20"/>
          <w:szCs w:val="20"/>
        </w:rPr>
        <w:t>%, were subject to various local collective bargaining agreements. As of October 31, 2021, our frontline employees represented 93% of our total workforce, while staff and management employees represented the other 7%.</w:t>
      </w:r>
    </w:p>
    <w:p w:rsidR="00000000" w:rsidRDefault="00485CCD">
      <w:pPr>
        <w:ind w:firstLine="720"/>
        <w:jc w:val="both"/>
        <w:divId w:val="1232354638"/>
        <w:rPr>
          <w:rFonts w:eastAsia="Times New Roman"/>
        </w:rPr>
      </w:pPr>
      <w:r>
        <w:rPr>
          <w:rFonts w:ascii="Arial" w:eastAsia="Times New Roman" w:hAnsi="Arial" w:cs="Arial"/>
          <w:color w:val="000000"/>
          <w:sz w:val="20"/>
          <w:szCs w:val="20"/>
        </w:rPr>
        <w:t>Our human capital strategy is grounded</w:t>
      </w:r>
      <w:r>
        <w:rPr>
          <w:rFonts w:ascii="Arial" w:eastAsia="Times New Roman" w:hAnsi="Arial" w:cs="Arial"/>
          <w:color w:val="000000"/>
          <w:sz w:val="20"/>
          <w:szCs w:val="20"/>
        </w:rPr>
        <w:t xml:space="preserve"> by our values and our employees; we prioritize our human capital development in order to do business in a responsible way and ensure our employees’ success. The execution of this strategy is overseen at the highest levels of our organization, from our Boa</w:t>
      </w:r>
      <w:r>
        <w:rPr>
          <w:rFonts w:ascii="Arial" w:eastAsia="Times New Roman" w:hAnsi="Arial" w:cs="Arial"/>
          <w:color w:val="000000"/>
          <w:sz w:val="20"/>
          <w:szCs w:val="20"/>
        </w:rPr>
        <w:t>rd of Directors, our Board of Directors’ Stakeholder and Enterprise Risk Committee, and across our senior management</w:t>
      </w:r>
      <w:r>
        <w:rPr>
          <w:rFonts w:ascii="Arial" w:eastAsia="Times New Roman" w:hAnsi="Arial" w:cs="Arial"/>
          <w:i/>
          <w:iCs/>
          <w:color w:val="0046AD"/>
          <w:sz w:val="20"/>
          <w:szCs w:val="20"/>
        </w:rPr>
        <w:t xml:space="preserve">. </w:t>
      </w:r>
    </w:p>
    <w:p w:rsidR="00000000" w:rsidRDefault="00485CCD">
      <w:pPr>
        <w:jc w:val="both"/>
        <w:divId w:val="1754668311"/>
        <w:rPr>
          <w:rFonts w:eastAsia="Times New Roman"/>
        </w:rPr>
      </w:pPr>
      <w:r>
        <w:rPr>
          <w:rFonts w:ascii="Arial" w:eastAsia="Times New Roman" w:hAnsi="Arial" w:cs="Arial"/>
          <w:i/>
          <w:iCs/>
          <w:color w:val="0046AD"/>
          <w:sz w:val="20"/>
          <w:szCs w:val="20"/>
        </w:rPr>
        <w:t>Business ethics</w:t>
      </w:r>
    </w:p>
    <w:p w:rsidR="00000000" w:rsidRDefault="00485CCD">
      <w:pPr>
        <w:ind w:firstLine="720"/>
        <w:jc w:val="both"/>
        <w:divId w:val="125394133"/>
        <w:rPr>
          <w:rFonts w:eastAsia="Times New Roman"/>
        </w:rPr>
      </w:pPr>
      <w:r>
        <w:rPr>
          <w:rFonts w:ascii="Arial" w:eastAsia="Times New Roman" w:hAnsi="Arial" w:cs="Arial"/>
          <w:color w:val="000000"/>
          <w:sz w:val="20"/>
          <w:szCs w:val="20"/>
        </w:rPr>
        <w:t>Our Code of Business Conduct ensures that our core values of respect, integrity, collaboration, innovation, trust, and ex</w:t>
      </w:r>
      <w:r>
        <w:rPr>
          <w:rFonts w:ascii="Arial" w:eastAsia="Times New Roman" w:hAnsi="Arial" w:cs="Arial"/>
          <w:color w:val="000000"/>
          <w:sz w:val="20"/>
          <w:szCs w:val="20"/>
        </w:rPr>
        <w:t>cellence are applied throughout our operations. Our Code of Business Conduct serves as a critical tool to help all of us recognize and report unethical conduct, while preserving and nurturing our culture of honesty and accountability. We provide a comprehe</w:t>
      </w:r>
      <w:r>
        <w:rPr>
          <w:rFonts w:ascii="Arial" w:eastAsia="Times New Roman" w:hAnsi="Arial" w:cs="Arial"/>
          <w:color w:val="000000"/>
          <w:sz w:val="20"/>
          <w:szCs w:val="20"/>
        </w:rPr>
        <w:t xml:space="preserve">nsive annual training and certification program on our Code of Business Conduct for our Board of Directors and all of our staff and management employees. </w:t>
      </w:r>
    </w:p>
    <w:p w:rsidR="00000000" w:rsidRDefault="00485CCD">
      <w:pPr>
        <w:divId w:val="114064966"/>
        <w:rPr>
          <w:rFonts w:eastAsia="Times New Roman"/>
        </w:rPr>
      </w:pPr>
      <w:r>
        <w:rPr>
          <w:rFonts w:ascii="Arial" w:eastAsia="Times New Roman" w:hAnsi="Arial" w:cs="Arial"/>
          <w:i/>
          <w:iCs/>
          <w:color w:val="0046AD"/>
          <w:sz w:val="20"/>
          <w:szCs w:val="20"/>
        </w:rPr>
        <w:t>Human resources, hiring, and training</w:t>
      </w:r>
    </w:p>
    <w:p w:rsidR="00000000" w:rsidRDefault="00485CCD">
      <w:pPr>
        <w:ind w:firstLine="720"/>
        <w:jc w:val="both"/>
        <w:divId w:val="2111776712"/>
        <w:rPr>
          <w:rFonts w:eastAsia="Times New Roman"/>
        </w:rPr>
      </w:pPr>
      <w:r>
        <w:rPr>
          <w:rFonts w:ascii="Arial" w:eastAsia="Times New Roman" w:hAnsi="Arial" w:cs="Arial"/>
          <w:color w:val="000000"/>
          <w:sz w:val="20"/>
          <w:szCs w:val="20"/>
        </w:rPr>
        <w:t>With a team of approximately 124,000 employees across the Unite</w:t>
      </w:r>
      <w:r>
        <w:rPr>
          <w:rFonts w:ascii="Arial" w:eastAsia="Times New Roman" w:hAnsi="Arial" w:cs="Arial"/>
          <w:color w:val="000000"/>
          <w:sz w:val="20"/>
          <w:szCs w:val="20"/>
        </w:rPr>
        <w:t>d States, United Kingdom, and other locations, we continue to make investments in our human resources (“HR”) organization and structure toward centralized and standardized hiring and training practices, including incorporating modeling and advanced analyti</w:t>
      </w:r>
      <w:r>
        <w:rPr>
          <w:rFonts w:ascii="Arial" w:eastAsia="Times New Roman" w:hAnsi="Arial" w:cs="Arial"/>
          <w:color w:val="000000"/>
          <w:sz w:val="20"/>
          <w:szCs w:val="20"/>
        </w:rPr>
        <w:t xml:space="preserve">cs in our HR processes to drive improvement in the retention and engagement of our frontline employees, who constitute the majority of our workforce. </w:t>
      </w:r>
    </w:p>
    <w:p w:rsidR="00000000" w:rsidRDefault="00485CCD">
      <w:pPr>
        <w:ind w:firstLine="720"/>
        <w:jc w:val="both"/>
        <w:divId w:val="947614377"/>
        <w:rPr>
          <w:rFonts w:eastAsia="Times New Roman"/>
        </w:rPr>
      </w:pPr>
      <w:r>
        <w:rPr>
          <w:rFonts w:ascii="Arial" w:eastAsia="Times New Roman" w:hAnsi="Arial" w:cs="Arial"/>
          <w:color w:val="000000"/>
          <w:sz w:val="20"/>
          <w:szCs w:val="20"/>
        </w:rPr>
        <w:t>In fiscal year 2021, we successfully piloted a frontline leadership training program, which we plan to formally launch enterprise-wide. Through this program, we are aiming to develop the management and coaching skills of frontline supervisors to improve th</w:t>
      </w:r>
      <w:r>
        <w:rPr>
          <w:rFonts w:ascii="Arial" w:eastAsia="Times New Roman" w:hAnsi="Arial" w:cs="Arial"/>
          <w:color w:val="000000"/>
          <w:sz w:val="20"/>
          <w:szCs w:val="20"/>
        </w:rPr>
        <w:t xml:space="preserve">e employee experience, create an environment for career growth, and increase retention. </w:t>
      </w:r>
    </w:p>
    <w:p w:rsidR="00000000" w:rsidRDefault="00485CCD">
      <w:pPr>
        <w:ind w:firstLine="720"/>
        <w:jc w:val="both"/>
        <w:divId w:val="1862158115"/>
        <w:rPr>
          <w:rFonts w:eastAsia="Times New Roman"/>
        </w:rPr>
      </w:pPr>
      <w:r>
        <w:rPr>
          <w:rFonts w:ascii="Arial" w:eastAsia="Times New Roman" w:hAnsi="Arial" w:cs="Arial"/>
          <w:color w:val="000000"/>
          <w:sz w:val="20"/>
          <w:szCs w:val="20"/>
        </w:rPr>
        <w:t>We also enhanced recruiting strategies to keep our client facilities staffed and improve our ability to hire in a more efficient manner. Specifically, in fiscal year 2</w:t>
      </w:r>
      <w:r>
        <w:rPr>
          <w:rFonts w:ascii="Arial" w:eastAsia="Times New Roman" w:hAnsi="Arial" w:cs="Arial"/>
          <w:color w:val="000000"/>
          <w:sz w:val="20"/>
          <w:szCs w:val="20"/>
        </w:rPr>
        <w:t>021, we introduced a rapid recruiting program that expands the reach of our talent acquisition efforts through new processes, strategic solutions, and targeted marketing efforts to better attract and retain talent.</w:t>
      </w:r>
    </w:p>
    <w:p w:rsidR="00000000" w:rsidRDefault="00485CCD">
      <w:pPr>
        <w:ind w:firstLine="720"/>
        <w:jc w:val="both"/>
        <w:divId w:val="434709252"/>
        <w:rPr>
          <w:rFonts w:eastAsia="Times New Roman"/>
        </w:rPr>
      </w:pPr>
      <w:r>
        <w:rPr>
          <w:rFonts w:ascii="Arial" w:eastAsia="Times New Roman" w:hAnsi="Arial" w:cs="Arial"/>
          <w:color w:val="000000"/>
          <w:sz w:val="20"/>
          <w:szCs w:val="20"/>
        </w:rPr>
        <w:t xml:space="preserve">Team Member Experience is one of the main pillars of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 xml:space="preserve">strategy. We plan to make significant investments to attract, develop, and retain talent and to help our operators manage labor more efficiently, including the development of a new applicant </w:t>
      </w:r>
      <w:r>
        <w:rPr>
          <w:rFonts w:ascii="Arial" w:eastAsia="Times New Roman" w:hAnsi="Arial" w:cs="Arial"/>
          <w:color w:val="000000"/>
          <w:sz w:val="20"/>
          <w:szCs w:val="20"/>
        </w:rPr>
        <w:t>tracking system and enhanced workforce management tools.</w:t>
      </w:r>
    </w:p>
    <w:p w:rsidR="00000000" w:rsidRDefault="00485CCD">
      <w:pPr>
        <w:ind w:firstLine="720"/>
        <w:jc w:val="both"/>
        <w:divId w:val="1822574293"/>
        <w:rPr>
          <w:rFonts w:eastAsia="Times New Roman"/>
        </w:rPr>
      </w:pPr>
      <w:r>
        <w:rPr>
          <w:rFonts w:ascii="Arial" w:eastAsia="Times New Roman" w:hAnsi="Arial" w:cs="Arial"/>
          <w:color w:val="000000"/>
          <w:sz w:val="20"/>
          <w:szCs w:val="20"/>
        </w:rPr>
        <w:t>Our online training platform, ABM University, provides our staff and management employees with access to a multitude of training courses, videos, reference material, and other tools. Outside of ABM U</w:t>
      </w:r>
      <w:r>
        <w:rPr>
          <w:rFonts w:ascii="Arial" w:eastAsia="Times New Roman" w:hAnsi="Arial" w:cs="Arial"/>
          <w:color w:val="000000"/>
          <w:sz w:val="20"/>
          <w:szCs w:val="20"/>
        </w:rPr>
        <w:t xml:space="preserve">niversity our frontline employees receive on-the-job training to ensure we are executing for our clients. </w:t>
      </w:r>
    </w:p>
    <w:p w:rsidR="00000000" w:rsidRDefault="00485CCD">
      <w:pPr>
        <w:divId w:val="1926764178"/>
        <w:rPr>
          <w:rFonts w:eastAsia="Times New Roman"/>
        </w:rPr>
      </w:pPr>
      <w:r>
        <w:rPr>
          <w:rFonts w:ascii="Arial" w:eastAsia="Times New Roman" w:hAnsi="Arial" w:cs="Arial"/>
          <w:i/>
          <w:iCs/>
          <w:color w:val="0046AD"/>
          <w:sz w:val="20"/>
          <w:szCs w:val="20"/>
        </w:rPr>
        <w:t>Compensation and employee benefits</w:t>
      </w:r>
    </w:p>
    <w:p w:rsidR="00000000" w:rsidRDefault="00485CCD">
      <w:pPr>
        <w:ind w:firstLine="720"/>
        <w:jc w:val="both"/>
        <w:divId w:val="1771660585"/>
        <w:rPr>
          <w:rFonts w:eastAsia="Times New Roman"/>
        </w:rPr>
      </w:pPr>
      <w:r>
        <w:rPr>
          <w:rFonts w:ascii="Arial" w:eastAsia="Times New Roman" w:hAnsi="Arial" w:cs="Arial"/>
          <w:color w:val="000000"/>
          <w:sz w:val="20"/>
          <w:szCs w:val="20"/>
        </w:rPr>
        <w:t>In addition to competitive wages and salaries, we provide all of our employees access to a variety of health and w</w:t>
      </w:r>
      <w:r>
        <w:rPr>
          <w:rFonts w:ascii="Arial" w:eastAsia="Times New Roman" w:hAnsi="Arial" w:cs="Arial"/>
          <w:color w:val="000000"/>
          <w:sz w:val="20"/>
          <w:szCs w:val="20"/>
        </w:rPr>
        <w:t xml:space="preserve">ellness benefits, including a 24/7 employee assistance program, as well as the addition of telemedicine benefits and a dedicated COVID-19 employee resource site in response to the Novel Coronavirus (“COVID-19”) Pandemic (the “Pandemic”). Our comprehensive </w:t>
      </w:r>
      <w:r>
        <w:rPr>
          <w:rFonts w:ascii="Arial" w:eastAsia="Times New Roman" w:hAnsi="Arial" w:cs="Arial"/>
          <w:color w:val="000000"/>
          <w:sz w:val="20"/>
          <w:szCs w:val="20"/>
        </w:rPr>
        <w:t>benefits offerings are designed to meet the needs of our employees.</w:t>
      </w:r>
    </w:p>
    <w:p w:rsidR="00000000" w:rsidRDefault="00485CCD">
      <w:pPr>
        <w:jc w:val="both"/>
        <w:divId w:val="2066566063"/>
        <w:rPr>
          <w:rFonts w:eastAsia="Times New Roman"/>
        </w:rPr>
      </w:pPr>
      <w:r>
        <w:rPr>
          <w:rFonts w:ascii="Arial" w:eastAsia="Times New Roman" w:hAnsi="Arial" w:cs="Arial"/>
          <w:i/>
          <w:iCs/>
          <w:color w:val="0046AD"/>
          <w:sz w:val="20"/>
          <w:szCs w:val="20"/>
        </w:rPr>
        <w:t>Labor relations</w:t>
      </w:r>
    </w:p>
    <w:p w:rsidR="00000000" w:rsidRDefault="00485CCD">
      <w:pPr>
        <w:ind w:firstLine="720"/>
        <w:jc w:val="both"/>
        <w:divId w:val="299579450"/>
        <w:rPr>
          <w:rFonts w:eastAsia="Times New Roman"/>
        </w:rPr>
      </w:pPr>
      <w:r>
        <w:rPr>
          <w:rFonts w:ascii="Arial" w:eastAsia="Times New Roman" w:hAnsi="Arial" w:cs="Arial"/>
          <w:color w:val="000000"/>
          <w:sz w:val="20"/>
          <w:szCs w:val="20"/>
        </w:rPr>
        <w:t xml:space="preserve">With approximately 44,000 union-represented employees, we are party to more than 300 collective bargaining agreements nationwide, with more than 20 major labor unions. Our </w:t>
      </w:r>
      <w:r>
        <w:rPr>
          <w:rFonts w:ascii="Arial" w:eastAsia="Times New Roman" w:hAnsi="Arial" w:cs="Arial"/>
          <w:color w:val="000000"/>
          <w:sz w:val="20"/>
          <w:szCs w:val="20"/>
        </w:rPr>
        <w:t xml:space="preserve">collective bargaining agreements </w:t>
      </w:r>
    </w:p>
    <w:p w:rsidR="00000000" w:rsidRDefault="00485CCD">
      <w:pPr>
        <w:jc w:val="center"/>
        <w:divId w:val="355816927"/>
        <w:rPr>
          <w:rFonts w:eastAsia="Times New Roman"/>
        </w:rPr>
      </w:pPr>
      <w:r>
        <w:rPr>
          <w:rFonts w:ascii="Arial" w:eastAsia="Times New Roman" w:hAnsi="Arial" w:cs="Arial"/>
          <w:color w:val="000000"/>
          <w:sz w:val="20"/>
          <w:szCs w:val="20"/>
        </w:rPr>
        <w:t>7</w:t>
      </w:r>
    </w:p>
    <w:p w:rsidR="00000000" w:rsidRDefault="00485CCD">
      <w:pPr>
        <w:rPr>
          <w:rFonts w:eastAsia="Times New Roman"/>
        </w:rPr>
      </w:pPr>
      <w:r>
        <w:rPr>
          <w:rFonts w:eastAsia="Times New Roman"/>
        </w:rPr>
        <w:pict>
          <v:rect id="_x0000_i1042" style="width:0;height:1.5pt" o:hralign="center" o:hrstd="t" o:hr="t" fillcolor="#a0a0a0" stroked="f"/>
        </w:pict>
      </w:r>
    </w:p>
    <w:p w:rsidR="00000000" w:rsidRDefault="00485CCD">
      <w:pPr>
        <w:divId w:val="965627550"/>
        <w:rPr>
          <w:rFonts w:eastAsia="Times New Roman"/>
        </w:rPr>
      </w:pPr>
    </w:p>
    <w:p w:rsidR="00000000" w:rsidRDefault="00485CCD">
      <w:pPr>
        <w:jc w:val="both"/>
        <w:divId w:val="1120614072"/>
        <w:rPr>
          <w:rFonts w:eastAsia="Times New Roman"/>
        </w:rPr>
      </w:pPr>
      <w:r>
        <w:rPr>
          <w:rFonts w:ascii="Arial" w:eastAsia="Times New Roman" w:hAnsi="Arial" w:cs="Arial"/>
          <w:color w:val="000000"/>
          <w:sz w:val="20"/>
          <w:szCs w:val="20"/>
        </w:rPr>
        <w:t xml:space="preserve">include regional multiemployer agreements covering thousands of employees as well as localized site agreements covering smaller groups. We strive to interact with our labor partners </w:t>
      </w:r>
      <w:r>
        <w:rPr>
          <w:rFonts w:ascii="Arial" w:eastAsia="Times New Roman" w:hAnsi="Arial" w:cs="Arial"/>
          <w:color w:val="000000"/>
          <w:sz w:val="20"/>
          <w:szCs w:val="20"/>
        </w:rPr>
        <w:t xml:space="preserve">in an atmosphere of mutual respect, and we always seek to resolve any dispute in an equitable manner. </w:t>
      </w:r>
    </w:p>
    <w:p w:rsidR="00000000" w:rsidRDefault="00485CCD">
      <w:pPr>
        <w:jc w:val="both"/>
        <w:divId w:val="1428382550"/>
        <w:rPr>
          <w:rFonts w:eastAsia="Times New Roman"/>
        </w:rPr>
      </w:pPr>
      <w:r>
        <w:rPr>
          <w:rFonts w:ascii="Arial" w:eastAsia="Times New Roman" w:hAnsi="Arial" w:cs="Arial"/>
          <w:i/>
          <w:iCs/>
          <w:color w:val="0046AD"/>
          <w:sz w:val="20"/>
          <w:szCs w:val="20"/>
        </w:rPr>
        <w:t>Safe working environment</w:t>
      </w:r>
    </w:p>
    <w:p w:rsidR="00000000" w:rsidRDefault="00485CCD">
      <w:pPr>
        <w:ind w:firstLine="720"/>
        <w:jc w:val="both"/>
        <w:divId w:val="2101441585"/>
        <w:rPr>
          <w:rFonts w:eastAsia="Times New Roman"/>
        </w:rPr>
      </w:pPr>
      <w:r>
        <w:rPr>
          <w:rFonts w:ascii="Arial" w:eastAsia="Times New Roman" w:hAnsi="Arial" w:cs="Arial"/>
          <w:color w:val="000000"/>
          <w:sz w:val="20"/>
          <w:szCs w:val="20"/>
        </w:rPr>
        <w:t>The cornerstone of our comprehensive risk management and safety program is safety awareness. We have established a “safety-first</w:t>
      </w:r>
      <w:r>
        <w:rPr>
          <w:rFonts w:ascii="Arial" w:eastAsia="Times New Roman" w:hAnsi="Arial" w:cs="Arial"/>
          <w:color w:val="000000"/>
          <w:sz w:val="20"/>
          <w:szCs w:val="20"/>
        </w:rPr>
        <w:t>” culture through various programs and initiatives including, but not limited to, incorporation into our daily shift protocols, training, and alignment with our corporate incentive plans. Our safety programs for fiscal year 2021 helped produce claim freque</w:t>
      </w:r>
      <w:r>
        <w:rPr>
          <w:rFonts w:ascii="Arial" w:eastAsia="Times New Roman" w:hAnsi="Arial" w:cs="Arial"/>
          <w:color w:val="000000"/>
          <w:sz w:val="20"/>
          <w:szCs w:val="20"/>
        </w:rPr>
        <w:t>ncy reductions.</w:t>
      </w:r>
    </w:p>
    <w:p w:rsidR="00000000" w:rsidRDefault="00485CCD">
      <w:pPr>
        <w:ind w:firstLine="720"/>
        <w:jc w:val="both"/>
        <w:divId w:val="792748719"/>
        <w:rPr>
          <w:rFonts w:eastAsia="Times New Roman"/>
        </w:rPr>
      </w:pPr>
      <w:r>
        <w:rPr>
          <w:rFonts w:ascii="Arial" w:eastAsia="Times New Roman" w:hAnsi="Arial" w:cs="Arial"/>
          <w:color w:val="000000"/>
          <w:sz w:val="20"/>
          <w:szCs w:val="20"/>
        </w:rPr>
        <w:t>A critical component of ABM’s commitment to fostering a professional and safe working environment for all of our employees is our zero tolerance for sexual and other unlawful harassment. For example, in recent years, we have taken actions t</w:t>
      </w:r>
      <w:r>
        <w:rPr>
          <w:rFonts w:ascii="Arial" w:eastAsia="Times New Roman" w:hAnsi="Arial" w:cs="Arial"/>
          <w:color w:val="000000"/>
          <w:sz w:val="20"/>
          <w:szCs w:val="20"/>
        </w:rPr>
        <w:t>o further strengthen our safeguards against harassment, including expanding our robust anti-harassment trainings and policies. We take any claim of unlawful harassment seriously and remain committed to providing a safe workplace for all.</w:t>
      </w:r>
    </w:p>
    <w:p w:rsidR="00000000" w:rsidRDefault="00485CCD">
      <w:pPr>
        <w:divId w:val="2000379628"/>
        <w:rPr>
          <w:rFonts w:eastAsia="Times New Roman"/>
        </w:rPr>
      </w:pPr>
      <w:r>
        <w:rPr>
          <w:rFonts w:ascii="Arial" w:eastAsia="Times New Roman" w:hAnsi="Arial" w:cs="Arial"/>
          <w:i/>
          <w:iCs/>
          <w:color w:val="0046AD"/>
          <w:sz w:val="20"/>
          <w:szCs w:val="20"/>
        </w:rPr>
        <w:t>Culture and inclus</w:t>
      </w:r>
      <w:r>
        <w:rPr>
          <w:rFonts w:ascii="Arial" w:eastAsia="Times New Roman" w:hAnsi="Arial" w:cs="Arial"/>
          <w:i/>
          <w:iCs/>
          <w:color w:val="0046AD"/>
          <w:sz w:val="20"/>
          <w:szCs w:val="20"/>
        </w:rPr>
        <w:t>ion</w:t>
      </w:r>
    </w:p>
    <w:p w:rsidR="00000000" w:rsidRDefault="00485CCD">
      <w:pPr>
        <w:ind w:firstLine="720"/>
        <w:jc w:val="both"/>
        <w:divId w:val="932129881"/>
        <w:rPr>
          <w:rFonts w:eastAsia="Times New Roman"/>
        </w:rPr>
      </w:pPr>
      <w:r>
        <w:rPr>
          <w:rFonts w:ascii="Arial" w:eastAsia="Times New Roman" w:hAnsi="Arial" w:cs="Arial"/>
          <w:color w:val="000000"/>
          <w:sz w:val="20"/>
          <w:szCs w:val="20"/>
        </w:rPr>
        <w:t>Grounded by our values and guided by our mission, we employ approximately 124,000 individuals from all backgrounds with the talent, experience, and compassion that enable us to best deliver for those we serve. We cultivate a culture aimed at ensuring t</w:t>
      </w:r>
      <w:r>
        <w:rPr>
          <w:rFonts w:ascii="Arial" w:eastAsia="Times New Roman" w:hAnsi="Arial" w:cs="Arial"/>
          <w:color w:val="000000"/>
          <w:sz w:val="20"/>
          <w:szCs w:val="20"/>
        </w:rPr>
        <w:t>hat our employees feel seen, heard, and valued.</w:t>
      </w:r>
    </w:p>
    <w:p w:rsidR="00000000" w:rsidRDefault="00485CCD">
      <w:pPr>
        <w:ind w:firstLine="720"/>
        <w:jc w:val="both"/>
        <w:divId w:val="1696956384"/>
        <w:rPr>
          <w:rFonts w:eastAsia="Times New Roman"/>
        </w:rPr>
      </w:pPr>
      <w:r>
        <w:rPr>
          <w:rFonts w:ascii="Arial" w:eastAsia="Times New Roman" w:hAnsi="Arial" w:cs="Arial"/>
          <w:color w:val="000000"/>
          <w:sz w:val="20"/>
          <w:szCs w:val="20"/>
        </w:rPr>
        <w:t>Diversity, inclusion, equity, and belonging are core to this culture. Inviting different perspectives and driving inclusion enables us to connect meaningfully, adapt, and innovate. In 2020, we established the</w:t>
      </w:r>
      <w:r>
        <w:rPr>
          <w:rFonts w:ascii="Arial" w:eastAsia="Times New Roman" w:hAnsi="Arial" w:cs="Arial"/>
          <w:color w:val="000000"/>
          <w:sz w:val="20"/>
          <w:szCs w:val="20"/>
        </w:rPr>
        <w:t xml:space="preserve"> Company’s Culture and Inclusion Leadership Council, supported by our executive leadership team and guided by our employees. This council is focused on how ABM successfully converts its values into measurable action. In fiscal year 2021, through meetings o</w:t>
      </w:r>
      <w:r>
        <w:rPr>
          <w:rFonts w:ascii="Arial" w:eastAsia="Times New Roman" w:hAnsi="Arial" w:cs="Arial"/>
          <w:color w:val="000000"/>
          <w:sz w:val="20"/>
          <w:szCs w:val="20"/>
        </w:rPr>
        <w:t>f this council and employees surveys and with the assistance of third-party experts, the council identified four key focus areas, including: training, data and analytics, internal engagement, and partnering with respected organizations dedicated to buildin</w:t>
      </w:r>
      <w:r>
        <w:rPr>
          <w:rFonts w:ascii="Arial" w:eastAsia="Times New Roman" w:hAnsi="Arial" w:cs="Arial"/>
          <w:color w:val="000000"/>
          <w:sz w:val="20"/>
          <w:szCs w:val="20"/>
        </w:rPr>
        <w:t xml:space="preserve">g a more equitable society. </w:t>
      </w:r>
    </w:p>
    <w:p w:rsidR="00000000" w:rsidRDefault="00485CCD">
      <w:pPr>
        <w:ind w:firstLine="720"/>
        <w:jc w:val="both"/>
        <w:divId w:val="1924604878"/>
        <w:rPr>
          <w:rFonts w:eastAsia="Times New Roman"/>
        </w:rPr>
      </w:pPr>
      <w:r>
        <w:rPr>
          <w:rFonts w:ascii="Arial" w:eastAsia="Times New Roman" w:hAnsi="Arial" w:cs="Arial"/>
          <w:color w:val="000000"/>
          <w:sz w:val="20"/>
          <w:szCs w:val="20"/>
        </w:rPr>
        <w:t>Activities of the Culture and Inclusion Leadership Council are reported to the Board’s Stakeholder and Enterprise Risk Committee through management presentations on matters such as corporate culture, diversity, equity, and incl</w:t>
      </w:r>
      <w:r>
        <w:rPr>
          <w:rFonts w:ascii="Arial" w:eastAsia="Times New Roman" w:hAnsi="Arial" w:cs="Arial"/>
          <w:color w:val="000000"/>
          <w:sz w:val="20"/>
          <w:szCs w:val="20"/>
        </w:rPr>
        <w:t xml:space="preserve">usion. </w:t>
      </w:r>
    </w:p>
    <w:p w:rsidR="00000000" w:rsidRDefault="00485CCD">
      <w:pPr>
        <w:ind w:firstLine="720"/>
        <w:jc w:val="both"/>
        <w:divId w:val="472478975"/>
        <w:rPr>
          <w:rFonts w:eastAsia="Times New Roman"/>
        </w:rPr>
      </w:pPr>
      <w:r>
        <w:rPr>
          <w:rFonts w:ascii="Arial" w:eastAsia="Times New Roman" w:hAnsi="Arial" w:cs="Arial"/>
          <w:color w:val="000000"/>
          <w:sz w:val="20"/>
          <w:szCs w:val="20"/>
        </w:rPr>
        <w:t xml:space="preserve">We are an Equal Opportunity and Affirmative Action employer in compliance with the requirements of the Executive Order 11246 of the Rehabilitation Act of 1973 and the Vietnam Era Veterans’ Readjustment Assistance Act. </w:t>
      </w:r>
    </w:p>
    <w:p w:rsidR="00000000" w:rsidRDefault="00485CCD">
      <w:pPr>
        <w:divId w:val="2030257311"/>
        <w:rPr>
          <w:rFonts w:eastAsia="Times New Roman"/>
        </w:rPr>
      </w:pPr>
    </w:p>
    <w:p w:rsidR="00000000" w:rsidRDefault="00485CCD">
      <w:pPr>
        <w:jc w:val="center"/>
        <w:divId w:val="806093783"/>
        <w:rPr>
          <w:rFonts w:eastAsia="Times New Roman"/>
        </w:rPr>
      </w:pPr>
      <w:r>
        <w:rPr>
          <w:rFonts w:ascii="Arial" w:eastAsia="Times New Roman" w:hAnsi="Arial" w:cs="Arial"/>
          <w:color w:val="000000"/>
          <w:sz w:val="20"/>
          <w:szCs w:val="20"/>
        </w:rPr>
        <w:t>8</w:t>
      </w:r>
    </w:p>
    <w:p w:rsidR="00000000" w:rsidRDefault="00485CCD">
      <w:pPr>
        <w:rPr>
          <w:rFonts w:eastAsia="Times New Roman"/>
        </w:rPr>
      </w:pPr>
      <w:r>
        <w:rPr>
          <w:rFonts w:eastAsia="Times New Roman"/>
        </w:rPr>
        <w:pict>
          <v:rect id="_x0000_i1043" style="width:0;height:1.5pt" o:hralign="center" o:hrstd="t" o:hr="t" fillcolor="#a0a0a0" stroked="f"/>
        </w:pict>
      </w:r>
    </w:p>
    <w:p w:rsidR="00000000" w:rsidRDefault="00485CCD">
      <w:pPr>
        <w:divId w:val="1760372911"/>
        <w:rPr>
          <w:rFonts w:eastAsia="Times New Roman"/>
        </w:rPr>
      </w:pPr>
    </w:p>
    <w:p w:rsidR="00000000" w:rsidRDefault="00485CCD">
      <w:pPr>
        <w:divId w:val="123278261"/>
        <w:rPr>
          <w:rFonts w:eastAsia="Times New Roman"/>
        </w:rPr>
      </w:pPr>
      <w:r>
        <w:rPr>
          <w:rFonts w:ascii="Arial" w:eastAsia="Times New Roman" w:hAnsi="Arial" w:cs="Arial"/>
          <w:b/>
          <w:bCs/>
          <w:color w:val="0046AD"/>
          <w:sz w:val="20"/>
          <w:szCs w:val="20"/>
        </w:rPr>
        <w:t>Available Information</w:t>
      </w:r>
    </w:p>
    <w:p w:rsidR="00000000" w:rsidRDefault="00485CCD">
      <w:pPr>
        <w:ind w:firstLine="720"/>
        <w:jc w:val="both"/>
        <w:divId w:val="528876272"/>
        <w:rPr>
          <w:rFonts w:eastAsia="Times New Roman"/>
        </w:rPr>
      </w:pPr>
      <w:r>
        <w:rPr>
          <w:rFonts w:ascii="Arial" w:eastAsia="Times New Roman" w:hAnsi="Arial" w:cs="Arial"/>
          <w:color w:val="000000"/>
          <w:sz w:val="20"/>
          <w:szCs w:val="20"/>
        </w:rPr>
        <w:t>Our corporate website is www.abm.com. The content on any website referred to in this filing does not constitute, and should not be viewed as, a part of this Annual Report, and our website is not incorporated into this or</w:t>
      </w:r>
      <w:r>
        <w:rPr>
          <w:rFonts w:ascii="Arial" w:eastAsia="Times New Roman" w:hAnsi="Arial" w:cs="Arial"/>
          <w:color w:val="000000"/>
          <w:sz w:val="20"/>
          <w:szCs w:val="20"/>
        </w:rPr>
        <w:t xml:space="preserve"> any of our other filings with the Securities and Exchange Commission (“SEC”). We make available, free of charge through our website, our Annual Reports on Form 10-K, Quarterly Reports on Form 10-Q, Current Reports on Form 8-K, proxy statements, and amendm</w:t>
      </w:r>
      <w:r>
        <w:rPr>
          <w:rFonts w:ascii="Arial" w:eastAsia="Times New Roman" w:hAnsi="Arial" w:cs="Arial"/>
          <w:color w:val="000000"/>
          <w:sz w:val="20"/>
          <w:szCs w:val="20"/>
        </w:rPr>
        <w:t>ents to those reports filed or furnished pursuant to Section 13(a) or 15(d) of the Securities Exchange Act of 1934 as soon as reasonably practicable after such reports are electronically filed with or furnished to the SEC. Additionally, the SEC maintains a</w:t>
      </w:r>
      <w:r>
        <w:rPr>
          <w:rFonts w:ascii="Arial" w:eastAsia="Times New Roman" w:hAnsi="Arial" w:cs="Arial"/>
          <w:color w:val="000000"/>
          <w:sz w:val="20"/>
          <w:szCs w:val="20"/>
        </w:rPr>
        <w:t xml:space="preserve"> website at www.sec.gov that contains reports, proxy and information statements, and other information regarding issuers that file electronically with the SEC. </w:t>
      </w:r>
    </w:p>
    <w:p w:rsidR="00000000" w:rsidRDefault="00485CCD">
      <w:pPr>
        <w:jc w:val="both"/>
        <w:divId w:val="1031295677"/>
        <w:rPr>
          <w:rFonts w:eastAsia="Times New Roman"/>
        </w:rPr>
      </w:pPr>
      <w:r>
        <w:rPr>
          <w:rFonts w:ascii="Arial" w:eastAsia="Times New Roman" w:hAnsi="Arial" w:cs="Arial"/>
          <w:b/>
          <w:bCs/>
          <w:color w:val="0046AD"/>
          <w:sz w:val="20"/>
          <w:szCs w:val="20"/>
        </w:rPr>
        <w:t>Executive Officers of Registrant</w:t>
      </w:r>
    </w:p>
    <w:p w:rsidR="00000000" w:rsidRDefault="00485CCD">
      <w:pPr>
        <w:divId w:val="1090465347"/>
        <w:rPr>
          <w:rFonts w:eastAsia="Times New Roman"/>
        </w:rPr>
      </w:pPr>
      <w:r>
        <w:rPr>
          <w:rFonts w:ascii="Arial" w:eastAsia="Times New Roman" w:hAnsi="Arial" w:cs="Arial"/>
          <w:b/>
          <w:bCs/>
          <w:i/>
          <w:iCs/>
          <w:color w:val="0046AD"/>
          <w:sz w:val="20"/>
          <w:szCs w:val="20"/>
        </w:rPr>
        <w:t>Executive Officers on December 22, 2021</w:t>
      </w:r>
      <w:r>
        <w:rPr>
          <w:rFonts w:ascii="Arial" w:eastAsia="Times New Roman" w:hAnsi="Arial" w:cs="Arial"/>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8"/>
        <w:gridCol w:w="2107"/>
        <w:gridCol w:w="38"/>
        <w:gridCol w:w="36"/>
        <w:gridCol w:w="36"/>
        <w:gridCol w:w="36"/>
        <w:gridCol w:w="42"/>
        <w:gridCol w:w="718"/>
        <w:gridCol w:w="36"/>
        <w:gridCol w:w="36"/>
        <w:gridCol w:w="36"/>
        <w:gridCol w:w="36"/>
        <w:gridCol w:w="42"/>
        <w:gridCol w:w="4988"/>
        <w:gridCol w:w="36"/>
      </w:tblGrid>
      <w:tr w:rsidR="00000000">
        <w:trPr>
          <w:divId w:val="619341472"/>
        </w:trPr>
        <w:tc>
          <w:tcPr>
            <w:tcW w:w="50" w:type="pct"/>
            <w:vAlign w:val="center"/>
            <w:hideMark/>
          </w:tcPr>
          <w:p w:rsidR="00000000" w:rsidRDefault="00485CCD">
            <w:pPr>
              <w:rPr>
                <w:rFonts w:eastAsia="Times New Roman"/>
              </w:rPr>
            </w:pPr>
          </w:p>
        </w:tc>
        <w:tc>
          <w:tcPr>
            <w:tcW w:w="128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5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0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1934147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both"/>
              <w:rPr>
                <w:rFonts w:eastAsia="Times New Roman"/>
              </w:rPr>
            </w:pPr>
            <w:r>
              <w:rPr>
                <w:rFonts w:ascii="Arial" w:eastAsia="Times New Roman" w:hAnsi="Arial" w:cs="Arial"/>
                <w:b/>
                <w:bCs/>
                <w:color w:val="000000"/>
                <w:sz w:val="20"/>
                <w:szCs w:val="20"/>
              </w:rPr>
              <w:t>Principal Occupations and Business Experience</w:t>
            </w:r>
          </w:p>
        </w:tc>
      </w:tr>
      <w:tr w:rsidR="00000000">
        <w:trPr>
          <w:divId w:val="619341472"/>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divId w:val="1218855438"/>
              <w:rPr>
                <w:rFonts w:eastAsia="Times New Roman"/>
              </w:rPr>
            </w:pPr>
            <w:r>
              <w:rPr>
                <w:rFonts w:ascii="Arial" w:eastAsia="Times New Roman" w:hAnsi="Arial" w:cs="Arial"/>
                <w:color w:val="000000"/>
                <w:sz w:val="18"/>
                <w:szCs w:val="18"/>
              </w:rPr>
              <w:t>Scott Salmirs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President and Chief Executive Officer of ABM since March 2015; Executive Vice President of ABM from September 2014 to March 2015, with global responsibility for ABM’s Aviation division and all international activities; Executive Vice President of ABM’s Ons</w:t>
            </w:r>
            <w:r>
              <w:rPr>
                <w:rFonts w:ascii="Arial" w:eastAsia="Times New Roman" w:hAnsi="Arial" w:cs="Arial"/>
                <w:color w:val="000000"/>
                <w:sz w:val="18"/>
                <w:szCs w:val="18"/>
              </w:rPr>
              <w:t>ite Services division focused on the Northeast from 2003 to September 2014; Member of the Board of Directors of ABM since January 2015.</w:t>
            </w:r>
          </w:p>
        </w:tc>
      </w:tr>
      <w:tr w:rsidR="00000000">
        <w:trPr>
          <w:divId w:val="61934147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Earl R. Ellis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56</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and Chief Financial Officer of ABM since November 2020; Senior Vice President, Finance and Procurement of Best Buy Co. Inc. from January 2018 to November 2020; Chief Financial Officer of Best Buy Canada from May 2016 to December 20</w:t>
            </w:r>
            <w:r>
              <w:rPr>
                <w:rFonts w:ascii="Arial" w:eastAsia="Times New Roman" w:hAnsi="Arial" w:cs="Arial"/>
                <w:color w:val="000000"/>
                <w:sz w:val="18"/>
                <w:szCs w:val="18"/>
              </w:rPr>
              <w:t>17; Vice President, Finance, Retail of Canadian Tire Corporation Limited from May 2014 to May 2016.</w:t>
            </w:r>
          </w:p>
        </w:tc>
      </w:tr>
      <w:tr w:rsidR="00000000">
        <w:trPr>
          <w:divId w:val="61934147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Joshua H. Feinberg</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47</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Chief Strategy and Transformation Officer of ABM since November 2019; Managing Director and Partner of The Boston Consulting Group from July 2014 to November 2019.</w:t>
            </w:r>
          </w:p>
        </w:tc>
      </w:tr>
      <w:tr w:rsidR="00000000">
        <w:trPr>
          <w:divId w:val="61934147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Rene Jacobsen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60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and Chief O</w:t>
            </w:r>
            <w:r>
              <w:rPr>
                <w:rFonts w:ascii="Arial" w:eastAsia="Times New Roman" w:hAnsi="Arial" w:cs="Arial"/>
                <w:color w:val="000000"/>
                <w:sz w:val="18"/>
                <w:szCs w:val="18"/>
              </w:rPr>
              <w:t>perating Officer of ABM since November 2020; Executive Vice President and Chief Facilities Services Officer of ABM from October 2019 to November 2020; President of ABM’s Business &amp; Industry Group from February 2016 to October 2019; Executive Vice President</w:t>
            </w:r>
            <w:r>
              <w:rPr>
                <w:rFonts w:ascii="Arial" w:eastAsia="Times New Roman" w:hAnsi="Arial" w:cs="Arial"/>
                <w:color w:val="000000"/>
                <w:sz w:val="18"/>
                <w:szCs w:val="18"/>
              </w:rPr>
              <w:t xml:space="preserve"> of ABM’s West Region from April 2012 to February 2016; Executive Vice President and Chief Operating Officer of Temco Service Industries from November 2007 to April 2012.</w:t>
            </w:r>
          </w:p>
        </w:tc>
      </w:tr>
      <w:tr w:rsidR="00000000">
        <w:trPr>
          <w:divId w:val="61934147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Sean M. Mahoney</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55</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and President, Sales and Marketing of ABM since November 2020; Senior Vice President, Sales of ABM from August 2017 to October 2020; Vice President, Sales of Honeywell from July 2015 to July 2017.</w:t>
            </w:r>
          </w:p>
        </w:tc>
      </w:tr>
      <w:tr w:rsidR="00000000">
        <w:trPr>
          <w:divId w:val="61934147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Andrea R. Newborn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58</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General Counsel, and Corporate Secretary of ABM since July 2017; Executive Vice President and General Counsel of TravelClick, Inc. from July 2014 to June 21017; Senior Vice President, General Counsel, and Secretary of The Reader’</w:t>
            </w:r>
            <w:r>
              <w:rPr>
                <w:rFonts w:ascii="Arial" w:eastAsia="Times New Roman" w:hAnsi="Arial" w:cs="Arial"/>
                <w:color w:val="000000"/>
                <w:sz w:val="18"/>
                <w:szCs w:val="18"/>
              </w:rPr>
              <w:t>s Digest Association, Inc. from March 2007 to February 2014.</w:t>
            </w:r>
          </w:p>
        </w:tc>
      </w:tr>
      <w:tr w:rsidR="00000000">
        <w:trPr>
          <w:divId w:val="61934147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Raúl Valentin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58</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Executive Vice President and Chief Human Resources Officer of ABM since September 2021; Senior Vice President, Human Resources of ABM from February 2019 to August 20</w:t>
            </w:r>
            <w:r>
              <w:rPr>
                <w:rFonts w:ascii="Arial" w:eastAsia="Times New Roman" w:hAnsi="Arial" w:cs="Arial"/>
                <w:color w:val="000000"/>
                <w:sz w:val="18"/>
                <w:szCs w:val="18"/>
              </w:rPr>
              <w:t>21; Senior Vice President, Human Resources of Coty Inc. from 2016 to 2018; Vice President, Human Resources of Comcast Strategic &amp; Business Development from 2015 to 2016; Vice President, Talent Acquisition of Comcast from 2011 to 2015.</w:t>
            </w:r>
          </w:p>
        </w:tc>
      </w:tr>
      <w:tr w:rsidR="00000000">
        <w:trPr>
          <w:divId w:val="61934147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Dean A. Chin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53</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18"/>
                <w:szCs w:val="18"/>
              </w:rPr>
              <w:t>Treasurer of ABM since May 2021; Senior Vice President, Chief Accounting Officer, and Corporate Controller of ABM since June 2010; Interim Chief Financial Officer of ABM from July 2020 to November 2020; Vice President and Assistan</w:t>
            </w:r>
            <w:r>
              <w:rPr>
                <w:rFonts w:ascii="Arial" w:eastAsia="Times New Roman" w:hAnsi="Arial" w:cs="Arial"/>
                <w:color w:val="000000"/>
                <w:sz w:val="18"/>
                <w:szCs w:val="18"/>
              </w:rPr>
              <w:t>t Controller of ABM from June 2008 to June 2010.</w:t>
            </w:r>
          </w:p>
        </w:tc>
      </w:tr>
    </w:tbl>
    <w:p w:rsidR="00000000" w:rsidRDefault="00485CCD">
      <w:pPr>
        <w:divId w:val="505248195"/>
        <w:rPr>
          <w:rFonts w:eastAsia="Times New Roman"/>
        </w:rPr>
      </w:pPr>
    </w:p>
    <w:p w:rsidR="00000000" w:rsidRDefault="00485CCD">
      <w:pPr>
        <w:jc w:val="center"/>
        <w:divId w:val="1499691441"/>
        <w:rPr>
          <w:rFonts w:eastAsia="Times New Roman"/>
        </w:rPr>
      </w:pPr>
      <w:r>
        <w:rPr>
          <w:rFonts w:ascii="Arial" w:eastAsia="Times New Roman" w:hAnsi="Arial" w:cs="Arial"/>
          <w:color w:val="000000"/>
          <w:sz w:val="20"/>
          <w:szCs w:val="20"/>
        </w:rPr>
        <w:t>9</w:t>
      </w:r>
    </w:p>
    <w:p w:rsidR="00000000" w:rsidRDefault="00485CCD">
      <w:pPr>
        <w:rPr>
          <w:rFonts w:eastAsia="Times New Roman"/>
        </w:rPr>
      </w:pPr>
      <w:r>
        <w:rPr>
          <w:rFonts w:eastAsia="Times New Roman"/>
        </w:rPr>
        <w:pict>
          <v:rect id="_x0000_i1044" style="width:0;height:1.5pt" o:hralign="center" o:hrstd="t" o:hr="t" fillcolor="#a0a0a0" stroked="f"/>
        </w:pict>
      </w:r>
    </w:p>
    <w:p w:rsidR="00000000" w:rsidRDefault="00485CCD">
      <w:pPr>
        <w:divId w:val="1780375462"/>
        <w:rPr>
          <w:rFonts w:eastAsia="Times New Roman"/>
        </w:rPr>
      </w:pPr>
    </w:p>
    <w:p w:rsidR="00000000" w:rsidRDefault="00485CCD">
      <w:pPr>
        <w:divId w:val="581377353"/>
        <w:rPr>
          <w:rFonts w:eastAsia="Times New Roman"/>
        </w:rPr>
      </w:pPr>
      <w:r>
        <w:rPr>
          <w:rFonts w:ascii="Arial" w:eastAsia="Times New Roman" w:hAnsi="Arial" w:cs="Arial"/>
          <w:b/>
          <w:bCs/>
          <w:color w:val="0046AD"/>
          <w:sz w:val="20"/>
          <w:szCs w:val="20"/>
        </w:rPr>
        <w:t>ITEM 1A. RISK FACTORS.</w:t>
      </w:r>
    </w:p>
    <w:p w:rsidR="00000000" w:rsidRDefault="00485CCD">
      <w:pPr>
        <w:ind w:firstLine="720"/>
        <w:jc w:val="both"/>
        <w:divId w:val="51197187"/>
        <w:rPr>
          <w:rFonts w:eastAsia="Times New Roman"/>
        </w:rPr>
      </w:pPr>
      <w:r>
        <w:rPr>
          <w:rFonts w:ascii="Arial" w:eastAsia="Times New Roman" w:hAnsi="Arial" w:cs="Arial"/>
          <w:color w:val="000000"/>
          <w:sz w:val="20"/>
          <w:szCs w:val="20"/>
        </w:rPr>
        <w:t>The following risks, some of which have occurred and any of which may occur in the future, could materially and adversely affect our business, financial condition, cash flows, results of operatio</w:t>
      </w:r>
      <w:r>
        <w:rPr>
          <w:rFonts w:ascii="Arial" w:eastAsia="Times New Roman" w:hAnsi="Arial" w:cs="Arial"/>
          <w:color w:val="000000"/>
          <w:sz w:val="20"/>
          <w:szCs w:val="20"/>
        </w:rPr>
        <w:t xml:space="preserve">ns, and/or the trading price of our common stock. The risks described below identify the material risks we face; however, our business could also be affected by factors that are not presently known to us or that we currently consider to be immaterial. You </w:t>
      </w:r>
      <w:r>
        <w:rPr>
          <w:rFonts w:ascii="Arial" w:eastAsia="Times New Roman" w:hAnsi="Arial" w:cs="Arial"/>
          <w:color w:val="000000"/>
          <w:sz w:val="20"/>
          <w:szCs w:val="20"/>
        </w:rPr>
        <w:t>should carefully consider the risks described below in addition to the other information set forth in this Annual Report on Form 10-K, including “Management’s Discussion and Analysis of Financial Condition and Results of Operations” (“MD&amp;A”) and the consol</w:t>
      </w:r>
      <w:r>
        <w:rPr>
          <w:rFonts w:ascii="Arial" w:eastAsia="Times New Roman" w:hAnsi="Arial" w:cs="Arial"/>
          <w:color w:val="000000"/>
          <w:sz w:val="20"/>
          <w:szCs w:val="20"/>
        </w:rPr>
        <w:t xml:space="preserve">idated financial statements and accompanying notes (the “Financial Statements”). </w:t>
      </w:r>
    </w:p>
    <w:p w:rsidR="00000000" w:rsidRDefault="00485CCD">
      <w:pPr>
        <w:divId w:val="1389718680"/>
        <w:rPr>
          <w:rFonts w:eastAsia="Times New Roman"/>
        </w:rPr>
      </w:pPr>
      <w:r>
        <w:rPr>
          <w:rFonts w:ascii="Arial" w:eastAsia="Times New Roman" w:hAnsi="Arial" w:cs="Arial"/>
          <w:b/>
          <w:bCs/>
          <w:color w:val="0046AD"/>
          <w:sz w:val="20"/>
          <w:szCs w:val="20"/>
          <w:shd w:val="clear" w:color="auto" w:fill="FFFFFF"/>
        </w:rPr>
        <w:t>Risks Relating to the Pandemic</w:t>
      </w:r>
    </w:p>
    <w:p w:rsidR="00000000" w:rsidRDefault="00485CCD">
      <w:pPr>
        <w:jc w:val="both"/>
        <w:divId w:val="665548054"/>
        <w:rPr>
          <w:rFonts w:eastAsia="Times New Roman"/>
        </w:rPr>
      </w:pPr>
      <w:r>
        <w:rPr>
          <w:rFonts w:ascii="Arial" w:eastAsia="Times New Roman" w:hAnsi="Arial" w:cs="Arial"/>
          <w:b/>
          <w:bCs/>
          <w:i/>
          <w:iCs/>
          <w:color w:val="0046AD"/>
          <w:sz w:val="20"/>
          <w:szCs w:val="20"/>
        </w:rPr>
        <w:t>The Pandemic has had and is expected to continue having a negative effect on the global economy and the United States economy. It has disrupted</w:t>
      </w:r>
      <w:r>
        <w:rPr>
          <w:rFonts w:ascii="Arial" w:eastAsia="Times New Roman" w:hAnsi="Arial" w:cs="Arial"/>
          <w:b/>
          <w:bCs/>
          <w:i/>
          <w:iCs/>
          <w:color w:val="0046AD"/>
          <w:sz w:val="20"/>
          <w:szCs w:val="20"/>
        </w:rPr>
        <w:t xml:space="preserve"> and is expected to continue disrupting our operations and our clients’ operations, which may adversely affect our business, results of operations, cash flows, and financial condition.</w:t>
      </w:r>
    </w:p>
    <w:p w:rsidR="00000000" w:rsidRDefault="00485CCD">
      <w:pPr>
        <w:ind w:firstLine="720"/>
        <w:jc w:val="both"/>
        <w:divId w:val="1711683984"/>
        <w:rPr>
          <w:rFonts w:eastAsia="Times New Roman"/>
        </w:rPr>
      </w:pPr>
      <w:r>
        <w:rPr>
          <w:rFonts w:ascii="Arial" w:eastAsia="Times New Roman" w:hAnsi="Arial" w:cs="Arial"/>
          <w:color w:val="000000"/>
          <w:sz w:val="20"/>
          <w:szCs w:val="20"/>
        </w:rPr>
        <w:t>The Pandemic and measures taken by authorities in response to the Pande</w:t>
      </w:r>
      <w:r>
        <w:rPr>
          <w:rFonts w:ascii="Arial" w:eastAsia="Times New Roman" w:hAnsi="Arial" w:cs="Arial"/>
          <w:color w:val="000000"/>
          <w:sz w:val="20"/>
          <w:szCs w:val="20"/>
        </w:rPr>
        <w:t>mic, such as travel bans and restrictions, shelter-in-place/stay-at-home orders, and business and school shutdowns, have disrupted and are expected to continue disrupting the economy and our business. These disruptions heighten the potential adverse effect</w:t>
      </w:r>
      <w:r>
        <w:rPr>
          <w:rFonts w:ascii="Arial" w:eastAsia="Times New Roman" w:hAnsi="Arial" w:cs="Arial"/>
          <w:color w:val="000000"/>
          <w:sz w:val="20"/>
          <w:szCs w:val="20"/>
        </w:rPr>
        <w:t>s on our business, financial condition, results of operations, and cash flows that are described in certain of the risk factors described below. The evolving scale and scope of the Pandemic will affect the degree of these adverse effects, including, but no</w:t>
      </w:r>
      <w:r>
        <w:rPr>
          <w:rFonts w:ascii="Arial" w:eastAsia="Times New Roman" w:hAnsi="Arial" w:cs="Arial"/>
          <w:color w:val="000000"/>
          <w:sz w:val="20"/>
          <w:szCs w:val="20"/>
        </w:rPr>
        <w:t>t limited to, the likelihood of and impacts from:</w:t>
      </w:r>
    </w:p>
    <w:p w:rsidR="00000000" w:rsidRDefault="00485CCD">
      <w:pPr>
        <w:ind w:hanging="360"/>
        <w:jc w:val="both"/>
        <w:divId w:val="1634169599"/>
        <w:rPr>
          <w:rFonts w:eastAsia="Times New Roman"/>
        </w:rPr>
      </w:pPr>
      <w:r>
        <w:rPr>
          <w:rFonts w:ascii="Arial" w:eastAsia="Times New Roman" w:hAnsi="Arial" w:cs="Arial"/>
          <w:color w:val="000000"/>
          <w:sz w:val="20"/>
          <w:szCs w:val="20"/>
        </w:rPr>
        <w:t>•overall economic conditions, which have been and will likely continue to be adversely impacted by the Pandemic and related shutdowns;</w:t>
      </w:r>
    </w:p>
    <w:p w:rsidR="00000000" w:rsidRDefault="00485CCD">
      <w:pPr>
        <w:ind w:hanging="360"/>
        <w:jc w:val="both"/>
        <w:divId w:val="137712631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maintain sufficient key personnel due to employee illness, quarantine requirements, vaccine requirements, worker absences, social-distancing requirements, and travel or other restrictions;</w:t>
      </w:r>
    </w:p>
    <w:p w:rsidR="00000000" w:rsidRDefault="00485CCD">
      <w:pPr>
        <w:ind w:hanging="360"/>
        <w:jc w:val="both"/>
        <w:divId w:val="1253474265"/>
        <w:rPr>
          <w:rFonts w:eastAsia="Times New Roman"/>
        </w:rPr>
      </w:pPr>
      <w:r>
        <w:rPr>
          <w:rFonts w:ascii="Arial" w:eastAsia="Times New Roman" w:hAnsi="Arial" w:cs="Arial"/>
          <w:color w:val="000000"/>
          <w:sz w:val="20"/>
          <w:szCs w:val="20"/>
        </w:rPr>
        <w:t xml:space="preserve">•reduced availability and productivity of labor; </w:t>
      </w:r>
    </w:p>
    <w:p w:rsidR="00000000" w:rsidRDefault="00485CCD">
      <w:pPr>
        <w:ind w:hanging="360"/>
        <w:jc w:val="both"/>
        <w:divId w:val="1458645594"/>
        <w:rPr>
          <w:rFonts w:eastAsia="Times New Roman"/>
        </w:rPr>
      </w:pPr>
      <w:r>
        <w:rPr>
          <w:rFonts w:ascii="Arial" w:eastAsia="Times New Roman" w:hAnsi="Arial" w:cs="Arial"/>
          <w:color w:val="000000"/>
          <w:sz w:val="20"/>
          <w:szCs w:val="20"/>
        </w:rPr>
        <w:t>•c</w:t>
      </w:r>
      <w:r>
        <w:rPr>
          <w:rFonts w:ascii="Arial" w:eastAsia="Times New Roman" w:hAnsi="Arial" w:cs="Arial"/>
          <w:color w:val="000000"/>
          <w:sz w:val="20"/>
          <w:szCs w:val="20"/>
        </w:rPr>
        <w:t xml:space="preserve">ontinued or expanded closures of our clients’ facilities; </w:t>
      </w:r>
    </w:p>
    <w:p w:rsidR="00000000" w:rsidRDefault="00485CCD">
      <w:pPr>
        <w:ind w:hanging="360"/>
        <w:jc w:val="both"/>
        <w:divId w:val="1617370467"/>
        <w:rPr>
          <w:rFonts w:eastAsia="Times New Roman"/>
        </w:rPr>
      </w:pPr>
      <w:r>
        <w:rPr>
          <w:rFonts w:ascii="Arial" w:eastAsia="Times New Roman" w:hAnsi="Arial" w:cs="Arial"/>
          <w:color w:val="000000"/>
          <w:sz w:val="20"/>
          <w:szCs w:val="20"/>
        </w:rPr>
        <w:t xml:space="preserve">•our clients’ demand and ability to pay for our services, or attempts by our clients to defer payments owed to us; </w:t>
      </w:r>
    </w:p>
    <w:p w:rsidR="00000000" w:rsidRDefault="00485CCD">
      <w:pPr>
        <w:ind w:hanging="360"/>
        <w:jc w:val="both"/>
        <w:divId w:val="1951159147"/>
        <w:rPr>
          <w:rFonts w:eastAsia="Times New Roman"/>
        </w:rPr>
      </w:pPr>
      <w:r>
        <w:rPr>
          <w:rFonts w:ascii="Arial" w:eastAsia="Times New Roman" w:hAnsi="Arial" w:cs="Arial"/>
          <w:color w:val="000000"/>
          <w:sz w:val="20"/>
          <w:szCs w:val="20"/>
        </w:rPr>
        <w:t>•our ability to obtain new clients, expand, or otherwise execute strategic plans;</w:t>
      </w:r>
      <w:r>
        <w:rPr>
          <w:rFonts w:ascii="Arial" w:eastAsia="Times New Roman" w:hAnsi="Arial" w:cs="Arial"/>
          <w:color w:val="000000"/>
          <w:sz w:val="20"/>
          <w:szCs w:val="20"/>
        </w:rPr>
        <w:t xml:space="preserve"> </w:t>
      </w:r>
    </w:p>
    <w:p w:rsidR="00000000" w:rsidRDefault="00485CCD">
      <w:pPr>
        <w:ind w:hanging="360"/>
        <w:jc w:val="both"/>
        <w:divId w:val="1676106436"/>
        <w:rPr>
          <w:rFonts w:eastAsia="Times New Roman"/>
        </w:rPr>
      </w:pPr>
      <w:r>
        <w:rPr>
          <w:rFonts w:ascii="Arial" w:eastAsia="Times New Roman" w:hAnsi="Arial" w:cs="Arial"/>
          <w:color w:val="000000"/>
          <w:sz w:val="20"/>
          <w:szCs w:val="20"/>
        </w:rPr>
        <w:t>•our ability to comply with new legal or regulatory requirements enacted in connection with the Pandemic;</w:t>
      </w:r>
    </w:p>
    <w:p w:rsidR="00000000" w:rsidRDefault="00485CCD">
      <w:pPr>
        <w:ind w:hanging="360"/>
        <w:jc w:val="both"/>
        <w:divId w:val="708536135"/>
        <w:rPr>
          <w:rFonts w:eastAsia="Times New Roman"/>
        </w:rPr>
      </w:pPr>
      <w:r>
        <w:rPr>
          <w:rFonts w:ascii="Arial" w:eastAsia="Times New Roman" w:hAnsi="Arial" w:cs="Arial"/>
          <w:color w:val="000000"/>
          <w:sz w:val="20"/>
          <w:szCs w:val="20"/>
        </w:rPr>
        <w:t>•legal actions or proceedings related to the Pandemic; and</w:t>
      </w:r>
    </w:p>
    <w:p w:rsidR="00000000" w:rsidRDefault="00485CCD">
      <w:pPr>
        <w:ind w:hanging="360"/>
        <w:jc w:val="both"/>
        <w:divId w:val="794175799"/>
        <w:rPr>
          <w:rFonts w:eastAsia="Times New Roman"/>
        </w:rPr>
      </w:pPr>
      <w:r>
        <w:rPr>
          <w:rFonts w:ascii="Arial" w:eastAsia="Times New Roman" w:hAnsi="Arial" w:cs="Arial"/>
          <w:color w:val="000000"/>
          <w:sz w:val="20"/>
          <w:szCs w:val="20"/>
        </w:rPr>
        <w:t>•the ability of third parties on which we rely, including our suppliers, to timely meet t</w:t>
      </w:r>
      <w:r>
        <w:rPr>
          <w:rFonts w:ascii="Arial" w:eastAsia="Times New Roman" w:hAnsi="Arial" w:cs="Arial"/>
          <w:color w:val="000000"/>
          <w:sz w:val="20"/>
          <w:szCs w:val="20"/>
        </w:rPr>
        <w:t>heir obligations to us, or significant disruptions in their ability to do so.</w:t>
      </w:r>
    </w:p>
    <w:p w:rsidR="00000000" w:rsidRDefault="00485CCD">
      <w:pPr>
        <w:ind w:firstLine="720"/>
        <w:jc w:val="both"/>
        <w:divId w:val="1225487842"/>
        <w:rPr>
          <w:rFonts w:eastAsia="Times New Roman"/>
        </w:rPr>
      </w:pPr>
      <w:r>
        <w:rPr>
          <w:rFonts w:ascii="Arial" w:eastAsia="Times New Roman" w:hAnsi="Arial" w:cs="Arial"/>
          <w:color w:val="000000"/>
          <w:sz w:val="20"/>
          <w:szCs w:val="20"/>
        </w:rPr>
        <w:t>The extent of the impact of the Pandemic depends on future developments and remains highly uncertain due to the unknown duration and severity of the Pandemic. Given these uncerta</w:t>
      </w:r>
      <w:r>
        <w:rPr>
          <w:rFonts w:ascii="Arial" w:eastAsia="Times New Roman" w:hAnsi="Arial" w:cs="Arial"/>
          <w:color w:val="000000"/>
          <w:sz w:val="20"/>
          <w:szCs w:val="20"/>
        </w:rPr>
        <w:t>inties, we cannot estimate the full impacts the Pandemic will have on our business, results of operations, cash flows, or financial condition, but the adverse impacts could be material.</w:t>
      </w:r>
    </w:p>
    <w:p w:rsidR="00000000" w:rsidRDefault="00485CCD">
      <w:pPr>
        <w:jc w:val="both"/>
        <w:divId w:val="2132898359"/>
        <w:rPr>
          <w:rFonts w:eastAsia="Times New Roman"/>
        </w:rPr>
      </w:pPr>
      <w:r>
        <w:rPr>
          <w:rFonts w:ascii="Arial" w:eastAsia="Times New Roman" w:hAnsi="Arial" w:cs="Arial"/>
          <w:b/>
          <w:bCs/>
          <w:color w:val="0046AD"/>
          <w:sz w:val="20"/>
          <w:szCs w:val="20"/>
        </w:rPr>
        <w:t>Risks Relating to Our Strategy and Operations</w:t>
      </w:r>
    </w:p>
    <w:p w:rsidR="00000000" w:rsidRDefault="00485CCD">
      <w:pPr>
        <w:jc w:val="both"/>
        <w:divId w:val="1586525077"/>
        <w:rPr>
          <w:rFonts w:eastAsia="Times New Roman"/>
        </w:rPr>
      </w:pPr>
      <w:r>
        <w:rPr>
          <w:rFonts w:ascii="Arial" w:eastAsia="Times New Roman" w:hAnsi="Arial" w:cs="Arial"/>
          <w:b/>
          <w:bCs/>
          <w:i/>
          <w:iCs/>
          <w:color w:val="0046AD"/>
          <w:sz w:val="20"/>
          <w:szCs w:val="20"/>
        </w:rPr>
        <w:t>Our success depends on o</w:t>
      </w:r>
      <w:r>
        <w:rPr>
          <w:rFonts w:ascii="Arial" w:eastAsia="Times New Roman" w:hAnsi="Arial" w:cs="Arial"/>
          <w:b/>
          <w:bCs/>
          <w:i/>
          <w:iCs/>
          <w:color w:val="0046AD"/>
          <w:sz w:val="20"/>
          <w:szCs w:val="20"/>
        </w:rPr>
        <w:t>ur ability to gain profitable business despite competitive market pressures.</w:t>
      </w:r>
    </w:p>
    <w:p w:rsidR="00000000" w:rsidRDefault="00485CCD">
      <w:pPr>
        <w:ind w:firstLine="720"/>
        <w:jc w:val="both"/>
        <w:divId w:val="1191186066"/>
        <w:rPr>
          <w:rFonts w:eastAsia="Times New Roman"/>
        </w:rPr>
      </w:pPr>
      <w:r>
        <w:rPr>
          <w:rFonts w:ascii="Arial" w:eastAsia="Times New Roman" w:hAnsi="Arial" w:cs="Arial"/>
          <w:color w:val="000000"/>
          <w:sz w:val="20"/>
          <w:szCs w:val="20"/>
        </w:rPr>
        <w:t xml:space="preserve">Each aspect of our business is highly competitive and such competition is based primarily on price, quality of service, and ability to anticipate and respond to industry changes. </w:t>
      </w:r>
      <w:r>
        <w:rPr>
          <w:rFonts w:ascii="Arial" w:eastAsia="Times New Roman" w:hAnsi="Arial" w:cs="Arial"/>
          <w:color w:val="000000"/>
          <w:sz w:val="20"/>
          <w:szCs w:val="20"/>
        </w:rPr>
        <w:t>A majority of our revenue is derived from services that require competitive bids. The low cost of entry in the facility services business results in a very competitive market. We compete mainly with regional and local owner-operated companies that may have</w:t>
      </w:r>
      <w:r>
        <w:rPr>
          <w:rFonts w:ascii="Arial" w:eastAsia="Times New Roman" w:hAnsi="Arial" w:cs="Arial"/>
          <w:color w:val="000000"/>
          <w:sz w:val="20"/>
          <w:szCs w:val="20"/>
        </w:rPr>
        <w:t xml:space="preserve"> more acute vision into local markets and significantly lower labor and overhead costs, providing them with a competitive advantage in those regards. We also compete indirectly with companies that can perform for themselves one or more of the services we p</w:t>
      </w:r>
      <w:r>
        <w:rPr>
          <w:rFonts w:ascii="Arial" w:eastAsia="Times New Roman" w:hAnsi="Arial" w:cs="Arial"/>
          <w:color w:val="000000"/>
          <w:sz w:val="20"/>
          <w:szCs w:val="20"/>
        </w:rPr>
        <w:t xml:space="preserve">rovide. Further, if we are unable to respond adequately to changing technology, we may </w:t>
      </w:r>
    </w:p>
    <w:p w:rsidR="00000000" w:rsidRDefault="00485CCD">
      <w:pPr>
        <w:jc w:val="center"/>
        <w:divId w:val="161699486"/>
        <w:rPr>
          <w:rFonts w:eastAsia="Times New Roman"/>
        </w:rPr>
      </w:pPr>
      <w:r>
        <w:rPr>
          <w:rFonts w:ascii="Arial" w:eastAsia="Times New Roman" w:hAnsi="Arial" w:cs="Arial"/>
          <w:color w:val="000000"/>
          <w:sz w:val="20"/>
          <w:szCs w:val="20"/>
        </w:rPr>
        <w:t>10</w:t>
      </w:r>
    </w:p>
    <w:p w:rsidR="00000000" w:rsidRDefault="00485CCD">
      <w:pPr>
        <w:rPr>
          <w:rFonts w:eastAsia="Times New Roman"/>
        </w:rPr>
      </w:pPr>
      <w:r>
        <w:rPr>
          <w:rFonts w:eastAsia="Times New Roman"/>
        </w:rPr>
        <w:pict>
          <v:rect id="_x0000_i1045" style="width:0;height:1.5pt" o:hralign="center" o:hrstd="t" o:hr="t" fillcolor="#a0a0a0" stroked="f"/>
        </w:pict>
      </w:r>
    </w:p>
    <w:p w:rsidR="00000000" w:rsidRDefault="00485CCD">
      <w:pPr>
        <w:divId w:val="2015329804"/>
        <w:rPr>
          <w:rFonts w:eastAsia="Times New Roman"/>
        </w:rPr>
      </w:pPr>
    </w:p>
    <w:p w:rsidR="00000000" w:rsidRDefault="00485CCD">
      <w:pPr>
        <w:jc w:val="both"/>
        <w:divId w:val="1708338383"/>
        <w:rPr>
          <w:rFonts w:eastAsia="Times New Roman"/>
        </w:rPr>
      </w:pPr>
      <w:r>
        <w:rPr>
          <w:rFonts w:ascii="Arial" w:eastAsia="Times New Roman" w:hAnsi="Arial" w:cs="Arial"/>
          <w:color w:val="000000"/>
          <w:sz w:val="20"/>
          <w:szCs w:val="20"/>
        </w:rPr>
        <w:t>lose existing clients and fail to win future business opportunities. A failure to respond effectively to competitive pressures</w:t>
      </w:r>
      <w:r>
        <w:rPr>
          <w:rFonts w:ascii="Arial" w:eastAsia="Times New Roman" w:hAnsi="Arial" w:cs="Arial"/>
          <w:color w:val="000000"/>
          <w:sz w:val="20"/>
          <w:szCs w:val="20"/>
        </w:rPr>
        <w:t xml:space="preserve"> or failure in our ability to increase prices as costs rise could reduce margins and materially adversely affect our financial performance. </w:t>
      </w:r>
    </w:p>
    <w:p w:rsidR="00000000" w:rsidRDefault="00485CCD">
      <w:pPr>
        <w:jc w:val="both"/>
        <w:divId w:val="406272536"/>
        <w:rPr>
          <w:rFonts w:eastAsia="Times New Roman"/>
        </w:rPr>
      </w:pPr>
      <w:r>
        <w:rPr>
          <w:rFonts w:ascii="Arial" w:eastAsia="Times New Roman" w:hAnsi="Arial" w:cs="Arial"/>
          <w:b/>
          <w:bCs/>
          <w:i/>
          <w:iCs/>
          <w:color w:val="0046AD"/>
          <w:sz w:val="20"/>
          <w:szCs w:val="20"/>
        </w:rPr>
        <w:t xml:space="preserve">Our business success depends on our ability to attract and retain qualified personnel and senior management and to </w:t>
      </w:r>
      <w:r>
        <w:rPr>
          <w:rFonts w:ascii="Arial" w:eastAsia="Times New Roman" w:hAnsi="Arial" w:cs="Arial"/>
          <w:b/>
          <w:bCs/>
          <w:i/>
          <w:iCs/>
          <w:color w:val="0046AD"/>
          <w:sz w:val="20"/>
          <w:szCs w:val="20"/>
        </w:rPr>
        <w:t>manage labor costs.</w:t>
      </w:r>
    </w:p>
    <w:p w:rsidR="00000000" w:rsidRDefault="00485CCD">
      <w:pPr>
        <w:ind w:firstLine="720"/>
        <w:jc w:val="both"/>
        <w:divId w:val="828524366"/>
        <w:rPr>
          <w:rFonts w:eastAsia="Times New Roman"/>
        </w:rPr>
      </w:pPr>
      <w:r>
        <w:rPr>
          <w:rFonts w:ascii="Arial" w:eastAsia="Times New Roman" w:hAnsi="Arial" w:cs="Arial"/>
          <w:color w:val="000000"/>
          <w:sz w:val="20"/>
          <w:szCs w:val="20"/>
        </w:rPr>
        <w:t>Our future performance depends on the continuing services and contributions of our senior management and on our continued ability to attract and retain qualified personnel. Any unplanned turnover in senior management or inability to att</w:t>
      </w:r>
      <w:r>
        <w:rPr>
          <w:rFonts w:ascii="Arial" w:eastAsia="Times New Roman" w:hAnsi="Arial" w:cs="Arial"/>
          <w:color w:val="000000"/>
          <w:sz w:val="20"/>
          <w:szCs w:val="20"/>
        </w:rPr>
        <w:t>ract and retain qualified personnel could have a negative effect on our results of operations. We employ approximately 124,000 persons, and our operations depend on the services of a large and diverse workforce. We must attract, train, and retain a large a</w:t>
      </w:r>
      <w:r>
        <w:rPr>
          <w:rFonts w:ascii="Arial" w:eastAsia="Times New Roman" w:hAnsi="Arial" w:cs="Arial"/>
          <w:color w:val="000000"/>
          <w:sz w:val="20"/>
          <w:szCs w:val="20"/>
        </w:rPr>
        <w:t xml:space="preserve">nd growing number of qualified employees while controlling related labor costs. Our ability to control labor and benefit costs is subject to numerous internal and external factors, including changes in the unemployment rate, changes in immigration policy, </w:t>
      </w:r>
      <w:r>
        <w:rPr>
          <w:rFonts w:ascii="Arial" w:eastAsia="Times New Roman" w:hAnsi="Arial" w:cs="Arial"/>
          <w:color w:val="000000"/>
          <w:sz w:val="20"/>
          <w:szCs w:val="20"/>
        </w:rPr>
        <w:t>regulatory changes, prevailing wage rates, and competition we face from other companies for qualified employees. During 2021, we experienced an overall tightening and increasingly competitive labor market. This was attributed to, among other things, increa</w:t>
      </w:r>
      <w:r>
        <w:rPr>
          <w:rFonts w:ascii="Arial" w:eastAsia="Times New Roman" w:hAnsi="Arial" w:cs="Arial"/>
          <w:color w:val="000000"/>
          <w:sz w:val="20"/>
          <w:szCs w:val="20"/>
        </w:rPr>
        <w:t>sed federal unemployment subsidies, including unemployment benefits offered in response to the ongoing Pandemic, and other government regulations. A sustained labor shortage could lead to increased costs, such as increased overtime incurred to meet the dem</w:t>
      </w:r>
      <w:r>
        <w:rPr>
          <w:rFonts w:ascii="Arial" w:eastAsia="Times New Roman" w:hAnsi="Arial" w:cs="Arial"/>
          <w:color w:val="000000"/>
          <w:sz w:val="20"/>
          <w:szCs w:val="20"/>
        </w:rPr>
        <w:t>ands of our customers and increased wage rates to attract and retain employees. Further, many of our contracts provide that our clients pay certain costs at specified rates, such as insurance, healthcare costs, salary and salary-related expenses, and other</w:t>
      </w:r>
      <w:r>
        <w:rPr>
          <w:rFonts w:ascii="Arial" w:eastAsia="Times New Roman" w:hAnsi="Arial" w:cs="Arial"/>
          <w:color w:val="000000"/>
          <w:sz w:val="20"/>
          <w:szCs w:val="20"/>
        </w:rPr>
        <w:t xml:space="preserve"> costs. If actual costs exceed the rates specified in the contracts, our profitability may be negatively impacted. There is no assurance that in the future we will be able to attract or retain qualified employees or effectively manage labor and benefit cos</w:t>
      </w:r>
      <w:r>
        <w:rPr>
          <w:rFonts w:ascii="Arial" w:eastAsia="Times New Roman" w:hAnsi="Arial" w:cs="Arial"/>
          <w:color w:val="000000"/>
          <w:sz w:val="20"/>
          <w:szCs w:val="20"/>
        </w:rPr>
        <w:t>ts, which could have a material adverse effect on our business, financial condition, and results of operations.</w:t>
      </w:r>
    </w:p>
    <w:p w:rsidR="00000000" w:rsidRDefault="00485CCD">
      <w:pPr>
        <w:jc w:val="both"/>
        <w:divId w:val="336034810"/>
        <w:rPr>
          <w:rFonts w:eastAsia="Times New Roman"/>
        </w:rPr>
      </w:pPr>
      <w:r>
        <w:rPr>
          <w:rFonts w:ascii="Arial" w:eastAsia="Times New Roman" w:hAnsi="Arial" w:cs="Arial"/>
          <w:b/>
          <w:bCs/>
          <w:i/>
          <w:iCs/>
          <w:color w:val="0046AD"/>
          <w:sz w:val="20"/>
          <w:szCs w:val="20"/>
        </w:rPr>
        <w:t xml:space="preserve">Investments in and changes to our businesses, operating structure, financial reporting structure, or personnel relating to our </w:t>
      </w:r>
      <w:r>
        <w:rPr>
          <w:rFonts w:ascii="Arial" w:eastAsia="Times New Roman" w:hAnsi="Arial" w:cs="Arial"/>
          <w:b/>
          <w:bCs/>
          <w:i/>
          <w:iCs/>
          <w:color w:val="E98300"/>
          <w:sz w:val="20"/>
          <w:szCs w:val="20"/>
        </w:rPr>
        <w:t>ELEVATE</w:t>
      </w:r>
      <w:r>
        <w:rPr>
          <w:rFonts w:ascii="Arial" w:eastAsia="Times New Roman" w:hAnsi="Arial" w:cs="Arial"/>
          <w:b/>
          <w:bCs/>
          <w:i/>
          <w:iCs/>
          <w:color w:val="0046AD"/>
          <w:sz w:val="20"/>
          <w:szCs w:val="20"/>
        </w:rPr>
        <w:t xml:space="preserve"> </w:t>
      </w:r>
      <w:r>
        <w:rPr>
          <w:rFonts w:ascii="Arial" w:eastAsia="Times New Roman" w:hAnsi="Arial" w:cs="Arial"/>
          <w:b/>
          <w:bCs/>
          <w:i/>
          <w:iCs/>
          <w:color w:val="0046AD"/>
          <w:sz w:val="20"/>
          <w:szCs w:val="20"/>
        </w:rPr>
        <w:t>strategy, including the implementation of strategic transformations, enhanced business processes, and technology initiatives, may not have the desired effects on our financial condition and results of operations.</w:t>
      </w:r>
    </w:p>
    <w:p w:rsidR="00000000" w:rsidRDefault="00485CCD">
      <w:pPr>
        <w:ind w:firstLine="720"/>
        <w:jc w:val="both"/>
        <w:divId w:val="1491755195"/>
        <w:rPr>
          <w:rFonts w:eastAsia="Times New Roman"/>
        </w:rPr>
      </w:pPr>
      <w:r>
        <w:rPr>
          <w:rFonts w:ascii="Arial" w:eastAsia="Times New Roman" w:hAnsi="Arial" w:cs="Arial"/>
          <w:color w:val="000000"/>
          <w:sz w:val="20"/>
          <w:szCs w:val="20"/>
        </w:rPr>
        <w:t>We have made and expect to continue to make</w:t>
      </w:r>
      <w:r>
        <w:rPr>
          <w:rFonts w:ascii="Arial" w:eastAsia="Times New Roman" w:hAnsi="Arial" w:cs="Arial"/>
          <w:color w:val="000000"/>
          <w:sz w:val="20"/>
          <w:szCs w:val="20"/>
        </w:rPr>
        <w:t xml:space="preserve"> significant investments in various initiatives intended to drive long-term profitable growth and increase operational efficiency. These investments in and changes to our business systems and processes may not create the growth, operational efficiencies, c</w:t>
      </w:r>
      <w:r>
        <w:rPr>
          <w:rFonts w:ascii="Arial" w:eastAsia="Times New Roman" w:hAnsi="Arial" w:cs="Arial"/>
          <w:color w:val="000000"/>
          <w:sz w:val="20"/>
          <w:szCs w:val="20"/>
        </w:rPr>
        <w:t xml:space="preserve">ompetitive advantage, or cost benefits that we expect and could result in unanticipated consequences, including substantial disruption to our back-office operations and service delivery. Moreover, the execution of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may result in substan</w:t>
      </w:r>
      <w:r>
        <w:rPr>
          <w:rFonts w:ascii="Arial" w:eastAsia="Times New Roman" w:hAnsi="Arial" w:cs="Arial"/>
          <w:color w:val="000000"/>
          <w:sz w:val="20"/>
          <w:szCs w:val="20"/>
        </w:rPr>
        <w:t>tial expenses in excess of what is currently forecast. While we anticipate that certain expenses will be incurred, such expenses are difficult to estimate accurately and may exceed current estimates.</w:t>
      </w:r>
    </w:p>
    <w:p w:rsidR="00000000" w:rsidRDefault="00485CCD">
      <w:pPr>
        <w:jc w:val="both"/>
        <w:divId w:val="262568352"/>
        <w:rPr>
          <w:rFonts w:eastAsia="Times New Roman"/>
        </w:rPr>
      </w:pPr>
      <w:r>
        <w:rPr>
          <w:rFonts w:ascii="Arial" w:eastAsia="Times New Roman" w:hAnsi="Arial" w:cs="Arial"/>
          <w:b/>
          <w:bCs/>
          <w:i/>
          <w:iCs/>
          <w:color w:val="0046AD"/>
          <w:sz w:val="20"/>
          <w:szCs w:val="20"/>
        </w:rPr>
        <w:t>Our ability to preserve long-term client relationships i</w:t>
      </w:r>
      <w:r>
        <w:rPr>
          <w:rFonts w:ascii="Arial" w:eastAsia="Times New Roman" w:hAnsi="Arial" w:cs="Arial"/>
          <w:b/>
          <w:bCs/>
          <w:i/>
          <w:iCs/>
          <w:color w:val="0046AD"/>
          <w:sz w:val="20"/>
          <w:szCs w:val="20"/>
        </w:rPr>
        <w:t>s essential to our continued success.</w:t>
      </w:r>
    </w:p>
    <w:p w:rsidR="00000000" w:rsidRDefault="00485CCD">
      <w:pPr>
        <w:ind w:firstLine="720"/>
        <w:jc w:val="both"/>
        <w:divId w:val="714085438"/>
        <w:rPr>
          <w:rFonts w:eastAsia="Times New Roman"/>
        </w:rPr>
      </w:pPr>
      <w:r>
        <w:rPr>
          <w:rFonts w:ascii="Arial" w:eastAsia="Times New Roman" w:hAnsi="Arial" w:cs="Arial"/>
          <w:color w:val="000000"/>
          <w:sz w:val="20"/>
          <w:szCs w:val="20"/>
        </w:rPr>
        <w:t>We primarily provide services pursuant to agreements that are cancelable by either party upon 30 to 90 days’ notice. As we generally incur higher initial costs on new contracts until the labor management and facilities</w:t>
      </w:r>
      <w:r>
        <w:rPr>
          <w:rFonts w:ascii="Arial" w:eastAsia="Times New Roman" w:hAnsi="Arial" w:cs="Arial"/>
          <w:color w:val="000000"/>
          <w:sz w:val="20"/>
          <w:szCs w:val="20"/>
        </w:rPr>
        <w:t xml:space="preserve"> operations normalize, our business associated with long-term client relationships is generally more profitable than short-term client relationships. If we lose a significant number of long-term clients, our profitability could be negatively impacted, even</w:t>
      </w:r>
      <w:r>
        <w:rPr>
          <w:rFonts w:ascii="Arial" w:eastAsia="Times New Roman" w:hAnsi="Arial" w:cs="Arial"/>
          <w:color w:val="000000"/>
          <w:sz w:val="20"/>
          <w:szCs w:val="20"/>
        </w:rPr>
        <w:t xml:space="preserve"> if we gain equivalent revenues from new clients.</w:t>
      </w:r>
    </w:p>
    <w:p w:rsidR="00000000" w:rsidRDefault="00485CCD">
      <w:pPr>
        <w:ind w:firstLine="720"/>
        <w:jc w:val="both"/>
        <w:divId w:val="498930390"/>
        <w:rPr>
          <w:rFonts w:eastAsia="Times New Roman"/>
        </w:rPr>
      </w:pPr>
      <w:r>
        <w:rPr>
          <w:rFonts w:ascii="Arial" w:eastAsia="Times New Roman" w:hAnsi="Arial" w:cs="Arial"/>
          <w:color w:val="000000"/>
          <w:sz w:val="20"/>
          <w:szCs w:val="20"/>
        </w:rPr>
        <w:t xml:space="preserve">We depend to a large extent on our relationships with clients and our reputation for quality integrated facility solutions. Maintaining our existing client relationships is an important factor contributing </w:t>
      </w:r>
      <w:r>
        <w:rPr>
          <w:rFonts w:ascii="Arial" w:eastAsia="Times New Roman" w:hAnsi="Arial" w:cs="Arial"/>
          <w:color w:val="000000"/>
          <w:sz w:val="20"/>
          <w:szCs w:val="20"/>
        </w:rPr>
        <w:t>to our business success. Among other things, adverse publicity stemming from an accident or other incident involving our facility operations or employees related to injury, illness, death, or alleged criminal activity could harm our reputation, result in t</w:t>
      </w:r>
      <w:r>
        <w:rPr>
          <w:rFonts w:ascii="Arial" w:eastAsia="Times New Roman" w:hAnsi="Arial" w:cs="Arial"/>
          <w:color w:val="000000"/>
          <w:sz w:val="20"/>
          <w:szCs w:val="20"/>
        </w:rPr>
        <w:t>he cancellation of contracts or inability to retain clients, and expose us to significant liability.</w:t>
      </w:r>
    </w:p>
    <w:p w:rsidR="00000000" w:rsidRDefault="00485CCD">
      <w:pPr>
        <w:jc w:val="both"/>
        <w:divId w:val="750853128"/>
        <w:rPr>
          <w:rFonts w:eastAsia="Times New Roman"/>
        </w:rPr>
      </w:pPr>
      <w:r>
        <w:rPr>
          <w:rFonts w:ascii="Arial" w:eastAsia="Times New Roman" w:hAnsi="Arial" w:cs="Arial"/>
          <w:b/>
          <w:bCs/>
          <w:i/>
          <w:iCs/>
          <w:color w:val="0046AD"/>
          <w:sz w:val="20"/>
          <w:szCs w:val="20"/>
        </w:rPr>
        <w:t>Our international business involves risks different from those we face in the United States that could have an effect on our results of operations and fina</w:t>
      </w:r>
      <w:r>
        <w:rPr>
          <w:rFonts w:ascii="Arial" w:eastAsia="Times New Roman" w:hAnsi="Arial" w:cs="Arial"/>
          <w:b/>
          <w:bCs/>
          <w:i/>
          <w:iCs/>
          <w:color w:val="0046AD"/>
          <w:sz w:val="20"/>
          <w:szCs w:val="20"/>
        </w:rPr>
        <w:t>ncial condition.</w:t>
      </w:r>
    </w:p>
    <w:p w:rsidR="00000000" w:rsidRDefault="00485CCD">
      <w:pPr>
        <w:ind w:firstLine="720"/>
        <w:jc w:val="both"/>
        <w:divId w:val="1838224506"/>
        <w:rPr>
          <w:rFonts w:eastAsia="Times New Roman"/>
        </w:rPr>
      </w:pPr>
      <w:r>
        <w:rPr>
          <w:rFonts w:ascii="Arial" w:eastAsia="Times New Roman" w:hAnsi="Arial" w:cs="Arial"/>
          <w:color w:val="000000"/>
          <w:sz w:val="20"/>
          <w:szCs w:val="20"/>
        </w:rPr>
        <w:t>We have business operations in jurisdictions outside of the United States, most significantly in the United Kingdom. Our international operations are subject to risks that are different from those we face in the United States and subject u</w:t>
      </w:r>
      <w:r>
        <w:rPr>
          <w:rFonts w:ascii="Arial" w:eastAsia="Times New Roman" w:hAnsi="Arial" w:cs="Arial"/>
          <w:color w:val="000000"/>
          <w:sz w:val="20"/>
          <w:szCs w:val="20"/>
        </w:rPr>
        <w:t>s to complex and frequently changing laws and regulations, including differing labor laws and regulations relating to the protection of certain information that we collect and maintain about our employees, clients, and other third parties. Among these laws</w:t>
      </w:r>
      <w:r>
        <w:rPr>
          <w:rFonts w:ascii="Arial" w:eastAsia="Times New Roman" w:hAnsi="Arial" w:cs="Arial"/>
          <w:color w:val="000000"/>
          <w:sz w:val="20"/>
          <w:szCs w:val="20"/>
        </w:rPr>
        <w:t xml:space="preserve"> is the U.K. Modern Slavery Act, the U.K. Bribery Act, and the European Union General Data Protection Regulation (the “GDPR”), which took effect in May 2018. The failure to </w:t>
      </w:r>
    </w:p>
    <w:p w:rsidR="00000000" w:rsidRDefault="00485CCD">
      <w:pPr>
        <w:jc w:val="center"/>
        <w:divId w:val="593979573"/>
        <w:rPr>
          <w:rFonts w:eastAsia="Times New Roman"/>
        </w:rPr>
      </w:pPr>
      <w:r>
        <w:rPr>
          <w:rFonts w:ascii="Arial" w:eastAsia="Times New Roman" w:hAnsi="Arial" w:cs="Arial"/>
          <w:color w:val="000000"/>
          <w:sz w:val="20"/>
          <w:szCs w:val="20"/>
        </w:rPr>
        <w:t>11</w:t>
      </w:r>
    </w:p>
    <w:p w:rsidR="00000000" w:rsidRDefault="00485CCD">
      <w:pPr>
        <w:rPr>
          <w:rFonts w:eastAsia="Times New Roman"/>
        </w:rPr>
      </w:pPr>
      <w:r>
        <w:rPr>
          <w:rFonts w:eastAsia="Times New Roman"/>
        </w:rPr>
        <w:pict>
          <v:rect id="_x0000_i1046" style="width:0;height:1.5pt" o:hralign="center" o:hrstd="t" o:hr="t" fillcolor="#a0a0a0" stroked="f"/>
        </w:pict>
      </w:r>
    </w:p>
    <w:p w:rsidR="00000000" w:rsidRDefault="00485CCD">
      <w:pPr>
        <w:divId w:val="902133210"/>
        <w:rPr>
          <w:rFonts w:eastAsia="Times New Roman"/>
        </w:rPr>
      </w:pPr>
    </w:p>
    <w:p w:rsidR="00000000" w:rsidRDefault="00485CCD">
      <w:pPr>
        <w:jc w:val="both"/>
        <w:divId w:val="1219902196"/>
        <w:rPr>
          <w:rFonts w:eastAsia="Times New Roman"/>
        </w:rPr>
      </w:pPr>
      <w:r>
        <w:rPr>
          <w:rFonts w:ascii="Arial" w:eastAsia="Times New Roman" w:hAnsi="Arial" w:cs="Arial"/>
          <w:color w:val="000000"/>
          <w:sz w:val="20"/>
          <w:szCs w:val="20"/>
        </w:rPr>
        <w:t>comply with these laws or regulations could subject us to significant litigation, monetary damages, regulatory enforcement actions, or fines in one or more jurisdictions. More generally, the economic, political, moneta</w:t>
      </w:r>
      <w:r>
        <w:rPr>
          <w:rFonts w:ascii="Arial" w:eastAsia="Times New Roman" w:hAnsi="Arial" w:cs="Arial"/>
          <w:color w:val="000000"/>
          <w:sz w:val="20"/>
          <w:szCs w:val="20"/>
        </w:rPr>
        <w:t>ry, and operational impacts of Brexit, including unanticipated impacts to the U.K. real estate market and general economic conditions in the United Kingdom, could negatively impact our U.K. business, including reducing our margins.</w:t>
      </w:r>
    </w:p>
    <w:p w:rsidR="00000000" w:rsidRDefault="00485CCD">
      <w:pPr>
        <w:ind w:firstLine="720"/>
        <w:jc w:val="both"/>
        <w:divId w:val="745810979"/>
        <w:rPr>
          <w:rFonts w:eastAsia="Times New Roman"/>
        </w:rPr>
      </w:pPr>
      <w:r>
        <w:rPr>
          <w:rFonts w:ascii="Arial" w:eastAsia="Times New Roman" w:hAnsi="Arial" w:cs="Arial"/>
          <w:color w:val="000000"/>
          <w:sz w:val="20"/>
          <w:szCs w:val="20"/>
        </w:rPr>
        <w:t>In addition, when we par</w:t>
      </w:r>
      <w:r>
        <w:rPr>
          <w:rFonts w:ascii="Arial" w:eastAsia="Times New Roman" w:hAnsi="Arial" w:cs="Arial"/>
          <w:color w:val="000000"/>
          <w:sz w:val="20"/>
          <w:szCs w:val="20"/>
        </w:rPr>
        <w:t>ticipate in joint ventures that operate outside of the United States where we are not a controlling party, we may have limited control over the joint venture. Any improper actions by our joint venture employees, partners, or agents, including, but not limi</w:t>
      </w:r>
      <w:r>
        <w:rPr>
          <w:rFonts w:ascii="Arial" w:eastAsia="Times New Roman" w:hAnsi="Arial" w:cs="Arial"/>
          <w:color w:val="000000"/>
          <w:sz w:val="20"/>
          <w:szCs w:val="20"/>
        </w:rPr>
        <w:t>ted to, failure to comply with the U.S. Foreign Corrupt Practices Act, the U.K. Bribery Act, and/or laws relating to human trafficking, could result in civil or criminal investigations, monetary and non-monetary penalties, or other consequences, any of whi</w:t>
      </w:r>
      <w:r>
        <w:rPr>
          <w:rFonts w:ascii="Arial" w:eastAsia="Times New Roman" w:hAnsi="Arial" w:cs="Arial"/>
          <w:color w:val="000000"/>
          <w:sz w:val="20"/>
          <w:szCs w:val="20"/>
        </w:rPr>
        <w:t>ch could have an adverse effect on our financial position as well as on our reputation and ability to conduct business.</w:t>
      </w:r>
    </w:p>
    <w:p w:rsidR="00000000" w:rsidRDefault="00485CCD">
      <w:pPr>
        <w:ind w:firstLine="720"/>
        <w:jc w:val="both"/>
        <w:divId w:val="1125546095"/>
        <w:rPr>
          <w:rFonts w:eastAsia="Times New Roman"/>
        </w:rPr>
      </w:pPr>
      <w:r>
        <w:rPr>
          <w:rFonts w:ascii="Arial" w:eastAsia="Times New Roman" w:hAnsi="Arial" w:cs="Arial"/>
          <w:color w:val="000000"/>
          <w:sz w:val="20"/>
          <w:szCs w:val="20"/>
        </w:rPr>
        <w:t>Additionally, the operating results of our non-U.S. subsidiaries are translated into U.S. dollars, and those translations are affected b</w:t>
      </w:r>
      <w:r>
        <w:rPr>
          <w:rFonts w:ascii="Arial" w:eastAsia="Times New Roman" w:hAnsi="Arial" w:cs="Arial"/>
          <w:color w:val="000000"/>
          <w:sz w:val="20"/>
          <w:szCs w:val="20"/>
        </w:rPr>
        <w:t>y movements in foreign currencies relative to the U.S. dollar. There can be no assurance that the foregoing factors will not have a material adverse effect on our international operations or on our consolidated financial condition and results of operations</w:t>
      </w:r>
      <w:r>
        <w:rPr>
          <w:rFonts w:ascii="Arial" w:eastAsia="Times New Roman" w:hAnsi="Arial" w:cs="Arial"/>
          <w:color w:val="000000"/>
          <w:sz w:val="20"/>
          <w:szCs w:val="20"/>
        </w:rPr>
        <w:t xml:space="preserve">. </w:t>
      </w:r>
    </w:p>
    <w:p w:rsidR="00000000" w:rsidRDefault="00485CCD">
      <w:pPr>
        <w:jc w:val="both"/>
        <w:divId w:val="1960257496"/>
        <w:rPr>
          <w:rFonts w:eastAsia="Times New Roman"/>
        </w:rPr>
      </w:pPr>
      <w:r>
        <w:rPr>
          <w:rFonts w:ascii="Arial" w:eastAsia="Times New Roman" w:hAnsi="Arial" w:cs="Arial"/>
          <w:b/>
          <w:bCs/>
          <w:i/>
          <w:iCs/>
          <w:color w:val="0046AD"/>
          <w:sz w:val="20"/>
          <w:szCs w:val="20"/>
        </w:rPr>
        <w:t>Our use of subcontractors or joint venture partners to perform work under customer contracts exposes us to liability and financial risk.</w:t>
      </w:r>
    </w:p>
    <w:p w:rsidR="00000000" w:rsidRDefault="00485CCD">
      <w:pPr>
        <w:ind w:firstLine="720"/>
        <w:jc w:val="both"/>
        <w:divId w:val="229852948"/>
        <w:rPr>
          <w:rFonts w:eastAsia="Times New Roman"/>
        </w:rPr>
      </w:pPr>
      <w:r>
        <w:rPr>
          <w:rFonts w:ascii="Arial" w:eastAsia="Times New Roman" w:hAnsi="Arial" w:cs="Arial"/>
          <w:color w:val="000000"/>
          <w:sz w:val="20"/>
          <w:szCs w:val="20"/>
        </w:rPr>
        <w:t>We depend on subcontractors or other parties, such as joint venture partners, to perform work in situations in which</w:t>
      </w:r>
      <w:r>
        <w:rPr>
          <w:rFonts w:ascii="Arial" w:eastAsia="Times New Roman" w:hAnsi="Arial" w:cs="Arial"/>
          <w:color w:val="000000"/>
          <w:sz w:val="20"/>
          <w:szCs w:val="20"/>
        </w:rPr>
        <w:t xml:space="preserve"> we are not able to self-perform the work involved. Such arrangements may involve subcontracts or joint venture relationships where we do not have direct control over the performing party. We may be exposed to liability whenever one or more of our subcontr</w:t>
      </w:r>
      <w:r>
        <w:rPr>
          <w:rFonts w:ascii="Arial" w:eastAsia="Times New Roman" w:hAnsi="Arial" w:cs="Arial"/>
          <w:color w:val="000000"/>
          <w:sz w:val="20"/>
          <w:szCs w:val="20"/>
        </w:rPr>
        <w:t>actors or joint venture partners, for whatever reason, fails to perform or allegedly negligently performs the agreed-upon services. Although we have in place controls and programs to monitor the work of our subcontractors and our joint venture partners, th</w:t>
      </w:r>
      <w:r>
        <w:rPr>
          <w:rFonts w:ascii="Arial" w:eastAsia="Times New Roman" w:hAnsi="Arial" w:cs="Arial"/>
          <w:color w:val="000000"/>
          <w:sz w:val="20"/>
          <w:szCs w:val="20"/>
        </w:rPr>
        <w:t xml:space="preserve">ere can be no assurance that these controls or programs will have the desired effect, and we may incur significant liability as a result of the actions or inactions of one or more of our subcontractors or joint venture partners. </w:t>
      </w:r>
    </w:p>
    <w:p w:rsidR="00000000" w:rsidRDefault="00485CCD">
      <w:pPr>
        <w:divId w:val="1659728478"/>
        <w:rPr>
          <w:rFonts w:eastAsia="Times New Roman"/>
        </w:rPr>
      </w:pPr>
      <w:r>
        <w:rPr>
          <w:rFonts w:ascii="Arial" w:eastAsia="Times New Roman" w:hAnsi="Arial" w:cs="Arial"/>
          <w:b/>
          <w:bCs/>
          <w:color w:val="0046AD"/>
          <w:sz w:val="20"/>
          <w:szCs w:val="20"/>
        </w:rPr>
        <w:t>Risks Relating to Acquisit</w:t>
      </w:r>
      <w:r>
        <w:rPr>
          <w:rFonts w:ascii="Arial" w:eastAsia="Times New Roman" w:hAnsi="Arial" w:cs="Arial"/>
          <w:b/>
          <w:bCs/>
          <w:color w:val="0046AD"/>
          <w:sz w:val="20"/>
          <w:szCs w:val="20"/>
        </w:rPr>
        <w:t xml:space="preserve">ions, Including the Able Acquisition, and Relating to Divestitures, or Strategic Transactions </w:t>
      </w:r>
    </w:p>
    <w:p w:rsidR="00000000" w:rsidRDefault="00485CCD">
      <w:pPr>
        <w:jc w:val="both"/>
        <w:divId w:val="840897442"/>
        <w:rPr>
          <w:rFonts w:eastAsia="Times New Roman"/>
        </w:rPr>
      </w:pPr>
      <w:r>
        <w:rPr>
          <w:rFonts w:ascii="Arial" w:eastAsia="Times New Roman" w:hAnsi="Arial" w:cs="Arial"/>
          <w:b/>
          <w:bCs/>
          <w:i/>
          <w:iCs/>
          <w:color w:val="0046AD"/>
          <w:sz w:val="20"/>
          <w:szCs w:val="20"/>
        </w:rPr>
        <w:t>Acquisitions, divestitures, and other strategic transactions could fail to achieve financial or strategic objectives, disrupt our ongoing business, and adversely</w:t>
      </w:r>
      <w:r>
        <w:rPr>
          <w:rFonts w:ascii="Arial" w:eastAsia="Times New Roman" w:hAnsi="Arial" w:cs="Arial"/>
          <w:b/>
          <w:bCs/>
          <w:i/>
          <w:iCs/>
          <w:color w:val="0046AD"/>
          <w:sz w:val="20"/>
          <w:szCs w:val="20"/>
        </w:rPr>
        <w:t xml:space="preserve"> impact our results of operations.</w:t>
      </w:r>
    </w:p>
    <w:p w:rsidR="00000000" w:rsidRDefault="00485CCD">
      <w:pPr>
        <w:ind w:firstLine="720"/>
        <w:jc w:val="both"/>
        <w:divId w:val="974412390"/>
        <w:rPr>
          <w:rFonts w:eastAsia="Times New Roman"/>
        </w:rPr>
      </w:pPr>
      <w:r>
        <w:rPr>
          <w:rFonts w:ascii="Arial" w:eastAsia="Times New Roman" w:hAnsi="Arial" w:cs="Arial"/>
          <w:color w:val="000000"/>
          <w:sz w:val="20"/>
          <w:szCs w:val="20"/>
        </w:rPr>
        <w:t>In furtherance of our business strategy, we routinely evaluate opportunities and may enter into agreements for possible acquisitions, divestitures, or other strategic transactions. In the past, a significant portion of ou</w:t>
      </w:r>
      <w:r>
        <w:rPr>
          <w:rFonts w:ascii="Arial" w:eastAsia="Times New Roman" w:hAnsi="Arial" w:cs="Arial"/>
          <w:color w:val="000000"/>
          <w:sz w:val="20"/>
          <w:szCs w:val="20"/>
        </w:rPr>
        <w:t>r growth has been generated by acquisitions, and we may continue to acquire businesses in the future as part of our growth strategy. However, we may encounter challenges identifying opportunities in a timely manner or on terms acceptable to us. Furthermore</w:t>
      </w:r>
      <w:r>
        <w:rPr>
          <w:rFonts w:ascii="Arial" w:eastAsia="Times New Roman" w:hAnsi="Arial" w:cs="Arial"/>
          <w:color w:val="000000"/>
          <w:sz w:val="20"/>
          <w:szCs w:val="20"/>
        </w:rPr>
        <w:t>, there is no assurance that any such transaction will result in synergistic benefits. A potential acquisition, divestiture, or other strategic transaction may involve a number of risks including, but not limited to:</w:t>
      </w:r>
    </w:p>
    <w:p w:rsidR="00000000" w:rsidRDefault="00485CCD">
      <w:pPr>
        <w:ind w:hanging="360"/>
        <w:jc w:val="both"/>
        <w:divId w:val="252978382"/>
        <w:rPr>
          <w:rFonts w:eastAsia="Times New Roman"/>
        </w:rPr>
      </w:pPr>
      <w:r>
        <w:rPr>
          <w:rFonts w:ascii="Arial" w:eastAsia="Times New Roman" w:hAnsi="Arial" w:cs="Arial"/>
          <w:color w:val="000000"/>
          <w:sz w:val="20"/>
          <w:szCs w:val="20"/>
        </w:rPr>
        <w:t>•the transaction may not effectively ad</w:t>
      </w:r>
      <w:r>
        <w:rPr>
          <w:rFonts w:ascii="Arial" w:eastAsia="Times New Roman" w:hAnsi="Arial" w:cs="Arial"/>
          <w:color w:val="000000"/>
          <w:sz w:val="20"/>
          <w:szCs w:val="20"/>
        </w:rPr>
        <w:t xml:space="preserve">vance our business strategy, and its anticipated benefits may never materialize; </w:t>
      </w:r>
    </w:p>
    <w:p w:rsidR="00000000" w:rsidRDefault="00485CCD">
      <w:pPr>
        <w:ind w:hanging="360"/>
        <w:jc w:val="both"/>
        <w:divId w:val="2056537069"/>
        <w:rPr>
          <w:rFonts w:eastAsia="Times New Roman"/>
        </w:rPr>
      </w:pPr>
      <w:r>
        <w:rPr>
          <w:rFonts w:ascii="Arial" w:eastAsia="Times New Roman" w:hAnsi="Arial" w:cs="Arial"/>
          <w:color w:val="000000"/>
          <w:sz w:val="20"/>
          <w:szCs w:val="20"/>
        </w:rPr>
        <w:t>•our ongoing operations may be disrupted, and management time and focus may be diverted;</w:t>
      </w:r>
    </w:p>
    <w:p w:rsidR="00000000" w:rsidRDefault="00485CCD">
      <w:pPr>
        <w:ind w:hanging="360"/>
        <w:jc w:val="both"/>
        <w:divId w:val="1971351957"/>
        <w:rPr>
          <w:rFonts w:eastAsia="Times New Roman"/>
        </w:rPr>
      </w:pPr>
      <w:r>
        <w:rPr>
          <w:rFonts w:ascii="Arial" w:eastAsia="Times New Roman" w:hAnsi="Arial" w:cs="Arial"/>
          <w:color w:val="000000"/>
          <w:sz w:val="20"/>
          <w:szCs w:val="20"/>
        </w:rPr>
        <w:t>•clients or key employees of an acquired business may not remain, which could negativ</w:t>
      </w:r>
      <w:r>
        <w:rPr>
          <w:rFonts w:ascii="Arial" w:eastAsia="Times New Roman" w:hAnsi="Arial" w:cs="Arial"/>
          <w:color w:val="000000"/>
          <w:sz w:val="20"/>
          <w:szCs w:val="20"/>
        </w:rPr>
        <w:t>ely impact our ability to grow that acquired business;</w:t>
      </w:r>
    </w:p>
    <w:p w:rsidR="00000000" w:rsidRDefault="00485CCD">
      <w:pPr>
        <w:ind w:hanging="360"/>
        <w:jc w:val="both"/>
        <w:divId w:val="336226562"/>
        <w:rPr>
          <w:rFonts w:eastAsia="Times New Roman"/>
        </w:rPr>
      </w:pPr>
      <w:r>
        <w:rPr>
          <w:rFonts w:ascii="Arial" w:eastAsia="Times New Roman" w:hAnsi="Arial" w:cs="Arial"/>
          <w:color w:val="000000"/>
          <w:sz w:val="20"/>
          <w:szCs w:val="20"/>
        </w:rPr>
        <w:t>•integration of an acquired business’s accounting, information technology, HR, and other administrative systems may fail to permit effective management and expense reduction;</w:t>
      </w:r>
    </w:p>
    <w:p w:rsidR="00000000" w:rsidRDefault="00485CCD">
      <w:pPr>
        <w:ind w:hanging="360"/>
        <w:jc w:val="both"/>
        <w:divId w:val="709381323"/>
        <w:rPr>
          <w:rFonts w:eastAsia="Times New Roman"/>
        </w:rPr>
      </w:pPr>
      <w:r>
        <w:rPr>
          <w:rFonts w:ascii="Arial" w:eastAsia="Times New Roman" w:hAnsi="Arial" w:cs="Arial"/>
          <w:color w:val="000000"/>
          <w:sz w:val="20"/>
          <w:szCs w:val="20"/>
        </w:rPr>
        <w:t>•unforeseen challenges may</w:t>
      </w:r>
      <w:r>
        <w:rPr>
          <w:rFonts w:ascii="Arial" w:eastAsia="Times New Roman" w:hAnsi="Arial" w:cs="Arial"/>
          <w:color w:val="000000"/>
          <w:sz w:val="20"/>
          <w:szCs w:val="20"/>
        </w:rPr>
        <w:t xml:space="preserve"> arise in implementing internal controls, procedures, and policies;</w:t>
      </w:r>
    </w:p>
    <w:p w:rsidR="00000000" w:rsidRDefault="00485CCD">
      <w:pPr>
        <w:ind w:hanging="360"/>
        <w:jc w:val="both"/>
        <w:divId w:val="329068589"/>
        <w:rPr>
          <w:rFonts w:eastAsia="Times New Roman"/>
        </w:rPr>
      </w:pPr>
      <w:r>
        <w:rPr>
          <w:rFonts w:ascii="Arial" w:eastAsia="Times New Roman" w:hAnsi="Arial" w:cs="Arial"/>
          <w:color w:val="000000"/>
          <w:sz w:val="20"/>
          <w:szCs w:val="20"/>
        </w:rPr>
        <w:t>•additional indebtedness incurred as a result of an acquisition may impact our financial position, results of operations, and cash flows; and</w:t>
      </w:r>
    </w:p>
    <w:p w:rsidR="00000000" w:rsidRDefault="00485CCD">
      <w:pPr>
        <w:ind w:hanging="360"/>
        <w:jc w:val="both"/>
        <w:divId w:val="1020935695"/>
        <w:rPr>
          <w:rFonts w:eastAsia="Times New Roman"/>
        </w:rPr>
      </w:pPr>
      <w:r>
        <w:rPr>
          <w:rFonts w:ascii="Arial" w:eastAsia="Times New Roman" w:hAnsi="Arial" w:cs="Arial"/>
          <w:color w:val="000000"/>
          <w:sz w:val="20"/>
          <w:szCs w:val="20"/>
        </w:rPr>
        <w:t>•unanticipated or unknown liabilities may aris</w:t>
      </w:r>
      <w:r>
        <w:rPr>
          <w:rFonts w:ascii="Arial" w:eastAsia="Times New Roman" w:hAnsi="Arial" w:cs="Arial"/>
          <w:color w:val="000000"/>
          <w:sz w:val="20"/>
          <w:szCs w:val="20"/>
        </w:rPr>
        <w:t xml:space="preserve">e related to an acquired business. </w:t>
      </w:r>
    </w:p>
    <w:p w:rsidR="00000000" w:rsidRDefault="00485CCD">
      <w:pPr>
        <w:jc w:val="center"/>
        <w:divId w:val="1724254081"/>
        <w:rPr>
          <w:rFonts w:eastAsia="Times New Roman"/>
        </w:rPr>
      </w:pPr>
      <w:r>
        <w:rPr>
          <w:rFonts w:ascii="Arial" w:eastAsia="Times New Roman" w:hAnsi="Arial" w:cs="Arial"/>
          <w:color w:val="000000"/>
          <w:sz w:val="20"/>
          <w:szCs w:val="20"/>
        </w:rPr>
        <w:t>12</w:t>
      </w:r>
    </w:p>
    <w:p w:rsidR="00000000" w:rsidRDefault="00485CCD">
      <w:pPr>
        <w:rPr>
          <w:rFonts w:eastAsia="Times New Roman"/>
        </w:rPr>
      </w:pPr>
      <w:r>
        <w:rPr>
          <w:rFonts w:eastAsia="Times New Roman"/>
        </w:rPr>
        <w:pict>
          <v:rect id="_x0000_i1047" style="width:0;height:1.5pt" o:hralign="center" o:hrstd="t" o:hr="t" fillcolor="#a0a0a0" stroked="f"/>
        </w:pict>
      </w:r>
    </w:p>
    <w:p w:rsidR="00000000" w:rsidRDefault="00485CCD">
      <w:pPr>
        <w:divId w:val="1646809529"/>
        <w:rPr>
          <w:rFonts w:eastAsia="Times New Roman"/>
        </w:rPr>
      </w:pPr>
    </w:p>
    <w:p w:rsidR="00000000" w:rsidRDefault="00485CCD">
      <w:pPr>
        <w:divId w:val="1101073455"/>
        <w:rPr>
          <w:rFonts w:eastAsia="Times New Roman"/>
        </w:rPr>
      </w:pPr>
      <w:r>
        <w:rPr>
          <w:rFonts w:ascii="Arial" w:eastAsia="Times New Roman" w:hAnsi="Arial" w:cs="Arial"/>
          <w:b/>
          <w:bCs/>
          <w:i/>
          <w:iCs/>
          <w:color w:val="0046AD"/>
          <w:sz w:val="20"/>
          <w:szCs w:val="20"/>
        </w:rPr>
        <w:t xml:space="preserve">We may experience difficulties integrating Able and may not realize the growth opportunities and cost synergies that are anticipated from the Able Acquisition </w:t>
      </w:r>
    </w:p>
    <w:p w:rsidR="00000000" w:rsidRDefault="00485CCD">
      <w:pPr>
        <w:ind w:firstLine="720"/>
        <w:jc w:val="both"/>
        <w:divId w:val="1665472706"/>
        <w:rPr>
          <w:rFonts w:eastAsia="Times New Roman"/>
        </w:rPr>
      </w:pPr>
      <w:r>
        <w:rPr>
          <w:rFonts w:ascii="Arial" w:eastAsia="Times New Roman" w:hAnsi="Arial" w:cs="Arial"/>
          <w:color w:val="000000"/>
          <w:sz w:val="20"/>
          <w:szCs w:val="20"/>
        </w:rPr>
        <w:t>There is a significant degree of difficulty, management distraction, and expense inherent in the</w:t>
      </w:r>
      <w:r>
        <w:rPr>
          <w:rFonts w:ascii="Arial" w:eastAsia="Times New Roman" w:hAnsi="Arial" w:cs="Arial"/>
          <w:color w:val="000000"/>
          <w:sz w:val="20"/>
          <w:szCs w:val="20"/>
        </w:rPr>
        <w:t xml:space="preserve"> process of integrating an acquisition as sizable as Able. The process of integrating Able could cause an interruption of, or loss of momentum in, our activities, including with respect to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program or the activities of the Able business. Members</w:t>
      </w:r>
      <w:r>
        <w:rPr>
          <w:rFonts w:ascii="Arial" w:eastAsia="Times New Roman" w:hAnsi="Arial" w:cs="Arial"/>
          <w:color w:val="000000"/>
          <w:sz w:val="20"/>
          <w:szCs w:val="20"/>
        </w:rPr>
        <w:t xml:space="preserve"> of our senior management may be required to devote considerable time to this integration process, which will decrease the time they will have to manage our Company, service existing clients, and attract new clients. If senior management is not able to eff</w:t>
      </w:r>
      <w:r>
        <w:rPr>
          <w:rFonts w:ascii="Arial" w:eastAsia="Times New Roman" w:hAnsi="Arial" w:cs="Arial"/>
          <w:color w:val="000000"/>
          <w:sz w:val="20"/>
          <w:szCs w:val="20"/>
        </w:rPr>
        <w:t>ectively manage the integration process, or if any significant business activities are interrupted as a result of the integration process, our business could suffer.</w:t>
      </w:r>
    </w:p>
    <w:p w:rsidR="00000000" w:rsidRDefault="00485CCD">
      <w:pPr>
        <w:ind w:firstLine="720"/>
        <w:jc w:val="both"/>
        <w:divId w:val="1610965274"/>
        <w:rPr>
          <w:rFonts w:eastAsia="Times New Roman"/>
        </w:rPr>
      </w:pPr>
      <w:r>
        <w:rPr>
          <w:rFonts w:ascii="Arial" w:eastAsia="Times New Roman" w:hAnsi="Arial" w:cs="Arial"/>
          <w:color w:val="000000"/>
          <w:sz w:val="20"/>
          <w:szCs w:val="20"/>
        </w:rPr>
        <w:t>Additionally, the benefits that are expected to result from the Able Acquisition will depe</w:t>
      </w:r>
      <w:r>
        <w:rPr>
          <w:rFonts w:ascii="Arial" w:eastAsia="Times New Roman" w:hAnsi="Arial" w:cs="Arial"/>
          <w:color w:val="000000"/>
          <w:sz w:val="20"/>
          <w:szCs w:val="20"/>
        </w:rPr>
        <w:t>nd, in part, on our ability to realize the anticipated growth opportunities and cost synergies as a result of the Able Acquisition. Our success in realizing these growth opportunities and cost synergies, and the timing of this realization, depends on succe</w:t>
      </w:r>
      <w:r>
        <w:rPr>
          <w:rFonts w:ascii="Arial" w:eastAsia="Times New Roman" w:hAnsi="Arial" w:cs="Arial"/>
          <w:color w:val="000000"/>
          <w:sz w:val="20"/>
          <w:szCs w:val="20"/>
        </w:rPr>
        <w:t>ssful integration and a number of other factors. Even if we integrate Able successfully, this integration may not result in the realization of the full benefits of the growth opportunities and cost synergies we currently expect from the integration, and we</w:t>
      </w:r>
      <w:r>
        <w:rPr>
          <w:rFonts w:ascii="Arial" w:eastAsia="Times New Roman" w:hAnsi="Arial" w:cs="Arial"/>
          <w:color w:val="000000"/>
          <w:sz w:val="20"/>
          <w:szCs w:val="20"/>
        </w:rPr>
        <w:t xml:space="preserve"> cannot guarantee these benefits will be achieved within anticipated time frames or at all. For example, we may not be able to eliminate duplicative costs, and while it is anticipated that certain expenses will be incurred to achieve cost synergies, such e</w:t>
      </w:r>
      <w:r>
        <w:rPr>
          <w:rFonts w:ascii="Arial" w:eastAsia="Times New Roman" w:hAnsi="Arial" w:cs="Arial"/>
          <w:color w:val="000000"/>
          <w:sz w:val="20"/>
          <w:szCs w:val="20"/>
        </w:rPr>
        <w:t>xpenses are difficult to estimate accurately and may exceed current estimates. Accordingly, the benefits from the Able Acquisition may be offset by costs incurred to integrate the business or delays in the integration process. In addition, the overall inte</w:t>
      </w:r>
      <w:r>
        <w:rPr>
          <w:rFonts w:ascii="Arial" w:eastAsia="Times New Roman" w:hAnsi="Arial" w:cs="Arial"/>
          <w:color w:val="000000"/>
          <w:sz w:val="20"/>
          <w:szCs w:val="20"/>
        </w:rPr>
        <w:t>gration of Able with ABM may result in unanticipated problems, expenses, liabilities, competitive responses, loss of client and other relationships, and loss of key employees, any of which may adversely affect our results of operations, financial condition</w:t>
      </w:r>
      <w:r>
        <w:rPr>
          <w:rFonts w:ascii="Arial" w:eastAsia="Times New Roman" w:hAnsi="Arial" w:cs="Arial"/>
          <w:color w:val="000000"/>
          <w:sz w:val="20"/>
          <w:szCs w:val="20"/>
        </w:rPr>
        <w:t>, and cash flow, and may cause our stock price to decline.</w:t>
      </w:r>
    </w:p>
    <w:p w:rsidR="00000000" w:rsidRDefault="00485CCD">
      <w:pPr>
        <w:jc w:val="both"/>
        <w:divId w:val="1061363720"/>
        <w:rPr>
          <w:rFonts w:eastAsia="Times New Roman"/>
        </w:rPr>
      </w:pPr>
      <w:r>
        <w:rPr>
          <w:rFonts w:ascii="Arial" w:eastAsia="Times New Roman" w:hAnsi="Arial" w:cs="Arial"/>
          <w:b/>
          <w:bCs/>
          <w:color w:val="0046AD"/>
          <w:sz w:val="20"/>
          <w:szCs w:val="20"/>
        </w:rPr>
        <w:t>Risks Relating to Insurance and Safety Matters</w:t>
      </w:r>
    </w:p>
    <w:p w:rsidR="00000000" w:rsidRDefault="00485CCD">
      <w:pPr>
        <w:jc w:val="both"/>
        <w:divId w:val="1619068018"/>
        <w:rPr>
          <w:rFonts w:eastAsia="Times New Roman"/>
        </w:rPr>
      </w:pPr>
      <w:r>
        <w:rPr>
          <w:rFonts w:ascii="Arial" w:eastAsia="Times New Roman" w:hAnsi="Arial" w:cs="Arial"/>
          <w:b/>
          <w:bCs/>
          <w:i/>
          <w:iCs/>
          <w:color w:val="0046AD"/>
          <w:sz w:val="20"/>
          <w:szCs w:val="20"/>
        </w:rPr>
        <w:t>We manage our insurable risks through a combination of third-party purchased policies and self-insurance, and we retain a substantial portion of the r</w:t>
      </w:r>
      <w:r>
        <w:rPr>
          <w:rFonts w:ascii="Arial" w:eastAsia="Times New Roman" w:hAnsi="Arial" w:cs="Arial"/>
          <w:b/>
          <w:bCs/>
          <w:i/>
          <w:iCs/>
          <w:color w:val="0046AD"/>
          <w:sz w:val="20"/>
          <w:szCs w:val="20"/>
        </w:rPr>
        <w:t>isk associated with expected losses under these programs, which exposes us to volatility associated with those risks, including the possibility that changes in estimates to our ultimate insurance loss reserves could result in material charges against our e</w:t>
      </w:r>
      <w:r>
        <w:rPr>
          <w:rFonts w:ascii="Arial" w:eastAsia="Times New Roman" w:hAnsi="Arial" w:cs="Arial"/>
          <w:b/>
          <w:bCs/>
          <w:i/>
          <w:iCs/>
          <w:color w:val="0046AD"/>
          <w:sz w:val="20"/>
          <w:szCs w:val="20"/>
        </w:rPr>
        <w:t>arnings.</w:t>
      </w:r>
    </w:p>
    <w:p w:rsidR="00000000" w:rsidRDefault="00485CCD">
      <w:pPr>
        <w:ind w:firstLine="720"/>
        <w:jc w:val="both"/>
        <w:divId w:val="339743824"/>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We are responsible for claims both within and in excess of our retaine</w:t>
      </w:r>
      <w:r>
        <w:rPr>
          <w:rFonts w:ascii="Arial" w:eastAsia="Times New Roman" w:hAnsi="Arial" w:cs="Arial"/>
          <w:color w:val="000000"/>
          <w:sz w:val="20"/>
          <w:szCs w:val="20"/>
        </w:rPr>
        <w:t>d limits under our insurance policies, and while we endeavor to purchase insurance coverage that is appropriate to our assessment of risk, we are unable to predict with certainty the frequency, nature, or magnitude of claims for direct or consequential dam</w:t>
      </w:r>
      <w:r>
        <w:rPr>
          <w:rFonts w:ascii="Arial" w:eastAsia="Times New Roman" w:hAnsi="Arial" w:cs="Arial"/>
          <w:color w:val="000000"/>
          <w:sz w:val="20"/>
          <w:szCs w:val="20"/>
        </w:rPr>
        <w:t>ages. If our insurance coverage proves to be inadequate or unavailable, our business may be negatively impacted.</w:t>
      </w:r>
    </w:p>
    <w:p w:rsidR="00000000" w:rsidRDefault="00485CCD">
      <w:pPr>
        <w:ind w:firstLine="720"/>
        <w:jc w:val="both"/>
        <w:divId w:val="1300301949"/>
        <w:rPr>
          <w:rFonts w:eastAsia="Times New Roman"/>
        </w:rPr>
      </w:pPr>
      <w:r>
        <w:rPr>
          <w:rFonts w:ascii="Arial" w:eastAsia="Times New Roman" w:hAnsi="Arial" w:cs="Arial"/>
          <w:color w:val="000000"/>
          <w:sz w:val="20"/>
          <w:szCs w:val="20"/>
        </w:rPr>
        <w:t>The determination of required insurance reserves is dependent upon actuarial judgments. We use the results of actuarial studies to estimate insurance rates and insurance reserves for future periods and to adjust reserves, if appropriate, for prior years. A</w:t>
      </w:r>
      <w:r>
        <w:rPr>
          <w:rFonts w:ascii="Arial" w:eastAsia="Times New Roman" w:hAnsi="Arial" w:cs="Arial"/>
          <w:color w:val="000000"/>
          <w:sz w:val="20"/>
          <w:szCs w:val="20"/>
        </w:rPr>
        <w:t xml:space="preserve">ctual experience related to our insurance reserves can cause us to change our estimates for reserves and any such changes may materially impact results, causing significant volatility in our operating results. </w:t>
      </w:r>
    </w:p>
    <w:p w:rsidR="00000000" w:rsidRDefault="00485CCD">
      <w:pPr>
        <w:ind w:firstLine="720"/>
        <w:jc w:val="both"/>
        <w:divId w:val="993098586"/>
        <w:rPr>
          <w:rFonts w:eastAsia="Times New Roman"/>
        </w:rPr>
      </w:pPr>
      <w:r>
        <w:rPr>
          <w:rFonts w:ascii="Arial" w:eastAsia="Times New Roman" w:hAnsi="Arial" w:cs="Arial"/>
          <w:color w:val="000000"/>
          <w:sz w:val="20"/>
          <w:szCs w:val="20"/>
        </w:rPr>
        <w:t>Should we be unable to renew our excess, umbr</w:t>
      </w:r>
      <w:r>
        <w:rPr>
          <w:rFonts w:ascii="Arial" w:eastAsia="Times New Roman" w:hAnsi="Arial" w:cs="Arial"/>
          <w:color w:val="000000"/>
          <w:sz w:val="20"/>
          <w:szCs w:val="20"/>
        </w:rPr>
        <w:t xml:space="preserve">ella, or other commercial insurance policies, it could have a material adverse impact on our business, as would the incurrence of catastrophic uninsured claims or the inability or refusal of our insurance carriers to pay otherwise insured claims. Further, </w:t>
      </w:r>
      <w:r>
        <w:rPr>
          <w:rFonts w:ascii="Arial" w:eastAsia="Times New Roman" w:hAnsi="Arial" w:cs="Arial"/>
          <w:color w:val="000000"/>
          <w:sz w:val="20"/>
          <w:szCs w:val="20"/>
        </w:rPr>
        <w:t xml:space="preserve">to the extent that we self-insure our losses, deterioration in our loss control and/or our continuing claim management efforts could increase the overall cost of claims within our retained limits. A material change in our insurance costs due to changes in </w:t>
      </w:r>
      <w:r>
        <w:rPr>
          <w:rFonts w:ascii="Arial" w:eastAsia="Times New Roman" w:hAnsi="Arial" w:cs="Arial"/>
          <w:color w:val="000000"/>
          <w:sz w:val="20"/>
          <w:szCs w:val="20"/>
        </w:rPr>
        <w:t>the frequency of claims, the severity of the claims, the costs of excess/umbrella premiums, or regulatory changes could have a material adverse effect on our financial position, results of operations, or cash flows.</w:t>
      </w:r>
    </w:p>
    <w:p w:rsidR="00000000" w:rsidRDefault="00485CCD">
      <w:pPr>
        <w:ind w:firstLine="720"/>
        <w:jc w:val="both"/>
        <w:divId w:val="1427312703"/>
        <w:rPr>
          <w:rFonts w:eastAsia="Times New Roman"/>
        </w:rPr>
      </w:pPr>
      <w:r>
        <w:rPr>
          <w:rFonts w:ascii="Arial" w:eastAsia="Times New Roman" w:hAnsi="Arial" w:cs="Arial"/>
          <w:color w:val="000000"/>
          <w:sz w:val="20"/>
          <w:szCs w:val="20"/>
        </w:rPr>
        <w:t>In 2015, we formed a wholly owned captiv</w:t>
      </w:r>
      <w:r>
        <w:rPr>
          <w:rFonts w:ascii="Arial" w:eastAsia="Times New Roman" w:hAnsi="Arial" w:cs="Arial"/>
          <w:color w:val="000000"/>
          <w:sz w:val="20"/>
          <w:szCs w:val="20"/>
        </w:rPr>
        <w:t xml:space="preserve">e insurance company, IFM Assurance Company (“IFM”), which we believe has provided us with increased flexibility in the end-to-end management of our insurance program. There can be no assurance that IFM will continue to bring about the intended benefits or </w:t>
      </w:r>
      <w:r>
        <w:rPr>
          <w:rFonts w:ascii="Arial" w:eastAsia="Times New Roman" w:hAnsi="Arial" w:cs="Arial"/>
          <w:color w:val="000000"/>
          <w:sz w:val="20"/>
          <w:szCs w:val="20"/>
        </w:rPr>
        <w:t xml:space="preserve">the desired flexibility in the management of our insurance programs, because we may experience unanticipated events that could reduce or eliminate expected benefits. </w:t>
      </w:r>
    </w:p>
    <w:p w:rsidR="00000000" w:rsidRDefault="00485CCD">
      <w:pPr>
        <w:jc w:val="both"/>
        <w:divId w:val="1539006341"/>
        <w:rPr>
          <w:rFonts w:eastAsia="Times New Roman"/>
        </w:rPr>
      </w:pPr>
    </w:p>
    <w:p w:rsidR="00000000" w:rsidRDefault="00485CCD">
      <w:pPr>
        <w:jc w:val="center"/>
        <w:divId w:val="256990056"/>
        <w:rPr>
          <w:rFonts w:eastAsia="Times New Roman"/>
        </w:rPr>
      </w:pPr>
      <w:r>
        <w:rPr>
          <w:rFonts w:ascii="Arial" w:eastAsia="Times New Roman" w:hAnsi="Arial" w:cs="Arial"/>
          <w:color w:val="000000"/>
          <w:sz w:val="20"/>
          <w:szCs w:val="20"/>
        </w:rPr>
        <w:t>13</w:t>
      </w:r>
    </w:p>
    <w:p w:rsidR="00000000" w:rsidRDefault="00485CCD">
      <w:pPr>
        <w:rPr>
          <w:rFonts w:eastAsia="Times New Roman"/>
        </w:rPr>
      </w:pPr>
      <w:r>
        <w:rPr>
          <w:rFonts w:eastAsia="Times New Roman"/>
        </w:rPr>
        <w:pict>
          <v:rect id="_x0000_i1048" style="width:0;height:1.5pt" o:hralign="center" o:hrstd="t" o:hr="t" fillcolor="#a0a0a0" stroked="f"/>
        </w:pict>
      </w:r>
    </w:p>
    <w:p w:rsidR="00000000" w:rsidRDefault="00485CCD">
      <w:pPr>
        <w:divId w:val="1459690520"/>
        <w:rPr>
          <w:rFonts w:eastAsia="Times New Roman"/>
        </w:rPr>
      </w:pPr>
    </w:p>
    <w:p w:rsidR="00000000" w:rsidRDefault="00485CCD">
      <w:pPr>
        <w:jc w:val="both"/>
        <w:divId w:val="981155713"/>
        <w:rPr>
          <w:rFonts w:eastAsia="Times New Roman"/>
        </w:rPr>
      </w:pPr>
      <w:r>
        <w:rPr>
          <w:rFonts w:ascii="Arial" w:eastAsia="Times New Roman" w:hAnsi="Arial" w:cs="Arial"/>
          <w:b/>
          <w:bCs/>
          <w:i/>
          <w:iCs/>
          <w:color w:val="0046AD"/>
          <w:sz w:val="20"/>
          <w:szCs w:val="20"/>
        </w:rPr>
        <w:t>Our risk management and safety programs may no</w:t>
      </w:r>
      <w:r>
        <w:rPr>
          <w:rFonts w:ascii="Arial" w:eastAsia="Times New Roman" w:hAnsi="Arial" w:cs="Arial"/>
          <w:b/>
          <w:bCs/>
          <w:i/>
          <w:iCs/>
          <w:color w:val="0046AD"/>
          <w:sz w:val="20"/>
          <w:szCs w:val="20"/>
        </w:rPr>
        <w:t>t have the intended effect of reducing our liability for personal injury or property loss.</w:t>
      </w:r>
    </w:p>
    <w:p w:rsidR="00000000" w:rsidRDefault="00485CCD">
      <w:pPr>
        <w:ind w:firstLine="720"/>
        <w:jc w:val="both"/>
        <w:divId w:val="1663240231"/>
        <w:rPr>
          <w:rFonts w:eastAsia="Times New Roman"/>
        </w:rPr>
      </w:pPr>
      <w:r>
        <w:rPr>
          <w:rFonts w:ascii="Arial" w:eastAsia="Times New Roman" w:hAnsi="Arial" w:cs="Arial"/>
          <w:color w:val="000000"/>
          <w:sz w:val="20"/>
          <w:szCs w:val="20"/>
        </w:rPr>
        <w:t>We attempt to mitigate risks relating to personal injury or property loss through the implementation of company-wide safety and loss control efforts designed to decr</w:t>
      </w:r>
      <w:r>
        <w:rPr>
          <w:rFonts w:ascii="Arial" w:eastAsia="Times New Roman" w:hAnsi="Arial" w:cs="Arial"/>
          <w:color w:val="000000"/>
          <w:sz w:val="20"/>
          <w:szCs w:val="20"/>
        </w:rPr>
        <w:t>ease the incidence of accidents or events that might increase our liability. It is expected that any such decrease could also have the effect of reducing our insurance costs for our casualty programs. However, incidents involving personal injury or propert</w:t>
      </w:r>
      <w:r>
        <w:rPr>
          <w:rFonts w:ascii="Arial" w:eastAsia="Times New Roman" w:hAnsi="Arial" w:cs="Arial"/>
          <w:color w:val="000000"/>
          <w:sz w:val="20"/>
          <w:szCs w:val="20"/>
        </w:rPr>
        <w:t>y loss may be caused by multiple potential factors, a significant number of which are beyond our control. Therefore, there can be no assurance that our risk management and safety programs will have the desired effect of controlling costs and liability expo</w:t>
      </w:r>
      <w:r>
        <w:rPr>
          <w:rFonts w:ascii="Arial" w:eastAsia="Times New Roman" w:hAnsi="Arial" w:cs="Arial"/>
          <w:color w:val="000000"/>
          <w:sz w:val="20"/>
          <w:szCs w:val="20"/>
        </w:rPr>
        <w:t>sure.</w:t>
      </w:r>
    </w:p>
    <w:p w:rsidR="00000000" w:rsidRDefault="00485CCD">
      <w:pPr>
        <w:divId w:val="1007446081"/>
        <w:rPr>
          <w:rFonts w:eastAsia="Times New Roman"/>
        </w:rPr>
      </w:pPr>
      <w:r>
        <w:rPr>
          <w:rFonts w:ascii="Arial" w:eastAsia="Times New Roman" w:hAnsi="Arial" w:cs="Arial"/>
          <w:b/>
          <w:bCs/>
          <w:color w:val="0046AD"/>
          <w:sz w:val="20"/>
          <w:szCs w:val="20"/>
        </w:rPr>
        <w:t>Risks Relating to Information Technology and Cybersecurity</w:t>
      </w:r>
    </w:p>
    <w:p w:rsidR="00000000" w:rsidRDefault="00485CCD">
      <w:pPr>
        <w:jc w:val="both"/>
        <w:divId w:val="903838857"/>
        <w:rPr>
          <w:rFonts w:eastAsia="Times New Roman"/>
        </w:rPr>
      </w:pPr>
      <w:r>
        <w:rPr>
          <w:rFonts w:ascii="Arial" w:eastAsia="Times New Roman" w:hAnsi="Arial" w:cs="Arial"/>
          <w:b/>
          <w:bCs/>
          <w:i/>
          <w:iCs/>
          <w:color w:val="0046AD"/>
          <w:sz w:val="20"/>
          <w:szCs w:val="20"/>
        </w:rPr>
        <w:t>We may experience breaches of, or disruptions to, our information technology systems or those of our third-party providers or clients, or other compromises of our data that could adversely af</w:t>
      </w:r>
      <w:r>
        <w:rPr>
          <w:rFonts w:ascii="Arial" w:eastAsia="Times New Roman" w:hAnsi="Arial" w:cs="Arial"/>
          <w:b/>
          <w:bCs/>
          <w:i/>
          <w:iCs/>
          <w:color w:val="0046AD"/>
          <w:sz w:val="20"/>
          <w:szCs w:val="20"/>
        </w:rPr>
        <w:t xml:space="preserve">fect our business. </w:t>
      </w:r>
    </w:p>
    <w:p w:rsidR="00000000" w:rsidRDefault="00485CCD">
      <w:pPr>
        <w:ind w:firstLine="720"/>
        <w:jc w:val="both"/>
        <w:divId w:val="1045174395"/>
        <w:rPr>
          <w:rFonts w:eastAsia="Times New Roman"/>
        </w:rPr>
      </w:pPr>
      <w:r>
        <w:rPr>
          <w:rFonts w:ascii="Arial" w:eastAsia="Times New Roman" w:hAnsi="Arial" w:cs="Arial"/>
          <w:color w:val="000000"/>
          <w:sz w:val="20"/>
          <w:szCs w:val="20"/>
        </w:rPr>
        <w:t xml:space="preserve">Our information technology systems and those of our third-party providers or clients could be the target of cyberattacks, ransomware attacks, hacking, unauthorized access, phishing, computer viruses, malware, or other intrusions, which </w:t>
      </w:r>
      <w:r>
        <w:rPr>
          <w:rFonts w:ascii="Arial" w:eastAsia="Times New Roman" w:hAnsi="Arial" w:cs="Arial"/>
          <w:color w:val="000000"/>
          <w:sz w:val="20"/>
          <w:szCs w:val="20"/>
        </w:rPr>
        <w:t>could result in operational disruptions or information misappropriation, such as theft of intellectual property or inappropriate disclosure of confidential, proprietary, or personal information. We maintain confidential, proprietary, and personal informati</w:t>
      </w:r>
      <w:r>
        <w:rPr>
          <w:rFonts w:ascii="Arial" w:eastAsia="Times New Roman" w:hAnsi="Arial" w:cs="Arial"/>
          <w:color w:val="000000"/>
          <w:sz w:val="20"/>
          <w:szCs w:val="20"/>
        </w:rPr>
        <w:t>on in our information technology systems and in systems of third-party providers relating to our current, former, and prospective employees, clients, and other third parties. We have experienced certain data and security breaches in the past and could expe</w:t>
      </w:r>
      <w:r>
        <w:rPr>
          <w:rFonts w:ascii="Arial" w:eastAsia="Times New Roman" w:hAnsi="Arial" w:cs="Arial"/>
          <w:color w:val="000000"/>
          <w:sz w:val="20"/>
          <w:szCs w:val="20"/>
        </w:rPr>
        <w:t>rience future data or security breaches stemming from the intentional or negligent acts of our employees or other third parties. Furthermore, while we continue to devote significant resources to monitoring and updating our systems and implementing informat</w:t>
      </w:r>
      <w:r>
        <w:rPr>
          <w:rFonts w:ascii="Arial" w:eastAsia="Times New Roman" w:hAnsi="Arial" w:cs="Arial"/>
          <w:color w:val="000000"/>
          <w:sz w:val="20"/>
          <w:szCs w:val="20"/>
        </w:rPr>
        <w:t>ion security measures to protect our systems, there can be no assurance that the controls and procedures we have in place will be sufficient to protect us from future security breaches. As cyber threats are continually evolving, our controls and procedures</w:t>
      </w:r>
      <w:r>
        <w:rPr>
          <w:rFonts w:ascii="Arial" w:eastAsia="Times New Roman" w:hAnsi="Arial" w:cs="Arial"/>
          <w:color w:val="000000"/>
          <w:sz w:val="20"/>
          <w:szCs w:val="20"/>
        </w:rPr>
        <w:t xml:space="preserve"> may become inadequate and we may be required to devote additional resources to modifying or enhancing our systems in the future. We may also be required to expend resources to remediate cyber-related incidents or to enhance and strengthen our cybersecurit</w:t>
      </w:r>
      <w:r>
        <w:rPr>
          <w:rFonts w:ascii="Arial" w:eastAsia="Times New Roman" w:hAnsi="Arial" w:cs="Arial"/>
          <w:color w:val="000000"/>
          <w:sz w:val="20"/>
          <w:szCs w:val="20"/>
        </w:rPr>
        <w:t xml:space="preserve">y. </w:t>
      </w:r>
    </w:p>
    <w:p w:rsidR="00000000" w:rsidRDefault="00485CCD">
      <w:pPr>
        <w:ind w:firstLine="720"/>
        <w:jc w:val="both"/>
        <w:divId w:val="911504148"/>
        <w:rPr>
          <w:rFonts w:eastAsia="Times New Roman"/>
        </w:rPr>
      </w:pPr>
      <w:r>
        <w:rPr>
          <w:rFonts w:ascii="Arial" w:eastAsia="Times New Roman" w:hAnsi="Arial" w:cs="Arial"/>
          <w:color w:val="000000"/>
          <w:sz w:val="20"/>
          <w:szCs w:val="20"/>
        </w:rPr>
        <w:t>Any such disruptions to our information technology systems, breaches or compromises of data, and/or misappropriation of information could result in lost sales, negative publicity, litigation, violations of privacy and other laws, or business delays tha</w:t>
      </w:r>
      <w:r>
        <w:rPr>
          <w:rFonts w:ascii="Arial" w:eastAsia="Times New Roman" w:hAnsi="Arial" w:cs="Arial"/>
          <w:color w:val="000000"/>
          <w:sz w:val="20"/>
          <w:szCs w:val="20"/>
        </w:rPr>
        <w:t>t could have a material adverse effect on our business. Additionally, we believe that along with the GDPR and the California Consumer Privacy Act, which went into effect on January 1, 2020, further increased regulation is likely in the area of data privacy</w:t>
      </w:r>
      <w:r>
        <w:rPr>
          <w:rFonts w:ascii="Arial" w:eastAsia="Times New Roman" w:hAnsi="Arial" w:cs="Arial"/>
          <w:color w:val="000000"/>
          <w:sz w:val="20"/>
          <w:szCs w:val="20"/>
        </w:rPr>
        <w:t>. Compliance with this rapidly expanding area of law will require significant management and financial resources, and we could be subjected to additional legal risk or financial losses if we are not in compliance. This expanding area of law may also lead t</w:t>
      </w:r>
      <w:r>
        <w:rPr>
          <w:rFonts w:ascii="Arial" w:eastAsia="Times New Roman" w:hAnsi="Arial" w:cs="Arial"/>
          <w:color w:val="000000"/>
          <w:sz w:val="20"/>
          <w:szCs w:val="20"/>
        </w:rPr>
        <w:t>o potentially significant additional claims, including class action claims, being alleged against us.</w:t>
      </w:r>
    </w:p>
    <w:p w:rsidR="00000000" w:rsidRDefault="00485CCD">
      <w:pPr>
        <w:jc w:val="both"/>
        <w:divId w:val="1662545474"/>
        <w:rPr>
          <w:rFonts w:eastAsia="Times New Roman"/>
        </w:rPr>
      </w:pPr>
      <w:r>
        <w:rPr>
          <w:rFonts w:ascii="Arial" w:eastAsia="Times New Roman" w:hAnsi="Arial" w:cs="Arial"/>
          <w:b/>
          <w:bCs/>
          <w:color w:val="0046AD"/>
          <w:sz w:val="20"/>
          <w:szCs w:val="20"/>
        </w:rPr>
        <w:t>Risks Relating to Labor, Legal Proceedings, Tax, and Regulatory Matters</w:t>
      </w:r>
    </w:p>
    <w:p w:rsidR="00000000" w:rsidRDefault="00485CCD">
      <w:pPr>
        <w:jc w:val="both"/>
        <w:divId w:val="2042897442"/>
        <w:rPr>
          <w:rFonts w:eastAsia="Times New Roman"/>
        </w:rPr>
      </w:pPr>
      <w:r>
        <w:rPr>
          <w:rFonts w:ascii="Arial" w:eastAsia="Times New Roman" w:hAnsi="Arial" w:cs="Arial"/>
          <w:b/>
          <w:bCs/>
          <w:i/>
          <w:iCs/>
          <w:color w:val="0046AD"/>
          <w:sz w:val="20"/>
          <w:szCs w:val="20"/>
        </w:rPr>
        <w:t>Unfavorable developments in our class and representative actions and other lawsuit</w:t>
      </w:r>
      <w:r>
        <w:rPr>
          <w:rFonts w:ascii="Arial" w:eastAsia="Times New Roman" w:hAnsi="Arial" w:cs="Arial"/>
          <w:b/>
          <w:bCs/>
          <w:i/>
          <w:iCs/>
          <w:color w:val="0046AD"/>
          <w:sz w:val="20"/>
          <w:szCs w:val="20"/>
        </w:rPr>
        <w:t xml:space="preserve">s alleging various claims could cause us to incur substantial liabilities. </w:t>
      </w:r>
    </w:p>
    <w:p w:rsidR="00000000" w:rsidRDefault="00485CCD">
      <w:pPr>
        <w:ind w:firstLine="720"/>
        <w:jc w:val="both"/>
        <w:divId w:val="1344012447"/>
        <w:rPr>
          <w:rFonts w:eastAsia="Times New Roman"/>
        </w:rPr>
      </w:pPr>
      <w:r>
        <w:rPr>
          <w:rFonts w:ascii="Arial" w:eastAsia="Times New Roman" w:hAnsi="Arial" w:cs="Arial"/>
          <w:color w:val="000000"/>
          <w:sz w:val="20"/>
          <w:szCs w:val="20"/>
        </w:rPr>
        <w:t>Our business involves employing tens of thousands of employees, many of whom work at our clients’ facilities. We incur risks relating to our employment of these workers, including,</w:t>
      </w:r>
      <w:r>
        <w:rPr>
          <w:rFonts w:ascii="Arial" w:eastAsia="Times New Roman" w:hAnsi="Arial" w:cs="Arial"/>
          <w:color w:val="000000"/>
          <w:sz w:val="20"/>
          <w:szCs w:val="20"/>
        </w:rPr>
        <w:t xml:space="preserve"> but not limited to: claims by our employees of discrimination, harassment, violations of wage and hour requirements, or violations of other federal, state, or local laws; claims of misconduct or negligence on the part of our employees; and claims related </w:t>
      </w:r>
      <w:r>
        <w:rPr>
          <w:rFonts w:ascii="Arial" w:eastAsia="Times New Roman" w:hAnsi="Arial" w:cs="Arial"/>
          <w:color w:val="000000"/>
          <w:sz w:val="20"/>
          <w:szCs w:val="20"/>
        </w:rPr>
        <w:t>to the employment of unlicensed personnel. We also incur risks and claims related to the imposition on our employees of policies or practices of our clients that may be different from our own. Some or all of these claims may lead to litigation, including c</w:t>
      </w:r>
      <w:r>
        <w:rPr>
          <w:rFonts w:ascii="Arial" w:eastAsia="Times New Roman" w:hAnsi="Arial" w:cs="Arial"/>
          <w:color w:val="000000"/>
          <w:sz w:val="20"/>
          <w:szCs w:val="20"/>
        </w:rPr>
        <w:t>lass action litigation, and these matters may cause us to incur negative publicity with respect to alleged claims. Additionally, there are risks to all employers in some states, such as California, resulting from new and unanticipated judicial interpretati</w:t>
      </w:r>
      <w:r>
        <w:rPr>
          <w:rFonts w:ascii="Arial" w:eastAsia="Times New Roman" w:hAnsi="Arial" w:cs="Arial"/>
          <w:color w:val="000000"/>
          <w:sz w:val="20"/>
          <w:szCs w:val="20"/>
        </w:rPr>
        <w:t>ons of existing laws and the application of those new interpretations against employers on a retroactive basis. It is not possible to predict the outcome of these lawsuits or any other proceeding, and our insurance may not cover all claims that may be asse</w:t>
      </w:r>
      <w:r>
        <w:rPr>
          <w:rFonts w:ascii="Arial" w:eastAsia="Times New Roman" w:hAnsi="Arial" w:cs="Arial"/>
          <w:color w:val="000000"/>
          <w:sz w:val="20"/>
          <w:szCs w:val="20"/>
        </w:rPr>
        <w:t xml:space="preserve">rted against us. These lawsuits and other proceedings may consume substantial amounts of our financial and managerial resources. An unfavorable outcome with respect to current lawsuits, including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case described in Note 13, “Commitments and Contin</w:t>
      </w:r>
      <w:r>
        <w:rPr>
          <w:rFonts w:ascii="Arial" w:eastAsia="Times New Roman" w:hAnsi="Arial" w:cs="Arial"/>
          <w:color w:val="000000"/>
          <w:sz w:val="20"/>
          <w:szCs w:val="20"/>
        </w:rPr>
        <w:t>gencies,” in the Notes to consolidated financial statements (included in Part II., Item 8 of this Form 10-K), and any future lawsuits may, individually or in the aggregate, cause us to incur substantial liabilities that could have a material adverse effect</w:t>
      </w:r>
      <w:r>
        <w:rPr>
          <w:rFonts w:ascii="Arial" w:eastAsia="Times New Roman" w:hAnsi="Arial" w:cs="Arial"/>
          <w:color w:val="000000"/>
          <w:sz w:val="20"/>
          <w:szCs w:val="20"/>
        </w:rPr>
        <w:t xml:space="preserve"> upon our business, reputation, financial condition, results of operations, or cash flows. </w:t>
      </w:r>
    </w:p>
    <w:p w:rsidR="00000000" w:rsidRDefault="00485CCD">
      <w:pPr>
        <w:jc w:val="center"/>
        <w:divId w:val="1715352323"/>
        <w:rPr>
          <w:rFonts w:eastAsia="Times New Roman"/>
        </w:rPr>
      </w:pPr>
      <w:r>
        <w:rPr>
          <w:rFonts w:ascii="Arial" w:eastAsia="Times New Roman" w:hAnsi="Arial" w:cs="Arial"/>
          <w:color w:val="000000"/>
          <w:sz w:val="20"/>
          <w:szCs w:val="20"/>
        </w:rPr>
        <w:t>14</w:t>
      </w:r>
    </w:p>
    <w:p w:rsidR="00000000" w:rsidRDefault="00485CCD">
      <w:pPr>
        <w:rPr>
          <w:rFonts w:eastAsia="Times New Roman"/>
        </w:rPr>
      </w:pPr>
      <w:r>
        <w:rPr>
          <w:rFonts w:eastAsia="Times New Roman"/>
        </w:rPr>
        <w:pict>
          <v:rect id="_x0000_i1049" style="width:0;height:1.5pt" o:hralign="center" o:hrstd="t" o:hr="t" fillcolor="#a0a0a0" stroked="f"/>
        </w:pict>
      </w:r>
    </w:p>
    <w:p w:rsidR="00000000" w:rsidRDefault="00485CCD">
      <w:pPr>
        <w:divId w:val="836580608"/>
        <w:rPr>
          <w:rFonts w:eastAsia="Times New Roman"/>
        </w:rPr>
      </w:pPr>
    </w:p>
    <w:p w:rsidR="00000000" w:rsidRDefault="00485CCD">
      <w:pPr>
        <w:jc w:val="both"/>
        <w:divId w:val="884488637"/>
        <w:rPr>
          <w:rFonts w:eastAsia="Times New Roman"/>
        </w:rPr>
      </w:pPr>
      <w:r>
        <w:rPr>
          <w:rFonts w:ascii="Arial" w:eastAsia="Times New Roman" w:hAnsi="Arial" w:cs="Arial"/>
          <w:b/>
          <w:bCs/>
          <w:i/>
          <w:iCs/>
          <w:color w:val="0046AD"/>
          <w:sz w:val="20"/>
          <w:szCs w:val="20"/>
        </w:rPr>
        <w:t>A significant number of our employees are covered by collective bargaining agreements that could expose us to potential li</w:t>
      </w:r>
      <w:r>
        <w:rPr>
          <w:rFonts w:ascii="Arial" w:eastAsia="Times New Roman" w:hAnsi="Arial" w:cs="Arial"/>
          <w:b/>
          <w:bCs/>
          <w:i/>
          <w:iCs/>
          <w:color w:val="0046AD"/>
          <w:sz w:val="20"/>
          <w:szCs w:val="20"/>
        </w:rPr>
        <w:t>abilities in relation to our participation in multiemployer pension plans, requirements to make contributions to other benefit plans, and the potential for strikes, work slowdowns or similar activities, and union organizing drives.</w:t>
      </w:r>
    </w:p>
    <w:p w:rsidR="00000000" w:rsidRDefault="00485CCD">
      <w:pPr>
        <w:ind w:firstLine="720"/>
        <w:jc w:val="both"/>
        <w:divId w:val="569315089"/>
        <w:rPr>
          <w:rFonts w:eastAsia="Times New Roman"/>
        </w:rPr>
      </w:pPr>
      <w:r>
        <w:rPr>
          <w:rFonts w:ascii="Arial" w:eastAsia="Times New Roman" w:hAnsi="Arial" w:cs="Arial"/>
          <w:color w:val="000000"/>
          <w:sz w:val="20"/>
          <w:szCs w:val="20"/>
        </w:rPr>
        <w:t xml:space="preserve">We participate in various multiemployer pension plans that provide defined pension benefits to employees covered by collective bargaining agreements. Because of the nature of multiemployer pension plans, there are risks to us associated with participation </w:t>
      </w:r>
      <w:r>
        <w:rPr>
          <w:rFonts w:ascii="Arial" w:eastAsia="Times New Roman" w:hAnsi="Arial" w:cs="Arial"/>
          <w:color w:val="000000"/>
          <w:sz w:val="20"/>
          <w:szCs w:val="20"/>
        </w:rPr>
        <w:t xml:space="preserve">in these plans that differ from single-employer plans. Assets contributed by an employer to a multiemployer pension plan are not segregated into a separate account and are not restricted to provide benefits only to employees of that contributing employer. </w:t>
      </w:r>
      <w:r>
        <w:rPr>
          <w:rFonts w:ascii="Arial" w:eastAsia="Times New Roman" w:hAnsi="Arial" w:cs="Arial"/>
          <w:color w:val="000000"/>
          <w:sz w:val="20"/>
          <w:szCs w:val="20"/>
        </w:rPr>
        <w:t>In the event another participating employer in a multiemployer pension plan no longer contributes to the plan, the unfunded obligations of the plan may be borne by the remaining participating employers, including us. In the event of the termination of a mu</w:t>
      </w:r>
      <w:r>
        <w:rPr>
          <w:rFonts w:ascii="Arial" w:eastAsia="Times New Roman" w:hAnsi="Arial" w:cs="Arial"/>
          <w:color w:val="000000"/>
          <w:sz w:val="20"/>
          <w:szCs w:val="20"/>
        </w:rPr>
        <w:t>ltiemployer pension plan or a complete or partial withdrawal from a multiemployer pension plan, under applicable law we could incur material withdrawal liabilities. We further discuss our participation in multiemployer pension and postretirement plans in N</w:t>
      </w:r>
      <w:r>
        <w:rPr>
          <w:rFonts w:ascii="Arial" w:eastAsia="Times New Roman" w:hAnsi="Arial" w:cs="Arial"/>
          <w:color w:val="000000"/>
          <w:sz w:val="20"/>
          <w:szCs w:val="20"/>
        </w:rPr>
        <w:t>ote 12, “Employee Benefit Plans,” in the Notes to consolidated financial statements. In addition, the terms of collective bargaining agreements require us to contribute to various fringe benefit plans, including health and welfare, pension, and training pl</w:t>
      </w:r>
      <w:r>
        <w:rPr>
          <w:rFonts w:ascii="Arial" w:eastAsia="Times New Roman" w:hAnsi="Arial" w:cs="Arial"/>
          <w:color w:val="000000"/>
          <w:sz w:val="20"/>
          <w:szCs w:val="20"/>
        </w:rPr>
        <w:t>ans, all of which require us to have appropriate systems in place to assure timely and accurate payment of contributions. The failure to make timely and accurate contributions as a result of a systems failure could have a negative impact on our financial p</w:t>
      </w:r>
      <w:r>
        <w:rPr>
          <w:rFonts w:ascii="Arial" w:eastAsia="Times New Roman" w:hAnsi="Arial" w:cs="Arial"/>
          <w:color w:val="000000"/>
          <w:sz w:val="20"/>
          <w:szCs w:val="20"/>
        </w:rPr>
        <w:t>osition.</w:t>
      </w:r>
    </w:p>
    <w:p w:rsidR="00000000" w:rsidRDefault="00485CCD">
      <w:pPr>
        <w:ind w:firstLine="720"/>
        <w:jc w:val="both"/>
        <w:divId w:val="113525356"/>
        <w:rPr>
          <w:rFonts w:eastAsia="Times New Roman"/>
        </w:rPr>
      </w:pPr>
      <w:r>
        <w:rPr>
          <w:rFonts w:ascii="Arial" w:eastAsia="Times New Roman" w:hAnsi="Arial" w:cs="Arial"/>
          <w:color w:val="000000"/>
          <w:sz w:val="20"/>
          <w:szCs w:val="20"/>
        </w:rPr>
        <w:t>At October 31, 2021, approximatel</w:t>
      </w:r>
      <w:r>
        <w:rPr>
          <w:rFonts w:ascii="Arial" w:eastAsia="Times New Roman" w:hAnsi="Arial" w:cs="Arial"/>
          <w:color w:val="000000"/>
          <w:sz w:val="20"/>
          <w:szCs w:val="20"/>
          <w:shd w:val="clear" w:color="auto" w:fill="FFFFFF"/>
        </w:rPr>
        <w:t>y</w:t>
      </w:r>
      <w:r>
        <w:rPr>
          <w:rFonts w:ascii="Arial" w:eastAsia="Times New Roman" w:hAnsi="Arial" w:cs="Arial"/>
          <w:color w:val="000000"/>
          <w:sz w:val="20"/>
          <w:szCs w:val="20"/>
        </w:rPr>
        <w:t xml:space="preserve"> 35% of our employees were subject to various local collective bargaining agreements, some of which will expire or become subject to renegotiation during 2022. In addition, at any given time we may face union orga</w:t>
      </w:r>
      <w:r>
        <w:rPr>
          <w:rFonts w:ascii="Arial" w:eastAsia="Times New Roman" w:hAnsi="Arial" w:cs="Arial"/>
          <w:color w:val="000000"/>
          <w:sz w:val="20"/>
          <w:szCs w:val="20"/>
        </w:rPr>
        <w:t xml:space="preserve">nizing activity. When one or more of our major collective bargaining agreements becomes subject to renegotiation or when we face union organizing drives, any disagreement between us and the union on important issues may lead to a strike, work slowdown, or </w:t>
      </w:r>
      <w:r>
        <w:rPr>
          <w:rFonts w:ascii="Arial" w:eastAsia="Times New Roman" w:hAnsi="Arial" w:cs="Arial"/>
          <w:color w:val="000000"/>
          <w:sz w:val="20"/>
          <w:szCs w:val="20"/>
        </w:rPr>
        <w:t>other job actions at one or more of our locations. In a market where we are unionized but competitors are not unionized, we could lose clients to such competitors. A strike, work slowdown, or other job action could disrupt our services, resulting in reduce</w:t>
      </w:r>
      <w:r>
        <w:rPr>
          <w:rFonts w:ascii="Arial" w:eastAsia="Times New Roman" w:hAnsi="Arial" w:cs="Arial"/>
          <w:color w:val="000000"/>
          <w:sz w:val="20"/>
          <w:szCs w:val="20"/>
        </w:rPr>
        <w:t>d revenues or contract cancellations. Moreover, negotiating a first time collective bargaining agreement or renegotiating an existing agreement could result in a substantial increase in labor and benefits expenses that we may be unable to pass through to c</w:t>
      </w:r>
      <w:r>
        <w:rPr>
          <w:rFonts w:ascii="Arial" w:eastAsia="Times New Roman" w:hAnsi="Arial" w:cs="Arial"/>
          <w:color w:val="000000"/>
          <w:sz w:val="20"/>
          <w:szCs w:val="20"/>
        </w:rPr>
        <w:t>lients.</w:t>
      </w:r>
    </w:p>
    <w:p w:rsidR="00000000" w:rsidRDefault="00485CCD">
      <w:pPr>
        <w:jc w:val="both"/>
        <w:divId w:val="1286691771"/>
        <w:rPr>
          <w:rFonts w:eastAsia="Times New Roman"/>
        </w:rPr>
      </w:pPr>
      <w:r>
        <w:rPr>
          <w:rFonts w:ascii="Arial" w:eastAsia="Times New Roman" w:hAnsi="Arial" w:cs="Arial"/>
          <w:b/>
          <w:bCs/>
          <w:i/>
          <w:iCs/>
          <w:color w:val="0046AD"/>
          <w:sz w:val="20"/>
          <w:szCs w:val="20"/>
        </w:rPr>
        <w:t>Our business may be materially affected by changes to fiscal and tax policies. Negative or unexpected tax consequences could adversely affect our results of operations.</w:t>
      </w:r>
    </w:p>
    <w:p w:rsidR="00000000" w:rsidRDefault="00485CCD">
      <w:pPr>
        <w:ind w:firstLine="720"/>
        <w:jc w:val="both"/>
        <w:divId w:val="1145513969"/>
        <w:rPr>
          <w:rFonts w:eastAsia="Times New Roman"/>
        </w:rPr>
      </w:pPr>
      <w:r>
        <w:rPr>
          <w:rFonts w:ascii="Arial" w:eastAsia="Times New Roman" w:hAnsi="Arial" w:cs="Arial"/>
          <w:color w:val="000000"/>
          <w:sz w:val="20"/>
          <w:szCs w:val="20"/>
        </w:rPr>
        <w:t>We are subject to a variety of taxes and tax collection and remittance obligati</w:t>
      </w:r>
      <w:r>
        <w:rPr>
          <w:rFonts w:ascii="Arial" w:eastAsia="Times New Roman" w:hAnsi="Arial" w:cs="Arial"/>
          <w:color w:val="000000"/>
          <w:sz w:val="20"/>
          <w:szCs w:val="20"/>
        </w:rPr>
        <w:t>ons in the United States and foreign jurisdictions, primarily the United Kingdom. We compute our income tax provision based on enacted tax rates in the jurisdictions in which we operate. As tax rates vary among taxing jurisdictions, a change in earnings at</w:t>
      </w:r>
      <w:r>
        <w:rPr>
          <w:rFonts w:ascii="Arial" w:eastAsia="Times New Roman" w:hAnsi="Arial" w:cs="Arial"/>
          <w:color w:val="000000"/>
          <w:sz w:val="20"/>
          <w:szCs w:val="20"/>
        </w:rPr>
        <w:t>tributable to the various jurisdictions in which we operate could result in an unfavorable change in our overall tax provision. Additionally, at any point in time, we may be under examination for income-based, sales-based, payroll, or other non-income taxe</w:t>
      </w:r>
      <w:r>
        <w:rPr>
          <w:rFonts w:ascii="Arial" w:eastAsia="Times New Roman" w:hAnsi="Arial" w:cs="Arial"/>
          <w:color w:val="000000"/>
          <w:sz w:val="20"/>
          <w:szCs w:val="20"/>
        </w:rPr>
        <w:t>s. We regularly assess the likelihood of adverse outcomes resulting from these audits to determine the adequacy of our provision for income taxes. We may recognize additional tax expense, be subject to additional tax liabilities, or incur losses and penalt</w:t>
      </w:r>
      <w:r>
        <w:rPr>
          <w:rFonts w:ascii="Arial" w:eastAsia="Times New Roman" w:hAnsi="Arial" w:cs="Arial"/>
          <w:color w:val="000000"/>
          <w:sz w:val="20"/>
          <w:szCs w:val="20"/>
        </w:rPr>
        <w:t xml:space="preserve">ies due to adverse outcomes in tax audits or changes in laws, regulations, administrative practices, principles, assessments by authorities, and interpretations related to tax laws, including tax rules in various jurisdictions, which could have an adverse </w:t>
      </w:r>
      <w:r>
        <w:rPr>
          <w:rFonts w:ascii="Arial" w:eastAsia="Times New Roman" w:hAnsi="Arial" w:cs="Arial"/>
          <w:color w:val="000000"/>
          <w:sz w:val="20"/>
          <w:szCs w:val="20"/>
        </w:rPr>
        <w:t>effect on our operating results and financial condition.</w:t>
      </w:r>
    </w:p>
    <w:p w:rsidR="00000000" w:rsidRDefault="00485CCD">
      <w:pPr>
        <w:jc w:val="both"/>
        <w:divId w:val="1705253818"/>
        <w:rPr>
          <w:rFonts w:eastAsia="Times New Roman"/>
        </w:rPr>
      </w:pPr>
      <w:r>
        <w:rPr>
          <w:rFonts w:ascii="Arial" w:eastAsia="Times New Roman" w:hAnsi="Arial" w:cs="Arial"/>
          <w:b/>
          <w:bCs/>
          <w:color w:val="0046AD"/>
          <w:sz w:val="20"/>
          <w:szCs w:val="20"/>
        </w:rPr>
        <w:t>Risks Relating to Market and Economic Conditions</w:t>
      </w:r>
    </w:p>
    <w:p w:rsidR="00000000" w:rsidRDefault="00485CCD">
      <w:pPr>
        <w:jc w:val="both"/>
        <w:divId w:val="1276599245"/>
        <w:rPr>
          <w:rFonts w:eastAsia="Times New Roman"/>
        </w:rPr>
      </w:pPr>
      <w:r>
        <w:rPr>
          <w:rFonts w:ascii="Arial" w:eastAsia="Times New Roman" w:hAnsi="Arial" w:cs="Arial"/>
          <w:b/>
          <w:bCs/>
          <w:i/>
          <w:iCs/>
          <w:color w:val="0046AD"/>
          <w:sz w:val="20"/>
          <w:szCs w:val="20"/>
        </w:rPr>
        <w:t>Changes in general economic conditions, such as changes in energy prices, government regulations, or consumer preferences, could reduce the demand for</w:t>
      </w:r>
      <w:r>
        <w:rPr>
          <w:rFonts w:ascii="Arial" w:eastAsia="Times New Roman" w:hAnsi="Arial" w:cs="Arial"/>
          <w:b/>
          <w:bCs/>
          <w:i/>
          <w:iCs/>
          <w:color w:val="0046AD"/>
          <w:sz w:val="20"/>
          <w:szCs w:val="20"/>
        </w:rPr>
        <w:t xml:space="preserve"> facility services and, as a result, reduce our earnings and adversely affect our financial condition. </w:t>
      </w:r>
    </w:p>
    <w:p w:rsidR="00000000" w:rsidRDefault="00485CCD">
      <w:pPr>
        <w:ind w:firstLine="720"/>
        <w:jc w:val="both"/>
        <w:divId w:val="1904834463"/>
        <w:rPr>
          <w:rFonts w:eastAsia="Times New Roman"/>
        </w:rPr>
      </w:pPr>
      <w:r>
        <w:rPr>
          <w:rFonts w:ascii="Arial" w:eastAsia="Times New Roman" w:hAnsi="Arial" w:cs="Arial"/>
          <w:color w:val="000000"/>
          <w:sz w:val="20"/>
          <w:szCs w:val="20"/>
        </w:rPr>
        <w:t>In certain geographic areas and service lines, our most profitable revenues are related to supplemental services requested by clients outside of the sta</w:t>
      </w:r>
      <w:r>
        <w:rPr>
          <w:rFonts w:ascii="Arial" w:eastAsia="Times New Roman" w:hAnsi="Arial" w:cs="Arial"/>
          <w:color w:val="000000"/>
          <w:sz w:val="20"/>
          <w:szCs w:val="20"/>
        </w:rPr>
        <w:t xml:space="preserve">ndard service specification (“work orders”). This contract type is commonly used in janitorial services and includes cleanup after tenant moves, construction cleanup, flood cleanup, and snow removal. A continuing decline in occupancy rates could result in </w:t>
      </w:r>
      <w:r>
        <w:rPr>
          <w:rFonts w:ascii="Arial" w:eastAsia="Times New Roman" w:hAnsi="Arial" w:cs="Arial"/>
          <w:color w:val="000000"/>
          <w:sz w:val="20"/>
          <w:szCs w:val="20"/>
        </w:rPr>
        <w:t>a decline in scope of work, including work orders, and depressed prices for our services. Slow domestic and international economic growth or other negative changes in global, national, and local economic conditions could have a negative impact on our busin</w:t>
      </w:r>
      <w:r>
        <w:rPr>
          <w:rFonts w:ascii="Arial" w:eastAsia="Times New Roman" w:hAnsi="Arial" w:cs="Arial"/>
          <w:color w:val="000000"/>
          <w:sz w:val="20"/>
          <w:szCs w:val="20"/>
        </w:rPr>
        <w:t xml:space="preserve">ess. Specifically, adverse economic conditions may result in clients cutting back on discretionary spending. Additionally, since a significant portion of our aviation services and parking revenues are tied to the volume of airline passengers, </w:t>
      </w:r>
    </w:p>
    <w:p w:rsidR="00000000" w:rsidRDefault="00485CCD">
      <w:pPr>
        <w:jc w:val="center"/>
        <w:divId w:val="706296828"/>
        <w:rPr>
          <w:rFonts w:eastAsia="Times New Roman"/>
        </w:rPr>
      </w:pPr>
      <w:r>
        <w:rPr>
          <w:rFonts w:ascii="Arial" w:eastAsia="Times New Roman" w:hAnsi="Arial" w:cs="Arial"/>
          <w:color w:val="000000"/>
          <w:sz w:val="20"/>
          <w:szCs w:val="20"/>
        </w:rPr>
        <w:t>15</w:t>
      </w:r>
    </w:p>
    <w:p w:rsidR="00000000" w:rsidRDefault="00485CCD">
      <w:pPr>
        <w:rPr>
          <w:rFonts w:eastAsia="Times New Roman"/>
        </w:rPr>
      </w:pPr>
      <w:r>
        <w:rPr>
          <w:rFonts w:eastAsia="Times New Roman"/>
        </w:rPr>
        <w:pict>
          <v:rect id="_x0000_i1050" style="width:0;height:1.5pt" o:hralign="center" o:hrstd="t" o:hr="t" fillcolor="#a0a0a0" stroked="f"/>
        </w:pict>
      </w:r>
    </w:p>
    <w:p w:rsidR="00000000" w:rsidRDefault="00485CCD">
      <w:pPr>
        <w:divId w:val="1158497615"/>
        <w:rPr>
          <w:rFonts w:eastAsia="Times New Roman"/>
        </w:rPr>
      </w:pPr>
    </w:p>
    <w:p w:rsidR="00000000" w:rsidRDefault="00485CCD">
      <w:pPr>
        <w:jc w:val="both"/>
        <w:divId w:val="905721826"/>
        <w:rPr>
          <w:rFonts w:eastAsia="Times New Roman"/>
        </w:rPr>
      </w:pPr>
      <w:r>
        <w:rPr>
          <w:rFonts w:ascii="Arial" w:eastAsia="Times New Roman" w:hAnsi="Arial" w:cs="Arial"/>
          <w:color w:val="000000"/>
          <w:sz w:val="20"/>
          <w:szCs w:val="20"/>
        </w:rPr>
        <w:t xml:space="preserve">hotel guests, and sports arena attendees, results for these businesses could be adversely affected by continued curtailment of business, personal travel, or discretionary spending. The use of ride sharing services and </w:t>
      </w:r>
      <w:r>
        <w:rPr>
          <w:rFonts w:ascii="Arial" w:eastAsia="Times New Roman" w:hAnsi="Arial" w:cs="Arial"/>
          <w:color w:val="000000"/>
          <w:sz w:val="20"/>
          <w:szCs w:val="20"/>
        </w:rPr>
        <w:t>car sharing services may also lead to a decline in parking demand at airports and in urban areas.</w:t>
      </w:r>
    </w:p>
    <w:p w:rsidR="00000000" w:rsidRDefault="00485CCD">
      <w:pPr>
        <w:ind w:firstLine="720"/>
        <w:jc w:val="both"/>
        <w:divId w:val="8874734"/>
        <w:rPr>
          <w:rFonts w:eastAsia="Times New Roman"/>
        </w:rPr>
      </w:pPr>
      <w:r>
        <w:rPr>
          <w:rFonts w:ascii="Arial" w:eastAsia="Times New Roman" w:hAnsi="Arial" w:cs="Arial"/>
          <w:color w:val="000000"/>
          <w:sz w:val="20"/>
          <w:szCs w:val="20"/>
        </w:rPr>
        <w:t>Energy efficiency projects are designed to reduce a client’s overall consumption of commodities, such as electricity and natural gas. As such, downward fluctu</w:t>
      </w:r>
      <w:r>
        <w:rPr>
          <w:rFonts w:ascii="Arial" w:eastAsia="Times New Roman" w:hAnsi="Arial" w:cs="Arial"/>
          <w:color w:val="000000"/>
          <w:sz w:val="20"/>
          <w:szCs w:val="20"/>
        </w:rPr>
        <w:t>ations in commodity prices may reduce client demand for those projects. We also depend, in part, on federal and state legislation and policies that support energy efficiency projects. If current legislation or policies are amended, eliminated, or not exten</w:t>
      </w:r>
      <w:r>
        <w:rPr>
          <w:rFonts w:ascii="Arial" w:eastAsia="Times New Roman" w:hAnsi="Arial" w:cs="Arial"/>
          <w:color w:val="000000"/>
          <w:sz w:val="20"/>
          <w:szCs w:val="20"/>
        </w:rPr>
        <w:t>ded beyond their current expiration dates, or if funding for energy incentives is reduced or delayed, it could also adversely affect our ability to obtain new business. In some instances, we offer certain of these clients guaranteed energy savings on insta</w:t>
      </w:r>
      <w:r>
        <w:rPr>
          <w:rFonts w:ascii="Arial" w:eastAsia="Times New Roman" w:hAnsi="Arial" w:cs="Arial"/>
          <w:color w:val="000000"/>
          <w:sz w:val="20"/>
          <w:szCs w:val="20"/>
        </w:rPr>
        <w:t>lled equipment. In the event those guaranteed savings are not achieved, we may be required to pay liquidated or other damages. All of these factors could have an adverse effect on our financial position, results of operations, and cash flows.</w:t>
      </w:r>
    </w:p>
    <w:p w:rsidR="00000000" w:rsidRDefault="00485CCD">
      <w:pPr>
        <w:jc w:val="both"/>
        <w:divId w:val="1423185437"/>
        <w:rPr>
          <w:rFonts w:eastAsia="Times New Roman"/>
        </w:rPr>
      </w:pPr>
      <w:r>
        <w:rPr>
          <w:rFonts w:ascii="Arial" w:eastAsia="Times New Roman" w:hAnsi="Arial" w:cs="Arial"/>
          <w:b/>
          <w:bCs/>
          <w:color w:val="0046AD"/>
          <w:sz w:val="20"/>
          <w:szCs w:val="20"/>
        </w:rPr>
        <w:t>Risks Relatin</w:t>
      </w:r>
      <w:r>
        <w:rPr>
          <w:rFonts w:ascii="Arial" w:eastAsia="Times New Roman" w:hAnsi="Arial" w:cs="Arial"/>
          <w:b/>
          <w:bCs/>
          <w:color w:val="0046AD"/>
          <w:sz w:val="20"/>
          <w:szCs w:val="20"/>
        </w:rPr>
        <w:t>g to Financial Matters</w:t>
      </w:r>
    </w:p>
    <w:p w:rsidR="00000000" w:rsidRDefault="00485CCD">
      <w:pPr>
        <w:jc w:val="both"/>
        <w:divId w:val="1817606520"/>
        <w:rPr>
          <w:rFonts w:eastAsia="Times New Roman"/>
        </w:rPr>
      </w:pPr>
      <w:r>
        <w:rPr>
          <w:rFonts w:ascii="Arial" w:eastAsia="Times New Roman" w:hAnsi="Arial" w:cs="Arial"/>
          <w:b/>
          <w:bCs/>
          <w:i/>
          <w:iCs/>
          <w:color w:val="0046AD"/>
          <w:sz w:val="20"/>
          <w:szCs w:val="20"/>
        </w:rPr>
        <w:t>Future increases in the level of our borrowings or in interest rates could affect our results of operations.</w:t>
      </w:r>
    </w:p>
    <w:p w:rsidR="00000000" w:rsidRDefault="00485CCD">
      <w:pPr>
        <w:ind w:firstLine="720"/>
        <w:jc w:val="both"/>
        <w:divId w:val="441994623"/>
        <w:rPr>
          <w:rFonts w:eastAsia="Times New Roman"/>
        </w:rPr>
      </w:pPr>
      <w:r>
        <w:rPr>
          <w:rFonts w:ascii="Arial" w:eastAsia="Times New Roman" w:hAnsi="Arial" w:cs="Arial"/>
          <w:color w:val="000000"/>
          <w:sz w:val="20"/>
          <w:szCs w:val="20"/>
        </w:rPr>
        <w:t xml:space="preserve">Although we have paid down portions of our indebtedness under our syndicated secured credit facility, our future ability to </w:t>
      </w:r>
      <w:r>
        <w:rPr>
          <w:rFonts w:ascii="Arial" w:eastAsia="Times New Roman" w:hAnsi="Arial" w:cs="Arial"/>
          <w:color w:val="000000"/>
          <w:sz w:val="20"/>
          <w:szCs w:val="20"/>
        </w:rPr>
        <w:t>make payments on our debt, fund our other liquidity needs, and make planned capital expenditures will depend on our ability to generate cash. Our ability to generate cash, to a certain extent, is subject to general economic, financial, competitive, and oth</w:t>
      </w:r>
      <w:r>
        <w:rPr>
          <w:rFonts w:ascii="Arial" w:eastAsia="Times New Roman" w:hAnsi="Arial" w:cs="Arial"/>
          <w:color w:val="000000"/>
          <w:sz w:val="20"/>
          <w:szCs w:val="20"/>
        </w:rPr>
        <w:t>er factors that are beyond our control. We cannot guarantee that our business will generate sufficient cash flow from our operations or that future borrowings will be available to us in an amount sufficient to enable us to make payments on our debt, fund o</w:t>
      </w:r>
      <w:r>
        <w:rPr>
          <w:rFonts w:ascii="Arial" w:eastAsia="Times New Roman" w:hAnsi="Arial" w:cs="Arial"/>
          <w:color w:val="000000"/>
          <w:sz w:val="20"/>
          <w:szCs w:val="20"/>
        </w:rPr>
        <w:t>ther liquidity needs, make planned capital expenditures, or continue our dividend.</w:t>
      </w:r>
    </w:p>
    <w:p w:rsidR="00000000" w:rsidRDefault="00485CCD">
      <w:pPr>
        <w:ind w:firstLine="720"/>
        <w:jc w:val="both"/>
        <w:divId w:val="763453280"/>
        <w:rPr>
          <w:rFonts w:eastAsia="Times New Roman"/>
        </w:rPr>
      </w:pPr>
      <w:r>
        <w:rPr>
          <w:rFonts w:ascii="Arial" w:eastAsia="Times New Roman" w:hAnsi="Arial" w:cs="Arial"/>
          <w:color w:val="000000"/>
          <w:sz w:val="20"/>
          <w:szCs w:val="20"/>
        </w:rPr>
        <w:t>The degree to which we are leveraged could have important consequences for shareholders. For example, being highly leveraged could: require us to dedicate a substantial port</w:t>
      </w:r>
      <w:r>
        <w:rPr>
          <w:rFonts w:ascii="Arial" w:eastAsia="Times New Roman" w:hAnsi="Arial" w:cs="Arial"/>
          <w:color w:val="000000"/>
          <w:sz w:val="20"/>
          <w:szCs w:val="20"/>
        </w:rPr>
        <w:t>ion of our cash flows from operations to the payment of debt service, reducing the availability of our cash flow to fund working capital, share repurchases, capital expenditures, acquisitions, and other general corporate purposes; limit our availability to</w:t>
      </w:r>
      <w:r>
        <w:rPr>
          <w:rFonts w:ascii="Arial" w:eastAsia="Times New Roman" w:hAnsi="Arial" w:cs="Arial"/>
          <w:color w:val="000000"/>
          <w:sz w:val="20"/>
          <w:szCs w:val="20"/>
        </w:rPr>
        <w:t xml:space="preserve"> obtain additional financing in the future to enable us to react to changes in our business; and place us at a competitive disadvantage compared to businesses in our industry that have less debt.</w:t>
      </w:r>
    </w:p>
    <w:p w:rsidR="00000000" w:rsidRDefault="00485CCD">
      <w:pPr>
        <w:ind w:firstLine="720"/>
        <w:jc w:val="both"/>
        <w:divId w:val="2092265527"/>
        <w:rPr>
          <w:rFonts w:eastAsia="Times New Roman"/>
        </w:rPr>
      </w:pPr>
      <w:r>
        <w:rPr>
          <w:rFonts w:ascii="Arial" w:eastAsia="Times New Roman" w:hAnsi="Arial" w:cs="Arial"/>
          <w:color w:val="000000"/>
          <w:sz w:val="20"/>
          <w:szCs w:val="20"/>
        </w:rPr>
        <w:t>Additionally, any future increase in the level of our indebt</w:t>
      </w:r>
      <w:r>
        <w:rPr>
          <w:rFonts w:ascii="Arial" w:eastAsia="Times New Roman" w:hAnsi="Arial" w:cs="Arial"/>
          <w:color w:val="000000"/>
          <w:sz w:val="20"/>
          <w:szCs w:val="20"/>
        </w:rPr>
        <w:t>edness will likely increase our interest expense, which could negatively impact our profitability. Current interest rates on borrowings under our credit facility are variable and include the use of the London Interbank Offered Rate (“LIBOR”). On March 5, 2</w:t>
      </w:r>
      <w:r>
        <w:rPr>
          <w:rFonts w:ascii="Arial" w:eastAsia="Times New Roman" w:hAnsi="Arial" w:cs="Arial"/>
          <w:color w:val="000000"/>
          <w:sz w:val="20"/>
          <w:szCs w:val="20"/>
        </w:rPr>
        <w:t>021, the U.K. Financial Conduct Authority, the regulator of LIBOR, announced that the USD LIBOR rates will no longer be published after June 30, 2023. While we expect LIBOR to be available in substantially its current form until at least the end of June 30</w:t>
      </w:r>
      <w:r>
        <w:rPr>
          <w:rFonts w:ascii="Arial" w:eastAsia="Times New Roman" w:hAnsi="Arial" w:cs="Arial"/>
          <w:color w:val="000000"/>
          <w:sz w:val="20"/>
          <w:szCs w:val="20"/>
        </w:rPr>
        <w:t xml:space="preserve">, 2023, it is possible that LIBOR will become unavailable prior to that point which may impact our credit facility and interest rate swaps. Our current credit agreement as well as our International Swaps and Derivatives Association, Inc. agreement provide </w:t>
      </w:r>
      <w:r>
        <w:rPr>
          <w:rFonts w:ascii="Arial" w:eastAsia="Times New Roman" w:hAnsi="Arial" w:cs="Arial"/>
          <w:color w:val="000000"/>
          <w:sz w:val="20"/>
          <w:szCs w:val="20"/>
        </w:rPr>
        <w:t>for any changes away from LIBOR to a successor rate to be based on prevailing or equivalent standards, however, the discontinuation, reform, or replacement of LIBOR or any other benchmark rates may result in fluctuating interest rates that may have a negat</w:t>
      </w:r>
      <w:r>
        <w:rPr>
          <w:rFonts w:ascii="Arial" w:eastAsia="Times New Roman" w:hAnsi="Arial" w:cs="Arial"/>
          <w:color w:val="000000"/>
          <w:sz w:val="20"/>
          <w:szCs w:val="20"/>
        </w:rPr>
        <w:t>ive impact on our interest expense and our profitability.</w:t>
      </w:r>
    </w:p>
    <w:p w:rsidR="00000000" w:rsidRDefault="00485CCD">
      <w:pPr>
        <w:ind w:firstLine="720"/>
        <w:jc w:val="both"/>
        <w:divId w:val="280036412"/>
        <w:rPr>
          <w:rFonts w:eastAsia="Times New Roman"/>
        </w:rPr>
      </w:pPr>
      <w:r>
        <w:rPr>
          <w:rFonts w:ascii="Arial" w:eastAsia="Times New Roman" w:hAnsi="Arial" w:cs="Arial"/>
          <w:color w:val="000000"/>
          <w:sz w:val="20"/>
          <w:szCs w:val="20"/>
        </w:rPr>
        <w:t>Further, our credit facility contains both financial covenants and other covenants that limit our ability to engage in specific transactions. Any failure to comply with covenants in the credit facil</w:t>
      </w:r>
      <w:r>
        <w:rPr>
          <w:rFonts w:ascii="Arial" w:eastAsia="Times New Roman" w:hAnsi="Arial" w:cs="Arial"/>
          <w:color w:val="000000"/>
          <w:sz w:val="20"/>
          <w:szCs w:val="20"/>
        </w:rPr>
        <w:t xml:space="preserve">ity could result in an event of default that, if not cured or waived, would have a material adverse effect on us. </w:t>
      </w:r>
    </w:p>
    <w:p w:rsidR="00000000" w:rsidRDefault="00485CCD">
      <w:pPr>
        <w:jc w:val="both"/>
        <w:divId w:val="1775321360"/>
        <w:rPr>
          <w:rFonts w:eastAsia="Times New Roman"/>
        </w:rPr>
      </w:pPr>
      <w:r>
        <w:rPr>
          <w:rFonts w:ascii="Arial" w:eastAsia="Times New Roman" w:hAnsi="Arial" w:cs="Arial"/>
          <w:b/>
          <w:bCs/>
          <w:i/>
          <w:iCs/>
          <w:color w:val="0046AD"/>
          <w:sz w:val="20"/>
          <w:szCs w:val="20"/>
        </w:rPr>
        <w:t>Impairment of goodwill and long-lived assets could have a material adverse effect on our financial condition and results of operations.</w:t>
      </w:r>
    </w:p>
    <w:p w:rsidR="00000000" w:rsidRDefault="00485CCD">
      <w:pPr>
        <w:ind w:firstLine="720"/>
        <w:jc w:val="both"/>
        <w:divId w:val="723261225"/>
        <w:rPr>
          <w:rFonts w:eastAsia="Times New Roman"/>
        </w:rPr>
      </w:pPr>
      <w:r>
        <w:rPr>
          <w:rFonts w:ascii="Arial" w:eastAsia="Times New Roman" w:hAnsi="Arial" w:cs="Arial"/>
          <w:color w:val="000000"/>
          <w:sz w:val="20"/>
          <w:szCs w:val="20"/>
        </w:rPr>
        <w:t>We ev</w:t>
      </w:r>
      <w:r>
        <w:rPr>
          <w:rFonts w:ascii="Arial" w:eastAsia="Times New Roman" w:hAnsi="Arial" w:cs="Arial"/>
          <w:color w:val="000000"/>
          <w:sz w:val="20"/>
          <w:szCs w:val="20"/>
        </w:rPr>
        <w:t>aluate goodwill for impairment annually, in the fourth quarter, or more often if impairment indicators exist. We also review long-lived assets for impairment whenever events or changes in circumstances indicate that the carrying amount of such assets may n</w:t>
      </w:r>
      <w:r>
        <w:rPr>
          <w:rFonts w:ascii="Arial" w:eastAsia="Times New Roman" w:hAnsi="Arial" w:cs="Arial"/>
          <w:color w:val="000000"/>
          <w:sz w:val="20"/>
          <w:szCs w:val="20"/>
        </w:rPr>
        <w:t>ot be recoverable. If the fair value of one of our reporting units is less than its carrying value, or if as a result of a recoverability test we conclude that the projected undiscounted cash flows are less than the carrying amount, we would record an impa</w:t>
      </w:r>
      <w:r>
        <w:rPr>
          <w:rFonts w:ascii="Arial" w:eastAsia="Times New Roman" w:hAnsi="Arial" w:cs="Arial"/>
          <w:color w:val="000000"/>
          <w:sz w:val="20"/>
          <w:szCs w:val="20"/>
        </w:rPr>
        <w:t>irment charge related to goodwill or long-lived assets, respectively. (For example, during the second quarter of 2020, given the general deterioration in economic and market conditions arising from the Pandemic, we identified a triggering event that result</w:t>
      </w:r>
      <w:r>
        <w:rPr>
          <w:rFonts w:ascii="Arial" w:eastAsia="Times New Roman" w:hAnsi="Arial" w:cs="Arial"/>
          <w:color w:val="000000"/>
          <w:sz w:val="20"/>
          <w:szCs w:val="20"/>
        </w:rPr>
        <w:t xml:space="preserve">ed in the impairment of goodwill and intangible assets.) The assumptions used to determine impairment require significant judgment, and </w:t>
      </w:r>
    </w:p>
    <w:p w:rsidR="00000000" w:rsidRDefault="00485CCD">
      <w:pPr>
        <w:jc w:val="center"/>
        <w:divId w:val="262810981"/>
        <w:rPr>
          <w:rFonts w:eastAsia="Times New Roman"/>
        </w:rPr>
      </w:pPr>
      <w:r>
        <w:rPr>
          <w:rFonts w:ascii="Arial" w:eastAsia="Times New Roman" w:hAnsi="Arial" w:cs="Arial"/>
          <w:color w:val="000000"/>
          <w:sz w:val="20"/>
          <w:szCs w:val="20"/>
        </w:rPr>
        <w:t>16</w:t>
      </w:r>
    </w:p>
    <w:p w:rsidR="00000000" w:rsidRDefault="00485CCD">
      <w:pPr>
        <w:rPr>
          <w:rFonts w:eastAsia="Times New Roman"/>
        </w:rPr>
      </w:pPr>
      <w:r>
        <w:rPr>
          <w:rFonts w:eastAsia="Times New Roman"/>
        </w:rPr>
        <w:pict>
          <v:rect id="_x0000_i1051" style="width:0;height:1.5pt" o:hralign="center" o:hrstd="t" o:hr="t" fillcolor="#a0a0a0" stroked="f"/>
        </w:pict>
      </w:r>
    </w:p>
    <w:p w:rsidR="00000000" w:rsidRDefault="00485CCD">
      <w:pPr>
        <w:divId w:val="392697193"/>
        <w:rPr>
          <w:rFonts w:eastAsia="Times New Roman"/>
        </w:rPr>
      </w:pPr>
    </w:p>
    <w:p w:rsidR="00000000" w:rsidRDefault="00485CCD">
      <w:pPr>
        <w:jc w:val="both"/>
        <w:divId w:val="1180662778"/>
        <w:rPr>
          <w:rFonts w:eastAsia="Times New Roman"/>
        </w:rPr>
      </w:pPr>
      <w:r>
        <w:rPr>
          <w:rFonts w:ascii="Arial" w:eastAsia="Times New Roman" w:hAnsi="Arial" w:cs="Arial"/>
          <w:color w:val="000000"/>
          <w:sz w:val="20"/>
          <w:szCs w:val="20"/>
        </w:rPr>
        <w:t>the amount of the impairment could have a material adverse effect on our repor</w:t>
      </w:r>
      <w:r>
        <w:rPr>
          <w:rFonts w:ascii="Arial" w:eastAsia="Times New Roman" w:hAnsi="Arial" w:cs="Arial"/>
          <w:color w:val="000000"/>
          <w:sz w:val="20"/>
          <w:szCs w:val="20"/>
        </w:rPr>
        <w:t>ted financial results for the period in which the charge is taken.</w:t>
      </w:r>
    </w:p>
    <w:p w:rsidR="00000000" w:rsidRDefault="00485CCD">
      <w:pPr>
        <w:jc w:val="both"/>
        <w:divId w:val="1457871479"/>
        <w:rPr>
          <w:rFonts w:eastAsia="Times New Roman"/>
        </w:rPr>
      </w:pPr>
      <w:r>
        <w:rPr>
          <w:rFonts w:ascii="Arial" w:eastAsia="Times New Roman" w:hAnsi="Arial" w:cs="Arial"/>
          <w:b/>
          <w:bCs/>
          <w:i/>
          <w:iCs/>
          <w:color w:val="0046AD"/>
          <w:sz w:val="20"/>
          <w:szCs w:val="20"/>
        </w:rPr>
        <w:t>If we fail to maintain proper and effective internal control over financial reporting in the future, our ability to produce accurate and timely financial statements could be negatively impa</w:t>
      </w:r>
      <w:r>
        <w:rPr>
          <w:rFonts w:ascii="Arial" w:eastAsia="Times New Roman" w:hAnsi="Arial" w:cs="Arial"/>
          <w:b/>
          <w:bCs/>
          <w:i/>
          <w:iCs/>
          <w:color w:val="0046AD"/>
          <w:sz w:val="20"/>
          <w:szCs w:val="20"/>
        </w:rPr>
        <w:t>cted, which could harm our operating results and investor perceptions of our Company and as a result may have a material adverse effect on the value of our common stock.</w:t>
      </w:r>
    </w:p>
    <w:p w:rsidR="00000000" w:rsidRDefault="00485CCD">
      <w:pPr>
        <w:ind w:firstLine="720"/>
        <w:jc w:val="both"/>
        <w:divId w:val="997727082"/>
        <w:rPr>
          <w:rFonts w:eastAsia="Times New Roman"/>
        </w:rPr>
      </w:pPr>
      <w:r>
        <w:rPr>
          <w:rFonts w:ascii="Arial" w:eastAsia="Times New Roman" w:hAnsi="Arial" w:cs="Arial"/>
          <w:color w:val="000000"/>
          <w:sz w:val="20"/>
          <w:szCs w:val="20"/>
        </w:rPr>
        <w:t>Pursuant to Section 404 of the Sarbanes-Oxley Act of 2002 and related rules, our manag</w:t>
      </w:r>
      <w:r>
        <w:rPr>
          <w:rFonts w:ascii="Arial" w:eastAsia="Times New Roman" w:hAnsi="Arial" w:cs="Arial"/>
          <w:color w:val="000000"/>
          <w:sz w:val="20"/>
          <w:szCs w:val="20"/>
        </w:rPr>
        <w:t xml:space="preserve">ement is required to report on, and our independent registered public accounting firm is required to attest to, the effectiveness of our internal control over financial reporting. The rules governing the standards that must be met for management to assess </w:t>
      </w:r>
      <w:r>
        <w:rPr>
          <w:rFonts w:ascii="Arial" w:eastAsia="Times New Roman" w:hAnsi="Arial" w:cs="Arial"/>
          <w:color w:val="000000"/>
          <w:sz w:val="20"/>
          <w:szCs w:val="20"/>
        </w:rPr>
        <w:t>our internal control over financial reporting are complex and require significant documentation, testing, and, in some instances, remediation. We have acquired entities that had no publicly traded debt or equity and therefore were not previously required t</w:t>
      </w:r>
      <w:r>
        <w:rPr>
          <w:rFonts w:ascii="Arial" w:eastAsia="Times New Roman" w:hAnsi="Arial" w:cs="Arial"/>
          <w:color w:val="000000"/>
          <w:sz w:val="20"/>
          <w:szCs w:val="20"/>
        </w:rPr>
        <w:t>o conform to the rules and regulations of the SEC, especially related to their internal control structure. When we acquire such entities, they may not have in place all the necessary controls as required by the Public Company Accounting Oversight Board. In</w:t>
      </w:r>
      <w:r>
        <w:rPr>
          <w:rFonts w:ascii="Arial" w:eastAsia="Times New Roman" w:hAnsi="Arial" w:cs="Arial"/>
          <w:color w:val="000000"/>
          <w:sz w:val="20"/>
          <w:szCs w:val="20"/>
        </w:rPr>
        <w:t>tegrating acquired entities into our internal control over financial reporting has required and will continue to require significant time and resources from our management and other personnel, which increases our compliance costs. We are required to includ</w:t>
      </w:r>
      <w:r>
        <w:rPr>
          <w:rFonts w:ascii="Arial" w:eastAsia="Times New Roman" w:hAnsi="Arial" w:cs="Arial"/>
          <w:color w:val="000000"/>
          <w:sz w:val="20"/>
          <w:szCs w:val="20"/>
        </w:rPr>
        <w:t>e our assessment of the effectiveness of the internal controls over financial reporting of entities we acquire in our overall assessment, so we must plan to complete the evaluation and integration of internal controls over financial reporting and report ou</w:t>
      </w:r>
      <w:r>
        <w:rPr>
          <w:rFonts w:ascii="Arial" w:eastAsia="Times New Roman" w:hAnsi="Arial" w:cs="Arial"/>
          <w:color w:val="000000"/>
          <w:sz w:val="20"/>
          <w:szCs w:val="20"/>
        </w:rPr>
        <w:t xml:space="preserve">r assessment within the required time frame. </w:t>
      </w:r>
    </w:p>
    <w:p w:rsidR="00000000" w:rsidRDefault="00485CCD">
      <w:pPr>
        <w:ind w:firstLine="720"/>
        <w:jc w:val="both"/>
        <w:divId w:val="988823159"/>
        <w:rPr>
          <w:rFonts w:eastAsia="Times New Roman"/>
        </w:rPr>
      </w:pPr>
      <w:r>
        <w:rPr>
          <w:rFonts w:ascii="Arial" w:eastAsia="Times New Roman" w:hAnsi="Arial" w:cs="Arial"/>
          <w:color w:val="000000"/>
          <w:sz w:val="20"/>
          <w:szCs w:val="20"/>
        </w:rPr>
        <w:t>In addition, with the increasing frequency of cyber-related frauds perpetrated to obtain inappropriate payments, we need to ensure our internal controls related to authorizing the transfer of funds and changing</w:t>
      </w:r>
      <w:r>
        <w:rPr>
          <w:rFonts w:ascii="Arial" w:eastAsia="Times New Roman" w:hAnsi="Arial" w:cs="Arial"/>
          <w:color w:val="000000"/>
          <w:sz w:val="20"/>
          <w:szCs w:val="20"/>
        </w:rPr>
        <w:t xml:space="preserve"> our vendor master files are adequate. Furthermore, the introduction of new, and changes to existing, enterprise resource planning (“ERP”) and financial reporting information systems create implementation and change management risks that require effective </w:t>
      </w:r>
      <w:r>
        <w:rPr>
          <w:rFonts w:ascii="Arial" w:eastAsia="Times New Roman" w:hAnsi="Arial" w:cs="Arial"/>
          <w:color w:val="000000"/>
          <w:sz w:val="20"/>
          <w:szCs w:val="20"/>
        </w:rPr>
        <w:t>internal controls to mitigate. Failure to maintain an effective internal control environment could have a material adverse effect on our ability to accurately report our financial results, the market’s perception of our business, and our stock price.</w:t>
      </w:r>
    </w:p>
    <w:p w:rsidR="00000000" w:rsidRDefault="00485CCD">
      <w:pPr>
        <w:divId w:val="12464930"/>
        <w:rPr>
          <w:rFonts w:eastAsia="Times New Roman"/>
        </w:rPr>
      </w:pPr>
      <w:r>
        <w:rPr>
          <w:rFonts w:ascii="Arial" w:eastAsia="Times New Roman" w:hAnsi="Arial" w:cs="Arial"/>
          <w:b/>
          <w:bCs/>
          <w:color w:val="0046AD"/>
          <w:sz w:val="20"/>
          <w:szCs w:val="20"/>
        </w:rPr>
        <w:t>Gener</w:t>
      </w:r>
      <w:r>
        <w:rPr>
          <w:rFonts w:ascii="Arial" w:eastAsia="Times New Roman" w:hAnsi="Arial" w:cs="Arial"/>
          <w:b/>
          <w:bCs/>
          <w:color w:val="0046AD"/>
          <w:sz w:val="20"/>
          <w:szCs w:val="20"/>
        </w:rPr>
        <w:t>al Risk Factors</w:t>
      </w:r>
    </w:p>
    <w:p w:rsidR="00000000" w:rsidRDefault="00485CCD">
      <w:pPr>
        <w:jc w:val="both"/>
        <w:divId w:val="738553522"/>
        <w:rPr>
          <w:rFonts w:eastAsia="Times New Roman"/>
        </w:rPr>
      </w:pPr>
      <w:r>
        <w:rPr>
          <w:rFonts w:ascii="Arial" w:eastAsia="Times New Roman" w:hAnsi="Arial" w:cs="Arial"/>
          <w:b/>
          <w:bCs/>
          <w:i/>
          <w:iCs/>
          <w:color w:val="0046AD"/>
          <w:sz w:val="20"/>
          <w:szCs w:val="20"/>
        </w:rPr>
        <w:t>Our business may be negatively impacted by adverse weather conditions.</w:t>
      </w:r>
    </w:p>
    <w:p w:rsidR="00000000" w:rsidRDefault="00485CCD">
      <w:pPr>
        <w:ind w:firstLine="720"/>
        <w:jc w:val="both"/>
        <w:divId w:val="1083987835"/>
        <w:rPr>
          <w:rFonts w:eastAsia="Times New Roman"/>
        </w:rPr>
      </w:pPr>
      <w:r>
        <w:rPr>
          <w:rFonts w:ascii="Arial" w:eastAsia="Times New Roman" w:hAnsi="Arial" w:cs="Arial"/>
          <w:color w:val="000000"/>
          <w:sz w:val="20"/>
          <w:szCs w:val="20"/>
        </w:rPr>
        <w:t>Weather conditions such as snow storms, heavy flooding, hurricanes, and fluctuations in temperatures can negatively impact portions of our business. Within our Technical</w:t>
      </w:r>
      <w:r>
        <w:rPr>
          <w:rFonts w:ascii="Arial" w:eastAsia="Times New Roman" w:hAnsi="Arial" w:cs="Arial"/>
          <w:color w:val="000000"/>
          <w:sz w:val="20"/>
          <w:szCs w:val="20"/>
        </w:rPr>
        <w:t xml:space="preserve"> Solutions segment, cooler than normal temperatures in the summer could reduce the need for servicing of air conditioning units, resulting in reduced revenues and profitability. Within Parking and Aviation services, snow can lead to reduced travel activity</w:t>
      </w:r>
      <w:r>
        <w:rPr>
          <w:rFonts w:ascii="Arial" w:eastAsia="Times New Roman" w:hAnsi="Arial" w:cs="Arial"/>
          <w:color w:val="000000"/>
          <w:sz w:val="20"/>
          <w:szCs w:val="20"/>
        </w:rPr>
        <w:t>, as well as increases in certain costs, both of which negatively affect gross profit. On the other hand, the absence of snow during the winter could cause us to experience reduced revenues in our B&amp;I segment, as many of our contracts specify additional pa</w:t>
      </w:r>
      <w:r>
        <w:rPr>
          <w:rFonts w:ascii="Arial" w:eastAsia="Times New Roman" w:hAnsi="Arial" w:cs="Arial"/>
          <w:color w:val="000000"/>
          <w:sz w:val="20"/>
          <w:szCs w:val="20"/>
        </w:rPr>
        <w:t>yments for snow-related services.</w:t>
      </w:r>
    </w:p>
    <w:p w:rsidR="00000000" w:rsidRDefault="00485CCD">
      <w:pPr>
        <w:jc w:val="both"/>
        <w:divId w:val="995380629"/>
        <w:rPr>
          <w:rFonts w:eastAsia="Times New Roman"/>
        </w:rPr>
      </w:pPr>
      <w:r>
        <w:rPr>
          <w:rFonts w:ascii="Arial" w:eastAsia="Times New Roman" w:hAnsi="Arial" w:cs="Arial"/>
          <w:b/>
          <w:bCs/>
          <w:i/>
          <w:iCs/>
          <w:color w:val="0046AD"/>
          <w:sz w:val="20"/>
          <w:szCs w:val="20"/>
        </w:rPr>
        <w:t>Catastrophic events, disasters, and terrorist attacks could disrupt our services.</w:t>
      </w:r>
    </w:p>
    <w:p w:rsidR="00000000" w:rsidRDefault="00485CCD">
      <w:pPr>
        <w:ind w:firstLine="720"/>
        <w:jc w:val="both"/>
        <w:divId w:val="2105375310"/>
        <w:rPr>
          <w:rFonts w:eastAsia="Times New Roman"/>
        </w:rPr>
      </w:pPr>
      <w:r>
        <w:rPr>
          <w:rFonts w:ascii="Arial" w:eastAsia="Times New Roman" w:hAnsi="Arial" w:cs="Arial"/>
          <w:color w:val="000000"/>
          <w:sz w:val="20"/>
          <w:szCs w:val="20"/>
        </w:rPr>
        <w:t>We may encounter disruptions involving power, communications, transportation or other utilities, or essential services depended upon by us or by third parties with whom we conduct business. This could include disruptions due to disasters, pandemics, weathe</w:t>
      </w:r>
      <w:r>
        <w:rPr>
          <w:rFonts w:ascii="Arial" w:eastAsia="Times New Roman" w:hAnsi="Arial" w:cs="Arial"/>
          <w:color w:val="000000"/>
          <w:sz w:val="20"/>
          <w:szCs w:val="20"/>
        </w:rPr>
        <w:t>r-related or similar events (such as fires, hurricanes, blizzards, earthquakes, and floods), political instability, labor strikes, or war (including acts of terrorism or hostilities) that could impact our markets. If a disruption occurs in one location and</w:t>
      </w:r>
      <w:r>
        <w:rPr>
          <w:rFonts w:ascii="Arial" w:eastAsia="Times New Roman" w:hAnsi="Arial" w:cs="Arial"/>
          <w:color w:val="000000"/>
          <w:sz w:val="20"/>
          <w:szCs w:val="20"/>
        </w:rPr>
        <w:t xml:space="preserve"> persons in that location are unable to communicate with or travel to or work from other locations, our ability to service and interact with our clients and others may suffer, and we may not be able to successfully implement contingency plans that depend o</w:t>
      </w:r>
      <w:r>
        <w:rPr>
          <w:rFonts w:ascii="Arial" w:eastAsia="Times New Roman" w:hAnsi="Arial" w:cs="Arial"/>
          <w:color w:val="000000"/>
          <w:sz w:val="20"/>
          <w:szCs w:val="20"/>
        </w:rPr>
        <w:t>n communications or travel. These events may increase the volatility of financial results due to unforeseen costs with partial or no corresponding compensation from clients. There also can be no assurance that the disaster recovery and crisis management pr</w:t>
      </w:r>
      <w:r>
        <w:rPr>
          <w:rFonts w:ascii="Arial" w:eastAsia="Times New Roman" w:hAnsi="Arial" w:cs="Arial"/>
          <w:color w:val="000000"/>
          <w:sz w:val="20"/>
          <w:szCs w:val="20"/>
        </w:rPr>
        <w:t>ocedures we employ will suffice in any particular situation to avoid a significant loss. In addition, to the extent centralized administrative locations are disabled for a long period of time, key business processes, such as accounts payable, information t</w:t>
      </w:r>
      <w:r>
        <w:rPr>
          <w:rFonts w:ascii="Arial" w:eastAsia="Times New Roman" w:hAnsi="Arial" w:cs="Arial"/>
          <w:color w:val="000000"/>
          <w:sz w:val="20"/>
          <w:szCs w:val="20"/>
        </w:rPr>
        <w:t>echnology, payroll, and general management operations, could be interrupted.</w:t>
      </w:r>
    </w:p>
    <w:p w:rsidR="00000000" w:rsidRDefault="00485CCD">
      <w:pPr>
        <w:jc w:val="both"/>
        <w:divId w:val="837891910"/>
        <w:rPr>
          <w:rFonts w:eastAsia="Times New Roman"/>
        </w:rPr>
      </w:pPr>
      <w:r>
        <w:rPr>
          <w:rFonts w:ascii="Arial" w:eastAsia="Times New Roman" w:hAnsi="Arial" w:cs="Arial"/>
          <w:b/>
          <w:bCs/>
          <w:i/>
          <w:iCs/>
          <w:color w:val="0046AD"/>
          <w:sz w:val="20"/>
          <w:szCs w:val="20"/>
        </w:rPr>
        <w:t>Actions of activist investors could disrupt our business.</w:t>
      </w:r>
    </w:p>
    <w:p w:rsidR="00000000" w:rsidRDefault="00485CCD">
      <w:pPr>
        <w:ind w:firstLine="720"/>
        <w:jc w:val="both"/>
        <w:divId w:val="128013692"/>
        <w:rPr>
          <w:rFonts w:eastAsia="Times New Roman"/>
        </w:rPr>
      </w:pPr>
      <w:r>
        <w:rPr>
          <w:rFonts w:ascii="Arial" w:eastAsia="Times New Roman" w:hAnsi="Arial" w:cs="Arial"/>
          <w:color w:val="000000"/>
          <w:sz w:val="20"/>
          <w:szCs w:val="20"/>
        </w:rPr>
        <w:t>Public companies have been the target of activist investors. In the event that a third party, such as an activist investo</w:t>
      </w:r>
      <w:r>
        <w:rPr>
          <w:rFonts w:ascii="Arial" w:eastAsia="Times New Roman" w:hAnsi="Arial" w:cs="Arial"/>
          <w:color w:val="000000"/>
          <w:sz w:val="20"/>
          <w:szCs w:val="20"/>
        </w:rPr>
        <w:t xml:space="preserve">r, proposes to change our governance policies, board of directors, or other aspects of our operations, </w:t>
      </w:r>
    </w:p>
    <w:p w:rsidR="00000000" w:rsidRDefault="00485CCD">
      <w:pPr>
        <w:jc w:val="center"/>
        <w:divId w:val="438255046"/>
        <w:rPr>
          <w:rFonts w:eastAsia="Times New Roman"/>
        </w:rPr>
      </w:pPr>
      <w:r>
        <w:rPr>
          <w:rFonts w:ascii="Arial" w:eastAsia="Times New Roman" w:hAnsi="Arial" w:cs="Arial"/>
          <w:color w:val="000000"/>
          <w:sz w:val="20"/>
          <w:szCs w:val="20"/>
        </w:rPr>
        <w:t>17</w:t>
      </w:r>
    </w:p>
    <w:p w:rsidR="00000000" w:rsidRDefault="00485CCD">
      <w:pPr>
        <w:rPr>
          <w:rFonts w:eastAsia="Times New Roman"/>
        </w:rPr>
      </w:pPr>
      <w:r>
        <w:rPr>
          <w:rFonts w:eastAsia="Times New Roman"/>
        </w:rPr>
        <w:pict>
          <v:rect id="_x0000_i1052" style="width:0;height:1.5pt" o:hralign="center" o:hrstd="t" o:hr="t" fillcolor="#a0a0a0" stroked="f"/>
        </w:pict>
      </w:r>
    </w:p>
    <w:p w:rsidR="00000000" w:rsidRDefault="00485CCD">
      <w:pPr>
        <w:divId w:val="812599184"/>
        <w:rPr>
          <w:rFonts w:eastAsia="Times New Roman"/>
        </w:rPr>
      </w:pPr>
    </w:p>
    <w:p w:rsidR="00000000" w:rsidRDefault="00485CCD">
      <w:pPr>
        <w:jc w:val="both"/>
        <w:divId w:val="1929381188"/>
        <w:rPr>
          <w:rFonts w:eastAsia="Times New Roman"/>
        </w:rPr>
      </w:pPr>
      <w:r>
        <w:rPr>
          <w:rFonts w:ascii="Arial" w:eastAsia="Times New Roman" w:hAnsi="Arial" w:cs="Arial"/>
          <w:color w:val="000000"/>
          <w:sz w:val="20"/>
          <w:szCs w:val="20"/>
        </w:rPr>
        <w:t>our review and consideration of such proposals may create a significant distraction for our management and employees. This could negatively impact our ability to execute various strategic initiatives and may require ma</w:t>
      </w:r>
      <w:r>
        <w:rPr>
          <w:rFonts w:ascii="Arial" w:eastAsia="Times New Roman" w:hAnsi="Arial" w:cs="Arial"/>
          <w:color w:val="000000"/>
          <w:sz w:val="20"/>
          <w:szCs w:val="20"/>
        </w:rPr>
        <w:t>nagement to expend significant time and resources responding to such proposals. Such proposals may also create uncertainties with respect to our financial position and operations and may adversely affect our ability to attract and retain key employees. </w:t>
      </w:r>
    </w:p>
    <w:p w:rsidR="00000000" w:rsidRDefault="00485CCD">
      <w:pPr>
        <w:divId w:val="111559091"/>
        <w:rPr>
          <w:rFonts w:eastAsia="Times New Roman"/>
        </w:rPr>
      </w:pPr>
      <w:r>
        <w:rPr>
          <w:rFonts w:ascii="Arial" w:eastAsia="Times New Roman" w:hAnsi="Arial" w:cs="Arial"/>
          <w:b/>
          <w:bCs/>
          <w:color w:val="0046AD"/>
          <w:sz w:val="20"/>
          <w:szCs w:val="20"/>
        </w:rPr>
        <w:t>IT</w:t>
      </w:r>
      <w:r>
        <w:rPr>
          <w:rFonts w:ascii="Arial" w:eastAsia="Times New Roman" w:hAnsi="Arial" w:cs="Arial"/>
          <w:b/>
          <w:bCs/>
          <w:color w:val="0046AD"/>
          <w:sz w:val="20"/>
          <w:szCs w:val="20"/>
        </w:rPr>
        <w:t>EM 1B. UNRESOLVED STAFF COMMENTS.</w:t>
      </w:r>
    </w:p>
    <w:p w:rsidR="00000000" w:rsidRDefault="00485CCD">
      <w:pPr>
        <w:ind w:firstLine="720"/>
        <w:jc w:val="both"/>
        <w:divId w:val="137655023"/>
        <w:rPr>
          <w:rFonts w:eastAsia="Times New Roman"/>
        </w:rPr>
      </w:pPr>
      <w:r>
        <w:rPr>
          <w:rFonts w:ascii="Arial" w:eastAsia="Times New Roman" w:hAnsi="Arial" w:cs="Arial"/>
          <w:color w:val="000000"/>
          <w:sz w:val="20"/>
          <w:szCs w:val="20"/>
        </w:rPr>
        <w:t xml:space="preserve">None. </w:t>
      </w:r>
    </w:p>
    <w:p w:rsidR="00000000" w:rsidRDefault="00485CCD">
      <w:pPr>
        <w:jc w:val="center"/>
        <w:divId w:val="1460756307"/>
        <w:rPr>
          <w:rFonts w:eastAsia="Times New Roman"/>
        </w:rPr>
      </w:pPr>
      <w:r>
        <w:rPr>
          <w:rFonts w:ascii="Arial" w:eastAsia="Times New Roman" w:hAnsi="Arial" w:cs="Arial"/>
          <w:color w:val="000000"/>
          <w:sz w:val="20"/>
          <w:szCs w:val="20"/>
        </w:rPr>
        <w:t>18</w:t>
      </w:r>
    </w:p>
    <w:p w:rsidR="00000000" w:rsidRDefault="00485CCD">
      <w:pPr>
        <w:rPr>
          <w:rFonts w:eastAsia="Times New Roman"/>
        </w:rPr>
      </w:pPr>
      <w:r>
        <w:rPr>
          <w:rFonts w:eastAsia="Times New Roman"/>
        </w:rPr>
        <w:pict>
          <v:rect id="_x0000_i1053" style="width:0;height:1.5pt" o:hralign="center" o:hrstd="t" o:hr="t" fillcolor="#a0a0a0" stroked="f"/>
        </w:pict>
      </w:r>
    </w:p>
    <w:p w:rsidR="00000000" w:rsidRDefault="00485CCD">
      <w:pPr>
        <w:divId w:val="1252930662"/>
        <w:rPr>
          <w:rFonts w:eastAsia="Times New Roman"/>
        </w:rPr>
      </w:pPr>
    </w:p>
    <w:p w:rsidR="00000000" w:rsidRDefault="00485CCD">
      <w:pPr>
        <w:divId w:val="1213956021"/>
        <w:rPr>
          <w:rFonts w:eastAsia="Times New Roman"/>
        </w:rPr>
      </w:pPr>
    </w:p>
    <w:p w:rsidR="00000000" w:rsidRDefault="00485CCD">
      <w:pPr>
        <w:divId w:val="1662192070"/>
        <w:rPr>
          <w:rFonts w:eastAsia="Times New Roman"/>
        </w:rPr>
      </w:pPr>
      <w:r>
        <w:rPr>
          <w:rFonts w:ascii="Arial" w:eastAsia="Times New Roman" w:hAnsi="Arial" w:cs="Arial"/>
          <w:b/>
          <w:bCs/>
          <w:color w:val="0046AD"/>
          <w:sz w:val="20"/>
          <w:szCs w:val="20"/>
        </w:rPr>
        <w:t>ITEM 2. PROPERTIES.</w:t>
      </w:r>
    </w:p>
    <w:p w:rsidR="00000000" w:rsidRDefault="00485CCD">
      <w:pPr>
        <w:ind w:firstLine="720"/>
        <w:jc w:val="both"/>
        <w:divId w:val="110169459"/>
        <w:rPr>
          <w:rFonts w:eastAsia="Times New Roman"/>
        </w:rPr>
      </w:pPr>
      <w:r>
        <w:rPr>
          <w:rFonts w:ascii="Arial" w:eastAsia="Times New Roman" w:hAnsi="Arial" w:cs="Arial"/>
          <w:color w:val="000000"/>
          <w:sz w:val="20"/>
          <w:szCs w:val="20"/>
        </w:rPr>
        <w:t xml:space="preserve">Our principal executive office is located at One Liberty Plaza, 7th Floor, New York, New York 10006. </w:t>
      </w:r>
    </w:p>
    <w:p w:rsidR="00000000" w:rsidRDefault="00485CCD">
      <w:pPr>
        <w:jc w:val="both"/>
        <w:divId w:val="2110468078"/>
        <w:rPr>
          <w:rFonts w:eastAsia="Times New Roman"/>
        </w:rPr>
      </w:pPr>
      <w:r>
        <w:rPr>
          <w:rFonts w:ascii="Arial" w:eastAsia="Times New Roman" w:hAnsi="Arial" w:cs="Arial"/>
          <w:b/>
          <w:bCs/>
          <w:color w:val="0046AD"/>
          <w:sz w:val="20"/>
          <w:szCs w:val="20"/>
        </w:rPr>
        <w:t>Principal Properties as of October 31, 2021</w:t>
      </w:r>
    </w:p>
    <w:tbl>
      <w:tblPr>
        <w:tblW w:w="4978" w:type="pct"/>
        <w:jc w:val="center"/>
        <w:tblCellMar>
          <w:top w:w="15" w:type="dxa"/>
          <w:left w:w="15" w:type="dxa"/>
          <w:bottom w:w="15" w:type="dxa"/>
          <w:right w:w="15" w:type="dxa"/>
        </w:tblCellMar>
        <w:tblLook w:val="04A0" w:firstRow="1" w:lastRow="0" w:firstColumn="1" w:lastColumn="0" w:noHBand="0" w:noVBand="1"/>
      </w:tblPr>
      <w:tblGrid>
        <w:gridCol w:w="57"/>
        <w:gridCol w:w="1499"/>
        <w:gridCol w:w="36"/>
        <w:gridCol w:w="36"/>
        <w:gridCol w:w="36"/>
        <w:gridCol w:w="36"/>
        <w:gridCol w:w="59"/>
        <w:gridCol w:w="1466"/>
        <w:gridCol w:w="37"/>
        <w:gridCol w:w="36"/>
        <w:gridCol w:w="36"/>
        <w:gridCol w:w="36"/>
        <w:gridCol w:w="66"/>
        <w:gridCol w:w="1459"/>
        <w:gridCol w:w="36"/>
        <w:gridCol w:w="36"/>
        <w:gridCol w:w="36"/>
        <w:gridCol w:w="36"/>
        <w:gridCol w:w="53"/>
        <w:gridCol w:w="1472"/>
        <w:gridCol w:w="36"/>
        <w:gridCol w:w="36"/>
        <w:gridCol w:w="36"/>
        <w:gridCol w:w="36"/>
        <w:gridCol w:w="46"/>
        <w:gridCol w:w="1479"/>
        <w:gridCol w:w="36"/>
      </w:tblGrid>
      <w:tr w:rsidR="00000000">
        <w:trPr>
          <w:divId w:val="974723405"/>
          <w:jc w:val="center"/>
        </w:trPr>
        <w:tc>
          <w:tcPr>
            <w:tcW w:w="50" w:type="pct"/>
            <w:vAlign w:val="center"/>
            <w:hideMark/>
          </w:tcPr>
          <w:p w:rsidR="00000000" w:rsidRDefault="00485CCD">
            <w:pPr>
              <w:jc w:val="both"/>
              <w:rPr>
                <w:rFonts w:eastAsia="Times New Roman"/>
              </w:rPr>
            </w:pPr>
          </w:p>
        </w:tc>
        <w:tc>
          <w:tcPr>
            <w:tcW w:w="92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1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1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1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1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74723405"/>
          <w:jc w:val="center"/>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Character of Office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Approximate Square Feet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Lease Expiration Date, Unless Owned</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Segment</w:t>
            </w:r>
          </w:p>
        </w:tc>
      </w:tr>
      <w:tr w:rsidR="00000000">
        <w:trPr>
          <w:divId w:val="974723405"/>
          <w:jc w:val="center"/>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Alpharetta, Georgia</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IT Datacenter and Technical Solutions Headquarters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25,000</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Owned</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All</w:t>
            </w:r>
          </w:p>
        </w:tc>
      </w:tr>
      <w:tr w:rsidR="00000000">
        <w:trPr>
          <w:divId w:val="974723405"/>
          <w:jc w:val="center"/>
        </w:trPr>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Atlanta, Georgia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37,000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10/31/2027</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All</w:t>
            </w:r>
          </w:p>
        </w:tc>
      </w:tr>
      <w:tr w:rsidR="00000000">
        <w:trPr>
          <w:divId w:val="974723405"/>
          <w:jc w:val="center"/>
        </w:trPr>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Cleveland, Ohio</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Legacy GCA Headquarters</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32,400</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1/31/2024</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Education, T&amp;M, and Corporate</w:t>
            </w:r>
          </w:p>
        </w:tc>
      </w:tr>
      <w:tr w:rsidR="00000000">
        <w:trPr>
          <w:divId w:val="974723405"/>
          <w:jc w:val="center"/>
        </w:trPr>
        <w:tc>
          <w:tcPr>
            <w:tcW w:w="0" w:type="auto"/>
            <w:gridSpan w:val="3"/>
            <w:vAlign w:val="center"/>
            <w:hideMark/>
          </w:tcPr>
          <w:p w:rsidR="00000000" w:rsidRDefault="00485CCD">
            <w:pPr>
              <w:jc w:val="center"/>
              <w:rPr>
                <w:rFonts w:eastAsia="Times New Roman"/>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974723405"/>
          <w:jc w:val="center"/>
        </w:trPr>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 xml:space="preserve">New York, New York </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Corporate Headquarters</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44,000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1/3/2032</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Corporate and B&amp;I</w:t>
            </w:r>
          </w:p>
        </w:tc>
      </w:tr>
      <w:tr w:rsidR="00000000">
        <w:trPr>
          <w:divId w:val="974723405"/>
          <w:jc w:val="center"/>
        </w:trPr>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Sugar Land, Texas</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Enterprise Services</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62,500</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3/31/2028</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All</w:t>
            </w:r>
          </w:p>
        </w:tc>
      </w:tr>
      <w:tr w:rsidR="00000000">
        <w:trPr>
          <w:divId w:val="974723405"/>
          <w:jc w:val="center"/>
        </w:trPr>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Tustin, California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40,000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7/31/2029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8"/>
                <w:szCs w:val="18"/>
              </w:rPr>
              <w:t>B&amp;I and Technical Solutions</w:t>
            </w:r>
          </w:p>
        </w:tc>
      </w:tr>
      <w:tr w:rsidR="00000000">
        <w:trPr>
          <w:divId w:val="974723405"/>
          <w:jc w:val="center"/>
        </w:trPr>
        <w:tc>
          <w:tcPr>
            <w:tcW w:w="0" w:type="auto"/>
            <w:gridSpan w:val="3"/>
            <w:vAlign w:val="center"/>
            <w:hideMark/>
          </w:tcPr>
          <w:p w:rsidR="00000000" w:rsidRDefault="00485CCD">
            <w:pPr>
              <w:jc w:val="center"/>
              <w:rPr>
                <w:rFonts w:eastAsia="Times New Roman"/>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firstLine="720"/>
        <w:jc w:val="both"/>
        <w:divId w:val="522980986"/>
        <w:rPr>
          <w:rFonts w:eastAsia="Times New Roman"/>
        </w:rPr>
      </w:pPr>
      <w:r>
        <w:rPr>
          <w:rFonts w:ascii="Arial" w:eastAsia="Times New Roman" w:hAnsi="Arial" w:cs="Arial"/>
          <w:color w:val="000000"/>
          <w:sz w:val="20"/>
          <w:szCs w:val="20"/>
        </w:rPr>
        <w:t>In addition to the above properties, we have other offices, warehouses, and parking facilities in various locations, primarily in the United States. See Note 5, “Leases,” in the Notes to consolidated financial statements for additional information regardin</w:t>
      </w:r>
      <w:r>
        <w:rPr>
          <w:rFonts w:ascii="Arial" w:eastAsia="Times New Roman" w:hAnsi="Arial" w:cs="Arial"/>
          <w:color w:val="000000"/>
          <w:sz w:val="20"/>
          <w:szCs w:val="20"/>
        </w:rPr>
        <w:t xml:space="preserve">g leases. We believe that these properties are well maintained, in good operating condition, and suitable for the purposes for which they are used. </w:t>
      </w:r>
    </w:p>
    <w:p w:rsidR="00000000" w:rsidRDefault="00485CCD">
      <w:pPr>
        <w:jc w:val="both"/>
        <w:divId w:val="1476407854"/>
        <w:rPr>
          <w:rFonts w:eastAsia="Times New Roman"/>
        </w:rPr>
      </w:pPr>
      <w:r>
        <w:rPr>
          <w:rFonts w:ascii="Arial" w:eastAsia="Times New Roman" w:hAnsi="Arial" w:cs="Arial"/>
          <w:b/>
          <w:bCs/>
          <w:color w:val="0046AD"/>
          <w:sz w:val="20"/>
          <w:szCs w:val="20"/>
        </w:rPr>
        <w:t>ITEM 3. LEGAL PROCEEDINGS.</w:t>
      </w:r>
    </w:p>
    <w:p w:rsidR="00000000" w:rsidRDefault="00485CCD">
      <w:pPr>
        <w:jc w:val="both"/>
        <w:divId w:val="871379975"/>
        <w:rPr>
          <w:rFonts w:eastAsia="Times New Roman"/>
        </w:rPr>
      </w:pPr>
      <w:r>
        <w:rPr>
          <w:rFonts w:ascii="Arial" w:eastAsia="Times New Roman" w:hAnsi="Arial" w:cs="Arial"/>
          <w:b/>
          <w:bCs/>
          <w:color w:val="0046AD"/>
          <w:sz w:val="20"/>
          <w:szCs w:val="20"/>
        </w:rPr>
        <w:t>Certain Legal Proceedings</w:t>
      </w:r>
    </w:p>
    <w:p w:rsidR="00000000" w:rsidRDefault="00485CCD">
      <w:pPr>
        <w:ind w:firstLine="720"/>
        <w:jc w:val="both"/>
        <w:divId w:val="75327847"/>
        <w:rPr>
          <w:rFonts w:eastAsia="Times New Roman"/>
        </w:rPr>
      </w:pPr>
      <w:r>
        <w:rPr>
          <w:rFonts w:ascii="Arial" w:eastAsia="Times New Roman" w:hAnsi="Arial" w:cs="Arial"/>
          <w:color w:val="000000"/>
          <w:sz w:val="20"/>
          <w:szCs w:val="20"/>
        </w:rPr>
        <w:t>Information with respect to certain legal proceedings is set forth in Note 13, “Commitments and Contingencies,” in the Notes to consolidated financial statements (included in Part II., Item 8 of this Form 10-K) and is incorporated herein by reference.</w:t>
      </w:r>
    </w:p>
    <w:p w:rsidR="00000000" w:rsidRDefault="00485CCD">
      <w:pPr>
        <w:divId w:val="913010590"/>
        <w:rPr>
          <w:rFonts w:eastAsia="Times New Roman"/>
        </w:rPr>
      </w:pPr>
      <w:r>
        <w:rPr>
          <w:rFonts w:ascii="Arial" w:eastAsia="Times New Roman" w:hAnsi="Arial" w:cs="Arial"/>
          <w:b/>
          <w:bCs/>
          <w:color w:val="0046AD"/>
          <w:sz w:val="20"/>
          <w:szCs w:val="20"/>
        </w:rPr>
        <w:t>ITEM</w:t>
      </w:r>
      <w:r>
        <w:rPr>
          <w:rFonts w:ascii="Arial" w:eastAsia="Times New Roman" w:hAnsi="Arial" w:cs="Arial"/>
          <w:b/>
          <w:bCs/>
          <w:color w:val="0046AD"/>
          <w:sz w:val="20"/>
          <w:szCs w:val="20"/>
        </w:rPr>
        <w:t> 4. MINE SAFETY DISCLOSURES.</w:t>
      </w:r>
    </w:p>
    <w:p w:rsidR="00000000" w:rsidRDefault="00485CCD">
      <w:pPr>
        <w:ind w:firstLine="720"/>
        <w:jc w:val="both"/>
        <w:divId w:val="548228030"/>
        <w:rPr>
          <w:rFonts w:eastAsia="Times New Roman"/>
        </w:rPr>
      </w:pPr>
      <w:r>
        <w:rPr>
          <w:rFonts w:ascii="Arial" w:eastAsia="Times New Roman" w:hAnsi="Arial" w:cs="Arial"/>
          <w:color w:val="000000"/>
          <w:sz w:val="20"/>
          <w:szCs w:val="20"/>
        </w:rPr>
        <w:t>Not applicable.</w:t>
      </w:r>
    </w:p>
    <w:p w:rsidR="00000000" w:rsidRDefault="00485CCD">
      <w:pPr>
        <w:divId w:val="1711296639"/>
        <w:rPr>
          <w:rFonts w:eastAsia="Times New Roman"/>
        </w:rPr>
      </w:pPr>
    </w:p>
    <w:p w:rsidR="00000000" w:rsidRDefault="00485CCD">
      <w:pPr>
        <w:divId w:val="868957482"/>
        <w:rPr>
          <w:rFonts w:eastAsia="Times New Roman"/>
        </w:rPr>
      </w:pPr>
    </w:p>
    <w:p w:rsidR="00000000" w:rsidRDefault="00485CCD">
      <w:pPr>
        <w:jc w:val="center"/>
        <w:divId w:val="467556862"/>
        <w:rPr>
          <w:rFonts w:eastAsia="Times New Roman"/>
        </w:rPr>
      </w:pPr>
      <w:r>
        <w:rPr>
          <w:rFonts w:ascii="Arial" w:eastAsia="Times New Roman" w:hAnsi="Arial" w:cs="Arial"/>
          <w:color w:val="000000"/>
          <w:sz w:val="20"/>
          <w:szCs w:val="20"/>
        </w:rPr>
        <w:t>19</w:t>
      </w:r>
    </w:p>
    <w:p w:rsidR="00000000" w:rsidRDefault="00485CCD">
      <w:pPr>
        <w:rPr>
          <w:rFonts w:eastAsia="Times New Roman"/>
        </w:rPr>
      </w:pPr>
      <w:r>
        <w:rPr>
          <w:rFonts w:eastAsia="Times New Roman"/>
        </w:rPr>
        <w:pict>
          <v:rect id="_x0000_i1054" style="width:0;height:1.5pt" o:hralign="center" o:hrstd="t" o:hr="t" fillcolor="#a0a0a0" stroked="f"/>
        </w:pict>
      </w:r>
    </w:p>
    <w:p w:rsidR="00000000" w:rsidRDefault="00485CCD">
      <w:pPr>
        <w:divId w:val="1239487422"/>
        <w:rPr>
          <w:rFonts w:eastAsia="Times New Roman"/>
        </w:rPr>
      </w:pPr>
    </w:p>
    <w:p w:rsidR="00000000" w:rsidRDefault="00485CCD">
      <w:pPr>
        <w:jc w:val="center"/>
        <w:divId w:val="513804864"/>
        <w:rPr>
          <w:rFonts w:eastAsia="Times New Roman"/>
        </w:rPr>
      </w:pPr>
      <w:r>
        <w:rPr>
          <w:rFonts w:ascii="Arial" w:eastAsia="Times New Roman" w:hAnsi="Arial" w:cs="Arial"/>
          <w:b/>
          <w:bCs/>
          <w:color w:val="0046AD"/>
          <w:sz w:val="20"/>
          <w:szCs w:val="20"/>
        </w:rPr>
        <w:t>PART II</w:t>
      </w:r>
    </w:p>
    <w:p w:rsidR="00000000" w:rsidRDefault="00485CCD">
      <w:pPr>
        <w:jc w:val="both"/>
        <w:divId w:val="1276717704"/>
        <w:rPr>
          <w:rFonts w:eastAsia="Times New Roman"/>
        </w:rPr>
      </w:pPr>
      <w:r>
        <w:rPr>
          <w:rFonts w:ascii="Arial" w:eastAsia="Times New Roman" w:hAnsi="Arial" w:cs="Arial"/>
          <w:b/>
          <w:bCs/>
          <w:color w:val="0046AD"/>
          <w:sz w:val="20"/>
          <w:szCs w:val="20"/>
        </w:rPr>
        <w:t>ITEM 5. MARKET FOR REGISTRANT’S COMMON EQUITY, RELATED STOCKHOLDER MATTERS AND ISSUER PURCHASES OF EQUITY SECURITIES.</w:t>
      </w:r>
    </w:p>
    <w:p w:rsidR="00000000" w:rsidRDefault="00485CCD">
      <w:pPr>
        <w:divId w:val="707144857"/>
        <w:rPr>
          <w:rFonts w:eastAsia="Times New Roman"/>
        </w:rPr>
      </w:pPr>
      <w:r>
        <w:rPr>
          <w:rFonts w:ascii="Arial" w:eastAsia="Times New Roman" w:hAnsi="Arial" w:cs="Arial"/>
          <w:b/>
          <w:bCs/>
          <w:color w:val="0046AD"/>
          <w:sz w:val="20"/>
          <w:szCs w:val="20"/>
        </w:rPr>
        <w:t>Market Information, Dividends, and Stock</w:t>
      </w:r>
      <w:r>
        <w:rPr>
          <w:rFonts w:ascii="Arial" w:eastAsia="Times New Roman" w:hAnsi="Arial" w:cs="Arial"/>
          <w:b/>
          <w:bCs/>
          <w:color w:val="0046AD"/>
          <w:sz w:val="20"/>
          <w:szCs w:val="20"/>
        </w:rPr>
        <w:t>holders</w:t>
      </w:r>
    </w:p>
    <w:p w:rsidR="00000000" w:rsidRDefault="00485CCD">
      <w:pPr>
        <w:ind w:firstLine="720"/>
        <w:jc w:val="both"/>
        <w:divId w:val="141697187"/>
        <w:rPr>
          <w:rFonts w:eastAsia="Times New Roman"/>
        </w:rPr>
      </w:pPr>
      <w:r>
        <w:rPr>
          <w:rFonts w:ascii="Arial" w:eastAsia="Times New Roman" w:hAnsi="Arial" w:cs="Arial"/>
          <w:color w:val="000000"/>
          <w:sz w:val="20"/>
          <w:szCs w:val="20"/>
        </w:rPr>
        <w:t>Our common stock is listed on the New York Stock Exchange (NYSE: ABM). We have paid cash dividends every quarter since 1965. Future dividends will be determined based on our earnings, capital requirements, financial condition, and other factors con</w:t>
      </w:r>
      <w:r>
        <w:rPr>
          <w:rFonts w:ascii="Arial" w:eastAsia="Times New Roman" w:hAnsi="Arial" w:cs="Arial"/>
          <w:color w:val="000000"/>
          <w:sz w:val="20"/>
          <w:szCs w:val="20"/>
        </w:rPr>
        <w:t>sidered relevant by our Board of Directors.</w:t>
      </w:r>
    </w:p>
    <w:p w:rsidR="00000000" w:rsidRDefault="00485CCD">
      <w:pPr>
        <w:ind w:firstLine="720"/>
        <w:jc w:val="both"/>
        <w:divId w:val="546063955"/>
        <w:rPr>
          <w:rFonts w:eastAsia="Times New Roman"/>
        </w:rPr>
      </w:pPr>
      <w:r>
        <w:rPr>
          <w:rFonts w:ascii="Arial" w:eastAsia="Times New Roman" w:hAnsi="Arial" w:cs="Arial"/>
          <w:color w:val="000000"/>
          <w:sz w:val="20"/>
          <w:szCs w:val="20"/>
        </w:rPr>
        <w:t>At December 21, 2021, there were 3,056 registered holders of our common stock.</w:t>
      </w:r>
    </w:p>
    <w:p w:rsidR="00000000" w:rsidRDefault="00485CCD">
      <w:pPr>
        <w:divId w:val="89396033"/>
        <w:rPr>
          <w:rFonts w:eastAsia="Times New Roman"/>
        </w:rPr>
      </w:pPr>
      <w:r>
        <w:rPr>
          <w:rFonts w:ascii="Arial" w:eastAsia="Times New Roman" w:hAnsi="Arial" w:cs="Arial"/>
          <w:b/>
          <w:bCs/>
          <w:color w:val="0046AD"/>
          <w:sz w:val="20"/>
          <w:szCs w:val="20"/>
        </w:rPr>
        <w:t xml:space="preserve">Common Stock Repurchases </w:t>
      </w:r>
    </w:p>
    <w:p w:rsidR="00000000" w:rsidRDefault="00485CCD">
      <w:pPr>
        <w:ind w:firstLine="720"/>
        <w:jc w:val="both"/>
        <w:divId w:val="1066533425"/>
        <w:rPr>
          <w:rFonts w:eastAsia="Times New Roman"/>
        </w:rPr>
      </w:pPr>
      <w:r>
        <w:rPr>
          <w:rFonts w:ascii="Arial" w:eastAsia="Times New Roman" w:hAnsi="Arial" w:cs="Arial"/>
          <w:color w:val="000000"/>
          <w:sz w:val="20"/>
          <w:szCs w:val="20"/>
        </w:rPr>
        <w:t>Effective December 18, 2019, our Board of Directors replaced our then-existing share repurchase program wit</w:t>
      </w:r>
      <w:r>
        <w:rPr>
          <w:rFonts w:ascii="Arial" w:eastAsia="Times New Roman" w:hAnsi="Arial" w:cs="Arial"/>
          <w:color w:val="000000"/>
          <w:sz w:val="20"/>
          <w:szCs w:val="20"/>
        </w:rPr>
        <w:t>h a new share repurchase program under which we may repurchase up to $150.0 million of our common stock (the “2019 Share Repurchase Program”). These purchases may take place on the open market or otherwise, and all or part of the repurchases may be made pu</w:t>
      </w:r>
      <w:r>
        <w:rPr>
          <w:rFonts w:ascii="Arial" w:eastAsia="Times New Roman" w:hAnsi="Arial" w:cs="Arial"/>
          <w:color w:val="000000"/>
          <w:sz w:val="20"/>
          <w:szCs w:val="20"/>
        </w:rPr>
        <w:t>rsuant to Rule 10b5-1 plans or in privately negotiated transactions. The timing of repurchases is at our discretion and will depend upon several factors, including market and business conditions, future cash flows, share price, share availability, and othe</w:t>
      </w:r>
      <w:r>
        <w:rPr>
          <w:rFonts w:ascii="Arial" w:eastAsia="Times New Roman" w:hAnsi="Arial" w:cs="Arial"/>
          <w:color w:val="000000"/>
          <w:sz w:val="20"/>
          <w:szCs w:val="20"/>
        </w:rPr>
        <w:t xml:space="preserve">r factors at our discretion. Repurchased shares are retired and returned to an authorized but unissued status. However, due to the market and business conditions arising from the Pandemic, we suspended further repurchases of our common stock in March 2020 </w:t>
      </w:r>
      <w:r>
        <w:rPr>
          <w:rFonts w:ascii="Arial" w:eastAsia="Times New Roman" w:hAnsi="Arial" w:cs="Arial"/>
          <w:color w:val="000000"/>
          <w:sz w:val="20"/>
          <w:szCs w:val="20"/>
        </w:rPr>
        <w:t xml:space="preserve">and did not repurchase any shares of our outstanding common stock during fiscal year 2021. At October 31, 2021, authorization for $144.9 million of repurchases remained under the 2019 Share Repurchase Program. </w:t>
      </w:r>
    </w:p>
    <w:p w:rsidR="00000000" w:rsidRDefault="00485CCD">
      <w:pPr>
        <w:jc w:val="center"/>
        <w:divId w:val="644699641"/>
        <w:rPr>
          <w:rFonts w:eastAsia="Times New Roman"/>
        </w:rPr>
      </w:pPr>
      <w:r>
        <w:rPr>
          <w:rFonts w:ascii="Arial" w:eastAsia="Times New Roman" w:hAnsi="Arial" w:cs="Arial"/>
          <w:color w:val="000000"/>
          <w:sz w:val="20"/>
          <w:szCs w:val="20"/>
        </w:rPr>
        <w:t>20</w:t>
      </w:r>
    </w:p>
    <w:p w:rsidR="00000000" w:rsidRDefault="00485CCD">
      <w:pPr>
        <w:rPr>
          <w:rFonts w:eastAsia="Times New Roman"/>
        </w:rPr>
      </w:pPr>
      <w:r>
        <w:rPr>
          <w:rFonts w:eastAsia="Times New Roman"/>
        </w:rPr>
        <w:pict>
          <v:rect id="_x0000_i1055" style="width:0;height:1.5pt" o:hralign="center" o:hrstd="t" o:hr="t" fillcolor="#a0a0a0" stroked="f"/>
        </w:pict>
      </w:r>
    </w:p>
    <w:p w:rsidR="00000000" w:rsidRDefault="00485CCD">
      <w:pPr>
        <w:divId w:val="1657801197"/>
        <w:rPr>
          <w:rFonts w:eastAsia="Times New Roman"/>
        </w:rPr>
      </w:pPr>
    </w:p>
    <w:p w:rsidR="00000000" w:rsidRDefault="00485CCD">
      <w:pPr>
        <w:jc w:val="both"/>
        <w:divId w:val="468090073"/>
        <w:rPr>
          <w:rFonts w:eastAsia="Times New Roman"/>
        </w:rPr>
      </w:pPr>
      <w:r>
        <w:rPr>
          <w:rFonts w:ascii="Arial" w:eastAsia="Times New Roman" w:hAnsi="Arial" w:cs="Arial"/>
          <w:b/>
          <w:bCs/>
          <w:color w:val="0046AD"/>
          <w:sz w:val="20"/>
          <w:szCs w:val="20"/>
        </w:rPr>
        <w:t>Performance Graph</w:t>
      </w:r>
    </w:p>
    <w:p w:rsidR="00000000" w:rsidRDefault="00485CCD">
      <w:pPr>
        <w:ind w:firstLine="720"/>
        <w:jc w:val="both"/>
        <w:divId w:val="1088649837"/>
        <w:rPr>
          <w:rFonts w:eastAsia="Times New Roman"/>
        </w:rPr>
      </w:pPr>
      <w:r>
        <w:rPr>
          <w:rFonts w:ascii="Arial" w:eastAsia="Times New Roman" w:hAnsi="Arial" w:cs="Arial"/>
          <w:color w:val="000000"/>
          <w:sz w:val="20"/>
          <w:szCs w:val="20"/>
        </w:rPr>
        <w:t>The following graph compares the five-year cumulative total return for our common stock against the Standard &amp; Poor’s 500 Index (“S&amp;P 500”) and the Standard &amp; Poor’s SmallCap 600 Index (“S&amp;P 600”). As</w:t>
      </w:r>
      <w:r>
        <w:rPr>
          <w:rFonts w:ascii="Arial" w:eastAsia="Times New Roman" w:hAnsi="Arial" w:cs="Arial"/>
          <w:color w:val="000000"/>
          <w:sz w:val="20"/>
          <w:szCs w:val="20"/>
        </w:rPr>
        <w:t xml:space="preserve"> our competitors are principally privately held, we do not believe it is feasible to construct a peer group comparison on an industry or line-of-business basis.</w:t>
      </w:r>
    </w:p>
    <w:p w:rsidR="00000000" w:rsidRDefault="00485CCD">
      <w:pPr>
        <w:spacing w:before="180"/>
        <w:jc w:val="center"/>
        <w:divId w:val="1102456172"/>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30"/>
        <w:gridCol w:w="37"/>
        <w:gridCol w:w="36"/>
        <w:gridCol w:w="36"/>
        <w:gridCol w:w="36"/>
        <w:gridCol w:w="132"/>
        <w:gridCol w:w="660"/>
        <w:gridCol w:w="36"/>
        <w:gridCol w:w="36"/>
        <w:gridCol w:w="36"/>
        <w:gridCol w:w="36"/>
        <w:gridCol w:w="132"/>
        <w:gridCol w:w="637"/>
        <w:gridCol w:w="36"/>
        <w:gridCol w:w="36"/>
        <w:gridCol w:w="36"/>
        <w:gridCol w:w="36"/>
        <w:gridCol w:w="132"/>
        <w:gridCol w:w="662"/>
        <w:gridCol w:w="36"/>
        <w:gridCol w:w="36"/>
        <w:gridCol w:w="36"/>
        <w:gridCol w:w="36"/>
        <w:gridCol w:w="132"/>
        <w:gridCol w:w="662"/>
        <w:gridCol w:w="36"/>
        <w:gridCol w:w="36"/>
        <w:gridCol w:w="36"/>
        <w:gridCol w:w="36"/>
        <w:gridCol w:w="132"/>
        <w:gridCol w:w="662"/>
        <w:gridCol w:w="36"/>
        <w:gridCol w:w="36"/>
        <w:gridCol w:w="36"/>
        <w:gridCol w:w="36"/>
        <w:gridCol w:w="132"/>
        <w:gridCol w:w="662"/>
        <w:gridCol w:w="36"/>
      </w:tblGrid>
      <w:tr w:rsidR="00000000">
        <w:trPr>
          <w:divId w:val="320817387"/>
          <w:jc w:val="center"/>
        </w:trPr>
        <w:tc>
          <w:tcPr>
            <w:tcW w:w="50" w:type="pct"/>
            <w:vAlign w:val="center"/>
            <w:hideMark/>
          </w:tcPr>
          <w:p w:rsidR="00000000" w:rsidRDefault="00485CCD">
            <w:pPr>
              <w:jc w:val="center"/>
              <w:rPr>
                <w:rFonts w:eastAsia="Times New Roman"/>
              </w:rPr>
            </w:pPr>
          </w:p>
        </w:tc>
        <w:tc>
          <w:tcPr>
            <w:tcW w:w="16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20817387"/>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INDEXED RETURNS</w:t>
            </w:r>
            <w:r>
              <w:rPr>
                <w:rFonts w:ascii="Arial" w:eastAsia="Times New Roman" w:hAnsi="Arial" w:cs="Arial"/>
                <w:b/>
                <w:bCs/>
                <w:color w:val="000000"/>
                <w:sz w:val="20"/>
                <w:szCs w:val="20"/>
              </w:rPr>
              <w:br/>
              <w:t>Years Ended October 31,</w:t>
            </w:r>
          </w:p>
        </w:tc>
      </w:tr>
      <w:tr w:rsidR="00000000">
        <w:trPr>
          <w:divId w:val="320817387"/>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Company / Index</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r>
      <w:tr w:rsidR="00000000">
        <w:trPr>
          <w:divId w:val="320817387"/>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ABM Industries Incorporated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32081738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123.6 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132.7 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151.7 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237.9 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32081738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S&amp;P SmallCap 600 Index</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135.1 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139.5 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128.7 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204.6 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jc w:val="both"/>
        <w:divId w:val="2140611254"/>
        <w:rPr>
          <w:rFonts w:eastAsia="Times New Roman"/>
        </w:rPr>
      </w:pPr>
      <w:r>
        <w:rPr>
          <w:rFonts w:ascii="Arial" w:eastAsia="Times New Roman" w:hAnsi="Arial" w:cs="Arial"/>
          <w:color w:val="000000"/>
          <w:sz w:val="20"/>
          <w:szCs w:val="20"/>
        </w:rPr>
        <w:t>This performance graph shall not be deemed to be “soliciting material” or “filed” with the SEC, or subject to</w:t>
      </w:r>
      <w:r>
        <w:rPr>
          <w:rFonts w:ascii="Arial" w:eastAsia="Times New Roman" w:hAnsi="Arial" w:cs="Arial"/>
          <w:color w:val="000000"/>
          <w:sz w:val="20"/>
          <w:szCs w:val="20"/>
        </w:rPr>
        <w:t xml:space="preserve"> Regulation 14A or 14C, or subject to the liabilities of Section 18 of the Securities Exchange Act of 1934, as amended. The comparisons in the performance graph are based on historical data and are not indicative of, or intended to forecast, the possible f</w:t>
      </w:r>
      <w:r>
        <w:rPr>
          <w:rFonts w:ascii="Arial" w:eastAsia="Times New Roman" w:hAnsi="Arial" w:cs="Arial"/>
          <w:color w:val="000000"/>
          <w:sz w:val="20"/>
          <w:szCs w:val="20"/>
        </w:rPr>
        <w:t>uture performance of our common stock.</w:t>
      </w:r>
    </w:p>
    <w:p w:rsidR="00000000" w:rsidRDefault="00485CCD">
      <w:pPr>
        <w:divId w:val="555359612"/>
        <w:rPr>
          <w:rFonts w:eastAsia="Times New Roman"/>
        </w:rPr>
      </w:pPr>
    </w:p>
    <w:p w:rsidR="00000000" w:rsidRDefault="00485CCD">
      <w:pPr>
        <w:jc w:val="center"/>
        <w:divId w:val="790898355"/>
        <w:rPr>
          <w:rFonts w:eastAsia="Times New Roman"/>
        </w:rPr>
      </w:pPr>
      <w:r>
        <w:rPr>
          <w:rFonts w:ascii="Arial" w:eastAsia="Times New Roman" w:hAnsi="Arial" w:cs="Arial"/>
          <w:color w:val="000000"/>
          <w:sz w:val="20"/>
          <w:szCs w:val="20"/>
        </w:rPr>
        <w:t>21</w:t>
      </w:r>
    </w:p>
    <w:p w:rsidR="00000000" w:rsidRDefault="00485CCD">
      <w:pPr>
        <w:rPr>
          <w:rFonts w:eastAsia="Times New Roman"/>
        </w:rPr>
      </w:pPr>
      <w:r>
        <w:rPr>
          <w:rFonts w:eastAsia="Times New Roman"/>
        </w:rPr>
        <w:pict>
          <v:rect id="_x0000_i1057" style="width:0;height:1.5pt" o:hralign="center" o:hrstd="t" o:hr="t" fillcolor="#a0a0a0" stroked="f"/>
        </w:pict>
      </w:r>
    </w:p>
    <w:p w:rsidR="00000000" w:rsidRDefault="00485CCD">
      <w:pPr>
        <w:divId w:val="648553306"/>
        <w:rPr>
          <w:rFonts w:eastAsia="Times New Roman"/>
        </w:rPr>
      </w:pPr>
    </w:p>
    <w:p w:rsidR="00000000" w:rsidRDefault="00485CCD">
      <w:pPr>
        <w:jc w:val="both"/>
        <w:divId w:val="707989558"/>
        <w:rPr>
          <w:rFonts w:eastAsia="Times New Roman"/>
        </w:rPr>
      </w:pPr>
      <w:r>
        <w:rPr>
          <w:rFonts w:ascii="Arial" w:eastAsia="Times New Roman" w:hAnsi="Arial" w:cs="Arial"/>
          <w:b/>
          <w:bCs/>
          <w:color w:val="0046AD"/>
          <w:sz w:val="20"/>
          <w:szCs w:val="20"/>
        </w:rPr>
        <w:t>ITEM 6. [RESERVED]</w:t>
      </w:r>
    </w:p>
    <w:p w:rsidR="00000000" w:rsidRDefault="00485CCD">
      <w:pPr>
        <w:jc w:val="both"/>
        <w:divId w:val="1955675785"/>
        <w:rPr>
          <w:rFonts w:eastAsia="Times New Roman"/>
        </w:rPr>
      </w:pPr>
      <w:r>
        <w:rPr>
          <w:rFonts w:ascii="Arial" w:eastAsia="Times New Roman" w:hAnsi="Arial" w:cs="Arial"/>
          <w:b/>
          <w:bCs/>
          <w:color w:val="0046AD"/>
          <w:sz w:val="20"/>
          <w:szCs w:val="20"/>
        </w:rPr>
        <w:t>ITEM 7. MANAGEMENT’S DISCUSSION AND ANALYSIS OF FINANCIAL CONDITION AND RESULTS OF OPERATIONS.</w:t>
      </w:r>
    </w:p>
    <w:p w:rsidR="00000000" w:rsidRDefault="00485CCD">
      <w:pPr>
        <w:ind w:firstLine="720"/>
        <w:jc w:val="both"/>
        <w:divId w:val="433983895"/>
        <w:rPr>
          <w:rFonts w:eastAsia="Times New Roman"/>
        </w:rPr>
      </w:pPr>
      <w:r>
        <w:rPr>
          <w:rFonts w:ascii="Arial" w:eastAsia="Times New Roman" w:hAnsi="Arial" w:cs="Arial"/>
          <w:color w:val="000000"/>
          <w:sz w:val="20"/>
          <w:szCs w:val="20"/>
        </w:rPr>
        <w:t>The following MD&amp;A is intended to facilitate an understandin</w:t>
      </w:r>
      <w:r>
        <w:rPr>
          <w:rFonts w:ascii="Arial" w:eastAsia="Times New Roman" w:hAnsi="Arial" w:cs="Arial"/>
          <w:color w:val="000000"/>
          <w:sz w:val="20"/>
          <w:szCs w:val="20"/>
        </w:rPr>
        <w:t>g of the results of operations and financial condition of ABM. This MD&amp;A is provided as a supplement to, and should be read in conjunction with, our Financial Statements. This MD&amp;A contains both historical and forward-looking statements, within the meaning</w:t>
      </w:r>
      <w:r>
        <w:rPr>
          <w:rFonts w:ascii="Arial" w:eastAsia="Times New Roman" w:hAnsi="Arial" w:cs="Arial"/>
          <w:color w:val="000000"/>
          <w:sz w:val="20"/>
          <w:szCs w:val="20"/>
        </w:rPr>
        <w:t xml:space="preserve"> of the Private Securities Litigation Reform Act of 1995, that involve risks and uncertainties. We make forward-looking statements related to future expectations, estimates, and projections that are uncertain and often contain words such as “anticipate,” “</w:t>
      </w:r>
      <w:r>
        <w:rPr>
          <w:rFonts w:ascii="Arial" w:eastAsia="Times New Roman" w:hAnsi="Arial" w:cs="Arial"/>
          <w:color w:val="000000"/>
          <w:sz w:val="20"/>
          <w:szCs w:val="20"/>
        </w:rPr>
        <w:t>believe,” “could,” “estimate,” “expect,” “forecast,” “intend,” “likely,” “may,” “outlook,” “plan,” “predict,” “should,” “target,” or other similar words or phrases. These statements are not guarantees of future performance and are subject to known and unkn</w:t>
      </w:r>
      <w:r>
        <w:rPr>
          <w:rFonts w:ascii="Arial" w:eastAsia="Times New Roman" w:hAnsi="Arial" w:cs="Arial"/>
          <w:color w:val="000000"/>
          <w:sz w:val="20"/>
          <w:szCs w:val="20"/>
        </w:rPr>
        <w:t>own risks, uncertainties, and assumptions that are difficult to predict. Factors that might cause such differences include, but are not limited to, those discussed in Part 1. of this Form 10-K under Item 1A., “Risk Factors,” which are incorporated herein b</w:t>
      </w:r>
      <w:r>
        <w:rPr>
          <w:rFonts w:ascii="Arial" w:eastAsia="Times New Roman" w:hAnsi="Arial" w:cs="Arial"/>
          <w:color w:val="000000"/>
          <w:sz w:val="20"/>
          <w:szCs w:val="20"/>
        </w:rPr>
        <w:t>y reference. Our future results and financial condition may be materially different from those we currently anticipate. Throughout the MD&amp;A, amounts and percentages may not recalculate due to rounding. Unless otherwise indicated, all information in the MD&amp;</w:t>
      </w:r>
      <w:r>
        <w:rPr>
          <w:rFonts w:ascii="Arial" w:eastAsia="Times New Roman" w:hAnsi="Arial" w:cs="Arial"/>
          <w:color w:val="000000"/>
          <w:sz w:val="20"/>
          <w:szCs w:val="20"/>
        </w:rPr>
        <w:t xml:space="preserve">A and references to years are based on our fiscal year, which ends on October 31. </w:t>
      </w:r>
    </w:p>
    <w:p w:rsidR="00000000" w:rsidRDefault="00485CCD">
      <w:pPr>
        <w:divId w:val="138879512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851874960"/>
        </w:trPr>
        <w:tc>
          <w:tcPr>
            <w:tcW w:w="50" w:type="pct"/>
            <w:vAlign w:val="center"/>
            <w:hideMark/>
          </w:tcPr>
          <w:p w:rsidR="00000000" w:rsidRDefault="00485CCD">
            <w:pPr>
              <w:rPr>
                <w:rFonts w:eastAsia="Times New Roman"/>
              </w:rPr>
            </w:pPr>
          </w:p>
        </w:tc>
        <w:tc>
          <w:tcPr>
            <w:tcW w:w="49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851874960"/>
        </w:trPr>
        <w:tc>
          <w:tcPr>
            <w:tcW w:w="0" w:type="auto"/>
            <w:gridSpan w:val="3"/>
            <w:tcBorders>
              <w:bottom w:val="single" w:sz="8" w:space="0" w:color="E98300"/>
            </w:tcBorders>
            <w:shd w:val="clear" w:color="auto" w:fill="FFFFFF"/>
            <w:tcMar>
              <w:top w:w="30" w:type="dxa"/>
              <w:left w:w="20" w:type="dxa"/>
              <w:bottom w:w="30" w:type="dxa"/>
              <w:right w:w="20" w:type="dxa"/>
            </w:tcMar>
            <w:vAlign w:val="bottom"/>
            <w:hideMark/>
          </w:tcPr>
          <w:p w:rsidR="00000000" w:rsidRDefault="00485CCD">
            <w:pPr>
              <w:divId w:val="1954634439"/>
              <w:rPr>
                <w:rFonts w:eastAsia="Times New Roman"/>
              </w:rPr>
            </w:pPr>
            <w:r>
              <w:rPr>
                <w:rFonts w:ascii="Arial" w:eastAsia="Times New Roman" w:hAnsi="Arial" w:cs="Arial"/>
                <w:b/>
                <w:bCs/>
                <w:color w:val="0046AD"/>
                <w:sz w:val="20"/>
                <w:szCs w:val="20"/>
              </w:rPr>
              <w:t>Business Overview</w:t>
            </w:r>
          </w:p>
        </w:tc>
      </w:tr>
    </w:tbl>
    <w:p w:rsidR="00000000" w:rsidRDefault="00485CCD">
      <w:pPr>
        <w:ind w:firstLine="720"/>
        <w:jc w:val="both"/>
        <w:divId w:val="1687098854"/>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003DA5"/>
          <w:sz w:val="20"/>
          <w:szCs w:val="20"/>
        </w:rPr>
        <w:t>make a difference, every person, every day</w:t>
      </w:r>
      <w:r>
        <w:rPr>
          <w:rFonts w:ascii="Arial" w:eastAsia="Times New Roman" w:hAnsi="Arial" w:cs="Arial"/>
          <w:color w:val="000000"/>
          <w:sz w:val="20"/>
          <w:szCs w:val="20"/>
        </w:rPr>
        <w:t>. Our principal operations are in the United States, and in 2021 our U.S. operations generated approximately 94%</w:t>
      </w:r>
      <w:r>
        <w:rPr>
          <w:rFonts w:ascii="Arial" w:eastAsia="Times New Roman" w:hAnsi="Arial" w:cs="Arial"/>
          <w:color w:val="000000"/>
          <w:sz w:val="20"/>
          <w:szCs w:val="20"/>
        </w:rPr>
        <w:t xml:space="preserve"> of our revenues.</w:t>
      </w:r>
    </w:p>
    <w:p w:rsidR="00000000" w:rsidRDefault="00485CCD">
      <w:pPr>
        <w:jc w:val="both"/>
        <w:divId w:val="821502541"/>
        <w:rPr>
          <w:rFonts w:eastAsia="Times New Roman"/>
        </w:rPr>
      </w:pPr>
      <w:r>
        <w:rPr>
          <w:rFonts w:ascii="Arial" w:eastAsia="Times New Roman" w:hAnsi="Arial" w:cs="Arial"/>
          <w:b/>
          <w:bCs/>
          <w:color w:val="0046AD"/>
          <w:sz w:val="20"/>
          <w:szCs w:val="20"/>
        </w:rPr>
        <w:t>Strategic Growth</w:t>
      </w:r>
    </w:p>
    <w:p w:rsidR="00000000" w:rsidRDefault="00485CCD">
      <w:pPr>
        <w:ind w:firstLine="720"/>
        <w:jc w:val="both"/>
        <w:divId w:val="149296943"/>
        <w:rPr>
          <w:rFonts w:eastAsia="Times New Roman"/>
        </w:rPr>
      </w:pPr>
      <w:r>
        <w:rPr>
          <w:rFonts w:ascii="Arial" w:eastAsia="Times New Roman" w:hAnsi="Arial" w:cs="Arial"/>
          <w:color w:val="000000"/>
          <w:sz w:val="20"/>
          <w:szCs w:val="20"/>
        </w:rPr>
        <w:t>We remain focused on long-term, profitable growth by delivering valued service offerings to both new and existing clients within our industry groups and across our many service lines. Our revenue growth strategy is predic</w:t>
      </w:r>
      <w:r>
        <w:rPr>
          <w:rFonts w:ascii="Arial" w:eastAsia="Times New Roman" w:hAnsi="Arial" w:cs="Arial"/>
          <w:color w:val="000000"/>
          <w:sz w:val="20"/>
          <w:szCs w:val="20"/>
        </w:rPr>
        <w:t>ated on pursuing new sales and targeting a favorable retention rate among existing contracts. Cross-selling and up-selling projects and services is also an integral part of our strategy. We believe our strategic growth initiatives, coupled with our continu</w:t>
      </w:r>
      <w:r>
        <w:rPr>
          <w:rFonts w:ascii="Arial" w:eastAsia="Times New Roman" w:hAnsi="Arial" w:cs="Arial"/>
          <w:color w:val="000000"/>
          <w:sz w:val="20"/>
          <w:szCs w:val="20"/>
        </w:rPr>
        <w:t>ed focus on marketing, capital, and sales resources, will increase profitability.</w:t>
      </w:r>
    </w:p>
    <w:p w:rsidR="00000000" w:rsidRDefault="00485CCD">
      <w:pPr>
        <w:jc w:val="both"/>
        <w:divId w:val="1851600608"/>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Transformation</w:t>
      </w:r>
    </w:p>
    <w:p w:rsidR="00000000" w:rsidRDefault="00485CCD">
      <w:pPr>
        <w:ind w:firstLine="720"/>
        <w:jc w:val="both"/>
        <w:divId w:val="1488476528"/>
        <w:rPr>
          <w:rFonts w:eastAsia="Times New Roman"/>
        </w:rPr>
      </w:pPr>
      <w:r>
        <w:rPr>
          <w:rFonts w:ascii="Arial" w:eastAsia="Times New Roman" w:hAnsi="Arial" w:cs="Arial"/>
          <w:color w:val="000000"/>
          <w:sz w:val="20"/>
          <w:szCs w:val="20"/>
        </w:rPr>
        <w:t xml:space="preserve">Through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as described in Item 1., “Business.,” we plan to primarily focus our efforts on: </w:t>
      </w:r>
    </w:p>
    <w:p w:rsidR="00000000" w:rsidRDefault="00485CCD">
      <w:pPr>
        <w:ind w:hanging="360"/>
        <w:jc w:val="both"/>
        <w:divId w:val="1204291352"/>
        <w:rPr>
          <w:rFonts w:eastAsia="Times New Roman"/>
        </w:rPr>
      </w:pPr>
      <w:r>
        <w:rPr>
          <w:rFonts w:ascii="Arial" w:eastAsia="Times New Roman" w:hAnsi="Arial" w:cs="Arial"/>
          <w:color w:val="000000"/>
          <w:sz w:val="20"/>
          <w:szCs w:val="20"/>
        </w:rPr>
        <w:t>•the client experience, by enhancing se</w:t>
      </w:r>
      <w:r>
        <w:rPr>
          <w:rFonts w:ascii="Arial" w:eastAsia="Times New Roman" w:hAnsi="Arial" w:cs="Arial"/>
          <w:color w:val="000000"/>
          <w:sz w:val="20"/>
          <w:szCs w:val="20"/>
        </w:rPr>
        <w:t xml:space="preserve">rvice delivery through the development of a new workforce management platform with modern timekeeping, scheduling, and forecasting modules to create a digital connection with our workforce; </w:t>
      </w:r>
    </w:p>
    <w:p w:rsidR="00000000" w:rsidRDefault="00485CCD">
      <w:pPr>
        <w:ind w:hanging="360"/>
        <w:divId w:val="884373991"/>
        <w:rPr>
          <w:rFonts w:eastAsia="Times New Roman"/>
        </w:rPr>
      </w:pPr>
      <w:r>
        <w:rPr>
          <w:rFonts w:ascii="Arial" w:eastAsia="Times New Roman" w:hAnsi="Arial" w:cs="Arial"/>
          <w:color w:val="000000"/>
          <w:sz w:val="20"/>
          <w:szCs w:val="20"/>
        </w:rPr>
        <w:t>•the team member experience, by investing in development programs</w:t>
      </w:r>
      <w:r>
        <w:rPr>
          <w:rFonts w:ascii="Arial" w:eastAsia="Times New Roman" w:hAnsi="Arial" w:cs="Arial"/>
          <w:color w:val="000000"/>
          <w:sz w:val="20"/>
          <w:szCs w:val="20"/>
        </w:rPr>
        <w:t>, talent acquisition tools, and training; and</w:t>
      </w:r>
    </w:p>
    <w:p w:rsidR="00000000" w:rsidRDefault="00485CCD">
      <w:pPr>
        <w:ind w:hanging="360"/>
        <w:jc w:val="both"/>
        <w:divId w:val="885944529"/>
        <w:rPr>
          <w:rFonts w:eastAsia="Times New Roman"/>
        </w:rPr>
      </w:pPr>
      <w:r>
        <w:rPr>
          <w:rFonts w:ascii="Arial" w:eastAsia="Times New Roman" w:hAnsi="Arial" w:cs="Arial"/>
          <w:color w:val="000000"/>
          <w:sz w:val="20"/>
          <w:szCs w:val="20"/>
        </w:rPr>
        <w:t xml:space="preserve">•the use of technology and data in our systems, tools, business processes, and operating models. </w:t>
      </w:r>
    </w:p>
    <w:p w:rsidR="00000000" w:rsidRDefault="00485CCD">
      <w:pPr>
        <w:ind w:firstLine="720"/>
        <w:jc w:val="both"/>
        <w:divId w:val="820510957"/>
        <w:rPr>
          <w:rFonts w:eastAsia="Times New Roman"/>
        </w:rPr>
      </w:pPr>
      <w:r>
        <w:rPr>
          <w:rFonts w:ascii="Arial" w:eastAsia="Times New Roman" w:hAnsi="Arial" w:cs="Arial"/>
          <w:color w:val="000000"/>
          <w:sz w:val="20"/>
          <w:szCs w:val="20"/>
        </w:rPr>
        <w:t>We believe that our technology and data investments will enable: the development and deployment of client-facing</w:t>
      </w:r>
      <w:r>
        <w:rPr>
          <w:rFonts w:ascii="Arial" w:eastAsia="Times New Roman" w:hAnsi="Arial" w:cs="Arial"/>
          <w:color w:val="000000"/>
          <w:sz w:val="20"/>
          <w:szCs w:val="20"/>
        </w:rPr>
        <w:t xml:space="preserve"> technology to improve service delivery to our clients; the use of advanced data analytics for sales targeting, team member retention, and recruiting; and the upgrade of our Enterprise Resource Planning and payroll systems. </w:t>
      </w:r>
    </w:p>
    <w:p w:rsidR="00000000" w:rsidRDefault="00485CCD">
      <w:pPr>
        <w:jc w:val="center"/>
        <w:divId w:val="347871380"/>
        <w:rPr>
          <w:rFonts w:eastAsia="Times New Roman"/>
        </w:rPr>
      </w:pPr>
      <w:r>
        <w:rPr>
          <w:rFonts w:ascii="Arial" w:eastAsia="Times New Roman" w:hAnsi="Arial" w:cs="Arial"/>
          <w:color w:val="000000"/>
          <w:sz w:val="20"/>
          <w:szCs w:val="20"/>
        </w:rPr>
        <w:t>22</w:t>
      </w:r>
    </w:p>
    <w:p w:rsidR="00000000" w:rsidRDefault="00485CCD">
      <w:pPr>
        <w:rPr>
          <w:rFonts w:eastAsia="Times New Roman"/>
        </w:rPr>
      </w:pPr>
      <w:r>
        <w:rPr>
          <w:rFonts w:eastAsia="Times New Roman"/>
        </w:rPr>
        <w:pict>
          <v:rect id="_x0000_i1058" style="width:0;height:1.5pt" o:hralign="center" o:hrstd="t" o:hr="t" fillcolor="#a0a0a0" stroked="f"/>
        </w:pict>
      </w:r>
    </w:p>
    <w:p w:rsidR="00000000" w:rsidRDefault="00485CCD">
      <w:pPr>
        <w:divId w:val="202638066"/>
        <w:rPr>
          <w:rFonts w:eastAsia="Times New Roman"/>
        </w:rPr>
      </w:pPr>
    </w:p>
    <w:p w:rsidR="00000000" w:rsidRDefault="00485CCD">
      <w:pPr>
        <w:jc w:val="both"/>
        <w:divId w:val="1255357669"/>
        <w:rPr>
          <w:rFonts w:eastAsia="Times New Roman"/>
        </w:rPr>
      </w:pPr>
      <w:r>
        <w:rPr>
          <w:rFonts w:ascii="Arial" w:eastAsia="Times New Roman" w:hAnsi="Arial" w:cs="Arial"/>
          <w:b/>
          <w:bCs/>
          <w:color w:val="0046AD"/>
          <w:sz w:val="20"/>
          <w:szCs w:val="20"/>
          <w:shd w:val="clear" w:color="auto" w:fill="FFFFFF"/>
        </w:rPr>
        <w:t>Developments and Trends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20282464"/>
        </w:trPr>
        <w:tc>
          <w:tcPr>
            <w:tcW w:w="5" w:type="pct"/>
            <w:vAlign w:val="center"/>
            <w:hideMark/>
          </w:tcPr>
          <w:p w:rsidR="00000000" w:rsidRDefault="00485CCD">
            <w:pPr>
              <w:jc w:val="both"/>
              <w:rPr>
                <w:rFonts w:eastAsia="Times New Roman"/>
              </w:rPr>
            </w:pPr>
          </w:p>
        </w:tc>
        <w:tc>
          <w:tcPr>
            <w:tcW w:w="1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20282464"/>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860126980"/>
        <w:rPr>
          <w:rFonts w:eastAsia="Times New Roman"/>
        </w:rPr>
      </w:pPr>
      <w:r>
        <w:rPr>
          <w:rFonts w:ascii="Arial" w:eastAsia="Times New Roman" w:hAnsi="Arial" w:cs="Arial"/>
          <w:b/>
          <w:bCs/>
          <w:color w:val="0046AD"/>
          <w:sz w:val="20"/>
          <w:szCs w:val="20"/>
        </w:rPr>
        <w:t>COVID-19 Pandemic</w:t>
      </w:r>
    </w:p>
    <w:p w:rsidR="00000000" w:rsidRDefault="00485CCD">
      <w:pPr>
        <w:ind w:firstLine="720"/>
        <w:jc w:val="both"/>
        <w:divId w:val="1742869510"/>
        <w:rPr>
          <w:rFonts w:eastAsia="Times New Roman"/>
        </w:rPr>
      </w:pPr>
      <w:r>
        <w:rPr>
          <w:rFonts w:ascii="Arial" w:eastAsia="Times New Roman" w:hAnsi="Arial" w:cs="Arial"/>
          <w:color w:val="000000"/>
          <w:sz w:val="20"/>
          <w:szCs w:val="20"/>
        </w:rPr>
        <w:t>COVID-19 has resulted in a worldwide health Pandemic. To date, COVID-19 has surfaced in regions all around the world and resulted in business slowdowns and shutdowns, as well as global travel restrictions. We, along with many of our clients, have been impa</w:t>
      </w:r>
      <w:r>
        <w:rPr>
          <w:rFonts w:ascii="Arial" w:eastAsia="Times New Roman" w:hAnsi="Arial" w:cs="Arial"/>
          <w:color w:val="000000"/>
          <w:sz w:val="20"/>
          <w:szCs w:val="20"/>
        </w:rPr>
        <w:t>cted by recommendations and/or mandates from federal, state, and local authorities to practice social distancing, to refrain from gathering in groups, and, in some areas, to refrain from non-essential movements outside of homes. The Pandemic has also creat</w:t>
      </w:r>
      <w:r>
        <w:rPr>
          <w:rFonts w:ascii="Arial" w:eastAsia="Times New Roman" w:hAnsi="Arial" w:cs="Arial"/>
          <w:color w:val="000000"/>
          <w:sz w:val="20"/>
          <w:szCs w:val="20"/>
        </w:rPr>
        <w:t>ed unanticipated circumstances and uncertainty, disruption, and significant volatility in the broader economy. These factors have led to lower demand for some of our services in certain end-markets, particularly in our Aviation segment. Refer to “Consolida</w:t>
      </w:r>
      <w:r>
        <w:rPr>
          <w:rFonts w:ascii="Arial" w:eastAsia="Times New Roman" w:hAnsi="Arial" w:cs="Arial"/>
          <w:color w:val="000000"/>
          <w:sz w:val="20"/>
          <w:szCs w:val="20"/>
        </w:rPr>
        <w:t xml:space="preserve">ted Results of Operations” and “Results of Operations by Segment” for additional information related to the impact of the Pandemic on our financial results. </w:t>
      </w:r>
    </w:p>
    <w:p w:rsidR="00000000" w:rsidRDefault="00485CCD">
      <w:pPr>
        <w:ind w:firstLine="720"/>
        <w:jc w:val="both"/>
        <w:divId w:val="1232958061"/>
        <w:rPr>
          <w:rFonts w:eastAsia="Times New Roman"/>
        </w:rPr>
      </w:pPr>
      <w:r>
        <w:rPr>
          <w:rFonts w:ascii="Arial" w:eastAsia="Times New Roman" w:hAnsi="Arial" w:cs="Arial"/>
          <w:color w:val="000000"/>
          <w:sz w:val="20"/>
          <w:szCs w:val="20"/>
        </w:rPr>
        <w:t>Given the unprecedented and uncertain nature and potential duration of this situation, we cannot r</w:t>
      </w:r>
      <w:r>
        <w:rPr>
          <w:rFonts w:ascii="Arial" w:eastAsia="Times New Roman" w:hAnsi="Arial" w:cs="Arial"/>
          <w:color w:val="000000"/>
          <w:sz w:val="20"/>
          <w:szCs w:val="20"/>
        </w:rPr>
        <w:t>easonably estimate the full extent of the impact the Pandemic will have on our financial condition, results of operations, or cash flows. The ultimate extent of the effects of the Pandemic on our company is highly uncertain and will depend on future develo</w:t>
      </w:r>
      <w:r>
        <w:rPr>
          <w:rFonts w:ascii="Arial" w:eastAsia="Times New Roman" w:hAnsi="Arial" w:cs="Arial"/>
          <w:color w:val="000000"/>
          <w:sz w:val="20"/>
          <w:szCs w:val="20"/>
        </w:rPr>
        <w:t>pments, and we may continue to experience adverse effects on our business, consolidated results of operations, financial position, and cash flows resulting from a recessionary economic environment that may persist.</w:t>
      </w:r>
    </w:p>
    <w:p w:rsidR="00000000" w:rsidRDefault="00485CCD">
      <w:pPr>
        <w:ind w:firstLine="720"/>
        <w:jc w:val="both"/>
        <w:divId w:val="1597862734"/>
        <w:rPr>
          <w:rFonts w:eastAsia="Times New Roman"/>
        </w:rPr>
      </w:pPr>
      <w:r>
        <w:rPr>
          <w:rFonts w:ascii="Arial" w:eastAsia="Times New Roman" w:hAnsi="Arial" w:cs="Arial"/>
          <w:color w:val="000000"/>
          <w:sz w:val="20"/>
          <w:szCs w:val="20"/>
        </w:rPr>
        <w:t>Our priority has been and continues to be</w:t>
      </w:r>
      <w:r>
        <w:rPr>
          <w:rFonts w:ascii="Arial" w:eastAsia="Times New Roman" w:hAnsi="Arial" w:cs="Arial"/>
          <w:color w:val="000000"/>
          <w:sz w:val="20"/>
          <w:szCs w:val="20"/>
        </w:rPr>
        <w:t xml:space="preserve"> the health, safety, and support of our employees, our clients, and the communities that we serve. We have also taken actions to strengthen our liquidity, cash flows, and financial position to help mitigate potential future impacts on our operations and fi</w:t>
      </w:r>
      <w:r>
        <w:rPr>
          <w:rFonts w:ascii="Arial" w:eastAsia="Times New Roman" w:hAnsi="Arial" w:cs="Arial"/>
          <w:color w:val="000000"/>
          <w:sz w:val="20"/>
          <w:szCs w:val="20"/>
        </w:rPr>
        <w:t>nancial performance. These priorities and measures include, but are not limited to, the following:</w:t>
      </w:r>
    </w:p>
    <w:p w:rsidR="00000000" w:rsidRDefault="00485CCD">
      <w:pPr>
        <w:ind w:firstLine="720"/>
        <w:jc w:val="both"/>
        <w:divId w:val="298924490"/>
        <w:rPr>
          <w:rFonts w:eastAsia="Times New Roman"/>
        </w:rPr>
      </w:pPr>
      <w:r>
        <w:rPr>
          <w:rFonts w:ascii="Arial" w:eastAsia="Times New Roman" w:hAnsi="Arial" w:cs="Arial"/>
          <w:i/>
          <w:iCs/>
          <w:color w:val="0046AD"/>
          <w:sz w:val="20"/>
          <w:szCs w:val="20"/>
        </w:rPr>
        <w:t>Health and Safety of our Employees and Clients</w:t>
      </w:r>
    </w:p>
    <w:p w:rsidR="00000000" w:rsidRDefault="00485CCD">
      <w:pPr>
        <w:ind w:firstLine="720"/>
        <w:jc w:val="both"/>
        <w:divId w:val="554239939"/>
        <w:rPr>
          <w:rFonts w:eastAsia="Times New Roman"/>
        </w:rPr>
      </w:pPr>
      <w:r>
        <w:rPr>
          <w:rFonts w:ascii="Arial" w:eastAsia="Times New Roman" w:hAnsi="Arial" w:cs="Arial"/>
          <w:color w:val="000000"/>
          <w:sz w:val="20"/>
          <w:szCs w:val="20"/>
        </w:rPr>
        <w:t>As the Pandemic has developed, we have taken steps to support our employees and clients based on recommendatio</w:t>
      </w:r>
      <w:r>
        <w:rPr>
          <w:rFonts w:ascii="Arial" w:eastAsia="Times New Roman" w:hAnsi="Arial" w:cs="Arial"/>
          <w:color w:val="000000"/>
          <w:sz w:val="20"/>
          <w:szCs w:val="20"/>
        </w:rPr>
        <w:t>ns from various global experts, including the World Health Organization, the Centers for Disease Control and Prevention, the Occupational Safety and Health Administration, and the U.K. National Health Service. To help protect our employees and our clients,</w:t>
      </w:r>
      <w:r>
        <w:rPr>
          <w:rFonts w:ascii="Arial" w:eastAsia="Times New Roman" w:hAnsi="Arial" w:cs="Arial"/>
          <w:color w:val="000000"/>
          <w:sz w:val="20"/>
          <w:szCs w:val="20"/>
        </w:rPr>
        <w:t xml:space="preserve"> face masks and other personal protective equipment (“PPE”) are being used by our employees. We have also encouraged our employees to practice social distancing and wash hands frequently. Additionally, we transitioned many office-based employees to a remot</w:t>
      </w:r>
      <w:r>
        <w:rPr>
          <w:rFonts w:ascii="Arial" w:eastAsia="Times New Roman" w:hAnsi="Arial" w:cs="Arial"/>
          <w:color w:val="000000"/>
          <w:sz w:val="20"/>
          <w:szCs w:val="20"/>
        </w:rPr>
        <w:t xml:space="preserve">e work environment, suspended non-essential travel, and adopted technologies to allow employees to effectively perform their functions remotely. </w:t>
      </w:r>
    </w:p>
    <w:p w:rsidR="00000000" w:rsidRDefault="00485CCD">
      <w:pPr>
        <w:ind w:firstLine="720"/>
        <w:jc w:val="both"/>
        <w:divId w:val="1606157104"/>
        <w:rPr>
          <w:rFonts w:eastAsia="Times New Roman"/>
        </w:rPr>
      </w:pPr>
      <w:r>
        <w:rPr>
          <w:rFonts w:ascii="Arial" w:eastAsia="Times New Roman" w:hAnsi="Arial" w:cs="Arial"/>
          <w:i/>
          <w:iCs/>
          <w:color w:val="0046AD"/>
          <w:sz w:val="20"/>
          <w:szCs w:val="20"/>
        </w:rPr>
        <w:t>Client Focus</w:t>
      </w:r>
    </w:p>
    <w:p w:rsidR="00000000" w:rsidRDefault="00485CCD">
      <w:pPr>
        <w:ind w:firstLine="720"/>
        <w:jc w:val="both"/>
        <w:divId w:val="1421752184"/>
        <w:rPr>
          <w:rFonts w:eastAsia="Times New Roman"/>
        </w:rPr>
      </w:pPr>
      <w:r>
        <w:rPr>
          <w:rFonts w:ascii="Arial" w:eastAsia="Times New Roman" w:hAnsi="Arial" w:cs="Arial"/>
          <w:color w:val="000000"/>
          <w:sz w:val="20"/>
          <w:szCs w:val="20"/>
        </w:rPr>
        <w:t>Over the past few years, we have focused on consolidating purchasing activities to leverage our s</w:t>
      </w:r>
      <w:r>
        <w:rPr>
          <w:rFonts w:ascii="Arial" w:eastAsia="Times New Roman" w:hAnsi="Arial" w:cs="Arial"/>
          <w:color w:val="000000"/>
          <w:sz w:val="20"/>
          <w:szCs w:val="20"/>
        </w:rPr>
        <w:t>cale and identify preferred suppliers. While we have seen a reduction in the availability of supplies and an increase in costs, our procurement efforts have helped create a positive supply chain for our company and clients during the Pandemic. We will cont</w:t>
      </w:r>
      <w:r>
        <w:rPr>
          <w:rFonts w:ascii="Arial" w:eastAsia="Times New Roman" w:hAnsi="Arial" w:cs="Arial"/>
          <w:color w:val="000000"/>
          <w:sz w:val="20"/>
          <w:szCs w:val="20"/>
        </w:rPr>
        <w:t xml:space="preserve">inue to monitor our supply chain for potential impacts as future developments unfold. </w:t>
      </w:r>
    </w:p>
    <w:p w:rsidR="00000000" w:rsidRDefault="00485CCD">
      <w:pPr>
        <w:ind w:firstLine="720"/>
        <w:jc w:val="both"/>
        <w:divId w:val="268851444"/>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clients’ changing staffing and service needs are met. We devel</w:t>
      </w:r>
      <w:r>
        <w:rPr>
          <w:rFonts w:ascii="Arial" w:eastAsia="Times New Roman" w:hAnsi="Arial" w:cs="Arial"/>
          <w:color w:val="000000"/>
          <w:sz w:val="20"/>
          <w:szCs w:val="20"/>
        </w:rPr>
        <w:t xml:space="preserve">oped new cleaning initiatives in accordance with various protocols issued by global experts, including deep cleaning services, special project cleaning services, and other work orders. </w:t>
      </w:r>
    </w:p>
    <w:p w:rsidR="00000000" w:rsidRDefault="00485CCD">
      <w:pPr>
        <w:ind w:firstLine="720"/>
        <w:jc w:val="both"/>
        <w:divId w:val="633213596"/>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rPr>
        <w:t>T</w:t>
      </w:r>
      <w:r>
        <w:rPr>
          <w:rFonts w:ascii="Arial" w:eastAsia="Times New Roman" w:hAnsi="Arial" w:cs="Arial"/>
          <w:color w:val="000000"/>
          <w:sz w:val="13"/>
          <w:szCs w:val="13"/>
        </w:rPr>
        <w:t>M</w:t>
      </w:r>
      <w:r>
        <w:rPr>
          <w:rFonts w:ascii="Arial" w:eastAsia="Times New Roman" w:hAnsi="Arial" w:cs="Arial"/>
          <w:color w:val="000000"/>
          <w:sz w:val="20"/>
          <w:szCs w:val="20"/>
        </w:rPr>
        <w:t xml:space="preserve"> Program (“EnhancedClea</w:t>
      </w:r>
      <w:r>
        <w:rPr>
          <w:rFonts w:ascii="Arial" w:eastAsia="Times New Roman" w:hAnsi="Arial" w:cs="Arial"/>
          <w:color w:val="000000"/>
          <w:sz w:val="20"/>
          <w:szCs w:val="20"/>
        </w:rPr>
        <w:t>n”), an innovative solution that helps provide clients with healthy spaces. We designed EnhancedClean under the guidance of experts on infectious diseases and industrial hygiene to help provide our clients with processes that use hospital-grade disinfectan</w:t>
      </w:r>
      <w:r>
        <w:rPr>
          <w:rFonts w:ascii="Arial" w:eastAsia="Times New Roman" w:hAnsi="Arial" w:cs="Arial"/>
          <w:color w:val="000000"/>
          <w:sz w:val="20"/>
          <w:szCs w:val="20"/>
        </w:rPr>
        <w:t>ts, specialized equipment, and innovative solutions and technology. These solutions include: hygiene and safety protocols, utilization of disinfecting procedures and products for high-touch surfaces, employment of PPE, and communication and training protoc</w:t>
      </w:r>
      <w:r>
        <w:rPr>
          <w:rFonts w:ascii="Arial" w:eastAsia="Times New Roman" w:hAnsi="Arial" w:cs="Arial"/>
          <w:color w:val="000000"/>
          <w:sz w:val="20"/>
          <w:szCs w:val="20"/>
        </w:rPr>
        <w:t>ols.</w:t>
      </w:r>
    </w:p>
    <w:p w:rsidR="00000000" w:rsidRDefault="00485CCD">
      <w:pPr>
        <w:ind w:firstLine="720"/>
        <w:jc w:val="both"/>
        <w:divId w:val="164443277"/>
        <w:rPr>
          <w:rFonts w:eastAsia="Times New Roman"/>
        </w:rPr>
      </w:pPr>
      <w:r>
        <w:rPr>
          <w:rFonts w:ascii="Arial" w:eastAsia="Times New Roman" w:hAnsi="Arial" w:cs="Arial"/>
          <w:i/>
          <w:iCs/>
          <w:color w:val="0046AD"/>
          <w:sz w:val="20"/>
          <w:szCs w:val="20"/>
        </w:rPr>
        <w:t>Management of Direct Labor</w:t>
      </w:r>
    </w:p>
    <w:p w:rsidR="00000000" w:rsidRDefault="00485CCD">
      <w:pPr>
        <w:ind w:firstLine="720"/>
        <w:jc w:val="both"/>
        <w:divId w:val="163589839"/>
        <w:rPr>
          <w:rFonts w:eastAsia="Times New Roman"/>
        </w:rPr>
      </w:pPr>
      <w:r>
        <w:rPr>
          <w:rFonts w:ascii="Arial" w:eastAsia="Times New Roman" w:hAnsi="Arial" w:cs="Arial"/>
          <w:color w:val="000000"/>
          <w:sz w:val="20"/>
          <w:szCs w:val="20"/>
        </w:rPr>
        <w:t>As we adapt to the changing demand environment resulting from the Pandemic, we continue to actively manage direct labor and related personnel costs, including furloughs or reduced hours for certain frontline employees in mar</w:t>
      </w:r>
      <w:r>
        <w:rPr>
          <w:rFonts w:ascii="Arial" w:eastAsia="Times New Roman" w:hAnsi="Arial" w:cs="Arial"/>
          <w:color w:val="000000"/>
          <w:sz w:val="20"/>
          <w:szCs w:val="20"/>
        </w:rPr>
        <w:t>kets significantly impacted by business slowdowns and shutdowns.</w:t>
      </w:r>
    </w:p>
    <w:p w:rsidR="00000000" w:rsidRDefault="00485CCD">
      <w:pPr>
        <w:jc w:val="center"/>
        <w:divId w:val="1476987280"/>
        <w:rPr>
          <w:rFonts w:eastAsia="Times New Roman"/>
        </w:rPr>
      </w:pPr>
      <w:r>
        <w:rPr>
          <w:rFonts w:ascii="Arial" w:eastAsia="Times New Roman" w:hAnsi="Arial" w:cs="Arial"/>
          <w:color w:val="000000"/>
          <w:sz w:val="20"/>
          <w:szCs w:val="20"/>
        </w:rPr>
        <w:t>23</w:t>
      </w:r>
    </w:p>
    <w:p w:rsidR="00000000" w:rsidRDefault="00485CCD">
      <w:pPr>
        <w:rPr>
          <w:rFonts w:eastAsia="Times New Roman"/>
        </w:rPr>
      </w:pPr>
      <w:r>
        <w:rPr>
          <w:rFonts w:eastAsia="Times New Roman"/>
        </w:rPr>
        <w:pict>
          <v:rect id="_x0000_i1059" style="width:0;height:1.5pt" o:hralign="center" o:hrstd="t" o:hr="t" fillcolor="#a0a0a0" stroked="f"/>
        </w:pict>
      </w:r>
    </w:p>
    <w:p w:rsidR="00000000" w:rsidRDefault="00485CCD">
      <w:pPr>
        <w:divId w:val="863981032"/>
        <w:rPr>
          <w:rFonts w:eastAsia="Times New Roman"/>
        </w:rPr>
      </w:pPr>
    </w:p>
    <w:p w:rsidR="00000000" w:rsidRDefault="00485CCD">
      <w:pPr>
        <w:ind w:firstLine="720"/>
        <w:jc w:val="both"/>
        <w:divId w:val="2009555030"/>
        <w:rPr>
          <w:rFonts w:eastAsia="Times New Roman"/>
        </w:rPr>
      </w:pPr>
      <w:r>
        <w:rPr>
          <w:rFonts w:ascii="Arial" w:eastAsia="Times New Roman" w:hAnsi="Arial" w:cs="Arial"/>
          <w:i/>
          <w:iCs/>
          <w:color w:val="0046AD"/>
          <w:sz w:val="20"/>
          <w:szCs w:val="20"/>
        </w:rPr>
        <w:t>Liquidity, Cash Flows, and Financial Position</w:t>
      </w:r>
    </w:p>
    <w:p w:rsidR="00000000" w:rsidRDefault="00485CCD">
      <w:pPr>
        <w:ind w:firstLine="720"/>
        <w:jc w:val="both"/>
        <w:divId w:val="1800298134"/>
        <w:rPr>
          <w:rFonts w:eastAsia="Times New Roman"/>
        </w:rPr>
      </w:pPr>
      <w:r>
        <w:rPr>
          <w:rFonts w:ascii="Arial" w:eastAsia="Times New Roman" w:hAnsi="Arial" w:cs="Arial"/>
          <w:color w:val="000000"/>
          <w:sz w:val="20"/>
          <w:szCs w:val="20"/>
        </w:rPr>
        <w:t>We have taken and continue to take actions to help preserve cash, increase liquidity, and strengthen our</w:t>
      </w:r>
      <w:r>
        <w:rPr>
          <w:rFonts w:ascii="Arial" w:eastAsia="Times New Roman" w:hAnsi="Arial" w:cs="Arial"/>
          <w:color w:val="000000"/>
          <w:sz w:val="20"/>
          <w:szCs w:val="20"/>
        </w:rPr>
        <w:t xml:space="preserve"> financial position, including:</w:t>
      </w:r>
    </w:p>
    <w:p w:rsidR="00000000" w:rsidRDefault="00485CCD">
      <w:pPr>
        <w:ind w:hanging="360"/>
        <w:jc w:val="both"/>
        <w:divId w:val="1143111530"/>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Amending our credit facility on June 28, 2021, to increase our borrowing capacity and further enhance our financial flexibility (refer to “Liquidity and Capital Resources” for more information);</w:t>
      </w:r>
    </w:p>
    <w:p w:rsidR="00000000" w:rsidRDefault="00485CCD">
      <w:pPr>
        <w:ind w:hanging="360"/>
        <w:jc w:val="both"/>
        <w:divId w:val="59054666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Focusing on collection of client receivables and monitoring the adequacy of our reserves; </w:t>
      </w:r>
    </w:p>
    <w:p w:rsidR="00000000" w:rsidRDefault="00485CCD">
      <w:pPr>
        <w:ind w:hanging="360"/>
        <w:jc w:val="both"/>
        <w:divId w:val="1417822372"/>
        <w:rPr>
          <w:rFonts w:eastAsia="Times New Roman"/>
        </w:rPr>
      </w:pPr>
      <w:r>
        <w:rPr>
          <w:rFonts w:ascii="Arial" w:eastAsia="Times New Roman" w:hAnsi="Arial" w:cs="Arial"/>
          <w:color w:val="000000"/>
          <w:sz w:val="20"/>
          <w:szCs w:val="20"/>
        </w:rPr>
        <w:t>•Extending vendor payment terms where possible; and</w:t>
      </w:r>
    </w:p>
    <w:p w:rsidR="00000000" w:rsidRDefault="00485CCD">
      <w:pPr>
        <w:ind w:hanging="360"/>
        <w:jc w:val="both"/>
        <w:divId w:val="2114133457"/>
        <w:rPr>
          <w:rFonts w:eastAsia="Times New Roman"/>
        </w:rPr>
      </w:pPr>
      <w:r>
        <w:rPr>
          <w:rFonts w:ascii="Arial" w:eastAsia="Times New Roman" w:hAnsi="Arial" w:cs="Arial"/>
          <w:color w:val="000000"/>
          <w:sz w:val="20"/>
          <w:szCs w:val="20"/>
        </w:rPr>
        <w:t>•Utilizing certain governmental relief efforts (as further described below).</w:t>
      </w:r>
    </w:p>
    <w:p w:rsidR="00000000" w:rsidRDefault="00485CCD">
      <w:pPr>
        <w:ind w:firstLine="720"/>
        <w:jc w:val="both"/>
        <w:divId w:val="1949388367"/>
        <w:rPr>
          <w:rFonts w:eastAsia="Times New Roman"/>
        </w:rPr>
      </w:pPr>
      <w:r>
        <w:rPr>
          <w:rFonts w:ascii="Arial" w:eastAsia="Times New Roman" w:hAnsi="Arial" w:cs="Arial"/>
          <w:color w:val="000000"/>
          <w:sz w:val="20"/>
          <w:szCs w:val="20"/>
        </w:rPr>
        <w:t>In response to the Pandemic, Congress enacted the Coronavirus Aid, Relief, and Economic Security Act (“CARES Act”) on March 27, 2020. The CARES Act provides various stimulus measures, including several income tax and payroll tax provisions. Among the payro</w:t>
      </w:r>
      <w:r>
        <w:rPr>
          <w:rFonts w:ascii="Arial" w:eastAsia="Times New Roman" w:hAnsi="Arial" w:cs="Arial"/>
          <w:color w:val="000000"/>
          <w:sz w:val="20"/>
          <w:szCs w:val="20"/>
        </w:rPr>
        <w:t xml:space="preserve">ll tax provisions is the creation of a refundable credit for employee retention and the deferral of certain payroll tax remittances through December 31, 2020, to future years (with 50% of the deferred amount due by December 31, 2021, and the remaining 50% </w:t>
      </w:r>
      <w:r>
        <w:rPr>
          <w:rFonts w:ascii="Arial" w:eastAsia="Times New Roman" w:hAnsi="Arial" w:cs="Arial"/>
          <w:color w:val="000000"/>
          <w:sz w:val="20"/>
          <w:szCs w:val="20"/>
        </w:rPr>
        <w:t>due by December 31, 2022). We evaluated the impact of business tax provisions in the CARES Act and determined the impact of the income tax provisions is not material. The impact of the payroll tax provisions was the deferral of approximately $132 million o</w:t>
      </w:r>
      <w:r>
        <w:rPr>
          <w:rFonts w:ascii="Arial" w:eastAsia="Times New Roman" w:hAnsi="Arial" w:cs="Arial"/>
          <w:color w:val="000000"/>
          <w:sz w:val="20"/>
          <w:szCs w:val="20"/>
        </w:rPr>
        <w:t xml:space="preserve">f payroll tax as of October 31, 2021. Additionally, we received grants under the United Kingdom’s job retention scheme to reimburse us for a portion of certain furloughed employees’ salaries from March 2020 through September 2021. </w:t>
      </w:r>
    </w:p>
    <w:p w:rsidR="00000000" w:rsidRDefault="00485CCD">
      <w:pPr>
        <w:ind w:firstLine="720"/>
        <w:jc w:val="both"/>
        <w:divId w:val="1298727221"/>
        <w:rPr>
          <w:rFonts w:eastAsia="Times New Roman"/>
        </w:rPr>
      </w:pPr>
      <w:r>
        <w:rPr>
          <w:rFonts w:ascii="Arial" w:eastAsia="Times New Roman" w:hAnsi="Arial" w:cs="Arial"/>
          <w:color w:val="000000"/>
          <w:sz w:val="20"/>
          <w:szCs w:val="20"/>
        </w:rPr>
        <w:t>As a result of the actio</w:t>
      </w:r>
      <w:r>
        <w:rPr>
          <w:rFonts w:ascii="Arial" w:eastAsia="Times New Roman" w:hAnsi="Arial" w:cs="Arial"/>
          <w:color w:val="000000"/>
          <w:sz w:val="20"/>
          <w:szCs w:val="20"/>
        </w:rPr>
        <w:t>ns taken above, we were able to strengthen our cash flow in fiscal 2021. As of October 31, 2021, these actions resulted in a borrowing capacity of $875.0 million.</w:t>
      </w:r>
    </w:p>
    <w:p w:rsidR="00000000" w:rsidRDefault="00485CCD">
      <w:pPr>
        <w:jc w:val="both"/>
        <w:divId w:val="1406684225"/>
        <w:rPr>
          <w:rFonts w:eastAsia="Times New Roman"/>
        </w:rPr>
      </w:pPr>
      <w:r>
        <w:rPr>
          <w:rFonts w:ascii="Arial" w:eastAsia="Times New Roman" w:hAnsi="Arial" w:cs="Arial"/>
          <w:b/>
          <w:bCs/>
          <w:color w:val="0046AD"/>
          <w:sz w:val="20"/>
          <w:szCs w:val="20"/>
        </w:rPr>
        <w:t>Insurance Reserves</w:t>
      </w:r>
    </w:p>
    <w:p w:rsidR="00000000" w:rsidRDefault="00485CCD">
      <w:pPr>
        <w:ind w:firstLine="720"/>
        <w:jc w:val="both"/>
        <w:divId w:val="1965891108"/>
        <w:rPr>
          <w:rFonts w:eastAsia="Times New Roman"/>
        </w:rPr>
      </w:pPr>
      <w:r>
        <w:rPr>
          <w:rFonts w:ascii="Arial" w:eastAsia="Times New Roman" w:hAnsi="Arial" w:cs="Arial"/>
          <w:color w:val="000000"/>
          <w:sz w:val="20"/>
          <w:szCs w:val="20"/>
        </w:rPr>
        <w:t>We use a combination of insured and self-insurance programs to cover worke</w:t>
      </w:r>
      <w:r>
        <w:rPr>
          <w:rFonts w:ascii="Arial" w:eastAsia="Times New Roman" w:hAnsi="Arial" w:cs="Arial"/>
          <w:color w:val="000000"/>
          <w:sz w:val="20"/>
          <w:szCs w:val="20"/>
        </w:rPr>
        <w:t>rs’ compensation, general liability, automobile liability, property damage, and other insurable risks. Insurance claim liabilities represent our estimate of retained risks without regard to insurance coverage. We retain a substantial portion of the risk re</w:t>
      </w:r>
      <w:r>
        <w:rPr>
          <w:rFonts w:ascii="Arial" w:eastAsia="Times New Roman" w:hAnsi="Arial" w:cs="Arial"/>
          <w:color w:val="000000"/>
          <w:sz w:val="20"/>
          <w:szCs w:val="20"/>
        </w:rPr>
        <w:t>lated to certain workers’ compensation and medical claims. Liabilities associated with these losses include estimates of both filed claims and incurred but not reported claims (“IBNR Claims”).</w:t>
      </w:r>
    </w:p>
    <w:p w:rsidR="00000000" w:rsidRDefault="00485CCD">
      <w:pPr>
        <w:ind w:firstLine="720"/>
        <w:jc w:val="both"/>
        <w:divId w:val="1607035553"/>
        <w:rPr>
          <w:rFonts w:eastAsia="Times New Roman"/>
        </w:rPr>
      </w:pPr>
      <w:r>
        <w:rPr>
          <w:rFonts w:ascii="Arial" w:eastAsia="Times New Roman" w:hAnsi="Arial" w:cs="Arial"/>
          <w:color w:val="000000"/>
          <w:sz w:val="20"/>
          <w:szCs w:val="20"/>
        </w:rPr>
        <w:t>With the assistance of third-party actuaries, we review our est</w:t>
      </w:r>
      <w:r>
        <w:rPr>
          <w:rFonts w:ascii="Arial" w:eastAsia="Times New Roman" w:hAnsi="Arial" w:cs="Arial"/>
          <w:color w:val="000000"/>
          <w:sz w:val="20"/>
          <w:szCs w:val="20"/>
        </w:rPr>
        <w:t>imate of ultimate losses for IBNR Claims on a quarterly basis and adjust our required self-insurance reserves as appropriate. As part of this evaluation, we review the status of existing and new claim reserves as established by third-party claims administr</w:t>
      </w:r>
      <w:r>
        <w:rPr>
          <w:rFonts w:ascii="Arial" w:eastAsia="Times New Roman" w:hAnsi="Arial" w:cs="Arial"/>
          <w:color w:val="000000"/>
          <w:sz w:val="20"/>
          <w:szCs w:val="20"/>
        </w:rPr>
        <w:t>ators. The third-party claims administrators establish the case reserves based upon known factors related to the type and severity of the claims, demographic factors, legislative matters, and case law, as appropriate. We compare actual trends to expected t</w:t>
      </w:r>
      <w:r>
        <w:rPr>
          <w:rFonts w:ascii="Arial" w:eastAsia="Times New Roman" w:hAnsi="Arial" w:cs="Arial"/>
          <w:color w:val="000000"/>
          <w:sz w:val="20"/>
          <w:szCs w:val="20"/>
        </w:rPr>
        <w:t>rends and monitor claims developments. The specific case reserves estimated by the third-party administrators are provided to an actuary who assists us in projecting an actuarial estimate of the overall ultimate losses for our self-insured or high deductib</w:t>
      </w:r>
      <w:r>
        <w:rPr>
          <w:rFonts w:ascii="Arial" w:eastAsia="Times New Roman" w:hAnsi="Arial" w:cs="Arial"/>
          <w:color w:val="000000"/>
          <w:sz w:val="20"/>
          <w:szCs w:val="20"/>
        </w:rPr>
        <w:t>le programs, which includes the case reserves plus an actuarial estimate of reserves required for additional developments, such as IBNR Claims. We utilize the results of actuarial studies to estimate our insurance rates and insurance reserves for future pe</w:t>
      </w:r>
      <w:r>
        <w:rPr>
          <w:rFonts w:ascii="Arial" w:eastAsia="Times New Roman" w:hAnsi="Arial" w:cs="Arial"/>
          <w:color w:val="000000"/>
          <w:sz w:val="20"/>
          <w:szCs w:val="20"/>
        </w:rPr>
        <w:t>riods and to adjust reserves, if appropriate, for prior years.</w:t>
      </w:r>
    </w:p>
    <w:p w:rsidR="00000000" w:rsidRDefault="00485CCD">
      <w:pPr>
        <w:ind w:firstLine="720"/>
        <w:jc w:val="both"/>
        <w:divId w:val="1405371870"/>
        <w:rPr>
          <w:rFonts w:eastAsia="Times New Roman"/>
        </w:rPr>
      </w:pPr>
      <w:r>
        <w:rPr>
          <w:rFonts w:ascii="Arial" w:eastAsia="Times New Roman" w:hAnsi="Arial" w:cs="Arial"/>
          <w:color w:val="000000"/>
          <w:sz w:val="20"/>
          <w:szCs w:val="20"/>
        </w:rPr>
        <w:t>The actuarial reviews demonstrate that the changes we have made to our risk management program continue to positively impact the frequency and severity of claims. The claims management strategi</w:t>
      </w:r>
      <w:r>
        <w:rPr>
          <w:rFonts w:ascii="Arial" w:eastAsia="Times New Roman" w:hAnsi="Arial" w:cs="Arial"/>
          <w:color w:val="000000"/>
          <w:sz w:val="20"/>
          <w:szCs w:val="20"/>
        </w:rPr>
        <w:t>es and programs that we have implemented have resulted in improvements. Furthermore, we continue to adjust our reserves consistent with known fact patterns. Based on the results of the actuarial reviews performed, we decreased our total reserves related to</w:t>
      </w:r>
      <w:r>
        <w:rPr>
          <w:rFonts w:ascii="Arial" w:eastAsia="Times New Roman" w:hAnsi="Arial" w:cs="Arial"/>
          <w:color w:val="000000"/>
          <w:sz w:val="20"/>
          <w:szCs w:val="20"/>
        </w:rPr>
        <w:t xml:space="preserve"> prior years for known claims as well as our estimate of the loss amounts associated with IBNR claims during 2021 by $36.0 million. In 2020, we decreased our total reserves related to prior year claims by $30.2 million.</w:t>
      </w:r>
    </w:p>
    <w:p w:rsidR="00000000" w:rsidRDefault="00485CCD">
      <w:pPr>
        <w:jc w:val="center"/>
        <w:divId w:val="1763454629"/>
        <w:rPr>
          <w:rFonts w:eastAsia="Times New Roman"/>
        </w:rPr>
      </w:pPr>
      <w:r>
        <w:rPr>
          <w:rFonts w:ascii="Arial" w:eastAsia="Times New Roman" w:hAnsi="Arial" w:cs="Arial"/>
          <w:color w:val="000000"/>
          <w:sz w:val="20"/>
          <w:szCs w:val="20"/>
        </w:rPr>
        <w:t>24</w:t>
      </w:r>
    </w:p>
    <w:p w:rsidR="00000000" w:rsidRDefault="00485CCD">
      <w:pPr>
        <w:rPr>
          <w:rFonts w:eastAsia="Times New Roman"/>
        </w:rPr>
      </w:pPr>
      <w:r>
        <w:rPr>
          <w:rFonts w:eastAsia="Times New Roman"/>
        </w:rPr>
        <w:pict>
          <v:rect id="_x0000_i1060" style="width:0;height:1.5pt" o:hralign="center" o:hrstd="t" o:hr="t" fillcolor="#a0a0a0" stroked="f"/>
        </w:pict>
      </w:r>
    </w:p>
    <w:p w:rsidR="00000000" w:rsidRDefault="00485CCD">
      <w:pPr>
        <w:divId w:val="854735071"/>
        <w:rPr>
          <w:rFonts w:eastAsia="Times New Roman"/>
        </w:rPr>
      </w:pPr>
    </w:p>
    <w:p w:rsidR="00000000" w:rsidRDefault="00485CCD">
      <w:pPr>
        <w:divId w:val="343283819"/>
        <w:rPr>
          <w:rFonts w:eastAsia="Times New Roman"/>
        </w:rPr>
      </w:pPr>
      <w:r>
        <w:rPr>
          <w:rFonts w:ascii="Arial" w:eastAsia="Times New Roman" w:hAnsi="Arial" w:cs="Arial"/>
          <w:b/>
          <w:bCs/>
          <w:color w:val="0046AD"/>
          <w:sz w:val="20"/>
          <w:szCs w:val="20"/>
        </w:rPr>
        <w:t>Key Financial Highlights</w:t>
      </w:r>
    </w:p>
    <w:p w:rsidR="00000000" w:rsidRDefault="00485CCD">
      <w:pPr>
        <w:ind w:hanging="360"/>
        <w:divId w:val="102348274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Revenues increased by $241.0 million, or 4.0%, during 2021, as compared to 2020, primarily driven by a $101.1 million revenue increase due to the Able Acquisition in the fourth quarter of 2021, an increase in work orders (pr</w:t>
      </w:r>
      <w:r>
        <w:rPr>
          <w:rFonts w:ascii="Arial" w:eastAsia="Times New Roman" w:hAnsi="Arial" w:cs="Arial"/>
          <w:color w:val="000000"/>
          <w:sz w:val="20"/>
          <w:szCs w:val="20"/>
        </w:rPr>
        <w:t xml:space="preserve">imarily as a result of the Pandemic), new business within B&amp;I, T&amp;M, and Technical Solutions, and the recovery of volume in Education and Technical Solutions as Pandemic-related disruptions eased in the last half of fiscal year 2021. </w:t>
      </w:r>
    </w:p>
    <w:p w:rsidR="00000000" w:rsidRDefault="00485CCD">
      <w:pPr>
        <w:ind w:hanging="360"/>
        <w:jc w:val="both"/>
        <w:divId w:val="130045349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Operating profit incr</w:t>
      </w:r>
      <w:r>
        <w:rPr>
          <w:rFonts w:ascii="Arial" w:eastAsia="Times New Roman" w:hAnsi="Arial" w:cs="Arial"/>
          <w:color w:val="000000"/>
          <w:sz w:val="20"/>
          <w:szCs w:val="20"/>
        </w:rPr>
        <w:t>eased by $110.6 million during 2021, as compared to 2020. The increase in operating profit was attributable to:</w:t>
      </w:r>
    </w:p>
    <w:p w:rsidR="00000000" w:rsidRDefault="00485CCD">
      <w:pPr>
        <w:spacing w:before="180"/>
        <w:ind w:hanging="360"/>
        <w:jc w:val="both"/>
        <w:divId w:val="203753447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prior year impairment charges recorded on goodwill and intangible assets totaling $172.8 million due to the adverse impact of ma</w:t>
      </w:r>
      <w:r>
        <w:rPr>
          <w:rFonts w:ascii="Arial" w:eastAsia="Times New Roman" w:hAnsi="Arial" w:cs="Arial"/>
          <w:color w:val="000000"/>
          <w:sz w:val="20"/>
          <w:szCs w:val="20"/>
        </w:rPr>
        <w:t>rket and business conditions resulting from the Pandemic;</w:t>
      </w:r>
    </w:p>
    <w:p w:rsidR="00000000" w:rsidRDefault="00485CCD">
      <w:pPr>
        <w:spacing w:before="180"/>
        <w:ind w:hanging="360"/>
        <w:jc w:val="both"/>
        <w:divId w:val="163567910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higher margins on work orders as a result of the Pandemic;</w:t>
      </w:r>
    </w:p>
    <w:p w:rsidR="00000000" w:rsidRDefault="00485CCD">
      <w:pPr>
        <w:spacing w:before="180"/>
        <w:ind w:hanging="360"/>
        <w:jc w:val="both"/>
        <w:divId w:val="33399524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decrease in bad debt expense, primarily associated with higher reserves established for client receivables in the prior year, due to in</w:t>
      </w:r>
      <w:r>
        <w:rPr>
          <w:rFonts w:ascii="Arial" w:eastAsia="Times New Roman" w:hAnsi="Arial" w:cs="Arial"/>
          <w:color w:val="000000"/>
          <w:sz w:val="20"/>
          <w:szCs w:val="20"/>
        </w:rPr>
        <w:t>creasing credit risk resulting from the Pandemic; and</w:t>
      </w:r>
    </w:p>
    <w:p w:rsidR="00000000" w:rsidRDefault="00485CCD">
      <w:pPr>
        <w:spacing w:before="180"/>
        <w:ind w:hanging="360"/>
        <w:jc w:val="both"/>
        <w:divId w:val="37165785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reserve on notes receivable related to a unique, entertainment-related project within Technical Solutions, mainly associated with increasing credit risk resulting from the Pandemic.</w:t>
      </w:r>
    </w:p>
    <w:p w:rsidR="00000000" w:rsidRDefault="00485CCD">
      <w:pPr>
        <w:jc w:val="both"/>
        <w:divId w:val="609894855"/>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 xml:space="preserve">e increase was partially offset by: </w:t>
      </w:r>
    </w:p>
    <w:p w:rsidR="00000000" w:rsidRDefault="00485CCD">
      <w:pPr>
        <w:spacing w:before="180"/>
        <w:ind w:hanging="360"/>
        <w:divId w:val="20043488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485CCD">
      <w:pPr>
        <w:spacing w:before="180"/>
        <w:ind w:hanging="360"/>
        <w:divId w:val="100643795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increased expenditures for certain technology projects and other enterprise initiatives (including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485CCD">
      <w:pPr>
        <w:spacing w:before="180"/>
        <w:ind w:hanging="360"/>
        <w:divId w:val="172447665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management and staff furloughs that oc</w:t>
      </w:r>
      <w:r>
        <w:rPr>
          <w:rFonts w:ascii="Arial" w:eastAsia="Times New Roman" w:hAnsi="Arial" w:cs="Arial"/>
          <w:color w:val="000000"/>
          <w:sz w:val="20"/>
          <w:szCs w:val="20"/>
        </w:rPr>
        <w:t>curred in the prior year in response to the Pandemic; and</w:t>
      </w:r>
    </w:p>
    <w:p w:rsidR="00000000" w:rsidRDefault="00485CCD">
      <w:pPr>
        <w:spacing w:before="180"/>
        <w:ind w:hanging="360"/>
        <w:divId w:val="78296058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acquisition and integration costs related to the Able Acquisition.</w:t>
      </w:r>
    </w:p>
    <w:p w:rsidR="00000000" w:rsidRDefault="00485CCD">
      <w:pPr>
        <w:ind w:hanging="360"/>
        <w:jc w:val="both"/>
        <w:divId w:val="65372827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Our effective tax rate on income from continuing operations was 29.8% for 2021, as compared to 99.6% during 2020, with the decrea</w:t>
      </w:r>
      <w:r>
        <w:rPr>
          <w:rFonts w:ascii="Arial" w:eastAsia="Times New Roman" w:hAnsi="Arial" w:cs="Arial"/>
          <w:color w:val="000000"/>
          <w:sz w:val="20"/>
          <w:szCs w:val="20"/>
        </w:rPr>
        <w:t>se primarily due to the impairment of non-deductible goodwill during 2020 and not recurring in 2021.</w:t>
      </w:r>
    </w:p>
    <w:p w:rsidR="00000000" w:rsidRDefault="00485CCD">
      <w:pPr>
        <w:ind w:hanging="360"/>
        <w:jc w:val="both"/>
        <w:divId w:val="157084906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Net cash provided by operating activities of continuing operations was $314.3 million during 2021.</w:t>
      </w:r>
    </w:p>
    <w:p w:rsidR="00000000" w:rsidRDefault="00485CCD">
      <w:pPr>
        <w:ind w:hanging="360"/>
        <w:jc w:val="both"/>
        <w:divId w:val="205549509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Dividends of $51.0 million were paid to shareholders, and dividends totaling $0.760 per common share were declared during 2021.</w:t>
      </w:r>
    </w:p>
    <w:p w:rsidR="00000000" w:rsidRDefault="00485CCD">
      <w:pPr>
        <w:ind w:hanging="360"/>
        <w:jc w:val="both"/>
        <w:divId w:val="14235803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At October 31, 2021, total </w:t>
      </w:r>
      <w:r>
        <w:rPr>
          <w:rFonts w:ascii="Arial" w:eastAsia="Times New Roman" w:hAnsi="Arial" w:cs="Arial"/>
          <w:color w:val="000000"/>
          <w:sz w:val="20"/>
          <w:szCs w:val="20"/>
        </w:rPr>
        <w:t>outstanding borrowings under our credit facility were $888.8 million, and we had up to $875.0 million of borrowing capacity.</w:t>
      </w:r>
    </w:p>
    <w:p w:rsidR="00000000" w:rsidRDefault="00485CCD">
      <w:pPr>
        <w:jc w:val="center"/>
        <w:divId w:val="1980063119"/>
        <w:rPr>
          <w:rFonts w:eastAsia="Times New Roman"/>
        </w:rPr>
      </w:pPr>
      <w:r>
        <w:rPr>
          <w:rFonts w:ascii="Arial" w:eastAsia="Times New Roman" w:hAnsi="Arial" w:cs="Arial"/>
          <w:color w:val="000000"/>
          <w:sz w:val="20"/>
          <w:szCs w:val="20"/>
        </w:rPr>
        <w:t>25</w:t>
      </w:r>
    </w:p>
    <w:p w:rsidR="00000000" w:rsidRDefault="00485CCD">
      <w:pPr>
        <w:rPr>
          <w:rFonts w:eastAsia="Times New Roman"/>
        </w:rPr>
      </w:pPr>
      <w:r>
        <w:rPr>
          <w:rFonts w:eastAsia="Times New Roman"/>
        </w:rPr>
        <w:pict>
          <v:rect id="_x0000_i1061" style="width:0;height:1.5pt" o:hralign="center" o:hrstd="t" o:hr="t" fillcolor="#a0a0a0" stroked="f"/>
        </w:pict>
      </w:r>
    </w:p>
    <w:p w:rsidR="00000000" w:rsidRDefault="00485CCD">
      <w:pPr>
        <w:divId w:val="1060249180"/>
        <w:rPr>
          <w:rFonts w:eastAsia="Times New Roman"/>
        </w:rPr>
      </w:pPr>
    </w:p>
    <w:p w:rsidR="00000000" w:rsidRDefault="00485CCD">
      <w:pPr>
        <w:jc w:val="both"/>
        <w:divId w:val="139226357"/>
        <w:rPr>
          <w:rFonts w:eastAsia="Times New Roman"/>
        </w:rPr>
      </w:pPr>
      <w:r>
        <w:rPr>
          <w:rFonts w:ascii="Arial" w:eastAsia="Times New Roman" w:hAnsi="Arial" w:cs="Arial"/>
          <w:b/>
          <w:bCs/>
          <w:color w:val="0046AD"/>
          <w:sz w:val="20"/>
          <w:szCs w:val="20"/>
          <w:shd w:val="clear" w:color="auto" w:fill="FFFFFF"/>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48078230"/>
        </w:trPr>
        <w:tc>
          <w:tcPr>
            <w:tcW w:w="5" w:type="pct"/>
            <w:vAlign w:val="center"/>
            <w:hideMark/>
          </w:tcPr>
          <w:p w:rsidR="00000000" w:rsidRDefault="00485CCD">
            <w:pPr>
              <w:jc w:val="both"/>
              <w:rPr>
                <w:rFonts w:eastAsia="Times New Roman"/>
              </w:rPr>
            </w:pPr>
          </w:p>
        </w:tc>
        <w:tc>
          <w:tcPr>
            <w:tcW w:w="1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48078230"/>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661545037"/>
        <w:rPr>
          <w:rFonts w:eastAsia="Times New Roman"/>
        </w:rPr>
      </w:pPr>
      <w:r>
        <w:rPr>
          <w:rFonts w:ascii="Arial" w:eastAsia="Times New Roman" w:hAnsi="Arial" w:cs="Arial"/>
          <w:b/>
          <w:bCs/>
          <w:i/>
          <w:iCs/>
          <w:color w:val="0046AD"/>
          <w:sz w:val="20"/>
          <w:szCs w:val="20"/>
        </w:rPr>
        <w:t>Consolidated</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210"/>
        <w:gridCol w:w="40"/>
        <w:gridCol w:w="121"/>
        <w:gridCol w:w="839"/>
        <w:gridCol w:w="163"/>
        <w:gridCol w:w="36"/>
        <w:gridCol w:w="36"/>
        <w:gridCol w:w="36"/>
        <w:gridCol w:w="121"/>
        <w:gridCol w:w="768"/>
        <w:gridCol w:w="163"/>
        <w:gridCol w:w="36"/>
        <w:gridCol w:w="36"/>
        <w:gridCol w:w="36"/>
        <w:gridCol w:w="121"/>
        <w:gridCol w:w="769"/>
        <w:gridCol w:w="163"/>
        <w:gridCol w:w="36"/>
        <w:gridCol w:w="36"/>
        <w:gridCol w:w="36"/>
        <w:gridCol w:w="122"/>
        <w:gridCol w:w="574"/>
        <w:gridCol w:w="37"/>
        <w:gridCol w:w="37"/>
        <w:gridCol w:w="37"/>
        <w:gridCol w:w="37"/>
        <w:gridCol w:w="57"/>
        <w:gridCol w:w="524"/>
        <w:gridCol w:w="38"/>
      </w:tblGrid>
      <w:tr w:rsidR="00000000">
        <w:trPr>
          <w:divId w:val="791753489"/>
        </w:trPr>
        <w:tc>
          <w:tcPr>
            <w:tcW w:w="50" w:type="pct"/>
            <w:vAlign w:val="center"/>
            <w:hideMark/>
          </w:tcPr>
          <w:p w:rsidR="00000000" w:rsidRDefault="00485CCD">
            <w:pPr>
              <w:rPr>
                <w:rFonts w:eastAsia="Times New Roman"/>
              </w:rPr>
            </w:pPr>
          </w:p>
        </w:tc>
        <w:tc>
          <w:tcPr>
            <w:tcW w:w="1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91753489"/>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2021 vs. 2020</w:t>
            </w:r>
          </w:p>
        </w:tc>
      </w:tr>
      <w:tr w:rsidR="00000000">
        <w:trPr>
          <w:divId w:val="79175348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Increase / (Decrease)</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241.0 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4.0%</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5,258.2 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5,157.0 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5,767.5 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2.0%</w:t>
            </w:r>
          </w:p>
        </w:tc>
      </w:tr>
      <w:tr w:rsidR="00000000">
        <w:trPr>
          <w:divId w:val="791753489"/>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15.6 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13.9 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11.2 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171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719.2 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506.1 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452.9 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213.1 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42.1%</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45.0 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48.4 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58.5 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(7.1)%</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 xml:space="preserve">Impairment loss of goodwill and other intangibles </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(172.8)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vAlign w:val="center"/>
            <w:hideMark/>
          </w:tcPr>
          <w:p w:rsidR="00000000" w:rsidRDefault="00485CCD">
            <w:pPr>
              <w:jc w:val="center"/>
              <w:rPr>
                <w:rFonts w:eastAsia="Times New Roman"/>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(3.9)%</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(28.6)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(44.6)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(51.1)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35.9%</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Income from continuing operations before</w:t>
            </w:r>
            <w:r>
              <w:rPr>
                <w:rFonts w:ascii="Arial" w:eastAsia="Times New Roman" w:hAnsi="Arial" w:cs="Arial"/>
                <w:color w:val="000000"/>
                <w:sz w:val="18"/>
                <w:szCs w:val="18"/>
              </w:rPr>
              <w:br/>
              <w:t>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179.8 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(32.7)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(0.8)%</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Income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 xml:space="preserve">Income (loss) from discontinued operations, </w:t>
            </w:r>
            <w:r>
              <w:rPr>
                <w:rFonts w:ascii="Arial" w:eastAsia="Times New Roman" w:hAnsi="Arial" w:cs="Arial"/>
                <w:color w:val="000000"/>
                <w:sz w:val="18"/>
                <w:szCs w:val="18"/>
              </w:rPr>
              <w:br/>
              <w:t>net of taxes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91753489"/>
        </w:trPr>
        <w:tc>
          <w:tcPr>
            <w:tcW w:w="0" w:type="auto"/>
            <w:gridSpan w:val="3"/>
            <w:shd w:val="clear" w:color="auto" w:fill="DCE2EF"/>
            <w:tcMar>
              <w:top w:w="30" w:type="dxa"/>
              <w:left w:w="5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(22.4)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5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DCE2EF"/>
            <w:tcMar>
              <w:top w:w="30" w:type="dxa"/>
              <w:left w:w="5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79175348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141.1 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bl>
    <w:p w:rsidR="00000000" w:rsidRDefault="00485CCD">
      <w:pPr>
        <w:divId w:val="919560939"/>
        <w:rPr>
          <w:rFonts w:eastAsia="Times New Roman"/>
        </w:rPr>
      </w:pPr>
      <w:r>
        <w:rPr>
          <w:rFonts w:ascii="Arial" w:eastAsia="Times New Roman" w:hAnsi="Arial" w:cs="Arial"/>
          <w:color w:val="000000"/>
          <w:sz w:val="18"/>
          <w:szCs w:val="18"/>
        </w:rPr>
        <w:t>*Not meaningful</w:t>
      </w:r>
    </w:p>
    <w:p w:rsidR="00000000" w:rsidRDefault="00485CCD">
      <w:pPr>
        <w:jc w:val="both"/>
        <w:divId w:val="1948612961"/>
        <w:rPr>
          <w:rFonts w:eastAsia="Times New Roman"/>
        </w:rPr>
      </w:pPr>
      <w:r>
        <w:rPr>
          <w:rFonts w:ascii="Arial" w:eastAsia="Times New Roman" w:hAnsi="Arial" w:cs="Arial"/>
          <w:b/>
          <w:bCs/>
          <w:i/>
          <w:iCs/>
          <w:color w:val="0046AD"/>
          <w:sz w:val="20"/>
          <w:szCs w:val="20"/>
        </w:rPr>
        <w:t>The Year Ended Octobe</w:t>
      </w:r>
      <w:r>
        <w:rPr>
          <w:rFonts w:ascii="Arial" w:eastAsia="Times New Roman" w:hAnsi="Arial" w:cs="Arial"/>
          <w:b/>
          <w:bCs/>
          <w:i/>
          <w:iCs/>
          <w:color w:val="0046AD"/>
          <w:sz w:val="20"/>
          <w:szCs w:val="20"/>
        </w:rPr>
        <w:t>r 31, 2021 Compared with the Year Ended October 31, 2020</w:t>
      </w:r>
    </w:p>
    <w:p w:rsidR="00000000" w:rsidRDefault="00485CCD">
      <w:pPr>
        <w:jc w:val="both"/>
        <w:divId w:val="559827735"/>
        <w:rPr>
          <w:rFonts w:eastAsia="Times New Roman"/>
        </w:rPr>
      </w:pPr>
      <w:r>
        <w:rPr>
          <w:rFonts w:ascii="Arial" w:eastAsia="Times New Roman" w:hAnsi="Arial" w:cs="Arial"/>
          <w:b/>
          <w:bCs/>
          <w:i/>
          <w:iCs/>
          <w:color w:val="0046AD"/>
          <w:sz w:val="20"/>
          <w:szCs w:val="20"/>
        </w:rPr>
        <w:t xml:space="preserve">Revenues </w:t>
      </w:r>
    </w:p>
    <w:p w:rsidR="00000000" w:rsidRDefault="00485CCD">
      <w:pPr>
        <w:ind w:firstLine="720"/>
        <w:jc w:val="both"/>
        <w:divId w:val="1574660614"/>
        <w:rPr>
          <w:rFonts w:eastAsia="Times New Roman"/>
        </w:rPr>
      </w:pPr>
      <w:r>
        <w:rPr>
          <w:rFonts w:ascii="Arial" w:eastAsia="Times New Roman" w:hAnsi="Arial" w:cs="Arial"/>
          <w:color w:val="000000"/>
          <w:sz w:val="20"/>
          <w:szCs w:val="20"/>
        </w:rPr>
        <w:t>Revenues increased by $241.0 million, or 4.0%, during 2021, as compared to 2020. The increase in revenues was primarily driven by a $101.1 million revenue increase due to the Able Acquisition in the fourth quarter of 2021, an increase in work orders (prima</w:t>
      </w:r>
      <w:r>
        <w:rPr>
          <w:rFonts w:ascii="Arial" w:eastAsia="Times New Roman" w:hAnsi="Arial" w:cs="Arial"/>
          <w:color w:val="000000"/>
          <w:sz w:val="20"/>
          <w:szCs w:val="20"/>
        </w:rPr>
        <w:t xml:space="preserve">rily as a result of the Pandemic), new business within B&amp;I, T&amp;M, and Technical Solutions, and the recovery of volume in Education and Technical Solutions as Pandemic-related disruptions eased in the last half of fiscal year 2021. </w:t>
      </w:r>
    </w:p>
    <w:p w:rsidR="00000000" w:rsidRDefault="00485CCD">
      <w:pPr>
        <w:jc w:val="both"/>
        <w:divId w:val="2110656765"/>
        <w:rPr>
          <w:rFonts w:eastAsia="Times New Roman"/>
        </w:rPr>
      </w:pPr>
      <w:r>
        <w:rPr>
          <w:rFonts w:ascii="Arial" w:eastAsia="Times New Roman" w:hAnsi="Arial" w:cs="Arial"/>
          <w:b/>
          <w:bCs/>
          <w:i/>
          <w:iCs/>
          <w:color w:val="0046AD"/>
          <w:sz w:val="20"/>
          <w:szCs w:val="20"/>
        </w:rPr>
        <w:t xml:space="preserve">Operating Expenses </w:t>
      </w:r>
    </w:p>
    <w:p w:rsidR="00000000" w:rsidRDefault="00485CCD">
      <w:pPr>
        <w:ind w:firstLine="720"/>
        <w:jc w:val="both"/>
        <w:divId w:val="988558468"/>
        <w:rPr>
          <w:rFonts w:eastAsia="Times New Roman"/>
        </w:rPr>
      </w:pPr>
      <w:r>
        <w:rPr>
          <w:rFonts w:ascii="Arial" w:eastAsia="Times New Roman" w:hAnsi="Arial" w:cs="Arial"/>
          <w:color w:val="000000"/>
          <w:sz w:val="20"/>
          <w:szCs w:val="20"/>
        </w:rPr>
        <w:t>Opera</w:t>
      </w:r>
      <w:r>
        <w:rPr>
          <w:rFonts w:ascii="Arial" w:eastAsia="Times New Roman" w:hAnsi="Arial" w:cs="Arial"/>
          <w:color w:val="000000"/>
          <w:sz w:val="20"/>
          <w:szCs w:val="20"/>
        </w:rPr>
        <w:t>ting expenses increased by $101.2 million, or 2.0%, during 2021, as compared to 2020. Gross margin increased by 171 bps to 15.6% in 2021 from 13.9% in 2020. The increase in gross margin was primarily associated with higher margins on new business within B&amp;</w:t>
      </w:r>
      <w:r>
        <w:rPr>
          <w:rFonts w:ascii="Arial" w:eastAsia="Times New Roman" w:hAnsi="Arial" w:cs="Arial"/>
          <w:color w:val="000000"/>
          <w:sz w:val="20"/>
          <w:szCs w:val="20"/>
        </w:rPr>
        <w:t>I and Aviation and an increase in work orders with higher margins as a result of the Pandemic (primarily within B&amp;I). The increase in gross margin was also driven by lower self-insurance expense, due to decreased claim frequency as a result of our safety a</w:t>
      </w:r>
      <w:r>
        <w:rPr>
          <w:rFonts w:ascii="Arial" w:eastAsia="Times New Roman" w:hAnsi="Arial" w:cs="Arial"/>
          <w:color w:val="000000"/>
          <w:sz w:val="20"/>
          <w:szCs w:val="20"/>
        </w:rPr>
        <w:t>nd claims management program and reduced workplace occupancy as a result of the Pandemic.</w:t>
      </w:r>
    </w:p>
    <w:p w:rsidR="00000000" w:rsidRDefault="00485CCD">
      <w:pPr>
        <w:jc w:val="both"/>
        <w:divId w:val="1332874175"/>
        <w:rPr>
          <w:rFonts w:eastAsia="Times New Roman"/>
        </w:rPr>
      </w:pPr>
      <w:r>
        <w:rPr>
          <w:rFonts w:ascii="Arial" w:eastAsia="Times New Roman" w:hAnsi="Arial" w:cs="Arial"/>
          <w:b/>
          <w:bCs/>
          <w:i/>
          <w:iCs/>
          <w:color w:val="0046AD"/>
          <w:sz w:val="20"/>
          <w:szCs w:val="20"/>
        </w:rPr>
        <w:t>Selling, General and Administrative Expenses</w:t>
      </w:r>
    </w:p>
    <w:p w:rsidR="00000000" w:rsidRDefault="00485CCD">
      <w:pPr>
        <w:ind w:firstLine="720"/>
        <w:jc w:val="both"/>
        <w:divId w:val="754284466"/>
        <w:rPr>
          <w:rFonts w:eastAsia="Times New Roman"/>
        </w:rPr>
      </w:pPr>
      <w:r>
        <w:rPr>
          <w:rFonts w:ascii="Arial" w:eastAsia="Times New Roman" w:hAnsi="Arial" w:cs="Arial"/>
          <w:color w:val="000000"/>
          <w:sz w:val="20"/>
          <w:szCs w:val="20"/>
        </w:rPr>
        <w:t>Selling, general and administrative expenses increased by $213.1 million, or 42.1%, during 2021, as compared to 2020. The</w:t>
      </w:r>
      <w:r>
        <w:rPr>
          <w:rFonts w:ascii="Arial" w:eastAsia="Times New Roman" w:hAnsi="Arial" w:cs="Arial"/>
          <w:color w:val="000000"/>
          <w:sz w:val="20"/>
          <w:szCs w:val="20"/>
        </w:rPr>
        <w:t xml:space="preserve"> increase in selling, general and administrative expenses was primarily attributable to:</w:t>
      </w:r>
    </w:p>
    <w:p w:rsidR="00000000" w:rsidRDefault="00485CCD">
      <w:pPr>
        <w:ind w:hanging="360"/>
        <w:jc w:val="both"/>
        <w:divId w:val="55674965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$144.2 million increase in legal costs and settlements, primarily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485CCD">
      <w:pPr>
        <w:jc w:val="center"/>
        <w:divId w:val="1224491267"/>
        <w:rPr>
          <w:rFonts w:eastAsia="Times New Roman"/>
        </w:rPr>
      </w:pPr>
      <w:r>
        <w:rPr>
          <w:rFonts w:ascii="Arial" w:eastAsia="Times New Roman" w:hAnsi="Arial" w:cs="Arial"/>
          <w:color w:val="000000"/>
          <w:sz w:val="20"/>
          <w:szCs w:val="20"/>
        </w:rPr>
        <w:t>26</w:t>
      </w:r>
    </w:p>
    <w:p w:rsidR="00000000" w:rsidRDefault="00485CCD">
      <w:pPr>
        <w:rPr>
          <w:rFonts w:eastAsia="Times New Roman"/>
        </w:rPr>
      </w:pPr>
      <w:r>
        <w:rPr>
          <w:rFonts w:eastAsia="Times New Roman"/>
        </w:rPr>
        <w:pict>
          <v:rect id="_x0000_i1062" style="width:0;height:1.5pt" o:hralign="center" o:hrstd="t" o:hr="t" fillcolor="#a0a0a0" stroked="f"/>
        </w:pict>
      </w:r>
    </w:p>
    <w:p w:rsidR="00000000" w:rsidRDefault="00485CCD">
      <w:pPr>
        <w:divId w:val="1681735923"/>
        <w:rPr>
          <w:rFonts w:eastAsia="Times New Roman"/>
        </w:rPr>
      </w:pPr>
    </w:p>
    <w:p w:rsidR="00000000" w:rsidRDefault="00485CCD">
      <w:pPr>
        <w:ind w:hanging="360"/>
        <w:jc w:val="both"/>
        <w:divId w:val="178634654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$43.2 million increase in certain technology projects and other enterprise initiatives (including </w:t>
      </w:r>
      <w:r>
        <w:rPr>
          <w:rFonts w:ascii="Arial" w:eastAsia="Times New Roman" w:hAnsi="Arial" w:cs="Arial"/>
          <w:b/>
          <w:bCs/>
          <w:color w:val="E98300"/>
          <w:sz w:val="20"/>
          <w:szCs w:val="20"/>
        </w:rPr>
        <w:t>ELEVATE</w:t>
      </w:r>
      <w:r>
        <w:rPr>
          <w:rFonts w:ascii="Arial" w:eastAsia="Times New Roman" w:hAnsi="Arial" w:cs="Arial"/>
          <w:color w:val="000000"/>
          <w:sz w:val="20"/>
          <w:szCs w:val="20"/>
        </w:rPr>
        <w:t>), in addition to marketing events;</w:t>
      </w:r>
    </w:p>
    <w:p w:rsidR="00000000" w:rsidRDefault="00485CCD">
      <w:pPr>
        <w:ind w:hanging="360"/>
        <w:jc w:val="both"/>
        <w:divId w:val="65387518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$38.8 million increase in compensation and related expenses, primarily driven by corporate and staff labor reductions that occurred in the prior period due to the Pandemic, including wage reductions, employee furloughs, and the suspension of certain bene</w:t>
      </w:r>
      <w:r>
        <w:rPr>
          <w:rFonts w:ascii="Arial" w:eastAsia="Times New Roman" w:hAnsi="Arial" w:cs="Arial"/>
          <w:color w:val="000000"/>
          <w:sz w:val="20"/>
          <w:szCs w:val="20"/>
        </w:rPr>
        <w:t>fits such as 401(k) matching. The increase was also due to updated assessments regarding financial performance target achievements in connection with certain performance share awards and cash incentive plans;</w:t>
      </w:r>
    </w:p>
    <w:p w:rsidR="00000000" w:rsidRDefault="00485CCD">
      <w:pPr>
        <w:ind w:hanging="360"/>
        <w:jc w:val="both"/>
        <w:divId w:val="189019217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$21.9 million increase in acquisition and in</w:t>
      </w:r>
      <w:r>
        <w:rPr>
          <w:rFonts w:ascii="Arial" w:eastAsia="Times New Roman" w:hAnsi="Arial" w:cs="Arial"/>
          <w:color w:val="000000"/>
          <w:sz w:val="20"/>
          <w:szCs w:val="20"/>
        </w:rPr>
        <w:t>tegration costs attributable to the Able Acquisition; and</w:t>
      </w:r>
    </w:p>
    <w:p w:rsidR="00000000" w:rsidRDefault="00485CCD">
      <w:pPr>
        <w:ind w:hanging="360"/>
        <w:jc w:val="both"/>
        <w:divId w:val="3146379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impairment charge for previously capitalized internal-use software related to our ERP system implementation as we determined that certain components developed will no longer</w:t>
      </w:r>
      <w:r>
        <w:rPr>
          <w:rFonts w:ascii="Arial" w:eastAsia="Times New Roman" w:hAnsi="Arial" w:cs="Arial"/>
          <w:color w:val="000000"/>
          <w:sz w:val="20"/>
          <w:szCs w:val="20"/>
        </w:rPr>
        <w:t xml:space="preserve"> be incorporated into the new ERP system; </w:t>
      </w:r>
    </w:p>
    <w:p w:rsidR="00000000" w:rsidRDefault="00485CCD">
      <w:pPr>
        <w:jc w:val="both"/>
        <w:divId w:val="215511414"/>
        <w:rPr>
          <w:rFonts w:eastAsia="Times New Roman"/>
        </w:rPr>
      </w:pPr>
      <w:r>
        <w:rPr>
          <w:rFonts w:ascii="Arial" w:eastAsia="Times New Roman" w:hAnsi="Arial" w:cs="Arial"/>
          <w:color w:val="000000"/>
          <w:sz w:val="20"/>
          <w:szCs w:val="20"/>
        </w:rPr>
        <w:t>This increase was partially offset by:</w:t>
      </w:r>
    </w:p>
    <w:p w:rsidR="00000000" w:rsidRDefault="00485CCD">
      <w:pPr>
        <w:ind w:hanging="360"/>
        <w:jc w:val="both"/>
        <w:divId w:val="193936688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$19.0 million decrease in bad debt expense, primarily associated with higher reserves established for client receivables in the prior year, due to increasing credit risk r</w:t>
      </w:r>
      <w:r>
        <w:rPr>
          <w:rFonts w:ascii="Arial" w:eastAsia="Times New Roman" w:hAnsi="Arial" w:cs="Arial"/>
          <w:color w:val="000000"/>
          <w:sz w:val="20"/>
          <w:szCs w:val="20"/>
        </w:rPr>
        <w:t xml:space="preserve">esulting from the Pandemic; </w:t>
      </w:r>
    </w:p>
    <w:p w:rsidR="00000000" w:rsidRDefault="00485CCD">
      <w:pPr>
        <w:ind w:hanging="360"/>
        <w:jc w:val="both"/>
        <w:divId w:val="58303093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$17.6 million reserve on notes receivable related to a unique, entertainment-related project within Technical Solutions, mainly associated with increasing credit risk resulting from the Pandemic; and</w:t>
      </w:r>
    </w:p>
    <w:p w:rsidR="00000000" w:rsidRDefault="00485CCD">
      <w:pPr>
        <w:ind w:hanging="360"/>
        <w:jc w:val="both"/>
        <w:divId w:val="126858689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$11.7</w:t>
      </w:r>
      <w:r>
        <w:rPr>
          <w:rFonts w:ascii="Arial" w:eastAsia="Times New Roman" w:hAnsi="Arial" w:cs="Arial"/>
          <w:color w:val="000000"/>
          <w:sz w:val="20"/>
          <w:szCs w:val="20"/>
        </w:rPr>
        <w:t xml:space="preserve"> million decrease in prior year medical and dental self-insurance reserves as a result of actuarial evaluations completed in fiscal year 2021.</w:t>
      </w:r>
    </w:p>
    <w:p w:rsidR="00000000" w:rsidRDefault="00485CCD">
      <w:pPr>
        <w:jc w:val="both"/>
        <w:divId w:val="1905531339"/>
        <w:rPr>
          <w:rFonts w:eastAsia="Times New Roman"/>
        </w:rPr>
      </w:pPr>
      <w:r>
        <w:rPr>
          <w:rFonts w:ascii="Arial" w:eastAsia="Times New Roman" w:hAnsi="Arial" w:cs="Arial"/>
          <w:b/>
          <w:bCs/>
          <w:i/>
          <w:iCs/>
          <w:color w:val="0046AD"/>
          <w:sz w:val="20"/>
          <w:szCs w:val="20"/>
        </w:rPr>
        <w:t>Restructuring and Related Expenses</w:t>
      </w:r>
    </w:p>
    <w:p w:rsidR="00000000" w:rsidRDefault="00485CCD">
      <w:pPr>
        <w:ind w:firstLine="720"/>
        <w:jc w:val="both"/>
        <w:divId w:val="191765978"/>
        <w:rPr>
          <w:rFonts w:eastAsia="Times New Roman"/>
        </w:rPr>
      </w:pPr>
      <w:r>
        <w:rPr>
          <w:rFonts w:ascii="Arial" w:eastAsia="Times New Roman" w:hAnsi="Arial" w:cs="Arial"/>
          <w:color w:val="000000"/>
          <w:sz w:val="20"/>
          <w:szCs w:val="20"/>
        </w:rPr>
        <w:t>Restructuring and related expenses decreased by $7.6 million during 2021, as c</w:t>
      </w:r>
      <w:r>
        <w:rPr>
          <w:rFonts w:ascii="Arial" w:eastAsia="Times New Roman" w:hAnsi="Arial" w:cs="Arial"/>
          <w:color w:val="000000"/>
          <w:sz w:val="20"/>
          <w:szCs w:val="20"/>
        </w:rPr>
        <w:t>ompared to 2020. We substantially completed the restructuring program by the end of fiscal year 2020.</w:t>
      </w:r>
    </w:p>
    <w:p w:rsidR="00000000" w:rsidRDefault="00485CCD">
      <w:pPr>
        <w:jc w:val="both"/>
        <w:divId w:val="1123888546"/>
        <w:rPr>
          <w:rFonts w:eastAsia="Times New Roman"/>
        </w:rPr>
      </w:pPr>
      <w:r>
        <w:rPr>
          <w:rFonts w:ascii="Arial" w:eastAsia="Times New Roman" w:hAnsi="Arial" w:cs="Arial"/>
          <w:b/>
          <w:bCs/>
          <w:i/>
          <w:iCs/>
          <w:color w:val="0046AD"/>
          <w:sz w:val="20"/>
          <w:szCs w:val="20"/>
        </w:rPr>
        <w:t>Amortization of Intangible Assets</w:t>
      </w:r>
    </w:p>
    <w:p w:rsidR="00000000" w:rsidRDefault="00485CCD">
      <w:pPr>
        <w:ind w:firstLine="720"/>
        <w:jc w:val="both"/>
        <w:divId w:val="947204475"/>
        <w:rPr>
          <w:rFonts w:eastAsia="Times New Roman"/>
        </w:rPr>
      </w:pPr>
      <w:r>
        <w:rPr>
          <w:rFonts w:ascii="Arial" w:eastAsia="Times New Roman" w:hAnsi="Arial" w:cs="Arial"/>
          <w:color w:val="000000"/>
          <w:sz w:val="20"/>
          <w:szCs w:val="20"/>
        </w:rPr>
        <w:t>Amortization of intangible assets decreased by $3.4 million, or 7.1%, during 2021, as compared to 2020, mainly due to th</w:t>
      </w:r>
      <w:r>
        <w:rPr>
          <w:rFonts w:ascii="Arial" w:eastAsia="Times New Roman" w:hAnsi="Arial" w:cs="Arial"/>
          <w:color w:val="000000"/>
          <w:sz w:val="20"/>
          <w:szCs w:val="20"/>
        </w:rPr>
        <w:t>e lower intangible assets balance resulting from the impairment loss recorded in the second quarter of 2020 and to certain intangible assets being amortized using the sum-of-the-years’-digits method, which results in declining amortization expense over the</w:t>
      </w:r>
      <w:r>
        <w:rPr>
          <w:rFonts w:ascii="Arial" w:eastAsia="Times New Roman" w:hAnsi="Arial" w:cs="Arial"/>
          <w:color w:val="000000"/>
          <w:sz w:val="20"/>
          <w:szCs w:val="20"/>
        </w:rPr>
        <w:t xml:space="preserve"> useful lives of the assets.</w:t>
      </w:r>
    </w:p>
    <w:p w:rsidR="00000000" w:rsidRDefault="00485CCD">
      <w:pPr>
        <w:jc w:val="both"/>
        <w:divId w:val="1236167490"/>
        <w:rPr>
          <w:rFonts w:eastAsia="Times New Roman"/>
        </w:rPr>
      </w:pPr>
      <w:r>
        <w:rPr>
          <w:rFonts w:ascii="Arial" w:eastAsia="Times New Roman" w:hAnsi="Arial" w:cs="Arial"/>
          <w:b/>
          <w:bCs/>
          <w:i/>
          <w:iCs/>
          <w:color w:val="0046AD"/>
          <w:sz w:val="20"/>
          <w:szCs w:val="20"/>
        </w:rPr>
        <w:t>Impairment Loss</w:t>
      </w:r>
    </w:p>
    <w:p w:rsidR="00000000" w:rsidRDefault="00485CCD">
      <w:pPr>
        <w:ind w:firstLine="720"/>
        <w:jc w:val="both"/>
        <w:divId w:val="1654605735"/>
        <w:rPr>
          <w:rFonts w:eastAsia="Times New Roman"/>
        </w:rPr>
      </w:pPr>
      <w:r>
        <w:rPr>
          <w:rFonts w:ascii="Arial" w:eastAsia="Times New Roman" w:hAnsi="Arial" w:cs="Arial"/>
          <w:color w:val="000000"/>
          <w:sz w:val="20"/>
          <w:szCs w:val="20"/>
        </w:rPr>
        <w:t>During 2020, we recorded impairment charges on goodwill related to our Education, Aviation, and U.K. Technical Solutions businesses totaling $163.8 million. Additionally, we recorded impairment charges on custom</w:t>
      </w:r>
      <w:r>
        <w:rPr>
          <w:rFonts w:ascii="Arial" w:eastAsia="Times New Roman" w:hAnsi="Arial" w:cs="Arial"/>
          <w:color w:val="000000"/>
          <w:sz w:val="20"/>
          <w:szCs w:val="20"/>
        </w:rPr>
        <w:t>er relationships related to our Aviation and U.K. Technical Solutions businesses totaling $9.0 million. During the second quarter of 2020, these businesses were adversely impacted by the market and business conditions resulting from the Pandemic. During 20</w:t>
      </w:r>
      <w:r>
        <w:rPr>
          <w:rFonts w:ascii="Arial" w:eastAsia="Times New Roman" w:hAnsi="Arial" w:cs="Arial"/>
          <w:color w:val="000000"/>
          <w:sz w:val="20"/>
          <w:szCs w:val="20"/>
        </w:rPr>
        <w:t xml:space="preserve">21, we did not record any impairment charges to goodwill or intangible assets. </w:t>
      </w:r>
    </w:p>
    <w:p w:rsidR="00000000" w:rsidRDefault="00485CCD">
      <w:pPr>
        <w:jc w:val="both"/>
        <w:divId w:val="8220387"/>
        <w:rPr>
          <w:rFonts w:eastAsia="Times New Roman"/>
        </w:rPr>
      </w:pPr>
      <w:r>
        <w:rPr>
          <w:rFonts w:ascii="Arial" w:eastAsia="Times New Roman" w:hAnsi="Arial" w:cs="Arial"/>
          <w:b/>
          <w:bCs/>
          <w:i/>
          <w:iCs/>
          <w:color w:val="0046AD"/>
          <w:sz w:val="20"/>
          <w:szCs w:val="20"/>
        </w:rPr>
        <w:t>Interest Expense</w:t>
      </w:r>
    </w:p>
    <w:p w:rsidR="00000000" w:rsidRDefault="00485CCD">
      <w:pPr>
        <w:ind w:firstLine="720"/>
        <w:jc w:val="both"/>
        <w:divId w:val="281544518"/>
        <w:rPr>
          <w:rFonts w:eastAsia="Times New Roman"/>
        </w:rPr>
      </w:pPr>
      <w:r>
        <w:rPr>
          <w:rFonts w:ascii="Arial" w:eastAsia="Times New Roman" w:hAnsi="Arial" w:cs="Arial"/>
          <w:color w:val="000000"/>
          <w:sz w:val="20"/>
          <w:szCs w:val="20"/>
        </w:rPr>
        <w:t xml:space="preserve">Interest expense decreased by $16.0 million, or 35.9%, during 2021, as compared to 2020, primarily attributable to lower relative interest rates as the result </w:t>
      </w:r>
      <w:r>
        <w:rPr>
          <w:rFonts w:ascii="Arial" w:eastAsia="Times New Roman" w:hAnsi="Arial" w:cs="Arial"/>
          <w:color w:val="000000"/>
          <w:sz w:val="20"/>
          <w:szCs w:val="20"/>
        </w:rPr>
        <w:t xml:space="preserve">of amending our credit facility in 2021 and lower average outstanding borrowings under our credit facility throughout the year. </w:t>
      </w:r>
    </w:p>
    <w:p w:rsidR="00000000" w:rsidRDefault="00485CCD">
      <w:pPr>
        <w:jc w:val="both"/>
        <w:divId w:val="169954904"/>
        <w:rPr>
          <w:rFonts w:eastAsia="Times New Roman"/>
        </w:rPr>
      </w:pPr>
      <w:r>
        <w:rPr>
          <w:rFonts w:ascii="Arial" w:eastAsia="Times New Roman" w:hAnsi="Arial" w:cs="Arial"/>
          <w:b/>
          <w:bCs/>
          <w:i/>
          <w:iCs/>
          <w:color w:val="0046AD"/>
          <w:sz w:val="20"/>
          <w:szCs w:val="20"/>
        </w:rPr>
        <w:t xml:space="preserve">Income Taxes from Continuing Operations </w:t>
      </w:r>
    </w:p>
    <w:p w:rsidR="00000000" w:rsidRDefault="00485CCD">
      <w:pPr>
        <w:ind w:firstLine="720"/>
        <w:jc w:val="both"/>
        <w:divId w:val="418215878"/>
        <w:rPr>
          <w:rFonts w:eastAsia="Times New Roman"/>
        </w:rPr>
      </w:pPr>
      <w:r>
        <w:rPr>
          <w:rFonts w:ascii="Arial" w:eastAsia="Times New Roman" w:hAnsi="Arial" w:cs="Arial"/>
          <w:color w:val="000000"/>
          <w:sz w:val="20"/>
          <w:szCs w:val="20"/>
        </w:rPr>
        <w:t xml:space="preserve">During 2021 and 2020, we had effective tax rates of 29.8% and 99.6%, respectively, resulting in a provision for tax of $53.5 million and $53.1 million, respectively. Our effective tax rate for 2021 was also impacted by the following discrete items: a $3.0 </w:t>
      </w:r>
      <w:r>
        <w:rPr>
          <w:rFonts w:ascii="Arial" w:eastAsia="Times New Roman" w:hAnsi="Arial" w:cs="Arial"/>
          <w:color w:val="000000"/>
          <w:sz w:val="20"/>
          <w:szCs w:val="20"/>
        </w:rPr>
        <w:t xml:space="preserve">million provision for nondeductible transaction costs; a $2.6 million provision for change in tax reserves; a $1.4 million provision for true-ups; and a $1.2 million benefit for energy efficiency incentives. Our effective tax rate for 2020 was impacted by </w:t>
      </w:r>
      <w:r>
        <w:rPr>
          <w:rFonts w:ascii="Arial" w:eastAsia="Times New Roman" w:hAnsi="Arial" w:cs="Arial"/>
          <w:color w:val="000000"/>
          <w:sz w:val="20"/>
          <w:szCs w:val="20"/>
        </w:rPr>
        <w:t xml:space="preserve">the following discrete items: a $5.7 million benefit from true-ups; a $2.3 million provision related to the Work Opportunity Tax Credit (“WOTC”); a $2.1 million benefit from </w:t>
      </w:r>
    </w:p>
    <w:p w:rsidR="00000000" w:rsidRDefault="00485CCD">
      <w:pPr>
        <w:jc w:val="center"/>
        <w:divId w:val="54015197"/>
        <w:rPr>
          <w:rFonts w:eastAsia="Times New Roman"/>
        </w:rPr>
      </w:pPr>
      <w:r>
        <w:rPr>
          <w:rFonts w:ascii="Arial" w:eastAsia="Times New Roman" w:hAnsi="Arial" w:cs="Arial"/>
          <w:color w:val="000000"/>
          <w:sz w:val="20"/>
          <w:szCs w:val="20"/>
        </w:rPr>
        <w:t>27</w:t>
      </w:r>
    </w:p>
    <w:p w:rsidR="00000000" w:rsidRDefault="00485CCD">
      <w:pPr>
        <w:rPr>
          <w:rFonts w:eastAsia="Times New Roman"/>
        </w:rPr>
      </w:pPr>
      <w:r>
        <w:rPr>
          <w:rFonts w:eastAsia="Times New Roman"/>
        </w:rPr>
        <w:pict>
          <v:rect id="_x0000_i1063" style="width:0;height:1.5pt" o:hralign="center" o:hrstd="t" o:hr="t" fillcolor="#a0a0a0" stroked="f"/>
        </w:pict>
      </w:r>
    </w:p>
    <w:p w:rsidR="00000000" w:rsidRDefault="00485CCD">
      <w:pPr>
        <w:divId w:val="362093800"/>
        <w:rPr>
          <w:rFonts w:eastAsia="Times New Roman"/>
        </w:rPr>
      </w:pPr>
    </w:p>
    <w:p w:rsidR="00000000" w:rsidRDefault="00485CCD">
      <w:pPr>
        <w:jc w:val="both"/>
        <w:divId w:val="800347901"/>
        <w:rPr>
          <w:rFonts w:eastAsia="Times New Roman"/>
        </w:rPr>
      </w:pPr>
      <w:r>
        <w:rPr>
          <w:rFonts w:ascii="Arial" w:eastAsia="Times New Roman" w:hAnsi="Arial" w:cs="Arial"/>
          <w:color w:val="000000"/>
          <w:sz w:val="20"/>
          <w:szCs w:val="20"/>
        </w:rPr>
        <w:t>energy efficiency incentives; and a $1.1</w:t>
      </w:r>
      <w:r>
        <w:rPr>
          <w:rFonts w:ascii="Arial" w:eastAsia="Times New Roman" w:hAnsi="Arial" w:cs="Arial"/>
          <w:color w:val="000000"/>
          <w:sz w:val="20"/>
          <w:szCs w:val="20"/>
        </w:rPr>
        <w:t xml:space="preserve"> million benefit from change of tax reserves. The effective tax rate for the year ended October 31, 2020, excluding a nondeductible impairment loss of $163.8 million, was 24.4%.</w:t>
      </w:r>
    </w:p>
    <w:p w:rsidR="00000000" w:rsidRDefault="00485CCD">
      <w:pPr>
        <w:jc w:val="both"/>
        <w:divId w:val="1124541780"/>
        <w:rPr>
          <w:rFonts w:eastAsia="Times New Roman"/>
        </w:rPr>
      </w:pPr>
      <w:r>
        <w:rPr>
          <w:rFonts w:ascii="Arial" w:eastAsia="Times New Roman" w:hAnsi="Arial" w:cs="Arial"/>
          <w:b/>
          <w:bCs/>
          <w:i/>
          <w:iCs/>
          <w:color w:val="0046AD"/>
          <w:sz w:val="20"/>
          <w:szCs w:val="20"/>
        </w:rPr>
        <w:t xml:space="preserve">Interest Rate Swaps </w:t>
      </w:r>
    </w:p>
    <w:p w:rsidR="00000000" w:rsidRDefault="00485CCD">
      <w:pPr>
        <w:ind w:firstLine="720"/>
        <w:jc w:val="both"/>
        <w:divId w:val="195895481"/>
        <w:rPr>
          <w:rFonts w:eastAsia="Times New Roman"/>
        </w:rPr>
      </w:pPr>
      <w:r>
        <w:rPr>
          <w:rFonts w:ascii="Arial" w:eastAsia="Times New Roman" w:hAnsi="Arial" w:cs="Arial"/>
          <w:color w:val="000000"/>
          <w:sz w:val="20"/>
          <w:szCs w:val="20"/>
        </w:rPr>
        <w:t>We had a gain of $4.5 million on interest rate swaps duri</w:t>
      </w:r>
      <w:r>
        <w:rPr>
          <w:rFonts w:ascii="Arial" w:eastAsia="Times New Roman" w:hAnsi="Arial" w:cs="Arial"/>
          <w:color w:val="000000"/>
          <w:sz w:val="20"/>
          <w:szCs w:val="20"/>
        </w:rPr>
        <w:t>ng the year ended October 31, 2021, as compared to a loss of $7.6 million during the year ended October 31, 2020, primarily due to underlying changes in the fair value of our interest rate swaps.</w:t>
      </w:r>
    </w:p>
    <w:p w:rsidR="00000000" w:rsidRDefault="00485CCD">
      <w:pPr>
        <w:jc w:val="both"/>
        <w:divId w:val="1569875167"/>
        <w:rPr>
          <w:rFonts w:eastAsia="Times New Roman"/>
        </w:rPr>
      </w:pPr>
      <w:r>
        <w:rPr>
          <w:rFonts w:ascii="Arial" w:eastAsia="Times New Roman" w:hAnsi="Arial" w:cs="Arial"/>
          <w:b/>
          <w:bCs/>
          <w:i/>
          <w:iCs/>
          <w:color w:val="0046AD"/>
          <w:sz w:val="20"/>
          <w:szCs w:val="20"/>
        </w:rPr>
        <w:t>Foreign Currency Translation and Other</w:t>
      </w:r>
    </w:p>
    <w:p w:rsidR="00000000" w:rsidRDefault="00485CCD">
      <w:pPr>
        <w:ind w:firstLine="720"/>
        <w:jc w:val="both"/>
        <w:divId w:val="1600289470"/>
        <w:rPr>
          <w:rFonts w:eastAsia="Times New Roman"/>
        </w:rPr>
      </w:pPr>
      <w:r>
        <w:rPr>
          <w:rFonts w:ascii="Arial" w:eastAsia="Times New Roman" w:hAnsi="Arial" w:cs="Arial"/>
          <w:color w:val="000000"/>
          <w:sz w:val="20"/>
          <w:szCs w:val="20"/>
        </w:rPr>
        <w:t>We had a foreign curr</w:t>
      </w:r>
      <w:r>
        <w:rPr>
          <w:rFonts w:ascii="Arial" w:eastAsia="Times New Roman" w:hAnsi="Arial" w:cs="Arial"/>
          <w:color w:val="000000"/>
          <w:sz w:val="20"/>
          <w:szCs w:val="20"/>
        </w:rPr>
        <w:t>ency translation gain of $5.3 million during the year ended October 31, 2021, as compared to a foreign currency translation loss of $1.8 million during the year ended October 31, 2020. This change was due to fluctuations in the exchange rate between the U.</w:t>
      </w:r>
      <w:r>
        <w:rPr>
          <w:rFonts w:ascii="Arial" w:eastAsia="Times New Roman" w:hAnsi="Arial" w:cs="Arial"/>
          <w:color w:val="000000"/>
          <w:sz w:val="20"/>
          <w:szCs w:val="20"/>
        </w:rPr>
        <w:t xml:space="preserve">S. Dollar (“USD”) and the British pound sterling (“GBP”). Future gains and losses on foreign currency translation will be dependent upon changes in the relative value of foreign currencies to the USD and the extent of our foreign assets and liabilities. </w:t>
      </w:r>
    </w:p>
    <w:p w:rsidR="00000000" w:rsidRDefault="00485CCD">
      <w:pPr>
        <w:jc w:val="both"/>
        <w:divId w:val="146551988"/>
        <w:rPr>
          <w:rFonts w:eastAsia="Times New Roman"/>
        </w:rPr>
      </w:pPr>
      <w:r>
        <w:rPr>
          <w:rFonts w:ascii="Arial" w:eastAsia="Times New Roman" w:hAnsi="Arial" w:cs="Arial"/>
          <w:b/>
          <w:bCs/>
          <w:i/>
          <w:iCs/>
          <w:color w:val="0046AD"/>
          <w:sz w:val="20"/>
          <w:szCs w:val="20"/>
        </w:rPr>
        <w:t>T</w:t>
      </w:r>
      <w:r>
        <w:rPr>
          <w:rFonts w:ascii="Arial" w:eastAsia="Times New Roman" w:hAnsi="Arial" w:cs="Arial"/>
          <w:b/>
          <w:bCs/>
          <w:i/>
          <w:iCs/>
          <w:color w:val="0046AD"/>
          <w:sz w:val="20"/>
          <w:szCs w:val="20"/>
        </w:rPr>
        <w:t>he Year Ended October 31, 2020 Compared with the Year Ended October 31, 2019</w:t>
      </w:r>
    </w:p>
    <w:p w:rsidR="00000000" w:rsidRDefault="00485CCD">
      <w:pPr>
        <w:ind w:firstLine="720"/>
        <w:jc w:val="both"/>
        <w:divId w:val="1692757109"/>
        <w:rPr>
          <w:rFonts w:eastAsia="Times New Roman"/>
        </w:rPr>
      </w:pPr>
      <w:r>
        <w:rPr>
          <w:rFonts w:ascii="Arial" w:eastAsia="Times New Roman" w:hAnsi="Arial" w:cs="Arial"/>
          <w:color w:val="000000"/>
          <w:sz w:val="20"/>
          <w:szCs w:val="20"/>
        </w:rPr>
        <w:t>For a comparison of our Results of Operations for the year ended October 31, 2020, to the year ended October 31, 2019, see “Part II, Item 7. Management’s Discussion and Analysis o</w:t>
      </w:r>
      <w:r>
        <w:rPr>
          <w:rFonts w:ascii="Arial" w:eastAsia="Times New Roman" w:hAnsi="Arial" w:cs="Arial"/>
          <w:color w:val="000000"/>
          <w:sz w:val="20"/>
          <w:szCs w:val="20"/>
        </w:rPr>
        <w:t>f Financial Condition and Results of Operations” of our Form 10-K for the fiscal year ended October 31, 2020, filed with the SEC on December 17, 2020.</w:t>
      </w:r>
    </w:p>
    <w:p w:rsidR="00000000" w:rsidRDefault="00485CCD">
      <w:pPr>
        <w:jc w:val="center"/>
        <w:divId w:val="1686176066"/>
        <w:rPr>
          <w:rFonts w:eastAsia="Times New Roman"/>
        </w:rPr>
      </w:pPr>
      <w:r>
        <w:rPr>
          <w:rFonts w:ascii="Arial" w:eastAsia="Times New Roman" w:hAnsi="Arial" w:cs="Arial"/>
          <w:color w:val="000000"/>
          <w:sz w:val="20"/>
          <w:szCs w:val="20"/>
        </w:rPr>
        <w:t>28</w:t>
      </w:r>
    </w:p>
    <w:p w:rsidR="00000000" w:rsidRDefault="00485CCD">
      <w:pPr>
        <w:rPr>
          <w:rFonts w:eastAsia="Times New Roman"/>
        </w:rPr>
      </w:pPr>
      <w:r>
        <w:rPr>
          <w:rFonts w:eastAsia="Times New Roman"/>
        </w:rPr>
        <w:pict>
          <v:rect id="_x0000_i1064" style="width:0;height:1.5pt" o:hralign="center" o:hrstd="t" o:hr="t" fillcolor="#a0a0a0" stroked="f"/>
        </w:pict>
      </w:r>
    </w:p>
    <w:p w:rsidR="00000000" w:rsidRDefault="00485CCD">
      <w:pPr>
        <w:divId w:val="133105458"/>
        <w:rPr>
          <w:rFonts w:eastAsia="Times New Roman"/>
        </w:rPr>
      </w:pPr>
    </w:p>
    <w:p w:rsidR="00000000" w:rsidRDefault="00485CCD">
      <w:pPr>
        <w:divId w:val="340548127"/>
        <w:rPr>
          <w:rFonts w:eastAsia="Times New Roman"/>
        </w:rPr>
      </w:pPr>
      <w:r>
        <w:rPr>
          <w:rFonts w:ascii="Arial" w:eastAsia="Times New Roman" w:hAnsi="Arial" w:cs="Arial"/>
          <w:b/>
          <w:bCs/>
          <w:i/>
          <w:iCs/>
          <w:color w:val="0046AD"/>
          <w:sz w:val="20"/>
          <w:szCs w:val="20"/>
        </w:rPr>
        <w:t>Segment Information</w:t>
      </w:r>
    </w:p>
    <w:p w:rsidR="00000000" w:rsidRDefault="00485CCD">
      <w:pPr>
        <w:ind w:firstLine="720"/>
        <w:jc w:val="both"/>
        <w:divId w:val="1965966611"/>
        <w:rPr>
          <w:rFonts w:eastAsia="Times New Roman"/>
        </w:rPr>
      </w:pPr>
      <w:r>
        <w:rPr>
          <w:rFonts w:ascii="Arial" w:eastAsia="Times New Roman" w:hAnsi="Arial" w:cs="Arial"/>
          <w:color w:val="000000"/>
          <w:sz w:val="20"/>
          <w:szCs w:val="20"/>
        </w:rPr>
        <w:t xml:space="preserve">Our current reportable segments consist of B&amp;I, T&amp;M, Education, Aviation, and Technical Solutions. </w:t>
      </w:r>
    </w:p>
    <w:p w:rsidR="00000000" w:rsidRDefault="00485CCD">
      <w:pPr>
        <w:jc w:val="both"/>
        <w:divId w:val="346181424"/>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023"/>
        <w:gridCol w:w="39"/>
        <w:gridCol w:w="121"/>
        <w:gridCol w:w="790"/>
        <w:gridCol w:w="163"/>
        <w:gridCol w:w="36"/>
        <w:gridCol w:w="36"/>
        <w:gridCol w:w="36"/>
        <w:gridCol w:w="121"/>
        <w:gridCol w:w="713"/>
        <w:gridCol w:w="163"/>
        <w:gridCol w:w="36"/>
        <w:gridCol w:w="36"/>
        <w:gridCol w:w="36"/>
        <w:gridCol w:w="121"/>
        <w:gridCol w:w="714"/>
        <w:gridCol w:w="163"/>
        <w:gridCol w:w="36"/>
        <w:gridCol w:w="36"/>
        <w:gridCol w:w="36"/>
        <w:gridCol w:w="122"/>
        <w:gridCol w:w="791"/>
        <w:gridCol w:w="37"/>
        <w:gridCol w:w="37"/>
        <w:gridCol w:w="37"/>
        <w:gridCol w:w="37"/>
        <w:gridCol w:w="58"/>
        <w:gridCol w:w="654"/>
        <w:gridCol w:w="38"/>
      </w:tblGrid>
      <w:tr w:rsidR="00000000">
        <w:trPr>
          <w:divId w:val="44376763"/>
        </w:trPr>
        <w:tc>
          <w:tcPr>
            <w:tcW w:w="50" w:type="pct"/>
            <w:vAlign w:val="center"/>
            <w:hideMark/>
          </w:tcPr>
          <w:p w:rsidR="00000000" w:rsidRDefault="00485CCD">
            <w:pPr>
              <w:jc w:val="both"/>
              <w:rPr>
                <w:rFonts w:eastAsia="Times New Roman"/>
              </w:rPr>
            </w:pPr>
          </w:p>
        </w:tc>
        <w:tc>
          <w:tcPr>
            <w:tcW w:w="189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437676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 </w:t>
            </w: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2021 vs. 2020</w:t>
            </w:r>
          </w:p>
        </w:tc>
      </w:tr>
      <w:tr w:rsidR="00000000">
        <w:trPr>
          <w:divId w:val="4437676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2019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Increase / (Decrease)</w:t>
            </w:r>
          </w:p>
        </w:tc>
      </w:tr>
      <w:tr w:rsidR="00000000">
        <w:trPr>
          <w:divId w:val="4437676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3,346.5 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3,157.8 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3,251.4 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188.7 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6.0%</w:t>
            </w:r>
          </w:p>
        </w:tc>
      </w:tr>
      <w:tr w:rsidR="00000000">
        <w:trPr>
          <w:divId w:val="4437676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987.1 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956.0 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917.0 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31.1 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3.3%</w:t>
            </w: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836.4 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808.8 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847.4 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3.4%</w:t>
            </w:r>
          </w:p>
        </w:tc>
      </w:tr>
      <w:tr w:rsidR="00000000">
        <w:trPr>
          <w:divId w:val="4437676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668.8 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680.9 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1,017.3 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(1.8)%</w:t>
            </w: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534.0 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506.6 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593.2 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5.4%</w:t>
            </w:r>
          </w:p>
        </w:tc>
      </w:tr>
      <w:tr w:rsidR="00000000">
        <w:trPr>
          <w:divId w:val="4437676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(144.2)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(122.4)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(127.7)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(17.8)%</w:t>
            </w:r>
          </w:p>
        </w:tc>
      </w:tr>
      <w:tr w:rsidR="00000000">
        <w:trPr>
          <w:divId w:val="44376763"/>
        </w:trPr>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6,498.6 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4.0%</w:t>
            </w:r>
          </w:p>
        </w:tc>
      </w:tr>
      <w:tr w:rsidR="00000000">
        <w:trPr>
          <w:divId w:val="4437676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337.8 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253.7 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182.3 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84.1 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33.1%</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10.1 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206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103.8 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84.4 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19.4 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22.9%</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8.8 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168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(41.1)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39.0 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7.2 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(5.1)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4.6 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92.1 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4.9 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2.1 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55.4 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1.9 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745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4437676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437676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(374.6)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(146.9)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(159.0)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(227.7)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r w:rsidR="00000000">
        <w:trPr>
          <w:divId w:val="44376763"/>
        </w:trPr>
        <w:tc>
          <w:tcPr>
            <w:tcW w:w="0" w:type="auto"/>
            <w:gridSpan w:val="3"/>
            <w:shd w:val="clear" w:color="auto" w:fill="DCE2EF"/>
            <w:tcMar>
              <w:top w:w="30" w:type="dxa"/>
              <w:left w:w="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Adjustment for income from unconsolidated</w:t>
            </w:r>
            <w:r>
              <w:rPr>
                <w:rFonts w:ascii="Arial" w:eastAsia="Times New Roman" w:hAnsi="Arial" w:cs="Arial"/>
                <w:color w:val="000000"/>
                <w:sz w:val="18"/>
                <w:szCs w:val="18"/>
              </w:rPr>
              <w:br/>
              <w:t>affiliates, included in Aviation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3.9%</w:t>
            </w:r>
          </w:p>
        </w:tc>
      </w:tr>
      <w:tr w:rsidR="00000000">
        <w:trPr>
          <w:divId w:val="44376763"/>
        </w:trPr>
        <w:tc>
          <w:tcPr>
            <w:tcW w:w="0" w:type="auto"/>
            <w:gridSpan w:val="3"/>
            <w:shd w:val="clear" w:color="auto" w:fill="FFFFFF"/>
            <w:tcMar>
              <w:top w:w="30" w:type="dxa"/>
              <w:left w:w="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Adjustment for tax deductions for energy</w:t>
            </w:r>
            <w:r>
              <w:rPr>
                <w:rFonts w:ascii="Arial" w:eastAsia="Times New Roman" w:hAnsi="Arial" w:cs="Arial"/>
                <w:color w:val="000000"/>
                <w:sz w:val="18"/>
                <w:szCs w:val="18"/>
              </w:rPr>
              <w:br/>
              <w:t>efficient government buildings, included in</w:t>
            </w:r>
            <w:r>
              <w:rPr>
                <w:rFonts w:ascii="Arial" w:eastAsia="Times New Roman" w:hAnsi="Arial" w:cs="Arial"/>
                <w:color w:val="000000"/>
                <w:sz w:val="18"/>
                <w:szCs w:val="18"/>
              </w:rPr>
              <w:b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44.2%</w:t>
            </w:r>
          </w:p>
        </w:tc>
      </w:tr>
      <w:tr w:rsidR="00000000">
        <w:trPr>
          <w:divId w:val="44376763"/>
        </w:trPr>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208.3 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110.6 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8"/>
                <w:szCs w:val="18"/>
              </w:rPr>
              <w:t>NM*</w:t>
            </w:r>
          </w:p>
        </w:tc>
      </w:tr>
    </w:tbl>
    <w:p w:rsidR="00000000" w:rsidRDefault="00485CCD">
      <w:pPr>
        <w:divId w:val="4211321"/>
        <w:rPr>
          <w:rFonts w:eastAsia="Times New Roman"/>
        </w:rPr>
      </w:pPr>
      <w:r>
        <w:rPr>
          <w:rFonts w:ascii="Arial" w:eastAsia="Times New Roman" w:hAnsi="Arial" w:cs="Arial"/>
          <w:color w:val="000000"/>
          <w:sz w:val="18"/>
          <w:szCs w:val="18"/>
        </w:rPr>
        <w:t>*Not meaningful</w:t>
      </w:r>
    </w:p>
    <w:tbl>
      <w:tblPr>
        <w:tblW w:w="1461" w:type="pct"/>
        <w:tblCellMar>
          <w:top w:w="15" w:type="dxa"/>
          <w:left w:w="15" w:type="dxa"/>
          <w:bottom w:w="15" w:type="dxa"/>
          <w:right w:w="15" w:type="dxa"/>
        </w:tblCellMar>
        <w:tblLook w:val="04A0" w:firstRow="1" w:lastRow="0" w:firstColumn="1" w:lastColumn="0" w:noHBand="0" w:noVBand="1"/>
      </w:tblPr>
      <w:tblGrid>
        <w:gridCol w:w="36"/>
        <w:gridCol w:w="1141"/>
        <w:gridCol w:w="36"/>
        <w:gridCol w:w="36"/>
        <w:gridCol w:w="1142"/>
        <w:gridCol w:w="36"/>
      </w:tblGrid>
      <w:tr w:rsidR="00000000">
        <w:trPr>
          <w:divId w:val="1991981441"/>
        </w:trPr>
        <w:tc>
          <w:tcPr>
            <w:tcW w:w="50" w:type="pct"/>
            <w:vAlign w:val="center"/>
            <w:hideMark/>
          </w:tcPr>
          <w:p w:rsidR="00000000" w:rsidRDefault="00485CCD">
            <w:pPr>
              <w:rPr>
                <w:rFonts w:eastAsia="Times New Roman"/>
              </w:rPr>
            </w:pPr>
          </w:p>
        </w:tc>
        <w:tc>
          <w:tcPr>
            <w:tcW w:w="24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91981441"/>
          <w:trHeight w:val="30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344405377"/>
        <w:rPr>
          <w:rFonts w:eastAsia="Times New Roman"/>
        </w:rPr>
      </w:pPr>
    </w:p>
    <w:p w:rsidR="00000000" w:rsidRDefault="00485CCD">
      <w:pPr>
        <w:jc w:val="center"/>
        <w:divId w:val="775563874"/>
        <w:rPr>
          <w:rFonts w:eastAsia="Times New Roman"/>
        </w:rPr>
      </w:pPr>
      <w:r>
        <w:rPr>
          <w:rFonts w:ascii="Arial" w:eastAsia="Times New Roman" w:hAnsi="Arial" w:cs="Arial"/>
          <w:color w:val="000000"/>
          <w:sz w:val="20"/>
          <w:szCs w:val="20"/>
        </w:rPr>
        <w:t>29</w:t>
      </w:r>
    </w:p>
    <w:p w:rsidR="00000000" w:rsidRDefault="00485CCD">
      <w:pPr>
        <w:rPr>
          <w:rFonts w:eastAsia="Times New Roman"/>
        </w:rPr>
      </w:pPr>
      <w:r>
        <w:rPr>
          <w:rFonts w:eastAsia="Times New Roman"/>
        </w:rPr>
        <w:pict>
          <v:rect id="_x0000_i1065" style="width:0;height:1.5pt" o:hralign="center" o:hrstd="t" o:hr="t" fillcolor="#a0a0a0" stroked="f"/>
        </w:pict>
      </w:r>
    </w:p>
    <w:p w:rsidR="00000000" w:rsidRDefault="00485CCD">
      <w:pPr>
        <w:divId w:val="266622093"/>
        <w:rPr>
          <w:rFonts w:eastAsia="Times New Roman"/>
        </w:rPr>
      </w:pPr>
    </w:p>
    <w:p w:rsidR="00000000" w:rsidRDefault="00485CCD">
      <w:pPr>
        <w:jc w:val="both"/>
        <w:divId w:val="1512138065"/>
        <w:rPr>
          <w:rFonts w:eastAsia="Times New Roman"/>
        </w:rPr>
      </w:pPr>
      <w:r>
        <w:rPr>
          <w:rFonts w:ascii="Arial" w:eastAsia="Times New Roman" w:hAnsi="Arial" w:cs="Arial"/>
          <w:b/>
          <w:bCs/>
          <w:i/>
          <w:iCs/>
          <w:color w:val="0046AD"/>
          <w:sz w:val="20"/>
          <w:szCs w:val="20"/>
        </w:rPr>
        <w:t>The Year Ended October 31, 2021 Compared with the Year Ended October 31, 2020</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6"/>
        <w:gridCol w:w="163"/>
        <w:gridCol w:w="36"/>
        <w:gridCol w:w="36"/>
        <w:gridCol w:w="36"/>
        <w:gridCol w:w="132"/>
        <w:gridCol w:w="1026"/>
        <w:gridCol w:w="36"/>
        <w:gridCol w:w="36"/>
        <w:gridCol w:w="36"/>
        <w:gridCol w:w="36"/>
        <w:gridCol w:w="41"/>
        <w:gridCol w:w="998"/>
        <w:gridCol w:w="36"/>
      </w:tblGrid>
      <w:tr w:rsidR="00000000">
        <w:trPr>
          <w:divId w:val="684747675"/>
        </w:trPr>
        <w:tc>
          <w:tcPr>
            <w:tcW w:w="50" w:type="pct"/>
            <w:vAlign w:val="center"/>
            <w:hideMark/>
          </w:tcPr>
          <w:p w:rsidR="00000000" w:rsidRDefault="00485CCD">
            <w:pPr>
              <w:jc w:val="both"/>
              <w:rPr>
                <w:rFonts w:eastAsia="Times New Roman"/>
              </w:rPr>
            </w:pPr>
          </w:p>
        </w:tc>
        <w:tc>
          <w:tcPr>
            <w:tcW w:w="18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8474767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Business &amp; Industry</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68474767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68474767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w:t>
            </w:r>
          </w:p>
        </w:tc>
      </w:tr>
      <w:tr w:rsidR="00000000">
        <w:trPr>
          <w:divId w:val="68474767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3,346.5 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3,157.8 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6.0%</w:t>
            </w:r>
          </w:p>
        </w:tc>
      </w:tr>
      <w:tr w:rsidR="00000000">
        <w:trPr>
          <w:divId w:val="684747675"/>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33.1%</w:t>
            </w:r>
          </w:p>
        </w:tc>
      </w:tr>
      <w:tr w:rsidR="00000000">
        <w:trPr>
          <w:divId w:val="684747675"/>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10.1 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206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1301109835"/>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$188.7 million, or 6.0%, during 2021, as compared to 2020. The increase was primarily driven by a $101.1 million revenue increase due to the Able Acquisition in the fourth quarter of 2021. The remaining increase was due to an increa</w:t>
      </w:r>
      <w:r>
        <w:rPr>
          <w:rFonts w:ascii="Arial" w:eastAsia="Times New Roman" w:hAnsi="Arial" w:cs="Arial"/>
          <w:color w:val="000000"/>
          <w:sz w:val="20"/>
          <w:szCs w:val="20"/>
        </w:rPr>
        <w:t xml:space="preserve">se in work orders (as a result of the Pandemic) and net new business in our U.K. Operations. Management reimbursement revenues for this segment totaled $185.8 million and $221.4 million during 2021 and 2020, respectively. </w:t>
      </w:r>
    </w:p>
    <w:p w:rsidR="00000000" w:rsidRDefault="00485CCD">
      <w:pPr>
        <w:ind w:firstLine="720"/>
        <w:jc w:val="both"/>
        <w:divId w:val="1090352797"/>
        <w:rPr>
          <w:rFonts w:eastAsia="Times New Roman"/>
        </w:rPr>
      </w:pPr>
      <w:r>
        <w:rPr>
          <w:rFonts w:ascii="Arial" w:eastAsia="Times New Roman" w:hAnsi="Arial" w:cs="Arial"/>
          <w:color w:val="000000"/>
          <w:sz w:val="20"/>
          <w:szCs w:val="20"/>
        </w:rPr>
        <w:t>Operating profit increased by $84.1 million, or 33.1%, during 2021, as compared to 2020. Operating profit margin increased by 206 bps to 10.1% in 2021 from 8.0% in 2020. The increase in operating profit margin was primarily associated with higher margins o</w:t>
      </w:r>
      <w:r>
        <w:rPr>
          <w:rFonts w:ascii="Arial" w:eastAsia="Times New Roman" w:hAnsi="Arial" w:cs="Arial"/>
          <w:color w:val="000000"/>
          <w:sz w:val="20"/>
          <w:szCs w:val="20"/>
        </w:rPr>
        <w:t>n certain accounts in both our U.S. and U.K. businesses and an increase in work orders, which have higher margins. Operating margin was also positively impacted by lower insurance expense related to our self-insurance program and a decrease in bad debt exp</w:t>
      </w:r>
      <w:r>
        <w:rPr>
          <w:rFonts w:ascii="Arial" w:eastAsia="Times New Roman" w:hAnsi="Arial" w:cs="Arial"/>
          <w:color w:val="000000"/>
          <w:sz w:val="20"/>
          <w:szCs w:val="20"/>
        </w:rPr>
        <w:t xml:space="preserve">ense as higher reserves were recorded in the prior year, mainly associated with increasing credit risk resulting from the Pandemic.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22"/>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41"/>
        <w:gridCol w:w="997"/>
        <w:gridCol w:w="36"/>
      </w:tblGrid>
      <w:tr w:rsidR="00000000">
        <w:trPr>
          <w:divId w:val="1628122171"/>
          <w:jc w:val="center"/>
        </w:trPr>
        <w:tc>
          <w:tcPr>
            <w:tcW w:w="50" w:type="pct"/>
            <w:vAlign w:val="center"/>
            <w:hideMark/>
          </w:tcPr>
          <w:p w:rsidR="00000000" w:rsidRDefault="00485CCD">
            <w:pPr>
              <w:ind w:firstLine="720"/>
              <w:jc w:val="both"/>
              <w:rPr>
                <w:rFonts w:eastAsia="Times New Roman"/>
              </w:rPr>
            </w:pPr>
          </w:p>
        </w:tc>
        <w:tc>
          <w:tcPr>
            <w:tcW w:w="18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28122171"/>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Technology &amp; Manufacturing</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28122171"/>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28122171"/>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w:t>
            </w:r>
          </w:p>
        </w:tc>
      </w:tr>
      <w:tr w:rsidR="00000000">
        <w:trPr>
          <w:divId w:val="162812217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987.1 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3.3%</w:t>
            </w:r>
          </w:p>
        </w:tc>
      </w:tr>
      <w:tr w:rsidR="00000000">
        <w:trPr>
          <w:divId w:val="162812217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103.8 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22.9%</w:t>
            </w:r>
          </w:p>
        </w:tc>
      </w:tr>
      <w:tr w:rsidR="00000000">
        <w:trPr>
          <w:divId w:val="1628122171"/>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8.8 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168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1815222587"/>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 xml:space="preserve">M revenues increased by $31.1 million, or 3.3%, during 2021, as compared to 2020. The increase was primarily attributable to net new business and an increase in work orders (primarily as a result of the Pandemic). </w:t>
      </w:r>
    </w:p>
    <w:p w:rsidR="00000000" w:rsidRDefault="00485CCD">
      <w:pPr>
        <w:ind w:firstLine="720"/>
        <w:jc w:val="both"/>
        <w:divId w:val="197012395"/>
        <w:rPr>
          <w:rFonts w:eastAsia="Times New Roman"/>
        </w:rPr>
      </w:pPr>
      <w:r>
        <w:rPr>
          <w:rFonts w:ascii="Arial" w:eastAsia="Times New Roman" w:hAnsi="Arial" w:cs="Arial"/>
          <w:color w:val="000000"/>
          <w:sz w:val="20"/>
          <w:szCs w:val="20"/>
        </w:rPr>
        <w:t>Operating profit increased by $19.4 million, or 22.9%, during 2021, as compared to 2020. Operating profit margin increased by 168 bps to 10.5% in 2021 from 8.8% in 2020. The increase in operating profit margin was primarily attributable to a decrease in ba</w:t>
      </w:r>
      <w:r>
        <w:rPr>
          <w:rFonts w:ascii="Arial" w:eastAsia="Times New Roman" w:hAnsi="Arial" w:cs="Arial"/>
          <w:color w:val="000000"/>
          <w:sz w:val="20"/>
          <w:szCs w:val="20"/>
        </w:rPr>
        <w:t>d debt expense, as higher reserves were recorded in the prior year mainly associated with increasing credit risk resulting from the Pandemic, and higher margins on work orders.</w:t>
      </w:r>
    </w:p>
    <w:tbl>
      <w:tblPr>
        <w:tblW w:w="4970" w:type="pct"/>
        <w:tblCellMar>
          <w:top w:w="15" w:type="dxa"/>
          <w:left w:w="15" w:type="dxa"/>
          <w:bottom w:w="15" w:type="dxa"/>
          <w:right w:w="15" w:type="dxa"/>
        </w:tblCellMar>
        <w:tblLook w:val="04A0" w:firstRow="1" w:lastRow="0" w:firstColumn="1" w:lastColumn="0" w:noHBand="0" w:noVBand="1"/>
      </w:tblPr>
      <w:tblGrid>
        <w:gridCol w:w="37"/>
        <w:gridCol w:w="2909"/>
        <w:gridCol w:w="36"/>
        <w:gridCol w:w="132"/>
        <w:gridCol w:w="1064"/>
        <w:gridCol w:w="163"/>
        <w:gridCol w:w="36"/>
        <w:gridCol w:w="36"/>
        <w:gridCol w:w="36"/>
        <w:gridCol w:w="132"/>
        <w:gridCol w:w="1024"/>
        <w:gridCol w:w="163"/>
        <w:gridCol w:w="36"/>
        <w:gridCol w:w="36"/>
        <w:gridCol w:w="36"/>
        <w:gridCol w:w="133"/>
        <w:gridCol w:w="1026"/>
        <w:gridCol w:w="37"/>
        <w:gridCol w:w="37"/>
        <w:gridCol w:w="37"/>
        <w:gridCol w:w="37"/>
        <w:gridCol w:w="37"/>
        <w:gridCol w:w="1000"/>
        <w:gridCol w:w="36"/>
      </w:tblGrid>
      <w:tr w:rsidR="00000000">
        <w:trPr>
          <w:divId w:val="1493646293"/>
        </w:trPr>
        <w:tc>
          <w:tcPr>
            <w:tcW w:w="50" w:type="pct"/>
            <w:vAlign w:val="center"/>
            <w:hideMark/>
          </w:tcPr>
          <w:p w:rsidR="00000000" w:rsidRDefault="00485CCD">
            <w:pPr>
              <w:ind w:firstLine="720"/>
              <w:jc w:val="both"/>
              <w:rPr>
                <w:rFonts w:eastAsia="Times New Roman"/>
              </w:rPr>
            </w:pPr>
          </w:p>
        </w:tc>
        <w:tc>
          <w:tcPr>
            <w:tcW w:w="182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8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49364629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Education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9364629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9364629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w:t>
            </w:r>
          </w:p>
        </w:tc>
      </w:tr>
      <w:tr w:rsidR="00000000">
        <w:trPr>
          <w:divId w:val="149364629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836.4 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808.8 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3.4%</w:t>
            </w:r>
          </w:p>
        </w:tc>
      </w:tr>
      <w:tr w:rsidR="00000000">
        <w:trPr>
          <w:divId w:val="149364629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NM*</w:t>
            </w:r>
          </w:p>
        </w:tc>
      </w:tr>
      <w:tr w:rsidR="00000000">
        <w:trPr>
          <w:divId w:val="1493646293"/>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7.2 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(5.1)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83847215"/>
        <w:rPr>
          <w:rFonts w:eastAsia="Times New Roman"/>
        </w:rPr>
      </w:pPr>
      <w:r>
        <w:rPr>
          <w:rFonts w:ascii="Arial" w:eastAsia="Times New Roman" w:hAnsi="Arial" w:cs="Arial"/>
          <w:color w:val="000000"/>
          <w:sz w:val="18"/>
          <w:szCs w:val="18"/>
        </w:rPr>
        <w:t>*Not meaningful</w:t>
      </w:r>
    </w:p>
    <w:p w:rsidR="00000000" w:rsidRDefault="00485CCD">
      <w:pPr>
        <w:ind w:firstLine="720"/>
        <w:jc w:val="both"/>
        <w:divId w:val="1988783600"/>
        <w:rPr>
          <w:rFonts w:eastAsia="Times New Roman"/>
        </w:rPr>
      </w:pPr>
      <w:r>
        <w:rPr>
          <w:rFonts w:ascii="Arial" w:eastAsia="Times New Roman" w:hAnsi="Arial" w:cs="Arial"/>
          <w:color w:val="000000"/>
          <w:sz w:val="20"/>
          <w:szCs w:val="20"/>
        </w:rPr>
        <w:t>Education revenues increased by $27.6 million, or 3.4%, during 2021, as compared to 2020. The increase was primarily attributable to an increase in work orders as a result of Pandemic-related demands and recovery in the volume of our business as schools gr</w:t>
      </w:r>
      <w:r>
        <w:rPr>
          <w:rFonts w:ascii="Arial" w:eastAsia="Times New Roman" w:hAnsi="Arial" w:cs="Arial"/>
          <w:color w:val="000000"/>
          <w:sz w:val="20"/>
          <w:szCs w:val="20"/>
        </w:rPr>
        <w:t>adually reopened. The increase was partially offset by the loss of certain accounts during the year.</w:t>
      </w:r>
    </w:p>
    <w:p w:rsidR="00000000" w:rsidRDefault="00485CCD">
      <w:pPr>
        <w:ind w:firstLine="720"/>
        <w:jc w:val="both"/>
        <w:divId w:val="1134447881"/>
        <w:rPr>
          <w:rFonts w:eastAsia="Times New Roman"/>
        </w:rPr>
      </w:pPr>
      <w:r>
        <w:rPr>
          <w:rFonts w:ascii="Arial" w:eastAsia="Times New Roman" w:hAnsi="Arial" w:cs="Arial"/>
          <w:color w:val="000000"/>
          <w:sz w:val="20"/>
          <w:szCs w:val="20"/>
        </w:rPr>
        <w:t>Education had an operating profit of $60.5 million during 2021, as compared to an operating loss of $41.1 million during 2020. Operating margin increased t</w:t>
      </w:r>
      <w:r>
        <w:rPr>
          <w:rFonts w:ascii="Arial" w:eastAsia="Times New Roman" w:hAnsi="Arial" w:cs="Arial"/>
          <w:color w:val="000000"/>
          <w:sz w:val="20"/>
          <w:szCs w:val="20"/>
        </w:rPr>
        <w:t>o 7.2% in 2021 from (5.1)% in 2020. The increase in operating profit margin was primarily attributable to the absence of prior year goodwill impairment charges of $99.3 million. Additionally, operating margin was positively impacted by higher margin work o</w:t>
      </w:r>
      <w:r>
        <w:rPr>
          <w:rFonts w:ascii="Arial" w:eastAsia="Times New Roman" w:hAnsi="Arial" w:cs="Arial"/>
          <w:color w:val="000000"/>
          <w:sz w:val="20"/>
          <w:szCs w:val="20"/>
        </w:rPr>
        <w:t>rders, a decrease in bad debt expense, driven by net recoveries of certain previously reserved receivables, and lower amortization of intangible assets. The increase in operating margin, excluding the impact of prior year impairment, was mostly offset by t</w:t>
      </w:r>
      <w:r>
        <w:rPr>
          <w:rFonts w:ascii="Arial" w:eastAsia="Times New Roman" w:hAnsi="Arial" w:cs="Arial"/>
          <w:color w:val="000000"/>
          <w:sz w:val="20"/>
          <w:szCs w:val="20"/>
        </w:rPr>
        <w:t>he increase in direct labor and related costs as schools reopened.</w:t>
      </w:r>
    </w:p>
    <w:p w:rsidR="00000000" w:rsidRDefault="00485CCD">
      <w:pPr>
        <w:jc w:val="center"/>
        <w:divId w:val="1914773144"/>
        <w:rPr>
          <w:rFonts w:eastAsia="Times New Roman"/>
        </w:rPr>
      </w:pPr>
      <w:r>
        <w:rPr>
          <w:rFonts w:ascii="Arial" w:eastAsia="Times New Roman" w:hAnsi="Arial" w:cs="Arial"/>
          <w:color w:val="000000"/>
          <w:sz w:val="20"/>
          <w:szCs w:val="20"/>
        </w:rPr>
        <w:t>30</w:t>
      </w:r>
    </w:p>
    <w:p w:rsidR="00000000" w:rsidRDefault="00485CCD">
      <w:pPr>
        <w:rPr>
          <w:rFonts w:eastAsia="Times New Roman"/>
        </w:rPr>
      </w:pPr>
      <w:r>
        <w:rPr>
          <w:rFonts w:eastAsia="Times New Roman"/>
        </w:rPr>
        <w:pict>
          <v:rect id="_x0000_i1066" style="width:0;height:1.5pt" o:hralign="center" o:hrstd="t" o:hr="t" fillcolor="#a0a0a0" stroked="f"/>
        </w:pict>
      </w:r>
    </w:p>
    <w:p w:rsidR="00000000" w:rsidRDefault="00485CCD">
      <w:pPr>
        <w:divId w:val="163598433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7"/>
        <w:gridCol w:w="132"/>
        <w:gridCol w:w="1088"/>
        <w:gridCol w:w="163"/>
        <w:gridCol w:w="36"/>
        <w:gridCol w:w="36"/>
        <w:gridCol w:w="36"/>
        <w:gridCol w:w="132"/>
        <w:gridCol w:w="1024"/>
        <w:gridCol w:w="163"/>
        <w:gridCol w:w="36"/>
        <w:gridCol w:w="36"/>
        <w:gridCol w:w="36"/>
        <w:gridCol w:w="133"/>
        <w:gridCol w:w="1024"/>
        <w:gridCol w:w="37"/>
        <w:gridCol w:w="37"/>
        <w:gridCol w:w="36"/>
        <w:gridCol w:w="36"/>
        <w:gridCol w:w="42"/>
        <w:gridCol w:w="996"/>
        <w:gridCol w:w="37"/>
      </w:tblGrid>
      <w:tr w:rsidR="00000000">
        <w:trPr>
          <w:divId w:val="182130671"/>
        </w:trPr>
        <w:tc>
          <w:tcPr>
            <w:tcW w:w="50" w:type="pct"/>
            <w:vAlign w:val="center"/>
            <w:hideMark/>
          </w:tcPr>
          <w:p w:rsidR="00000000" w:rsidRDefault="00485CCD">
            <w:pPr>
              <w:rPr>
                <w:rFonts w:eastAsia="Times New Roman"/>
              </w:rPr>
            </w:pPr>
          </w:p>
        </w:tc>
        <w:tc>
          <w:tcPr>
            <w:tcW w:w="18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8213067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Aviation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213067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213067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 / (Decrease)</w:t>
            </w:r>
          </w:p>
        </w:tc>
      </w:tr>
      <w:tr w:rsidR="00000000">
        <w:trPr>
          <w:divId w:val="18213067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680.9 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(1.8)%</w:t>
            </w:r>
          </w:p>
        </w:tc>
      </w:tr>
      <w:tr w:rsidR="00000000">
        <w:trPr>
          <w:divId w:val="18213067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92.1 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NM*</w:t>
            </w:r>
          </w:p>
        </w:tc>
      </w:tr>
      <w:tr w:rsidR="00000000">
        <w:trPr>
          <w:divId w:val="182130671"/>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4.9 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(8.7)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1145466664"/>
        <w:rPr>
          <w:rFonts w:eastAsia="Times New Roman"/>
        </w:rPr>
      </w:pPr>
      <w:r>
        <w:rPr>
          <w:rFonts w:ascii="Arial" w:eastAsia="Times New Roman" w:hAnsi="Arial" w:cs="Arial"/>
          <w:color w:val="000000"/>
          <w:sz w:val="18"/>
          <w:szCs w:val="18"/>
        </w:rPr>
        <w:t>*Not meaningful</w:t>
      </w:r>
    </w:p>
    <w:p w:rsidR="00000000" w:rsidRDefault="00485CCD">
      <w:pPr>
        <w:ind w:firstLine="720"/>
        <w:jc w:val="both"/>
        <w:divId w:val="199126734"/>
        <w:rPr>
          <w:rFonts w:eastAsia="Times New Roman"/>
        </w:rPr>
      </w:pPr>
      <w:r>
        <w:rPr>
          <w:rFonts w:ascii="Arial" w:eastAsia="Times New Roman" w:hAnsi="Arial" w:cs="Arial"/>
          <w:color w:val="000000"/>
          <w:sz w:val="20"/>
          <w:szCs w:val="20"/>
        </w:rPr>
        <w:t xml:space="preserve">Aviation revenues decreased by $12.1 million, or 1.8%, during 2021, as compared to 2020. The decrease was primarily attributable to travel restrictions and a decline in passenger demand resulting from the Pandemic. While demand and revenue improved during </w:t>
      </w:r>
      <w:r>
        <w:rPr>
          <w:rFonts w:ascii="Arial" w:eastAsia="Times New Roman" w:hAnsi="Arial" w:cs="Arial"/>
          <w:color w:val="000000"/>
          <w:sz w:val="20"/>
          <w:szCs w:val="20"/>
        </w:rPr>
        <w:t>the third and fourth quarter of 2021, Pandemic-related volume reductions continued to impact parking, janitorial, passenger services, transportation, and catering accounts. The decrease was partially offset by Pandemic-related cleaning services and new par</w:t>
      </w:r>
      <w:r>
        <w:rPr>
          <w:rFonts w:ascii="Arial" w:eastAsia="Times New Roman" w:hAnsi="Arial" w:cs="Arial"/>
          <w:color w:val="000000"/>
          <w:sz w:val="20"/>
          <w:szCs w:val="20"/>
        </w:rPr>
        <w:t xml:space="preserve">king-related services. Management reimbursement revenues for this segment totaled $54.5 million and $74.3 million during 2021 and 2020, respectively. </w:t>
      </w:r>
    </w:p>
    <w:p w:rsidR="00000000" w:rsidRDefault="00485CCD">
      <w:pPr>
        <w:ind w:firstLine="720"/>
        <w:jc w:val="both"/>
        <w:divId w:val="2129423153"/>
        <w:rPr>
          <w:rFonts w:eastAsia="Times New Roman"/>
        </w:rPr>
      </w:pPr>
      <w:r>
        <w:rPr>
          <w:rFonts w:ascii="Arial" w:eastAsia="Times New Roman" w:hAnsi="Arial" w:cs="Arial"/>
          <w:color w:val="000000"/>
          <w:sz w:val="20"/>
          <w:szCs w:val="20"/>
        </w:rPr>
        <w:t xml:space="preserve">Aviation had an operating profit of $32.5 million during 2021, as compared to an operating loss of $59.6 </w:t>
      </w:r>
      <w:r>
        <w:rPr>
          <w:rFonts w:ascii="Arial" w:eastAsia="Times New Roman" w:hAnsi="Arial" w:cs="Arial"/>
          <w:color w:val="000000"/>
          <w:sz w:val="20"/>
          <w:szCs w:val="20"/>
        </w:rPr>
        <w:t xml:space="preserve">million during 2020. Operating margin increased to 4.9% during 2021, from (8.7)% during 2020. This increase in operating profit margin was primarily attributable to the absence of prior year impairment charges of $55.5 million on goodwill and $5.6 million </w:t>
      </w:r>
      <w:r>
        <w:rPr>
          <w:rFonts w:ascii="Arial" w:eastAsia="Times New Roman" w:hAnsi="Arial" w:cs="Arial"/>
          <w:color w:val="000000"/>
          <w:sz w:val="20"/>
          <w:szCs w:val="20"/>
        </w:rPr>
        <w:t>on customer relationships. Additionally, operating margin increased as the result of management of direct labor and related personnel costs during the Pandemic, higher margins on Pandemic-related cleaning services, and a strategic shift toward securing hig</w:t>
      </w:r>
      <w:r>
        <w:rPr>
          <w:rFonts w:ascii="Arial" w:eastAsia="Times New Roman" w:hAnsi="Arial" w:cs="Arial"/>
          <w:color w:val="000000"/>
          <w:sz w:val="20"/>
          <w:szCs w:val="20"/>
        </w:rPr>
        <w:t>her margin contracts with airports and related facilities.</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37"/>
        <w:gridCol w:w="1001"/>
        <w:gridCol w:w="36"/>
      </w:tblGrid>
      <w:tr w:rsidR="00000000">
        <w:trPr>
          <w:divId w:val="1635677724"/>
        </w:trPr>
        <w:tc>
          <w:tcPr>
            <w:tcW w:w="50" w:type="pct"/>
            <w:vAlign w:val="center"/>
            <w:hideMark/>
          </w:tcPr>
          <w:p w:rsidR="00000000" w:rsidRDefault="00485CCD">
            <w:pPr>
              <w:ind w:firstLine="720"/>
              <w:jc w:val="both"/>
              <w:rPr>
                <w:rFonts w:eastAsia="Times New Roman"/>
              </w:rPr>
            </w:pPr>
          </w:p>
        </w:tc>
        <w:tc>
          <w:tcPr>
            <w:tcW w:w="18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3567772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Technical Solutions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3567772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3567772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w:t>
            </w:r>
          </w:p>
        </w:tc>
      </w:tr>
      <w:tr w:rsidR="00000000">
        <w:trPr>
          <w:divId w:val="1635677724"/>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5.4%</w:t>
            </w:r>
          </w:p>
        </w:tc>
      </w:tr>
      <w:tr w:rsidR="00000000">
        <w:trPr>
          <w:divId w:val="163567772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NM*</w:t>
            </w:r>
          </w:p>
        </w:tc>
      </w:tr>
      <w:tr w:rsidR="00000000">
        <w:trPr>
          <w:divId w:val="1635677724"/>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1.9 </w:t>
            </w:r>
          </w:p>
        </w:tc>
        <w:tc>
          <w:tcPr>
            <w:tcW w:w="0" w:type="auto"/>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i/>
                <w:iCs/>
                <w:color w:val="000000"/>
                <w:sz w:val="16"/>
                <w:szCs w:val="16"/>
              </w:rPr>
              <w:t>745 bps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688487634"/>
        <w:rPr>
          <w:rFonts w:eastAsia="Times New Roman"/>
        </w:rPr>
      </w:pPr>
      <w:r>
        <w:rPr>
          <w:rFonts w:ascii="Arial" w:eastAsia="Times New Roman" w:hAnsi="Arial" w:cs="Arial"/>
          <w:color w:val="000000"/>
          <w:sz w:val="18"/>
          <w:szCs w:val="18"/>
        </w:rPr>
        <w:t>*Not meaningful</w:t>
      </w:r>
    </w:p>
    <w:p w:rsidR="00000000" w:rsidRDefault="00485CCD">
      <w:pPr>
        <w:ind w:firstLine="720"/>
        <w:jc w:val="both"/>
        <w:divId w:val="975372625"/>
        <w:rPr>
          <w:rFonts w:eastAsia="Times New Roman"/>
        </w:rPr>
      </w:pPr>
      <w:r>
        <w:rPr>
          <w:rFonts w:ascii="Arial" w:eastAsia="Times New Roman" w:hAnsi="Arial" w:cs="Arial"/>
          <w:color w:val="000000"/>
          <w:sz w:val="20"/>
          <w:szCs w:val="20"/>
        </w:rPr>
        <w:t xml:space="preserve">Technical Solutions revenues increased by $27.4 million, or 5.4%, during 2021, as compared to 2020. The increase was primarily attributable to an increase in the volume of our U.S. and U.K. businesses due to the easing of Pandemic-related lockdowns, which </w:t>
      </w:r>
      <w:r>
        <w:rPr>
          <w:rFonts w:ascii="Arial" w:eastAsia="Times New Roman" w:hAnsi="Arial" w:cs="Arial"/>
          <w:color w:val="000000"/>
          <w:sz w:val="20"/>
          <w:szCs w:val="20"/>
        </w:rPr>
        <w:t>provided access to facilities that were previously restricted. In addition, the revenue increase was driven by growth in electric vehicle charging station installation sales.</w:t>
      </w:r>
    </w:p>
    <w:p w:rsidR="00000000" w:rsidRDefault="00485CCD">
      <w:pPr>
        <w:ind w:firstLine="720"/>
        <w:jc w:val="both"/>
        <w:divId w:val="422996515"/>
        <w:rPr>
          <w:rFonts w:eastAsia="Times New Roman"/>
        </w:rPr>
      </w:pPr>
      <w:r>
        <w:rPr>
          <w:rFonts w:ascii="Arial" w:eastAsia="Times New Roman" w:hAnsi="Arial" w:cs="Arial"/>
          <w:color w:val="000000"/>
          <w:sz w:val="20"/>
          <w:szCs w:val="20"/>
        </w:rPr>
        <w:t>Operating profit increased by $40.3 million during 2021, as compared to 2020. Ope</w:t>
      </w:r>
      <w:r>
        <w:rPr>
          <w:rFonts w:ascii="Arial" w:eastAsia="Times New Roman" w:hAnsi="Arial" w:cs="Arial"/>
          <w:color w:val="000000"/>
          <w:sz w:val="20"/>
          <w:szCs w:val="20"/>
        </w:rPr>
        <w:t>rating profit margin increased by 745 bps to 9.3% in 2021 from 1.9% in 2020. The increase in operating profit margin was primarily attributable to the absence of a prior year $17.6 million reserve on notes receivable related to a unique, entertainment-rela</w:t>
      </w:r>
      <w:r>
        <w:rPr>
          <w:rFonts w:ascii="Arial" w:eastAsia="Times New Roman" w:hAnsi="Arial" w:cs="Arial"/>
          <w:color w:val="000000"/>
          <w:sz w:val="20"/>
          <w:szCs w:val="20"/>
        </w:rPr>
        <w:t>ted project, mainly associated with increasing credit risk resulting from the Pandemic. The increase was also due to the absence of prior year impairment charges of $9.0 million on goodwill and $3.4 million on customer relationships related to our U.K. bus</w:t>
      </w:r>
      <w:r>
        <w:rPr>
          <w:rFonts w:ascii="Arial" w:eastAsia="Times New Roman" w:hAnsi="Arial" w:cs="Arial"/>
          <w:color w:val="000000"/>
          <w:sz w:val="20"/>
          <w:szCs w:val="20"/>
        </w:rPr>
        <w:t xml:space="preserve">iness. </w:t>
      </w:r>
    </w:p>
    <w:tbl>
      <w:tblPr>
        <w:tblW w:w="4992" w:type="pct"/>
        <w:tblCellMar>
          <w:top w:w="15" w:type="dxa"/>
          <w:left w:w="15" w:type="dxa"/>
          <w:bottom w:w="15" w:type="dxa"/>
          <w:right w:w="15" w:type="dxa"/>
        </w:tblCellMar>
        <w:tblLook w:val="04A0" w:firstRow="1" w:lastRow="0" w:firstColumn="1" w:lastColumn="0" w:noHBand="0" w:noVBand="1"/>
      </w:tblPr>
      <w:tblGrid>
        <w:gridCol w:w="38"/>
        <w:gridCol w:w="3070"/>
        <w:gridCol w:w="36"/>
        <w:gridCol w:w="132"/>
        <w:gridCol w:w="1114"/>
        <w:gridCol w:w="36"/>
        <w:gridCol w:w="36"/>
        <w:gridCol w:w="36"/>
        <w:gridCol w:w="36"/>
        <w:gridCol w:w="132"/>
        <w:gridCol w:w="1076"/>
        <w:gridCol w:w="36"/>
        <w:gridCol w:w="36"/>
        <w:gridCol w:w="36"/>
        <w:gridCol w:w="36"/>
        <w:gridCol w:w="132"/>
        <w:gridCol w:w="1076"/>
        <w:gridCol w:w="36"/>
        <w:gridCol w:w="36"/>
        <w:gridCol w:w="36"/>
        <w:gridCol w:w="36"/>
        <w:gridCol w:w="37"/>
        <w:gridCol w:w="982"/>
        <w:gridCol w:w="36"/>
      </w:tblGrid>
      <w:tr w:rsidR="00000000">
        <w:trPr>
          <w:divId w:val="1620188645"/>
        </w:trPr>
        <w:tc>
          <w:tcPr>
            <w:tcW w:w="50" w:type="pct"/>
            <w:vAlign w:val="center"/>
            <w:hideMark/>
          </w:tcPr>
          <w:p w:rsidR="00000000" w:rsidRDefault="00485CCD">
            <w:pPr>
              <w:ind w:firstLine="720"/>
              <w:jc w:val="both"/>
              <w:rPr>
                <w:rFonts w:eastAsia="Times New Roman"/>
              </w:rPr>
            </w:pPr>
          </w:p>
        </w:tc>
        <w:tc>
          <w:tcPr>
            <w:tcW w:w="187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4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2018864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46AD"/>
                <w:sz w:val="20"/>
                <w:szCs w:val="20"/>
              </w:rPr>
              <w:t>Corporate</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2018864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62018864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Increase</w:t>
            </w:r>
          </w:p>
        </w:tc>
      </w:tr>
      <w:tr w:rsidR="00000000">
        <w:trPr>
          <w:divId w:val="162018864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(374.6)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(146.9)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(227.7)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NM*</w:t>
            </w:r>
          </w:p>
        </w:tc>
      </w:tr>
    </w:tbl>
    <w:p w:rsidR="00000000" w:rsidRDefault="00485CCD">
      <w:pPr>
        <w:divId w:val="1834878867"/>
        <w:rPr>
          <w:rFonts w:eastAsia="Times New Roman"/>
        </w:rPr>
      </w:pPr>
      <w:r>
        <w:rPr>
          <w:rFonts w:ascii="Arial" w:eastAsia="Times New Roman" w:hAnsi="Arial" w:cs="Arial"/>
          <w:color w:val="000000"/>
          <w:sz w:val="18"/>
          <w:szCs w:val="18"/>
        </w:rPr>
        <w:t>*Not meaningful</w:t>
      </w:r>
    </w:p>
    <w:p w:rsidR="00000000" w:rsidRDefault="00485CCD">
      <w:pPr>
        <w:ind w:firstLine="720"/>
        <w:jc w:val="both"/>
        <w:divId w:val="655183452"/>
        <w:rPr>
          <w:rFonts w:eastAsia="Times New Roman"/>
        </w:rPr>
      </w:pPr>
      <w:r>
        <w:rPr>
          <w:rFonts w:ascii="Arial" w:eastAsia="Times New Roman" w:hAnsi="Arial" w:cs="Arial"/>
          <w:color w:val="000000"/>
          <w:sz w:val="20"/>
          <w:szCs w:val="20"/>
        </w:rPr>
        <w:t>Corporate expenses increased by $227.7 million during 2021, as compared to 2020. The increase in corporate expenses was primarily related to:</w:t>
      </w:r>
    </w:p>
    <w:p w:rsidR="00000000" w:rsidRDefault="00485CCD">
      <w:pPr>
        <w:jc w:val="center"/>
        <w:divId w:val="1333608648"/>
        <w:rPr>
          <w:rFonts w:eastAsia="Times New Roman"/>
        </w:rPr>
      </w:pPr>
      <w:r>
        <w:rPr>
          <w:rFonts w:ascii="Arial" w:eastAsia="Times New Roman" w:hAnsi="Arial" w:cs="Arial"/>
          <w:color w:val="000000"/>
          <w:sz w:val="20"/>
          <w:szCs w:val="20"/>
        </w:rPr>
        <w:t>31</w:t>
      </w:r>
    </w:p>
    <w:p w:rsidR="00000000" w:rsidRDefault="00485CCD">
      <w:pPr>
        <w:rPr>
          <w:rFonts w:eastAsia="Times New Roman"/>
        </w:rPr>
      </w:pPr>
      <w:r>
        <w:rPr>
          <w:rFonts w:eastAsia="Times New Roman"/>
        </w:rPr>
        <w:pict>
          <v:rect id="_x0000_i1067" style="width:0;height:1.5pt" o:hralign="center" o:hrstd="t" o:hr="t" fillcolor="#a0a0a0" stroked="f"/>
        </w:pict>
      </w:r>
    </w:p>
    <w:p w:rsidR="00000000" w:rsidRDefault="00485CCD">
      <w:pPr>
        <w:divId w:val="949629233"/>
        <w:rPr>
          <w:rFonts w:eastAsia="Times New Roman"/>
        </w:rPr>
      </w:pPr>
    </w:p>
    <w:p w:rsidR="00000000" w:rsidRDefault="00485CCD">
      <w:pPr>
        <w:ind w:hanging="360"/>
        <w:jc w:val="both"/>
        <w:divId w:val="2865515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$145.8 million increase in legal costs and settlements, primarily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485CCD">
      <w:pPr>
        <w:ind w:hanging="360"/>
        <w:jc w:val="both"/>
        <w:divId w:val="111544399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$43.2 million increase in certain technology projects and other enterprise initiat</w:t>
      </w:r>
      <w:r>
        <w:rPr>
          <w:rFonts w:ascii="Arial" w:eastAsia="Times New Roman" w:hAnsi="Arial" w:cs="Arial"/>
          <w:color w:val="000000"/>
          <w:sz w:val="20"/>
          <w:szCs w:val="20"/>
        </w:rPr>
        <w:t xml:space="preserve">ives (including </w:t>
      </w:r>
      <w:r>
        <w:rPr>
          <w:rFonts w:ascii="Arial" w:eastAsia="Times New Roman" w:hAnsi="Arial" w:cs="Arial"/>
          <w:b/>
          <w:bCs/>
          <w:color w:val="E98300"/>
          <w:sz w:val="20"/>
          <w:szCs w:val="20"/>
        </w:rPr>
        <w:t>ELEVATE</w:t>
      </w:r>
      <w:r>
        <w:rPr>
          <w:rFonts w:ascii="Arial" w:eastAsia="Times New Roman" w:hAnsi="Arial" w:cs="Arial"/>
          <w:color w:val="000000"/>
          <w:sz w:val="20"/>
          <w:szCs w:val="20"/>
        </w:rPr>
        <w:t>), in addition to marketing events;</w:t>
      </w:r>
    </w:p>
    <w:p w:rsidR="00000000" w:rsidRDefault="00485CCD">
      <w:pPr>
        <w:ind w:hanging="360"/>
        <w:jc w:val="both"/>
        <w:divId w:val="136802655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$33.4 million increase in compensation and related expenses, primarily driven by corporate and staff labor reductions that occurred in the prior period due to the Pandemic, including wage reduct</w:t>
      </w:r>
      <w:r>
        <w:rPr>
          <w:rFonts w:ascii="Arial" w:eastAsia="Times New Roman" w:hAnsi="Arial" w:cs="Arial"/>
          <w:color w:val="000000"/>
          <w:sz w:val="20"/>
          <w:szCs w:val="20"/>
        </w:rPr>
        <w:t>ions, employee furloughs, and the suspension of certain benefits such as 401(k) matching. The increase was also due to updated assessments regarding financial performance target achievements in connection with certain performance share awards and cash ince</w:t>
      </w:r>
      <w:r>
        <w:rPr>
          <w:rFonts w:ascii="Arial" w:eastAsia="Times New Roman" w:hAnsi="Arial" w:cs="Arial"/>
          <w:color w:val="000000"/>
          <w:sz w:val="20"/>
          <w:szCs w:val="20"/>
        </w:rPr>
        <w:t xml:space="preserve">ntive plans; </w:t>
      </w:r>
    </w:p>
    <w:p w:rsidR="00000000" w:rsidRDefault="00485CCD">
      <w:pPr>
        <w:ind w:hanging="360"/>
        <w:jc w:val="both"/>
        <w:divId w:val="98181583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$21.9 million increase in acquisition and integration costs attributable to the Able Acquisition; and</w:t>
      </w:r>
    </w:p>
    <w:p w:rsidR="00000000" w:rsidRDefault="00485CCD">
      <w:pPr>
        <w:ind w:hanging="360"/>
        <w:jc w:val="both"/>
        <w:divId w:val="91940684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impairment charge for previously capitalized internal-use software related to our ERP system implementation as w</w:t>
      </w:r>
      <w:r>
        <w:rPr>
          <w:rFonts w:ascii="Arial" w:eastAsia="Times New Roman" w:hAnsi="Arial" w:cs="Arial"/>
          <w:color w:val="000000"/>
          <w:sz w:val="20"/>
          <w:szCs w:val="20"/>
        </w:rPr>
        <w:t>e determined that certain components developed will no longer be incorporated into the new ERP system.</w:t>
      </w:r>
    </w:p>
    <w:p w:rsidR="00000000" w:rsidRDefault="00485CCD">
      <w:pPr>
        <w:jc w:val="both"/>
        <w:divId w:val="2086800219"/>
        <w:rPr>
          <w:rFonts w:eastAsia="Times New Roman"/>
        </w:rPr>
      </w:pPr>
      <w:r>
        <w:rPr>
          <w:rFonts w:ascii="Arial" w:eastAsia="Times New Roman" w:hAnsi="Arial" w:cs="Arial"/>
          <w:color w:val="000000"/>
          <w:sz w:val="20"/>
          <w:szCs w:val="20"/>
        </w:rPr>
        <w:t>This increase was partially offset by:</w:t>
      </w:r>
    </w:p>
    <w:p w:rsidR="00000000" w:rsidRDefault="00485CCD">
      <w:pPr>
        <w:ind w:hanging="360"/>
        <w:jc w:val="both"/>
        <w:divId w:val="89759678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$17.4 million decrease in insurance expense as the result of favorable self-insurance reserve adjustments from actuarial evaluations completed in fiscal year 2021 as compared to 2020; and</w:t>
      </w:r>
    </w:p>
    <w:p w:rsidR="00000000" w:rsidRDefault="00485CCD">
      <w:pPr>
        <w:ind w:hanging="360"/>
        <w:jc w:val="both"/>
        <w:divId w:val="57555385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$7.6 million decrease in restructuring and related expenses due</w:t>
      </w:r>
      <w:r>
        <w:rPr>
          <w:rFonts w:ascii="Arial" w:eastAsia="Times New Roman" w:hAnsi="Arial" w:cs="Arial"/>
          <w:color w:val="000000"/>
          <w:sz w:val="20"/>
          <w:szCs w:val="20"/>
        </w:rPr>
        <w:t xml:space="preserve"> to the completion of our restructuring program in fiscal year 2020.</w:t>
      </w:r>
    </w:p>
    <w:p w:rsidR="00000000" w:rsidRDefault="00485CCD">
      <w:pPr>
        <w:jc w:val="both"/>
        <w:divId w:val="398669488"/>
        <w:rPr>
          <w:rFonts w:eastAsia="Times New Roman"/>
        </w:rPr>
      </w:pPr>
      <w:r>
        <w:rPr>
          <w:rFonts w:ascii="Arial" w:eastAsia="Times New Roman" w:hAnsi="Arial" w:cs="Arial"/>
          <w:b/>
          <w:bCs/>
          <w:i/>
          <w:iCs/>
          <w:color w:val="0046AD"/>
          <w:sz w:val="20"/>
          <w:szCs w:val="20"/>
        </w:rPr>
        <w:t>The Year Ended October 31, 2020 Compared with the Year Ended October 31, 2019</w:t>
      </w:r>
    </w:p>
    <w:p w:rsidR="00000000" w:rsidRDefault="00485CCD">
      <w:pPr>
        <w:ind w:firstLine="720"/>
        <w:jc w:val="both"/>
        <w:divId w:val="128980600"/>
        <w:rPr>
          <w:rFonts w:eastAsia="Times New Roman"/>
        </w:rPr>
      </w:pPr>
      <w:r>
        <w:rPr>
          <w:rFonts w:ascii="Arial" w:eastAsia="Times New Roman" w:hAnsi="Arial" w:cs="Arial"/>
          <w:color w:val="000000"/>
          <w:sz w:val="20"/>
          <w:szCs w:val="20"/>
        </w:rPr>
        <w:t>For a comparison of our Segment Information for the year ended October 31, 2020, to the year ended October 31, 2019, see “Part II, Item 7. Management’s Discussion and Analysis of Financial Condition and Results of Operations” of our Form 10-K for the fisca</w:t>
      </w:r>
      <w:r>
        <w:rPr>
          <w:rFonts w:ascii="Arial" w:eastAsia="Times New Roman" w:hAnsi="Arial" w:cs="Arial"/>
          <w:color w:val="000000"/>
          <w:sz w:val="20"/>
          <w:szCs w:val="20"/>
        </w:rPr>
        <w:t>l year ended October 31, 2020, filed with the SEC on December 17, 2020.</w:t>
      </w:r>
    </w:p>
    <w:p w:rsidR="00000000" w:rsidRDefault="00485CCD">
      <w:pPr>
        <w:jc w:val="center"/>
        <w:divId w:val="59789616"/>
        <w:rPr>
          <w:rFonts w:eastAsia="Times New Roman"/>
        </w:rPr>
      </w:pPr>
      <w:r>
        <w:rPr>
          <w:rFonts w:ascii="Arial" w:eastAsia="Times New Roman" w:hAnsi="Arial" w:cs="Arial"/>
          <w:color w:val="000000"/>
          <w:sz w:val="20"/>
          <w:szCs w:val="20"/>
        </w:rPr>
        <w:t>32</w:t>
      </w:r>
    </w:p>
    <w:p w:rsidR="00000000" w:rsidRDefault="00485CCD">
      <w:pPr>
        <w:rPr>
          <w:rFonts w:eastAsia="Times New Roman"/>
        </w:rPr>
      </w:pPr>
      <w:r>
        <w:rPr>
          <w:rFonts w:eastAsia="Times New Roman"/>
        </w:rPr>
        <w:pict>
          <v:rect id="_x0000_i1068" style="width:0;height:1.5pt" o:hralign="center" o:hrstd="t" o:hr="t" fillcolor="#a0a0a0" stroked="f"/>
        </w:pict>
      </w:r>
    </w:p>
    <w:p w:rsidR="00000000" w:rsidRDefault="00485CCD">
      <w:pPr>
        <w:divId w:val="8485332"/>
        <w:rPr>
          <w:rFonts w:eastAsia="Times New Roman"/>
        </w:rPr>
      </w:pPr>
    </w:p>
    <w:p w:rsidR="00000000" w:rsidRDefault="00485CCD">
      <w:pPr>
        <w:divId w:val="397284359"/>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39745405"/>
        </w:trPr>
        <w:tc>
          <w:tcPr>
            <w:tcW w:w="5" w:type="pct"/>
            <w:vAlign w:val="center"/>
            <w:hideMark/>
          </w:tcPr>
          <w:p w:rsidR="00000000" w:rsidRDefault="00485CCD">
            <w:pPr>
              <w:rPr>
                <w:rFonts w:eastAsia="Times New Roman"/>
              </w:rPr>
            </w:pPr>
          </w:p>
        </w:tc>
        <w:tc>
          <w:tcPr>
            <w:tcW w:w="1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39745405"/>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867136227"/>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rsidR="00000000" w:rsidRDefault="00485CCD">
      <w:pPr>
        <w:ind w:firstLine="720"/>
        <w:jc w:val="both"/>
        <w:divId w:val="712267109"/>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settlements,</w:t>
      </w:r>
      <w:r>
        <w:rPr>
          <w:rFonts w:ascii="Arial" w:eastAsia="Times New Roman" w:hAnsi="Arial" w:cs="Arial"/>
          <w:color w:val="000000"/>
          <w:sz w:val="20"/>
          <w:szCs w:val="20"/>
        </w:rPr>
        <w:t xml:space="preserve"> insurance claims, 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We anticipate long-term cash uses may also include strategic acquisi</w:t>
      </w:r>
      <w:r>
        <w:rPr>
          <w:rFonts w:ascii="Arial" w:eastAsia="Times New Roman" w:hAnsi="Arial" w:cs="Arial"/>
          <w:color w:val="000000"/>
          <w:sz w:val="20"/>
          <w:szCs w:val="20"/>
        </w:rPr>
        <w:t>tions. On a long-term basis, we will continue to rely on our credit facility for any long-term funding not provided by operating cash flows.</w:t>
      </w:r>
    </w:p>
    <w:p w:rsidR="00000000" w:rsidRDefault="00485CCD">
      <w:pPr>
        <w:ind w:firstLine="720"/>
        <w:jc w:val="both"/>
        <w:divId w:val="770857316"/>
        <w:rPr>
          <w:rFonts w:eastAsia="Times New Roman"/>
        </w:rPr>
      </w:pPr>
      <w:r>
        <w:rPr>
          <w:rFonts w:ascii="Arial" w:eastAsia="Times New Roman" w:hAnsi="Arial" w:cs="Arial"/>
          <w:color w:val="000000"/>
          <w:sz w:val="20"/>
          <w:szCs w:val="20"/>
        </w:rPr>
        <w:t>We believe that the Pandemic has had, and will likely continue to have, an impact on our consolidated financial pos</w:t>
      </w:r>
      <w:r>
        <w:rPr>
          <w:rFonts w:ascii="Arial" w:eastAsia="Times New Roman" w:hAnsi="Arial" w:cs="Arial"/>
          <w:color w:val="000000"/>
          <w:sz w:val="20"/>
          <w:szCs w:val="20"/>
        </w:rPr>
        <w:t>ition, results of operations, and cash flows. Since we cannot predict the duration or scope of the Pandemic, we cannot fully anticipate or reasonably estimate all the ways in which the current global health crisis and financial market conditions could adve</w:t>
      </w:r>
      <w:r>
        <w:rPr>
          <w:rFonts w:ascii="Arial" w:eastAsia="Times New Roman" w:hAnsi="Arial" w:cs="Arial"/>
          <w:color w:val="000000"/>
          <w:sz w:val="20"/>
          <w:szCs w:val="20"/>
        </w:rPr>
        <w:t>rsely impact our business in fiscal 2022 or in the future.</w:t>
      </w:r>
    </w:p>
    <w:p w:rsidR="00000000" w:rsidRDefault="00485CCD">
      <w:pPr>
        <w:ind w:firstLine="720"/>
        <w:jc w:val="both"/>
        <w:divId w:val="95712276"/>
        <w:rPr>
          <w:rFonts w:eastAsia="Times New Roman"/>
        </w:rPr>
      </w:pPr>
      <w:r>
        <w:rPr>
          <w:rFonts w:ascii="Arial" w:eastAsia="Times New Roman" w:hAnsi="Arial" w:cs="Arial"/>
          <w:color w:val="000000"/>
          <w:sz w:val="20"/>
          <w:szCs w:val="20"/>
        </w:rPr>
        <w:t>We have taken and continue to take certain steps to preserve liquidity, including: imposing furloughs or reduced hours for certain service employees in markets significantly impacted by business sl</w:t>
      </w:r>
      <w:r>
        <w:rPr>
          <w:rFonts w:ascii="Arial" w:eastAsia="Times New Roman" w:hAnsi="Arial" w:cs="Arial"/>
          <w:color w:val="000000"/>
          <w:sz w:val="20"/>
          <w:szCs w:val="20"/>
        </w:rPr>
        <w:t>owdowns and shutdowns; managing our operating expenditures and certain selling, general and administrative expenses; amending our credit facility, as further described under “Credit Facility” below; and suspending share repurchases under our share repurcha</w:t>
      </w:r>
      <w:r>
        <w:rPr>
          <w:rFonts w:ascii="Arial" w:eastAsia="Times New Roman" w:hAnsi="Arial" w:cs="Arial"/>
          <w:color w:val="000000"/>
          <w:sz w:val="20"/>
          <w:szCs w:val="20"/>
        </w:rPr>
        <w:t>se program. In addition, we continue focusing on collection of customer receivables, monitoring the adequacy of our reserves, and extending vendor payment terms where possible. We also evaluated the business tax provisions of the CARES Act and have deferre</w:t>
      </w:r>
      <w:r>
        <w:rPr>
          <w:rFonts w:ascii="Arial" w:eastAsia="Times New Roman" w:hAnsi="Arial" w:cs="Arial"/>
          <w:color w:val="000000"/>
          <w:sz w:val="20"/>
          <w:szCs w:val="20"/>
        </w:rPr>
        <w:t>d remittance of approximately $132 million of payroll tax through December 31, 2020, which the CARES Act requires to be remitted by December 31, 2021, and December 31, 2022, in equal parts.</w:t>
      </w:r>
    </w:p>
    <w:p w:rsidR="00000000" w:rsidRDefault="00485CCD">
      <w:pPr>
        <w:ind w:firstLine="720"/>
        <w:jc w:val="both"/>
        <w:divId w:val="1175265437"/>
        <w:rPr>
          <w:rFonts w:eastAsia="Times New Roman"/>
        </w:rPr>
      </w:pPr>
      <w:r>
        <w:rPr>
          <w:rFonts w:ascii="Arial" w:eastAsia="Times New Roman" w:hAnsi="Arial" w:cs="Arial"/>
          <w:color w:val="000000"/>
          <w:sz w:val="20"/>
          <w:szCs w:val="20"/>
        </w:rPr>
        <w:t>We believe that our operating cash flows and borrowing capacity un</w:t>
      </w:r>
      <w:r>
        <w:rPr>
          <w:rFonts w:ascii="Arial" w:eastAsia="Times New Roman" w:hAnsi="Arial" w:cs="Arial"/>
          <w:color w:val="000000"/>
          <w:sz w:val="20"/>
          <w:szCs w:val="20"/>
        </w:rPr>
        <w:t>der our credit facility are sufficient to fund our cash requirements for the next 12 months. In the event that our plans change or our cash requirements are greater than we anticipate, we may need to access the capital markets to finance future cash requir</w:t>
      </w:r>
      <w:r>
        <w:rPr>
          <w:rFonts w:ascii="Arial" w:eastAsia="Times New Roman" w:hAnsi="Arial" w:cs="Arial"/>
          <w:color w:val="000000"/>
          <w:sz w:val="20"/>
          <w:szCs w:val="20"/>
        </w:rPr>
        <w:t xml:space="preserve">ements. However, there can be no assurance that such financing will be available to us should we need it or, if available, that the terms will be satisfactory to us and not dilutive to existing shareholders. </w:t>
      </w:r>
    </w:p>
    <w:p w:rsidR="00000000" w:rsidRDefault="00485CCD">
      <w:pPr>
        <w:jc w:val="both"/>
        <w:divId w:val="1179659983"/>
        <w:rPr>
          <w:rFonts w:eastAsia="Times New Roman"/>
        </w:rPr>
      </w:pPr>
      <w:r>
        <w:rPr>
          <w:rFonts w:ascii="Arial" w:eastAsia="Times New Roman" w:hAnsi="Arial" w:cs="Arial"/>
          <w:b/>
          <w:bCs/>
          <w:i/>
          <w:iCs/>
          <w:color w:val="0046AD"/>
          <w:sz w:val="20"/>
          <w:szCs w:val="20"/>
        </w:rPr>
        <w:t>Credit Facility</w:t>
      </w:r>
    </w:p>
    <w:p w:rsidR="00000000" w:rsidRDefault="00485CCD">
      <w:pPr>
        <w:ind w:firstLine="720"/>
        <w:jc w:val="both"/>
        <w:divId w:val="1048064089"/>
        <w:rPr>
          <w:rFonts w:eastAsia="Times New Roman"/>
        </w:rPr>
      </w:pPr>
      <w:r>
        <w:rPr>
          <w:rFonts w:ascii="Arial" w:eastAsia="Times New Roman" w:hAnsi="Arial" w:cs="Arial"/>
          <w:color w:val="000000"/>
          <w:sz w:val="20"/>
          <w:szCs w:val="20"/>
        </w:rPr>
        <w:t>On September 1, 2017, we refina</w:t>
      </w:r>
      <w:r>
        <w:rPr>
          <w:rFonts w:ascii="Arial" w:eastAsia="Times New Roman" w:hAnsi="Arial" w:cs="Arial"/>
          <w:color w:val="000000"/>
          <w:sz w:val="20"/>
          <w:szCs w:val="20"/>
        </w:rPr>
        <w:t xml:space="preserve">nced and replaced our then-existing $800.0 million credit facility with a new senior, secured five-year syndicated credit facility (the “Credit Facility”), consisting of a $900.0 million revolving line of credit and an $800.0 million amortizing term loan. </w:t>
      </w:r>
      <w:r>
        <w:rPr>
          <w:rFonts w:ascii="Arial" w:eastAsia="Times New Roman" w:hAnsi="Arial" w:cs="Arial"/>
          <w:color w:val="000000"/>
          <w:sz w:val="20"/>
          <w:szCs w:val="20"/>
        </w:rPr>
        <w:t>In accordance with the terms of the Credit Facility, the revolving line of credit was reduced to $800.0 million on September 1, 2018.</w:t>
      </w:r>
    </w:p>
    <w:p w:rsidR="00000000" w:rsidRDefault="00485CCD">
      <w:pPr>
        <w:ind w:firstLine="720"/>
        <w:jc w:val="both"/>
        <w:divId w:val="1286883414"/>
        <w:rPr>
          <w:rFonts w:eastAsia="Times New Roman"/>
        </w:rPr>
      </w:pPr>
      <w:r>
        <w:rPr>
          <w:rFonts w:ascii="Arial" w:eastAsia="Times New Roman" w:hAnsi="Arial" w:cs="Arial"/>
          <w:color w:val="000000"/>
          <w:sz w:val="20"/>
          <w:szCs w:val="20"/>
        </w:rPr>
        <w:t>On May 28, 2020, we amended and restated our Credit Facility (“the First Amendment”) to further enhance our financial flex</w:t>
      </w:r>
      <w:r>
        <w:rPr>
          <w:rFonts w:ascii="Arial" w:eastAsia="Times New Roman" w:hAnsi="Arial" w:cs="Arial"/>
          <w:color w:val="000000"/>
          <w:sz w:val="20"/>
          <w:szCs w:val="20"/>
        </w:rPr>
        <w:t>ibility as a precautionary measure in response to uncertainty arising from the Pandemic. The First Amendment modified certain financial covenants, the interest rate, interest margins, and commitment fees applicable to loans and commitments under the Credit</w:t>
      </w:r>
      <w:r>
        <w:rPr>
          <w:rFonts w:ascii="Arial" w:eastAsia="Times New Roman" w:hAnsi="Arial" w:cs="Arial"/>
          <w:color w:val="000000"/>
          <w:sz w:val="20"/>
          <w:szCs w:val="20"/>
        </w:rPr>
        <w:t xml:space="preserve"> Facility. The First Amendment made certain additional changes to the negative covenants restrictions under the Credit Facility, including, subject to certain exceptions: restrictions on our ability to make acquisitions, share repurchases, and other define</w:t>
      </w:r>
      <w:r>
        <w:rPr>
          <w:rFonts w:ascii="Arial" w:eastAsia="Times New Roman" w:hAnsi="Arial" w:cs="Arial"/>
          <w:color w:val="000000"/>
          <w:sz w:val="20"/>
          <w:szCs w:val="20"/>
        </w:rPr>
        <w:t>d restricted payments, depending on our total net leverage ratio.</w:t>
      </w:r>
    </w:p>
    <w:p w:rsidR="00000000" w:rsidRDefault="00485CCD">
      <w:pPr>
        <w:ind w:firstLine="720"/>
        <w:jc w:val="both"/>
        <w:divId w:val="373434865"/>
        <w:rPr>
          <w:rFonts w:eastAsia="Times New Roman"/>
        </w:rPr>
      </w:pPr>
      <w:r>
        <w:rPr>
          <w:rFonts w:ascii="Arial" w:eastAsia="Times New Roman" w:hAnsi="Arial" w:cs="Arial"/>
          <w:color w:val="000000"/>
          <w:sz w:val="20"/>
          <w:szCs w:val="20"/>
        </w:rPr>
        <w:t>On June 28, 2021, the Company amended and restated the Credit Facility (the “Second Amendment,” and the Credit Facility as amended, the “Amended Credit Facility”), extending the maturity dat</w:t>
      </w:r>
      <w:r>
        <w:rPr>
          <w:rFonts w:ascii="Arial" w:eastAsia="Times New Roman" w:hAnsi="Arial" w:cs="Arial"/>
          <w:color w:val="000000"/>
          <w:sz w:val="20"/>
          <w:szCs w:val="20"/>
        </w:rPr>
        <w:t>e to June 28, 2026, and increasing the capacity of the revolving credit facility from $800.0 million to $1.3 billion and the then-remaining term loan outstanding from $620.0 million to $650.0 million. The Second Amendment also removed the anti-cash hoardin</w:t>
      </w:r>
      <w:r>
        <w:rPr>
          <w:rFonts w:ascii="Arial" w:eastAsia="Times New Roman" w:hAnsi="Arial" w:cs="Arial"/>
          <w:color w:val="000000"/>
          <w:sz w:val="20"/>
          <w:szCs w:val="20"/>
        </w:rPr>
        <w:t>g mandatory prepayment requirement as well as other restrictions that limited our ability to make acquisitions, share repurchases, and other defined restricted payments under the First Amendment. Additionally, the Second Amendment modified certain financia</w:t>
      </w:r>
      <w:r>
        <w:rPr>
          <w:rFonts w:ascii="Arial" w:eastAsia="Times New Roman" w:hAnsi="Arial" w:cs="Arial"/>
          <w:color w:val="000000"/>
          <w:sz w:val="20"/>
          <w:szCs w:val="20"/>
        </w:rPr>
        <w:t>l covenants, terms, interest rates, interest margins, and commitment fees applicable to loans and commitments under the prior Credit Facility. The Amended Credit Facility provides for the issuance of up to $350.0 million for standby letters of credit and t</w:t>
      </w:r>
      <w:r>
        <w:rPr>
          <w:rFonts w:ascii="Arial" w:eastAsia="Times New Roman" w:hAnsi="Arial" w:cs="Arial"/>
          <w:color w:val="000000"/>
          <w:sz w:val="20"/>
          <w:szCs w:val="20"/>
        </w:rPr>
        <w:t xml:space="preserve">he issuance of up to $75.0 million in swingline advances. The obligations under the Amended Credit Facility are secured on a first-priority basis by a lien on </w:t>
      </w:r>
    </w:p>
    <w:p w:rsidR="00000000" w:rsidRDefault="00485CCD">
      <w:pPr>
        <w:jc w:val="center"/>
        <w:divId w:val="611127451"/>
        <w:rPr>
          <w:rFonts w:eastAsia="Times New Roman"/>
        </w:rPr>
      </w:pPr>
      <w:r>
        <w:rPr>
          <w:rFonts w:ascii="Arial" w:eastAsia="Times New Roman" w:hAnsi="Arial" w:cs="Arial"/>
          <w:color w:val="000000"/>
          <w:sz w:val="20"/>
          <w:szCs w:val="20"/>
        </w:rPr>
        <w:t>33</w:t>
      </w:r>
    </w:p>
    <w:p w:rsidR="00000000" w:rsidRDefault="00485CCD">
      <w:pPr>
        <w:rPr>
          <w:rFonts w:eastAsia="Times New Roman"/>
        </w:rPr>
      </w:pPr>
      <w:r>
        <w:rPr>
          <w:rFonts w:eastAsia="Times New Roman"/>
        </w:rPr>
        <w:pict>
          <v:rect id="_x0000_i1069" style="width:0;height:1.5pt" o:hralign="center" o:hrstd="t" o:hr="t" fillcolor="#a0a0a0" stroked="f"/>
        </w:pict>
      </w:r>
    </w:p>
    <w:p w:rsidR="00000000" w:rsidRDefault="00485CCD">
      <w:pPr>
        <w:divId w:val="327054683"/>
        <w:rPr>
          <w:rFonts w:eastAsia="Times New Roman"/>
        </w:rPr>
      </w:pPr>
    </w:p>
    <w:p w:rsidR="00000000" w:rsidRDefault="00485CCD">
      <w:pPr>
        <w:jc w:val="both"/>
        <w:divId w:val="861670812"/>
        <w:rPr>
          <w:rFonts w:eastAsia="Times New Roman"/>
        </w:rPr>
      </w:pPr>
      <w:r>
        <w:rPr>
          <w:rFonts w:ascii="Arial" w:eastAsia="Times New Roman" w:hAnsi="Arial" w:cs="Arial"/>
          <w:color w:val="000000"/>
          <w:sz w:val="20"/>
          <w:szCs w:val="20"/>
        </w:rPr>
        <w:t xml:space="preserve">substantially all of our assets and properties, subject to certain exceptions. We may repay amounts borrowed under the Amended Credit Facility at any time without penalty. </w:t>
      </w:r>
    </w:p>
    <w:p w:rsidR="00000000" w:rsidRDefault="00485CCD">
      <w:pPr>
        <w:ind w:firstLine="720"/>
        <w:jc w:val="both"/>
        <w:divId w:val="649092347"/>
        <w:rPr>
          <w:rFonts w:eastAsia="Times New Roman"/>
        </w:rPr>
      </w:pPr>
      <w:r>
        <w:rPr>
          <w:rFonts w:ascii="Arial" w:eastAsia="Times New Roman" w:hAnsi="Arial" w:cs="Arial"/>
          <w:color w:val="000000"/>
          <w:sz w:val="20"/>
          <w:szCs w:val="20"/>
        </w:rPr>
        <w:t>Under the Amended Credit Facility, the term loan and U.S.-dollar-denominated borrow</w:t>
      </w:r>
      <w:r>
        <w:rPr>
          <w:rFonts w:ascii="Arial" w:eastAsia="Times New Roman" w:hAnsi="Arial" w:cs="Arial"/>
          <w:color w:val="000000"/>
          <w:sz w:val="20"/>
          <w:szCs w:val="20"/>
        </w:rPr>
        <w:t>ings under the revolver bear interest at a rate equal to one-month LIBOR plus a spread based upon our leverage ratio. Euro- and sterling-denominated borrowings under the revolver bear at the interest rate of the Euro Interbank Offered Rate (EURIBOR) and th</w:t>
      </w:r>
      <w:r>
        <w:rPr>
          <w:rFonts w:ascii="Arial" w:eastAsia="Times New Roman" w:hAnsi="Arial" w:cs="Arial"/>
          <w:color w:val="000000"/>
          <w:sz w:val="20"/>
          <w:szCs w:val="20"/>
        </w:rPr>
        <w:t>e daily Sterling Overnight Index Average (SONIA) reference rate, respectively, plus a spread that is based upon our leverage ratio. The spread ranges from 1.375% to 2.250% for Eurocurrency loans and 0.375% to 1.250% for base rate loans. At October 31, 2021</w:t>
      </w:r>
      <w:r>
        <w:rPr>
          <w:rFonts w:ascii="Arial" w:eastAsia="Times New Roman" w:hAnsi="Arial" w:cs="Arial"/>
          <w:color w:val="000000"/>
          <w:sz w:val="20"/>
          <w:szCs w:val="20"/>
        </w:rPr>
        <w:t>, the weighted average interest rate on our outstanding borrowings was 1.59%. We also pay a commitment fee, based on our leverage ratio and payable quarterly in arrears, ranging from 0.20% to 0.40% on the average daily unused portion of the line of credit.</w:t>
      </w:r>
      <w:r>
        <w:rPr>
          <w:rFonts w:ascii="Arial" w:eastAsia="Times New Roman" w:hAnsi="Arial" w:cs="Arial"/>
          <w:color w:val="000000"/>
          <w:sz w:val="20"/>
          <w:szCs w:val="20"/>
        </w:rPr>
        <w:t xml:space="preserve"> For purposes of this calculation, irrevocable standby letters of credit, which are issued primarily in conjunction with our insurance programs, and cash borrowings are included as outstanding under the line of credit.</w:t>
      </w:r>
    </w:p>
    <w:p w:rsidR="00000000" w:rsidRDefault="00485CCD">
      <w:pPr>
        <w:ind w:firstLine="720"/>
        <w:jc w:val="both"/>
        <w:divId w:val="987251507"/>
        <w:rPr>
          <w:rFonts w:eastAsia="Times New Roman"/>
        </w:rPr>
      </w:pPr>
      <w:r>
        <w:rPr>
          <w:rFonts w:ascii="Arial" w:eastAsia="Times New Roman" w:hAnsi="Arial" w:cs="Arial"/>
          <w:color w:val="000000"/>
          <w:sz w:val="20"/>
          <w:szCs w:val="20"/>
        </w:rPr>
        <w:t xml:space="preserve">The Amended Credit Facility contains </w:t>
      </w:r>
      <w:r>
        <w:rPr>
          <w:rFonts w:ascii="Arial" w:eastAsia="Times New Roman" w:hAnsi="Arial" w:cs="Arial"/>
          <w:color w:val="000000"/>
          <w:sz w:val="20"/>
          <w:szCs w:val="20"/>
        </w:rPr>
        <w:t>certain covenants, including a maximum total net leverage ratio of 5.00 to 1.00, a maximum secured net leverage ratio of 4.00 to 1.00, and a minimum interest coverage ratio of 1.50 to 1.00, as well as other financial and non-financial covenants. In the eve</w:t>
      </w:r>
      <w:r>
        <w:rPr>
          <w:rFonts w:ascii="Arial" w:eastAsia="Times New Roman" w:hAnsi="Arial" w:cs="Arial"/>
          <w:color w:val="000000"/>
          <w:sz w:val="20"/>
          <w:szCs w:val="20"/>
        </w:rPr>
        <w:t>nt of a material acquisition, as defined in the Amended Credit Facility, we may elect to increase the maximum total net leverage ratio to 5.50 to 1.00 for a total of four fiscal quarters and increase the maximum secured net leverage ratio to 4.50 to 1.00 f</w:t>
      </w:r>
      <w:r>
        <w:rPr>
          <w:rFonts w:ascii="Arial" w:eastAsia="Times New Roman" w:hAnsi="Arial" w:cs="Arial"/>
          <w:color w:val="000000"/>
          <w:sz w:val="20"/>
          <w:szCs w:val="20"/>
        </w:rPr>
        <w:t>or a total of four fiscal quarters. We did not make this election for the Able Acquisition. Our borrowing capacity is subject to, and limited by, compliance with the covenants described above. At October 31, 2021, we were in compliance with these covenants</w:t>
      </w:r>
      <w:r>
        <w:rPr>
          <w:rFonts w:ascii="Arial" w:eastAsia="Times New Roman" w:hAnsi="Arial" w:cs="Arial"/>
          <w:color w:val="000000"/>
          <w:sz w:val="20"/>
          <w:szCs w:val="20"/>
        </w:rPr>
        <w:t xml:space="preserve"> and expect to be in compliance in the foreseeable future.</w:t>
      </w:r>
    </w:p>
    <w:p w:rsidR="00000000" w:rsidRDefault="00485CCD">
      <w:pPr>
        <w:ind w:firstLine="720"/>
        <w:jc w:val="both"/>
        <w:divId w:val="489440466"/>
        <w:rPr>
          <w:rFonts w:eastAsia="Times New Roman"/>
        </w:rPr>
      </w:pPr>
      <w:r>
        <w:rPr>
          <w:rFonts w:ascii="Arial" w:eastAsia="Times New Roman" w:hAnsi="Arial" w:cs="Arial"/>
          <w:color w:val="000000"/>
          <w:sz w:val="20"/>
          <w:szCs w:val="20"/>
        </w:rPr>
        <w:t xml:space="preserve">During 2021, we made $76.3 million of principal payments under the term loan. At October 31, 2021, the total outstanding borrowings under our Amended Credit Facility in the form of cash borrowings </w:t>
      </w:r>
      <w:r>
        <w:rPr>
          <w:rFonts w:ascii="Arial" w:eastAsia="Times New Roman" w:hAnsi="Arial" w:cs="Arial"/>
          <w:color w:val="000000"/>
          <w:sz w:val="20"/>
          <w:szCs w:val="20"/>
        </w:rPr>
        <w:t xml:space="preserve">and standby letters of credit were $888.8 million and $167.7 million, respectively. At October 31, 2021, we had up to $875.0 million of borrowing capacity. </w:t>
      </w:r>
    </w:p>
    <w:p w:rsidR="00000000" w:rsidRDefault="00485CCD">
      <w:pPr>
        <w:ind w:firstLine="720"/>
        <w:jc w:val="both"/>
        <w:divId w:val="947539775"/>
        <w:rPr>
          <w:rFonts w:eastAsia="Times New Roman"/>
        </w:rPr>
      </w:pPr>
      <w:r>
        <w:rPr>
          <w:rFonts w:ascii="Arial" w:eastAsia="Times New Roman" w:hAnsi="Arial" w:cs="Arial"/>
          <w:color w:val="000000"/>
          <w:sz w:val="20"/>
          <w:szCs w:val="20"/>
        </w:rPr>
        <w:t>On March 5, 2021, the United Kingdom’s Financial Conduct Authority, the regulator of LIBOR, announc</w:t>
      </w:r>
      <w:r>
        <w:rPr>
          <w:rFonts w:ascii="Arial" w:eastAsia="Times New Roman" w:hAnsi="Arial" w:cs="Arial"/>
          <w:color w:val="000000"/>
          <w:sz w:val="20"/>
          <w:szCs w:val="20"/>
        </w:rPr>
        <w:t>ed that the USD LIBOR rates will no longer be published after June 30, 2023. While we expect LIBOR to be available in substantially its current form until at least the end of June 30, 2023, it is possible that LIBOR will become unavailable prior to that po</w:t>
      </w:r>
      <w:r>
        <w:rPr>
          <w:rFonts w:ascii="Arial" w:eastAsia="Times New Roman" w:hAnsi="Arial" w:cs="Arial"/>
          <w:color w:val="000000"/>
          <w:sz w:val="20"/>
          <w:szCs w:val="20"/>
        </w:rPr>
        <w:t>int, which may impact our Amended Credit Facility and interest rate swaps. Our current credit agreement as well as our International Swaps and Derivatives Association, Inc. agreement provide for any changes away from LIBOR to a successor rate to be based o</w:t>
      </w:r>
      <w:r>
        <w:rPr>
          <w:rFonts w:ascii="Arial" w:eastAsia="Times New Roman" w:hAnsi="Arial" w:cs="Arial"/>
          <w:color w:val="000000"/>
          <w:sz w:val="20"/>
          <w:szCs w:val="20"/>
        </w:rPr>
        <w:t>n prevailing or equivalent standards. Additionally, our interest rate swaps mature before June 30, 2023. As such, we do not anticipate a material impact related to the LIBOR transition and will continue to monitor developments related to the LIBOR transiti</w:t>
      </w:r>
      <w:r>
        <w:rPr>
          <w:rFonts w:ascii="Arial" w:eastAsia="Times New Roman" w:hAnsi="Arial" w:cs="Arial"/>
          <w:color w:val="000000"/>
          <w:sz w:val="20"/>
          <w:szCs w:val="20"/>
        </w:rPr>
        <w:t xml:space="preserve">on and/or identification of an alternative, market-accepted rate. </w:t>
      </w:r>
    </w:p>
    <w:p w:rsidR="00000000" w:rsidRDefault="00485CCD">
      <w:pPr>
        <w:jc w:val="both"/>
        <w:divId w:val="898785378"/>
        <w:rPr>
          <w:rFonts w:eastAsia="Times New Roman"/>
        </w:rPr>
      </w:pPr>
      <w:r>
        <w:rPr>
          <w:rFonts w:ascii="Arial" w:eastAsia="Times New Roman" w:hAnsi="Arial" w:cs="Arial"/>
          <w:b/>
          <w:bCs/>
          <w:i/>
          <w:iCs/>
          <w:color w:val="0046AD"/>
          <w:sz w:val="20"/>
          <w:szCs w:val="20"/>
        </w:rPr>
        <w:t>Reinvestment of Foreign Earnings</w:t>
      </w:r>
    </w:p>
    <w:p w:rsidR="00000000" w:rsidRDefault="00485CCD">
      <w:pPr>
        <w:ind w:firstLine="720"/>
        <w:jc w:val="both"/>
        <w:divId w:val="932281697"/>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United States</w:t>
      </w:r>
      <w:r>
        <w:rPr>
          <w:rFonts w:ascii="Arial" w:eastAsia="Times New Roman" w:hAnsi="Arial" w:cs="Arial"/>
          <w:color w:val="000000"/>
          <w:sz w:val="20"/>
          <w:szCs w:val="20"/>
        </w:rPr>
        <w:t>. While U.S. federal tax expense has been recognized as a result of the Tax Cuts and Jobs Act of 2017, no deferred tax liabilities with respect to federal and state income taxes or foreign withholding taxes have been recognized. We believe that our cash on</w:t>
      </w:r>
      <w:r>
        <w:rPr>
          <w:rFonts w:ascii="Arial" w:eastAsia="Times New Roman" w:hAnsi="Arial" w:cs="Arial"/>
          <w:color w:val="000000"/>
          <w:sz w:val="20"/>
          <w:szCs w:val="20"/>
        </w:rPr>
        <w:t xml:space="preserve"> hand in the United States, along with our Amended Credit Facility and future domestic cash flows, are sufficient to satisfy our domestic liquidity requirements. </w:t>
      </w:r>
    </w:p>
    <w:p w:rsidR="00000000" w:rsidRDefault="00485CCD">
      <w:pPr>
        <w:jc w:val="both"/>
        <w:divId w:val="601573832"/>
        <w:rPr>
          <w:rFonts w:eastAsia="Times New Roman"/>
        </w:rPr>
      </w:pPr>
      <w:r>
        <w:rPr>
          <w:rFonts w:ascii="Arial" w:eastAsia="Times New Roman" w:hAnsi="Arial" w:cs="Arial"/>
          <w:b/>
          <w:bCs/>
          <w:i/>
          <w:iCs/>
          <w:color w:val="0046AD"/>
          <w:sz w:val="20"/>
          <w:szCs w:val="20"/>
        </w:rPr>
        <w:t>Share Repurchases</w:t>
      </w:r>
    </w:p>
    <w:p w:rsidR="00000000" w:rsidRDefault="00485CCD">
      <w:pPr>
        <w:ind w:firstLine="720"/>
        <w:jc w:val="both"/>
        <w:divId w:val="218594280"/>
        <w:rPr>
          <w:rFonts w:eastAsia="Times New Roman"/>
        </w:rPr>
      </w:pPr>
      <w:r>
        <w:rPr>
          <w:rFonts w:ascii="Arial" w:eastAsia="Times New Roman" w:hAnsi="Arial" w:cs="Arial"/>
          <w:color w:val="000000"/>
          <w:sz w:val="20"/>
          <w:szCs w:val="20"/>
        </w:rPr>
        <w:t>Effective December 18, 2019, our Board of Directors replaced our then-exist</w:t>
      </w:r>
      <w:r>
        <w:rPr>
          <w:rFonts w:ascii="Arial" w:eastAsia="Times New Roman" w:hAnsi="Arial" w:cs="Arial"/>
          <w:color w:val="000000"/>
          <w:sz w:val="20"/>
          <w:szCs w:val="20"/>
        </w:rPr>
        <w:t>ing share repurchase program with a new share repurchase program under which we may repurchase up to $150.0 million of our common stock. We repurchased shares under the 2019 Share Repurchase Program during the second quarter of 2020. However, due to the ma</w:t>
      </w:r>
      <w:r>
        <w:rPr>
          <w:rFonts w:ascii="Arial" w:eastAsia="Times New Roman" w:hAnsi="Arial" w:cs="Arial"/>
          <w:color w:val="000000"/>
          <w:sz w:val="20"/>
          <w:szCs w:val="20"/>
        </w:rPr>
        <w:t>rket and business conditions arising from the Pandemic, we suspended further repurchases of our common stock in March 2020 and did not repurchase any shares of our outstanding common stock during fiscal year 2021. At October 31, 2021, authorization for $14</w:t>
      </w:r>
      <w:r>
        <w:rPr>
          <w:rFonts w:ascii="Arial" w:eastAsia="Times New Roman" w:hAnsi="Arial" w:cs="Arial"/>
          <w:color w:val="000000"/>
          <w:sz w:val="20"/>
          <w:szCs w:val="20"/>
        </w:rPr>
        <w:t xml:space="preserve">4.9 million of repurchases remained under the 2019 Share Repurchase Program. </w:t>
      </w:r>
    </w:p>
    <w:p w:rsidR="00000000" w:rsidRDefault="00485CCD">
      <w:pPr>
        <w:jc w:val="center"/>
        <w:divId w:val="713430427"/>
        <w:rPr>
          <w:rFonts w:eastAsia="Times New Roman"/>
        </w:rPr>
      </w:pPr>
      <w:r>
        <w:rPr>
          <w:rFonts w:ascii="Arial" w:eastAsia="Times New Roman" w:hAnsi="Arial" w:cs="Arial"/>
          <w:color w:val="000000"/>
          <w:sz w:val="20"/>
          <w:szCs w:val="20"/>
        </w:rPr>
        <w:t>34</w:t>
      </w:r>
    </w:p>
    <w:p w:rsidR="00000000" w:rsidRDefault="00485CCD">
      <w:pPr>
        <w:rPr>
          <w:rFonts w:eastAsia="Times New Roman"/>
        </w:rPr>
      </w:pPr>
      <w:r>
        <w:rPr>
          <w:rFonts w:eastAsia="Times New Roman"/>
        </w:rPr>
        <w:pict>
          <v:rect id="_x0000_i1070" style="width:0;height:1.5pt" o:hralign="center" o:hrstd="t" o:hr="t" fillcolor="#a0a0a0" stroked="f"/>
        </w:pict>
      </w:r>
    </w:p>
    <w:p w:rsidR="00000000" w:rsidRDefault="00485CCD">
      <w:pPr>
        <w:divId w:val="10384283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093"/>
        <w:gridCol w:w="38"/>
        <w:gridCol w:w="133"/>
        <w:gridCol w:w="1347"/>
        <w:gridCol w:w="37"/>
        <w:gridCol w:w="36"/>
        <w:gridCol w:w="36"/>
        <w:gridCol w:w="36"/>
        <w:gridCol w:w="132"/>
        <w:gridCol w:w="1307"/>
        <w:gridCol w:w="36"/>
        <w:gridCol w:w="36"/>
      </w:tblGrid>
      <w:tr w:rsidR="00000000">
        <w:trPr>
          <w:divId w:val="868253455"/>
        </w:trPr>
        <w:tc>
          <w:tcPr>
            <w:tcW w:w="50" w:type="pct"/>
            <w:vAlign w:val="center"/>
            <w:hideMark/>
          </w:tcPr>
          <w:p w:rsidR="00000000" w:rsidRDefault="00485CCD">
            <w:pPr>
              <w:rPr>
                <w:rFonts w:eastAsia="Times New Roman"/>
              </w:rPr>
            </w:pPr>
          </w:p>
        </w:tc>
        <w:tc>
          <w:tcPr>
            <w:tcW w:w="31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r>
      <w:tr w:rsidR="00000000">
        <w:trPr>
          <w:divId w:val="868253455"/>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c>
          <w:tcPr>
            <w:tcW w:w="0" w:type="auto"/>
            <w:vAlign w:val="center"/>
            <w:hideMark/>
          </w:tcPr>
          <w:p w:rsidR="00000000" w:rsidRDefault="00485CCD">
            <w:pPr>
              <w:jc w:val="center"/>
              <w:rPr>
                <w:rFonts w:eastAsia="Times New Roman"/>
              </w:rPr>
            </w:pPr>
          </w:p>
        </w:tc>
      </w:tr>
      <w:tr w:rsidR="00000000">
        <w:trPr>
          <w:divId w:val="86825345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vAlign w:val="center"/>
            <w:hideMark/>
          </w:tcPr>
          <w:p w:rsidR="00000000" w:rsidRDefault="00485CCD">
            <w:pPr>
              <w:jc w:val="center"/>
              <w:rPr>
                <w:rFonts w:eastAsia="Times New Roman"/>
              </w:rPr>
            </w:pPr>
          </w:p>
        </w:tc>
      </w:tr>
      <w:tr w:rsidR="00000000">
        <w:trPr>
          <w:divId w:val="86825345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vAlign w:val="center"/>
            <w:hideMark/>
          </w:tcPr>
          <w:p w:rsidR="00000000" w:rsidRDefault="00485CCD">
            <w:pPr>
              <w:jc w:val="right"/>
              <w:rPr>
                <w:rFonts w:eastAsia="Times New Roman"/>
                <w:sz w:val="20"/>
                <w:szCs w:val="20"/>
              </w:rPr>
            </w:pPr>
          </w:p>
        </w:tc>
      </w:tr>
      <w:tr w:rsidR="00000000">
        <w:trPr>
          <w:divId w:val="868253455"/>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Average price paid per share</w:t>
            </w:r>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vAlign w:val="center"/>
            <w:hideMark/>
          </w:tcPr>
          <w:p w:rsidR="00000000" w:rsidRDefault="00485CCD">
            <w:pPr>
              <w:jc w:val="right"/>
              <w:rPr>
                <w:rFonts w:eastAsia="Times New Roman"/>
                <w:sz w:val="20"/>
                <w:szCs w:val="20"/>
              </w:rPr>
            </w:pPr>
          </w:p>
        </w:tc>
      </w:tr>
      <w:tr w:rsidR="00000000">
        <w:trPr>
          <w:divId w:val="86825345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cash paid for share repurchases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vAlign w:val="center"/>
            <w:hideMark/>
          </w:tcPr>
          <w:p w:rsidR="00000000" w:rsidRDefault="00485CCD">
            <w:pPr>
              <w:jc w:val="right"/>
              <w:rPr>
                <w:rFonts w:eastAsia="Times New Roman"/>
                <w:sz w:val="20"/>
                <w:szCs w:val="20"/>
              </w:rPr>
            </w:pPr>
          </w:p>
        </w:tc>
      </w:tr>
    </w:tbl>
    <w:p w:rsidR="00000000" w:rsidRDefault="00485CCD">
      <w:pPr>
        <w:jc w:val="both"/>
        <w:divId w:val="433522016"/>
        <w:rPr>
          <w:rFonts w:eastAsia="Times New Roman"/>
        </w:rPr>
      </w:pPr>
      <w:r>
        <w:rPr>
          <w:rFonts w:ascii="Arial" w:eastAsia="Times New Roman" w:hAnsi="Arial" w:cs="Arial"/>
          <w:b/>
          <w:bCs/>
          <w:i/>
          <w:iCs/>
          <w:color w:val="0046AD"/>
          <w:sz w:val="20"/>
          <w:szCs w:val="20"/>
        </w:rPr>
        <w:t>Proceeds from Federal Energy Savings Performance Contracts</w:t>
      </w:r>
    </w:p>
    <w:p w:rsidR="00000000" w:rsidRDefault="00485CCD">
      <w:pPr>
        <w:ind w:firstLine="720"/>
        <w:jc w:val="both"/>
        <w:divId w:val="1213346268"/>
        <w:rPr>
          <w:rFonts w:eastAsia="Times New Roman"/>
        </w:rPr>
      </w:pPr>
      <w:r>
        <w:rPr>
          <w:rFonts w:ascii="Arial" w:eastAsia="Times New Roman" w:hAnsi="Arial" w:cs="Arial"/>
          <w:color w:val="000000"/>
          <w:sz w:val="20"/>
          <w:szCs w:val="20"/>
        </w:rPr>
        <w:t>As part of our Technical Solutions business, we enter into energy savings performance contracts (“ESPC”) with the federal government pursuant to which we agree to develop, design, engineer, and con</w:t>
      </w:r>
      <w:r>
        <w:rPr>
          <w:rFonts w:ascii="Arial" w:eastAsia="Times New Roman" w:hAnsi="Arial" w:cs="Arial"/>
          <w:color w:val="000000"/>
          <w:sz w:val="20"/>
          <w:szCs w:val="20"/>
        </w:rPr>
        <w:t xml:space="preserve">struct a project and guarantee that the project will satisfy agreed-upon performance standards. Proceeds from ESPC projects are generally received in advance of construction through agreements to sell the ESPC receivables to unaffiliated third parties. We </w:t>
      </w:r>
      <w:r>
        <w:rPr>
          <w:rFonts w:ascii="Arial" w:eastAsia="Times New Roman" w:hAnsi="Arial" w:cs="Arial"/>
          <w:color w:val="000000"/>
          <w:sz w:val="20"/>
          <w:szCs w:val="20"/>
        </w:rPr>
        <w:t>use the advances from the third parties under these agreements to finance the projects, which are recorded as cash flows from financing activities. The use of the cash received under these arrangements to pay project costs is classified as operating cash f</w:t>
      </w:r>
      <w:r>
        <w:rPr>
          <w:rFonts w:ascii="Arial" w:eastAsia="Times New Roman" w:hAnsi="Arial" w:cs="Arial"/>
          <w:color w:val="000000"/>
          <w:sz w:val="20"/>
          <w:szCs w:val="20"/>
        </w:rPr>
        <w:t xml:space="preserve">lows. </w:t>
      </w:r>
    </w:p>
    <w:p w:rsidR="00000000" w:rsidRDefault="00485CCD">
      <w:pPr>
        <w:jc w:val="both"/>
        <w:divId w:val="1436632475"/>
        <w:rPr>
          <w:rFonts w:eastAsia="Times New Roman"/>
        </w:rPr>
      </w:pPr>
      <w:r>
        <w:rPr>
          <w:rFonts w:ascii="Arial" w:eastAsia="Times New Roman" w:hAnsi="Arial" w:cs="Arial"/>
          <w:b/>
          <w:bCs/>
          <w:i/>
          <w:iCs/>
          <w:color w:val="0046AD"/>
          <w:sz w:val="20"/>
          <w:szCs w:val="20"/>
        </w:rPr>
        <w:t>Effect of Inflation</w:t>
      </w:r>
    </w:p>
    <w:p w:rsidR="00000000" w:rsidRDefault="00485CCD">
      <w:pPr>
        <w:ind w:firstLine="720"/>
        <w:jc w:val="both"/>
        <w:divId w:val="1766070962"/>
        <w:rPr>
          <w:rFonts w:eastAsia="Times New Roman"/>
        </w:rPr>
      </w:pPr>
      <w:r>
        <w:rPr>
          <w:rFonts w:ascii="Arial" w:eastAsia="Times New Roman" w:hAnsi="Arial" w:cs="Arial"/>
          <w:color w:val="000000"/>
          <w:sz w:val="20"/>
          <w:szCs w:val="20"/>
        </w:rPr>
        <w:t>The rates of inflation experienced in recent years have not had a material impact on our Financial Statements. We attempt to recover increased costs by increasing prices for our services to the extent permitted by contracts and competition.</w:t>
      </w:r>
    </w:p>
    <w:p w:rsidR="00000000" w:rsidRDefault="00485CCD">
      <w:pPr>
        <w:jc w:val="both"/>
        <w:divId w:val="460151560"/>
        <w:rPr>
          <w:rFonts w:eastAsia="Times New Roman"/>
        </w:rPr>
      </w:pPr>
      <w:r>
        <w:rPr>
          <w:rFonts w:ascii="Arial" w:eastAsia="Times New Roman" w:hAnsi="Arial" w:cs="Arial"/>
          <w:b/>
          <w:bCs/>
          <w:i/>
          <w:iCs/>
          <w:color w:val="0046AD"/>
          <w:sz w:val="20"/>
          <w:szCs w:val="20"/>
        </w:rPr>
        <w:t>Regulatory Envi</w:t>
      </w:r>
      <w:r>
        <w:rPr>
          <w:rFonts w:ascii="Arial" w:eastAsia="Times New Roman" w:hAnsi="Arial" w:cs="Arial"/>
          <w:b/>
          <w:bCs/>
          <w:i/>
          <w:iCs/>
          <w:color w:val="0046AD"/>
          <w:sz w:val="20"/>
          <w:szCs w:val="20"/>
        </w:rPr>
        <w:t>ronment</w:t>
      </w:r>
    </w:p>
    <w:p w:rsidR="00000000" w:rsidRDefault="00485CCD">
      <w:pPr>
        <w:ind w:firstLine="720"/>
        <w:jc w:val="both"/>
        <w:divId w:val="1638997635"/>
        <w:rPr>
          <w:rFonts w:eastAsia="Times New Roman"/>
        </w:rPr>
      </w:pPr>
      <w:r>
        <w:rPr>
          <w:rFonts w:ascii="Arial" w:eastAsia="Times New Roman" w:hAnsi="Arial" w:cs="Arial"/>
          <w:color w:val="000000"/>
          <w:sz w:val="20"/>
          <w:szCs w:val="20"/>
        </w:rPr>
        <w:t>Our operations are subject to various federal, state, and/or local laws, rules, and regulations regulating the discharge of materials into the environment or otherwise relating to the protection of the environment, as well as laws and regulations r</w:t>
      </w:r>
      <w:r>
        <w:rPr>
          <w:rFonts w:ascii="Arial" w:eastAsia="Times New Roman" w:hAnsi="Arial" w:cs="Arial"/>
          <w:color w:val="000000"/>
          <w:sz w:val="20"/>
          <w:szCs w:val="20"/>
        </w:rPr>
        <w:t xml:space="preserve">elating to, among other things, labor, wages, and health and safety matters. Historically, the cost of complying with these laws, rules, and regulations has not had a material adverse effect on our financial position, results of operations, or cash flows. </w:t>
      </w:r>
    </w:p>
    <w:p w:rsidR="00000000" w:rsidRDefault="00485CCD">
      <w:pPr>
        <w:jc w:val="both"/>
        <w:divId w:val="545720498"/>
        <w:rPr>
          <w:rFonts w:eastAsia="Times New Roman"/>
        </w:rPr>
      </w:pPr>
      <w:r>
        <w:rPr>
          <w:rFonts w:ascii="Arial" w:eastAsia="Times New Roman" w:hAnsi="Arial" w:cs="Arial"/>
          <w:b/>
          <w:bCs/>
          <w:i/>
          <w:iCs/>
          <w:color w:val="0046AD"/>
          <w:sz w:val="20"/>
          <w:szCs w:val="20"/>
        </w:rPr>
        <w:t xml:space="preserve">Cash Flows </w:t>
      </w:r>
    </w:p>
    <w:p w:rsidR="00000000" w:rsidRDefault="00485CCD">
      <w:pPr>
        <w:jc w:val="both"/>
        <w:divId w:val="423722572"/>
        <w:rPr>
          <w:rFonts w:eastAsia="Times New Roman"/>
        </w:rPr>
      </w:pPr>
      <w:r>
        <w:rPr>
          <w:rFonts w:ascii="Arial" w:eastAsia="Times New Roman" w:hAnsi="Arial" w:cs="Arial"/>
          <w:color w:val="000000"/>
          <w:sz w:val="20"/>
          <w:szCs w:val="20"/>
        </w:rPr>
        <w:t>    In addition to revenues and operating profit, our management views operating cash flows as a good indicator of financial performance, because strong operating cash flows provide opportunities for growth both organically and through acquisi</w:t>
      </w:r>
      <w:r>
        <w:rPr>
          <w:rFonts w:ascii="Arial" w:eastAsia="Times New Roman" w:hAnsi="Arial" w:cs="Arial"/>
          <w:color w:val="000000"/>
          <w:sz w:val="20"/>
          <w:szCs w:val="20"/>
        </w:rPr>
        <w:t>tions. Operating cash flows primarily depend on: revenue levels; the quality and timing of collections of accounts receivable; the timing of payments to suppliers and other vendors; the timing and amount of income tax payments; and the timing and amount of</w:t>
      </w:r>
      <w:r>
        <w:rPr>
          <w:rFonts w:ascii="Arial" w:eastAsia="Times New Roman" w:hAnsi="Arial" w:cs="Arial"/>
          <w:color w:val="000000"/>
          <w:sz w:val="20"/>
          <w:szCs w:val="20"/>
        </w:rPr>
        <w:t xml:space="preserve"> payments on insurance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5520"/>
        <w:gridCol w:w="37"/>
        <w:gridCol w:w="132"/>
        <w:gridCol w:w="693"/>
        <w:gridCol w:w="36"/>
        <w:gridCol w:w="36"/>
        <w:gridCol w:w="36"/>
        <w:gridCol w:w="36"/>
        <w:gridCol w:w="132"/>
        <w:gridCol w:w="648"/>
        <w:gridCol w:w="36"/>
        <w:gridCol w:w="36"/>
        <w:gridCol w:w="36"/>
        <w:gridCol w:w="36"/>
        <w:gridCol w:w="132"/>
        <w:gridCol w:w="649"/>
        <w:gridCol w:w="36"/>
      </w:tblGrid>
      <w:tr w:rsidR="00000000">
        <w:trPr>
          <w:divId w:val="1120033435"/>
        </w:trPr>
        <w:tc>
          <w:tcPr>
            <w:tcW w:w="50" w:type="pct"/>
            <w:vAlign w:val="center"/>
            <w:hideMark/>
          </w:tcPr>
          <w:p w:rsidR="00000000" w:rsidRDefault="00485CCD">
            <w:pPr>
              <w:jc w:val="both"/>
              <w:rPr>
                <w:rFonts w:eastAsia="Times New Roman"/>
              </w:rPr>
            </w:pPr>
          </w:p>
        </w:tc>
        <w:tc>
          <w:tcPr>
            <w:tcW w:w="335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12003343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12003343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1200334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cash provided by operating activities of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2003343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cash provided by (used in)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200334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20033435"/>
          <w:trHeight w:val="280"/>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1200334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cash used in investing activities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(740.0)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(58.3)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20033435"/>
          <w:trHeight w:val="300"/>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1200334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92.4 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(94.1)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(184.8)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divId w:val="230577450"/>
        <w:rPr>
          <w:rFonts w:eastAsia="Times New Roman"/>
        </w:rPr>
      </w:pPr>
      <w:r>
        <w:rPr>
          <w:rFonts w:ascii="Arial" w:eastAsia="Times New Roman" w:hAnsi="Arial" w:cs="Arial"/>
          <w:i/>
          <w:iCs/>
          <w:color w:val="0046AD"/>
          <w:sz w:val="20"/>
          <w:szCs w:val="20"/>
        </w:rPr>
        <w:t>Operating Activities of Continuing Operations</w:t>
      </w:r>
    </w:p>
    <w:p w:rsidR="00000000" w:rsidRDefault="00485CCD">
      <w:pPr>
        <w:ind w:firstLine="720"/>
        <w:jc w:val="both"/>
        <w:divId w:val="1580863651"/>
        <w:rPr>
          <w:rFonts w:eastAsia="Times New Roman"/>
        </w:rPr>
      </w:pPr>
      <w:r>
        <w:rPr>
          <w:rFonts w:ascii="Arial" w:eastAsia="Times New Roman" w:hAnsi="Arial" w:cs="Arial"/>
          <w:color w:val="000000"/>
          <w:sz w:val="20"/>
          <w:szCs w:val="20"/>
        </w:rPr>
        <w:t>Net cash provided by operating activities of continuing operations decreased by $143.1 million during 2021, as compared to 2020. The decrease was primarily related to the timing of working capital changes, partially offset by deferred remittance of payroll</w:t>
      </w:r>
      <w:r>
        <w:rPr>
          <w:rFonts w:ascii="Arial" w:eastAsia="Times New Roman" w:hAnsi="Arial" w:cs="Arial"/>
          <w:color w:val="000000"/>
          <w:sz w:val="20"/>
          <w:szCs w:val="20"/>
        </w:rPr>
        <w:t xml:space="preserve"> taxes under the CARES Act.</w:t>
      </w:r>
    </w:p>
    <w:p w:rsidR="00000000" w:rsidRDefault="00485CCD">
      <w:pPr>
        <w:ind w:firstLine="720"/>
        <w:jc w:val="both"/>
        <w:divId w:val="966278732"/>
        <w:rPr>
          <w:rFonts w:eastAsia="Times New Roman"/>
        </w:rPr>
      </w:pPr>
      <w:r>
        <w:rPr>
          <w:rFonts w:ascii="Arial" w:eastAsia="Times New Roman" w:hAnsi="Arial" w:cs="Arial"/>
          <w:color w:val="000000"/>
          <w:sz w:val="20"/>
          <w:szCs w:val="20"/>
        </w:rPr>
        <w:t>Net cash provided by operating activities of continuing operations increased by $194.6 million during 2020, as compared to 2019. The increase was primarily related to the timing of client receivable collections and deferred remi</w:t>
      </w:r>
      <w:r>
        <w:rPr>
          <w:rFonts w:ascii="Arial" w:eastAsia="Times New Roman" w:hAnsi="Arial" w:cs="Arial"/>
          <w:color w:val="000000"/>
          <w:sz w:val="20"/>
          <w:szCs w:val="20"/>
        </w:rPr>
        <w:t>ttance of approximately $101 million of payroll taxes under the CARES Act, partially offset by the timing of vendor payments.</w:t>
      </w:r>
    </w:p>
    <w:p w:rsidR="00000000" w:rsidRDefault="00485CCD">
      <w:pPr>
        <w:jc w:val="center"/>
        <w:divId w:val="1902057183"/>
        <w:rPr>
          <w:rFonts w:eastAsia="Times New Roman"/>
        </w:rPr>
      </w:pPr>
      <w:r>
        <w:rPr>
          <w:rFonts w:ascii="Arial" w:eastAsia="Times New Roman" w:hAnsi="Arial" w:cs="Arial"/>
          <w:color w:val="000000"/>
          <w:sz w:val="20"/>
          <w:szCs w:val="20"/>
        </w:rPr>
        <w:t>35</w:t>
      </w:r>
    </w:p>
    <w:p w:rsidR="00000000" w:rsidRDefault="00485CCD">
      <w:pPr>
        <w:rPr>
          <w:rFonts w:eastAsia="Times New Roman"/>
        </w:rPr>
      </w:pPr>
      <w:r>
        <w:rPr>
          <w:rFonts w:eastAsia="Times New Roman"/>
        </w:rPr>
        <w:pict>
          <v:rect id="_x0000_i1071" style="width:0;height:1.5pt" o:hralign="center" o:hrstd="t" o:hr="t" fillcolor="#a0a0a0" stroked="f"/>
        </w:pict>
      </w:r>
    </w:p>
    <w:p w:rsidR="00000000" w:rsidRDefault="00485CCD">
      <w:pPr>
        <w:divId w:val="682703089"/>
        <w:rPr>
          <w:rFonts w:eastAsia="Times New Roman"/>
        </w:rPr>
      </w:pPr>
    </w:p>
    <w:p w:rsidR="00000000" w:rsidRDefault="00485CCD">
      <w:pPr>
        <w:ind w:firstLine="720"/>
        <w:jc w:val="both"/>
        <w:divId w:val="1717849536"/>
        <w:rPr>
          <w:rFonts w:eastAsia="Times New Roman"/>
        </w:rPr>
      </w:pPr>
      <w:r>
        <w:rPr>
          <w:rFonts w:ascii="Arial" w:eastAsia="Times New Roman" w:hAnsi="Arial" w:cs="Arial"/>
          <w:i/>
          <w:iCs/>
          <w:color w:val="0046AD"/>
          <w:sz w:val="20"/>
          <w:szCs w:val="20"/>
        </w:rPr>
        <w:t>Investing Activities</w:t>
      </w:r>
    </w:p>
    <w:p w:rsidR="00000000" w:rsidRDefault="00485CCD">
      <w:pPr>
        <w:ind w:firstLine="720"/>
        <w:jc w:val="both"/>
        <w:divId w:val="1824542857"/>
        <w:rPr>
          <w:rFonts w:eastAsia="Times New Roman"/>
        </w:rPr>
      </w:pPr>
      <w:r>
        <w:rPr>
          <w:rFonts w:ascii="Arial" w:eastAsia="Times New Roman" w:hAnsi="Arial" w:cs="Arial"/>
          <w:color w:val="000000"/>
          <w:sz w:val="20"/>
          <w:szCs w:val="20"/>
        </w:rPr>
        <w:t>Net cash used in investing activities increased by $712.5 million d</w:t>
      </w:r>
      <w:r>
        <w:rPr>
          <w:rFonts w:ascii="Arial" w:eastAsia="Times New Roman" w:hAnsi="Arial" w:cs="Arial"/>
          <w:color w:val="000000"/>
          <w:sz w:val="20"/>
          <w:szCs w:val="20"/>
        </w:rPr>
        <w:t xml:space="preserve">uring 2021, as compared to 2020. The increase was primarily related to the Able Acquisition during the fourth quarter of 2021. </w:t>
      </w:r>
    </w:p>
    <w:p w:rsidR="00000000" w:rsidRDefault="00485CCD">
      <w:pPr>
        <w:ind w:firstLine="720"/>
        <w:jc w:val="both"/>
        <w:divId w:val="760570356"/>
        <w:rPr>
          <w:rFonts w:eastAsia="Times New Roman"/>
        </w:rPr>
      </w:pPr>
      <w:r>
        <w:rPr>
          <w:rFonts w:ascii="Arial" w:eastAsia="Times New Roman" w:hAnsi="Arial" w:cs="Arial"/>
          <w:color w:val="000000"/>
          <w:sz w:val="20"/>
          <w:szCs w:val="20"/>
        </w:rPr>
        <w:t>Net cash used in investing activities decreased by $30.8 million during 2020, as compared to 2019. The decrease was primarily re</w:t>
      </w:r>
      <w:r>
        <w:rPr>
          <w:rFonts w:ascii="Arial" w:eastAsia="Times New Roman" w:hAnsi="Arial" w:cs="Arial"/>
          <w:color w:val="000000"/>
          <w:sz w:val="20"/>
          <w:szCs w:val="20"/>
        </w:rPr>
        <w:t xml:space="preserve">lated to lower additions to property, plant and equipment in 2020. Additionally, the implementation of the new ERP system was temporarily suspended during 2020 due to the Pandemic. </w:t>
      </w:r>
    </w:p>
    <w:p w:rsidR="00000000" w:rsidRDefault="00485CCD">
      <w:pPr>
        <w:ind w:firstLine="720"/>
        <w:jc w:val="both"/>
        <w:divId w:val="2033529188"/>
        <w:rPr>
          <w:rFonts w:eastAsia="Times New Roman"/>
        </w:rPr>
      </w:pPr>
      <w:r>
        <w:rPr>
          <w:rFonts w:ascii="Arial" w:eastAsia="Times New Roman" w:hAnsi="Arial" w:cs="Arial"/>
          <w:i/>
          <w:iCs/>
          <w:color w:val="0046AD"/>
          <w:sz w:val="20"/>
          <w:szCs w:val="20"/>
        </w:rPr>
        <w:t xml:space="preserve">Financing Activities </w:t>
      </w:r>
    </w:p>
    <w:p w:rsidR="00000000" w:rsidRDefault="00485CCD">
      <w:pPr>
        <w:ind w:firstLine="720"/>
        <w:jc w:val="both"/>
        <w:divId w:val="1485319861"/>
        <w:rPr>
          <w:rFonts w:eastAsia="Times New Roman"/>
        </w:rPr>
      </w:pPr>
      <w:r>
        <w:rPr>
          <w:rFonts w:ascii="Arial" w:eastAsia="Times New Roman" w:hAnsi="Arial" w:cs="Arial"/>
          <w:color w:val="000000"/>
          <w:sz w:val="20"/>
          <w:szCs w:val="20"/>
        </w:rPr>
        <w:t xml:space="preserve">Net cash provided by financing activities was $92.4 </w:t>
      </w:r>
      <w:r>
        <w:rPr>
          <w:rFonts w:ascii="Arial" w:eastAsia="Times New Roman" w:hAnsi="Arial" w:cs="Arial"/>
          <w:color w:val="000000"/>
          <w:sz w:val="20"/>
          <w:szCs w:val="20"/>
        </w:rPr>
        <w:t>million in 2021, as compared to net cash used in financing activities of $94.1 million in 2020, primarily due to higher net borrowings to partially fund the purchase price of the Able Acquisition.</w:t>
      </w:r>
    </w:p>
    <w:p w:rsidR="00000000" w:rsidRDefault="00485CCD">
      <w:pPr>
        <w:ind w:firstLine="720"/>
        <w:jc w:val="both"/>
        <w:divId w:val="1529492823"/>
        <w:rPr>
          <w:rFonts w:eastAsia="Times New Roman"/>
        </w:rPr>
      </w:pPr>
      <w:r>
        <w:rPr>
          <w:rFonts w:ascii="Arial" w:eastAsia="Times New Roman" w:hAnsi="Arial" w:cs="Arial"/>
          <w:color w:val="000000"/>
          <w:sz w:val="20"/>
          <w:szCs w:val="20"/>
        </w:rPr>
        <w:t>Net cash used in financing activities decreased by $90.7 mi</w:t>
      </w:r>
      <w:r>
        <w:rPr>
          <w:rFonts w:ascii="Arial" w:eastAsia="Times New Roman" w:hAnsi="Arial" w:cs="Arial"/>
          <w:color w:val="000000"/>
          <w:sz w:val="20"/>
          <w:szCs w:val="20"/>
        </w:rPr>
        <w:t>llion during 2020, as compared to 2019, primarily due to lower repayments of our borrowings in 2020.</w:t>
      </w:r>
    </w:p>
    <w:p w:rsidR="00000000" w:rsidRDefault="00485CCD">
      <w:pPr>
        <w:jc w:val="both"/>
        <w:divId w:val="1702971004"/>
        <w:rPr>
          <w:rFonts w:eastAsia="Times New Roman"/>
        </w:rPr>
      </w:pPr>
      <w:r>
        <w:rPr>
          <w:rFonts w:ascii="Arial" w:eastAsia="Times New Roman" w:hAnsi="Arial" w:cs="Arial"/>
          <w:b/>
          <w:bCs/>
          <w:i/>
          <w:iCs/>
          <w:color w:val="0046AD"/>
          <w:sz w:val="20"/>
          <w:szCs w:val="20"/>
        </w:rPr>
        <w:t>Dividends</w:t>
      </w:r>
    </w:p>
    <w:p w:rsidR="00000000" w:rsidRDefault="00485CCD">
      <w:pPr>
        <w:ind w:firstLine="720"/>
        <w:jc w:val="both"/>
        <w:divId w:val="657004864"/>
        <w:rPr>
          <w:rFonts w:eastAsia="Times New Roman"/>
        </w:rPr>
      </w:pPr>
      <w:r>
        <w:rPr>
          <w:rFonts w:ascii="Arial" w:eastAsia="Times New Roman" w:hAnsi="Arial" w:cs="Arial"/>
          <w:color w:val="000000"/>
          <w:sz w:val="20"/>
          <w:szCs w:val="20"/>
        </w:rPr>
        <w:t xml:space="preserve">On December 15, 2021, we announced a quarterly cash dividend of $0.195 per share on our common stock, payable on February 7, 2022. We declared a </w:t>
      </w:r>
      <w:r>
        <w:rPr>
          <w:rFonts w:ascii="Arial" w:eastAsia="Times New Roman" w:hAnsi="Arial" w:cs="Arial"/>
          <w:color w:val="000000"/>
          <w:sz w:val="20"/>
          <w:szCs w:val="20"/>
        </w:rPr>
        <w:t>quarterly cash dividend on our common stock every quarter during 2021, 2020, and 2019. We paid total annual dividends of $51.0 million, $49.3 million, and $47.7 million during 2021, 2020, and 2019, respectively.</w:t>
      </w:r>
    </w:p>
    <w:p w:rsidR="00000000" w:rsidRDefault="00485CCD">
      <w:pPr>
        <w:jc w:val="center"/>
        <w:divId w:val="1177189923"/>
        <w:rPr>
          <w:rFonts w:eastAsia="Times New Roman"/>
        </w:rPr>
      </w:pPr>
      <w:r>
        <w:rPr>
          <w:rFonts w:ascii="Arial" w:eastAsia="Times New Roman" w:hAnsi="Arial" w:cs="Arial"/>
          <w:color w:val="000000"/>
          <w:sz w:val="20"/>
          <w:szCs w:val="20"/>
        </w:rPr>
        <w:t>36</w:t>
      </w:r>
    </w:p>
    <w:p w:rsidR="00000000" w:rsidRDefault="00485CCD">
      <w:pPr>
        <w:rPr>
          <w:rFonts w:eastAsia="Times New Roman"/>
        </w:rPr>
      </w:pPr>
      <w:r>
        <w:rPr>
          <w:rFonts w:eastAsia="Times New Roman"/>
        </w:rPr>
        <w:pict>
          <v:rect id="_x0000_i1072" style="width:0;height:1.5pt" o:hralign="center" o:hrstd="t" o:hr="t" fillcolor="#a0a0a0" stroked="f"/>
        </w:pict>
      </w:r>
    </w:p>
    <w:p w:rsidR="00000000" w:rsidRDefault="00485CCD">
      <w:pPr>
        <w:divId w:val="2099977169"/>
        <w:rPr>
          <w:rFonts w:eastAsia="Times New Roman"/>
        </w:rPr>
      </w:pPr>
    </w:p>
    <w:p w:rsidR="00000000" w:rsidRDefault="00485CCD">
      <w:pPr>
        <w:jc w:val="both"/>
        <w:divId w:val="1906186528"/>
        <w:rPr>
          <w:rFonts w:eastAsia="Times New Roman"/>
        </w:rPr>
      </w:pPr>
      <w:r>
        <w:rPr>
          <w:rFonts w:ascii="Arial" w:eastAsia="Times New Roman" w:hAnsi="Arial" w:cs="Arial"/>
          <w:b/>
          <w:bCs/>
          <w:i/>
          <w:iCs/>
          <w:color w:val="0046AD"/>
          <w:sz w:val="20"/>
          <w:szCs w:val="20"/>
        </w:rPr>
        <w:t>Ma</w:t>
      </w:r>
      <w:r>
        <w:rPr>
          <w:rFonts w:ascii="Arial" w:eastAsia="Times New Roman" w:hAnsi="Arial" w:cs="Arial"/>
          <w:b/>
          <w:bCs/>
          <w:i/>
          <w:iCs/>
          <w:color w:val="0046AD"/>
          <w:sz w:val="20"/>
          <w:szCs w:val="20"/>
        </w:rPr>
        <w:t>terial Cash Requirements from Contractual and Other Obligations</w:t>
      </w:r>
    </w:p>
    <w:p w:rsidR="00000000" w:rsidRDefault="00485CCD">
      <w:pPr>
        <w:jc w:val="both"/>
        <w:rPr>
          <w:rFonts w:eastAsia="Times New Roman"/>
        </w:rPr>
      </w:pPr>
    </w:p>
    <w:p w:rsidR="00000000" w:rsidRDefault="00485CCD">
      <w:pPr>
        <w:ind w:firstLine="720"/>
        <w:jc w:val="both"/>
        <w:rPr>
          <w:rFonts w:eastAsia="Times New Roman"/>
        </w:rPr>
      </w:pPr>
      <w:r>
        <w:rPr>
          <w:rFonts w:ascii="Arial" w:eastAsia="Times New Roman" w:hAnsi="Arial" w:cs="Arial"/>
          <w:color w:val="000000"/>
          <w:sz w:val="20"/>
          <w:szCs w:val="20"/>
        </w:rPr>
        <w:t xml:space="preserve">As of October 31, 2021, our material cash requirements for our known contractual and other obligations were as follows: </w:t>
      </w:r>
    </w:p>
    <w:p w:rsidR="00000000" w:rsidRDefault="00485CCD">
      <w:pPr>
        <w:divId w:val="48115365"/>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Debt Obligations and Interest Payments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Outstanding payments on o</w:t>
      </w:r>
      <w:r>
        <w:rPr>
          <w:rFonts w:ascii="Arial" w:eastAsia="Times New Roman" w:hAnsi="Arial" w:cs="Arial"/>
          <w:color w:val="000000"/>
          <w:sz w:val="20"/>
          <w:szCs w:val="20"/>
        </w:rPr>
        <w:t xml:space="preserve">ur Amended Credit Facility were $888.8 million, with $32.5 million payable within 12 months. Additionally, we had future interest payments based on our hedged borrowings under our Amended Credit Facility of $5.0 million, which is payable within 12 months. </w:t>
      </w:r>
      <w:r>
        <w:rPr>
          <w:rFonts w:ascii="Arial" w:eastAsia="Times New Roman" w:hAnsi="Arial" w:cs="Arial"/>
          <w:color w:val="000000"/>
          <w:sz w:val="20"/>
          <w:szCs w:val="20"/>
        </w:rPr>
        <w:t>The interest payments on our remaining borrowings under the Amended Credit Facility will be determined based upon the average outstanding balance of our borrowings and the prevailing interest rate during that time. See Note 11, “Credit Facility,” in the Fi</w:t>
      </w:r>
      <w:r>
        <w:rPr>
          <w:rFonts w:ascii="Arial" w:eastAsia="Times New Roman" w:hAnsi="Arial" w:cs="Arial"/>
          <w:color w:val="000000"/>
          <w:sz w:val="20"/>
          <w:szCs w:val="20"/>
        </w:rPr>
        <w:t>nancial Statements for further detail of our debt and the timing of expected future principal and interest payments.</w:t>
      </w:r>
    </w:p>
    <w:p w:rsidR="00000000" w:rsidRDefault="00485CCD">
      <w:pPr>
        <w:divId w:val="257250493"/>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Operating and Finance Leases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We enter into various noncancelable l</w:t>
      </w:r>
      <w:r>
        <w:rPr>
          <w:rFonts w:ascii="Arial" w:eastAsia="Times New Roman" w:hAnsi="Arial" w:cs="Arial"/>
          <w:color w:val="000000"/>
          <w:sz w:val="20"/>
          <w:szCs w:val="20"/>
          <w:shd w:val="clear" w:color="auto" w:fill="FFFFFF"/>
        </w:rPr>
        <w:t xml:space="preserve">ease agreements for office space, parking facilities, warehouses, vehicles, and equipment used in the normal course of business. </w:t>
      </w:r>
      <w:r>
        <w:rPr>
          <w:rFonts w:ascii="Arial" w:eastAsia="Times New Roman" w:hAnsi="Arial" w:cs="Arial"/>
          <w:color w:val="000000"/>
          <w:sz w:val="20"/>
          <w:szCs w:val="20"/>
        </w:rPr>
        <w:t>Operating and finance lease obligations were $170.6 million, with $38.9 million payable within 12 months. See Note 5, “Leases,”</w:t>
      </w:r>
      <w:r>
        <w:rPr>
          <w:rFonts w:ascii="Arial" w:eastAsia="Times New Roman" w:hAnsi="Arial" w:cs="Arial"/>
          <w:color w:val="000000"/>
          <w:sz w:val="20"/>
          <w:szCs w:val="20"/>
        </w:rPr>
        <w:t xml:space="preserve"> in the Financial Statements for further detail of our obligations and the timing of expected future payments.</w:t>
      </w:r>
    </w:p>
    <w:p w:rsidR="00000000" w:rsidRDefault="00485CCD">
      <w:pPr>
        <w:divId w:val="37365881"/>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Service Concession Arrangements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xml:space="preserve">As defined under Topic 853, </w:t>
      </w:r>
      <w:r>
        <w:rPr>
          <w:rFonts w:ascii="Arial" w:eastAsia="Times New Roman" w:hAnsi="Arial" w:cs="Arial"/>
          <w:i/>
          <w:iCs/>
          <w:color w:val="000000"/>
          <w:sz w:val="20"/>
          <w:szCs w:val="20"/>
        </w:rPr>
        <w:t>Service Concession Arrangements</w:t>
      </w:r>
      <w:r>
        <w:rPr>
          <w:rFonts w:ascii="Arial" w:eastAsia="Times New Roman" w:hAnsi="Arial" w:cs="Arial"/>
          <w:color w:val="000000"/>
          <w:sz w:val="20"/>
          <w:szCs w:val="20"/>
        </w:rPr>
        <w:t>, our leased location parking arrangements are re</w:t>
      </w:r>
      <w:r>
        <w:rPr>
          <w:rFonts w:ascii="Arial" w:eastAsia="Times New Roman" w:hAnsi="Arial" w:cs="Arial"/>
          <w:color w:val="000000"/>
          <w:sz w:val="20"/>
          <w:szCs w:val="20"/>
        </w:rPr>
        <w:t xml:space="preserve">presented as service concession arrangements. We had contractual payments for these arrangements of $89.9 million, with $24.9 million payable within 12 months. </w:t>
      </w:r>
    </w:p>
    <w:p w:rsidR="00000000" w:rsidRDefault="00485CCD">
      <w:pPr>
        <w:jc w:val="both"/>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2F5496"/>
          <w:sz w:val="20"/>
          <w:szCs w:val="20"/>
        </w:rPr>
        <w:t>Information Technology Service Agreements</w:t>
      </w:r>
      <w:r>
        <w:rPr>
          <w:rFonts w:ascii="Arial" w:eastAsia="Times New Roman" w:hAnsi="Arial" w:cs="Arial"/>
          <w:color w:val="000000"/>
          <w:sz w:val="20"/>
          <w:szCs w:val="20"/>
        </w:rPr>
        <w:t xml:space="preserve"> – </w:t>
      </w:r>
      <w:r>
        <w:rPr>
          <w:rFonts w:ascii="Arial" w:eastAsia="Times New Roman" w:hAnsi="Arial" w:cs="Arial"/>
          <w:color w:val="000000"/>
          <w:sz w:val="20"/>
          <w:szCs w:val="20"/>
        </w:rPr>
        <w:t>Information technology service agreements represent outsourced services and licensing costs pursuant to our information technology agreements. We had contractual payments for these agreements of $79.9 million, with $44.9 million payable within 12 months.</w:t>
      </w:r>
    </w:p>
    <w:p w:rsidR="00000000" w:rsidRDefault="00485CCD">
      <w:pPr>
        <w:jc w:val="both"/>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2F5496"/>
          <w:sz w:val="20"/>
          <w:szCs w:val="20"/>
        </w:rPr>
        <w:t>Benefit Obligations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 Expected future payments relating to our defined benefit, postretirement, and deferred compensation plans were $45.8 million, with $4.5 million payable in 12 months. These amounts are based on expected future service and were calcul</w:t>
      </w:r>
      <w:r>
        <w:rPr>
          <w:rFonts w:ascii="Arial" w:eastAsia="Times New Roman" w:hAnsi="Arial" w:cs="Arial"/>
          <w:color w:val="000000"/>
          <w:sz w:val="20"/>
          <w:szCs w:val="20"/>
        </w:rPr>
        <w:t>ated using the same assumptions used to measure our benefit obligation at October 31, 2021.</w:t>
      </w:r>
    </w:p>
    <w:p w:rsidR="00000000" w:rsidRDefault="00485CCD">
      <w:pPr>
        <w:ind w:hanging="360"/>
        <w:jc w:val="both"/>
        <w:divId w:val="1276248635"/>
        <w:rPr>
          <w:rFonts w:eastAsia="Times New Roman"/>
        </w:rPr>
      </w:pPr>
      <w:r>
        <w:rPr>
          <w:rFonts w:ascii="Arial" w:eastAsia="Times New Roman" w:hAnsi="Arial" w:cs="Arial"/>
          <w:color w:val="000000"/>
          <w:sz w:val="20"/>
          <w:szCs w:val="20"/>
        </w:rPr>
        <w:t>•</w:t>
      </w:r>
      <w:r>
        <w:rPr>
          <w:rFonts w:ascii="Arial" w:eastAsia="Times New Roman" w:hAnsi="Arial" w:cs="Arial"/>
          <w:i/>
          <w:iCs/>
          <w:color w:val="2F5496"/>
          <w:sz w:val="20"/>
          <w:szCs w:val="20"/>
        </w:rPr>
        <w:t>Litigation Settlements</w:t>
      </w:r>
      <w:r>
        <w:rPr>
          <w:rFonts w:ascii="Arial" w:eastAsia="Times New Roman" w:hAnsi="Arial" w:cs="Arial"/>
          <w:b/>
          <w:bCs/>
          <w:i/>
          <w:iCs/>
          <w:color w:val="2F5496"/>
          <w:sz w:val="20"/>
          <w:szCs w:val="20"/>
        </w:rPr>
        <w:t xml:space="preserve"> </w:t>
      </w:r>
      <w:r>
        <w:rPr>
          <w:rFonts w:ascii="Arial" w:eastAsia="Times New Roman" w:hAnsi="Arial" w:cs="Arial"/>
          <w:color w:val="000000"/>
          <w:sz w:val="20"/>
          <w:szCs w:val="20"/>
        </w:rPr>
        <w:t xml:space="preserve">– A litigation settlement of $142.9 million related to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is payable in 12 months. See Note 13, “Commitments and Contingencies,”</w:t>
      </w:r>
      <w:r>
        <w:rPr>
          <w:rFonts w:ascii="Arial" w:eastAsia="Times New Roman" w:hAnsi="Arial" w:cs="Arial"/>
          <w:color w:val="000000"/>
          <w:sz w:val="20"/>
          <w:szCs w:val="20"/>
        </w:rPr>
        <w:t xml:space="preserve"> in the Financial Statements for further details. </w:t>
      </w:r>
    </w:p>
    <w:p w:rsidR="00000000" w:rsidRDefault="00485CCD">
      <w:pPr>
        <w:jc w:val="both"/>
        <w:rPr>
          <w:rFonts w:eastAsia="Times New Roman"/>
        </w:rPr>
      </w:pPr>
    </w:p>
    <w:p w:rsidR="00000000" w:rsidRDefault="00485CCD">
      <w:pPr>
        <w:ind w:hanging="360"/>
        <w:jc w:val="both"/>
        <w:rPr>
          <w:rFonts w:eastAsia="Times New Roman"/>
        </w:rPr>
      </w:pPr>
      <w:r>
        <w:rPr>
          <w:rFonts w:ascii="Arial" w:eastAsia="Times New Roman" w:hAnsi="Arial" w:cs="Arial"/>
          <w:b/>
          <w:bCs/>
          <w:color w:val="0046AD"/>
          <w:sz w:val="18"/>
          <w:szCs w:val="18"/>
        </w:rPr>
        <w:t>•</w:t>
      </w:r>
      <w:r>
        <w:rPr>
          <w:rFonts w:ascii="Arial" w:eastAsia="Times New Roman" w:hAnsi="Arial" w:cs="Arial"/>
          <w:i/>
          <w:iCs/>
          <w:color w:val="2F5496"/>
          <w:sz w:val="20"/>
          <w:szCs w:val="20"/>
        </w:rPr>
        <w:t xml:space="preserve">CARES Act Tax Obligations </w:t>
      </w:r>
      <w:r>
        <w:rPr>
          <w:rFonts w:ascii="Arial" w:eastAsia="Times New Roman" w:hAnsi="Arial" w:cs="Arial"/>
          <w:color w:val="000000"/>
          <w:sz w:val="20"/>
          <w:szCs w:val="20"/>
        </w:rPr>
        <w:t xml:space="preserve">– </w:t>
      </w:r>
      <w:r>
        <w:rPr>
          <w:rFonts w:ascii="Arial" w:eastAsia="Times New Roman" w:hAnsi="Arial" w:cs="Arial"/>
          <w:color w:val="000000"/>
          <w:sz w:val="20"/>
          <w:szCs w:val="20"/>
        </w:rPr>
        <w:t>We deferred approximately $132 million of payroll tax provisions under the CARES Act with $66 million payable in 12 months. See Note 16, “Income Taxes,” in the Financial Statements for further details.</w:t>
      </w:r>
    </w:p>
    <w:p w:rsidR="00000000" w:rsidRDefault="00485CCD">
      <w:pPr>
        <w:jc w:val="both"/>
        <w:rPr>
          <w:rFonts w:eastAsia="Times New Roman"/>
        </w:rPr>
      </w:pPr>
    </w:p>
    <w:p w:rsidR="00000000" w:rsidRDefault="00485CCD">
      <w:pPr>
        <w:ind w:firstLine="720"/>
        <w:jc w:val="both"/>
        <w:rPr>
          <w:rFonts w:eastAsia="Times New Roman"/>
        </w:rPr>
      </w:pPr>
      <w:r>
        <w:rPr>
          <w:rFonts w:ascii="Arial" w:eastAsia="Times New Roman" w:hAnsi="Arial" w:cs="Arial"/>
          <w:color w:val="000000"/>
          <w:sz w:val="20"/>
          <w:szCs w:val="20"/>
        </w:rPr>
        <w:t>In addition, our material cash requirements for othe</w:t>
      </w:r>
      <w:r>
        <w:rPr>
          <w:rFonts w:ascii="Arial" w:eastAsia="Times New Roman" w:hAnsi="Arial" w:cs="Arial"/>
          <w:color w:val="000000"/>
          <w:sz w:val="20"/>
          <w:szCs w:val="20"/>
        </w:rPr>
        <w:t>r obligations, for which we cannot reasonably estimate future payments, include the following:</w:t>
      </w:r>
    </w:p>
    <w:p w:rsidR="00000000" w:rsidRDefault="00485CCD">
      <w:pPr>
        <w:ind w:firstLine="720"/>
        <w:jc w:val="both"/>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Multiemployer Benefit Plans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In addition to our company sponsored benefit plans, we participate in certain multiemployer pension and other postretirement pla</w:t>
      </w:r>
      <w:r>
        <w:rPr>
          <w:rFonts w:ascii="Arial" w:eastAsia="Times New Roman" w:hAnsi="Arial" w:cs="Arial"/>
          <w:color w:val="000000"/>
          <w:sz w:val="20"/>
          <w:szCs w:val="20"/>
        </w:rPr>
        <w:t>ns. The cost of these plans is equal to the annual required contributions determined in accordance with the provisions of negotiated collective bargaining arrangements. During 2021, 2020, and 2019, contributions made to these plans were $348.8 million, $33</w:t>
      </w:r>
      <w:r>
        <w:rPr>
          <w:rFonts w:ascii="Arial" w:eastAsia="Times New Roman" w:hAnsi="Arial" w:cs="Arial"/>
          <w:color w:val="000000"/>
          <w:sz w:val="20"/>
          <w:szCs w:val="20"/>
        </w:rPr>
        <w:t>5.8 million, and $345.4 million, respectively; however, our future contributions to the multiemployer plans are dependent upon a number of factors, including the funded status of the plans, the ability of other participating companies to meet ongoing fundi</w:t>
      </w:r>
      <w:r>
        <w:rPr>
          <w:rFonts w:ascii="Arial" w:eastAsia="Times New Roman" w:hAnsi="Arial" w:cs="Arial"/>
          <w:color w:val="000000"/>
          <w:sz w:val="20"/>
          <w:szCs w:val="20"/>
        </w:rPr>
        <w:t>ng obligations, and the level of our ongoing participation in these plans. Amounts of future contributions that we would be contractually obligated to make pursuant to these plans cannot be reasonably estimated. See Note 12, “Employee Benefit Plans,” in th</w:t>
      </w:r>
      <w:r>
        <w:rPr>
          <w:rFonts w:ascii="Arial" w:eastAsia="Times New Roman" w:hAnsi="Arial" w:cs="Arial"/>
          <w:color w:val="000000"/>
          <w:sz w:val="20"/>
          <w:szCs w:val="20"/>
        </w:rPr>
        <w:t>e Financial Statements for more information.</w:t>
      </w:r>
    </w:p>
    <w:p w:rsidR="00000000" w:rsidRDefault="00485CCD">
      <w:pPr>
        <w:jc w:val="both"/>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Self-Insurance Obligations</w:t>
      </w:r>
      <w:r>
        <w:rPr>
          <w:rFonts w:ascii="Arial" w:eastAsia="Times New Roman" w:hAnsi="Arial" w:cs="Arial"/>
          <w:color w:val="000000"/>
          <w:sz w:val="20"/>
          <w:szCs w:val="20"/>
        </w:rPr>
        <w:t xml:space="preserve"> – We may make payments for exposures for which we are self-insured, including workers’ compensation, general liability, automobile liability, property damage, and other insurable ri</w:t>
      </w:r>
      <w:r>
        <w:rPr>
          <w:rFonts w:ascii="Arial" w:eastAsia="Times New Roman" w:hAnsi="Arial" w:cs="Arial"/>
          <w:color w:val="000000"/>
          <w:sz w:val="20"/>
          <w:szCs w:val="20"/>
        </w:rPr>
        <w:t>sks. At October 31, 2021, our self-insurance reserves, net of recoverables, were $508.3 million. As these obligations do not have scheduled maturities, we are unable to make a reliable estimate of the amount or timing of cash that may be required to settle</w:t>
      </w:r>
      <w:r>
        <w:rPr>
          <w:rFonts w:ascii="Arial" w:eastAsia="Times New Roman" w:hAnsi="Arial" w:cs="Arial"/>
          <w:color w:val="000000"/>
          <w:sz w:val="20"/>
          <w:szCs w:val="20"/>
        </w:rPr>
        <w:t xml:space="preserve"> these matters. See Note 10, “Insurance,” in the Financial Statements for further detail. </w:t>
      </w:r>
    </w:p>
    <w:p w:rsidR="00000000" w:rsidRDefault="00485CCD">
      <w:pPr>
        <w:divId w:val="340662496"/>
        <w:rPr>
          <w:rFonts w:eastAsia="Times New Roman"/>
        </w:rPr>
      </w:pPr>
    </w:p>
    <w:p w:rsidR="00000000" w:rsidRDefault="00485CCD">
      <w:pPr>
        <w:jc w:val="center"/>
        <w:divId w:val="1264610647"/>
        <w:rPr>
          <w:rFonts w:eastAsia="Times New Roman"/>
        </w:rPr>
      </w:pPr>
      <w:r>
        <w:rPr>
          <w:rFonts w:ascii="Arial" w:eastAsia="Times New Roman" w:hAnsi="Arial" w:cs="Arial"/>
          <w:color w:val="000000"/>
          <w:sz w:val="20"/>
          <w:szCs w:val="20"/>
        </w:rPr>
        <w:t>37</w:t>
      </w:r>
    </w:p>
    <w:p w:rsidR="00000000" w:rsidRDefault="00485CCD">
      <w:pPr>
        <w:rPr>
          <w:rFonts w:eastAsia="Times New Roman"/>
        </w:rPr>
      </w:pPr>
      <w:r>
        <w:rPr>
          <w:rFonts w:eastAsia="Times New Roman"/>
        </w:rPr>
        <w:pict>
          <v:rect id="_x0000_i1073" style="width:0;height:1.5pt" o:hralign="center" o:hrstd="t" o:hr="t" fillcolor="#a0a0a0" stroked="f"/>
        </w:pict>
      </w:r>
    </w:p>
    <w:p w:rsidR="00000000" w:rsidRDefault="00485CCD">
      <w:pPr>
        <w:divId w:val="1186871239"/>
        <w:rPr>
          <w:rFonts w:eastAsia="Times New Roman"/>
        </w:rPr>
      </w:pPr>
    </w:p>
    <w:p w:rsidR="00000000" w:rsidRDefault="00485CCD">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Unrecognized Tax Benefits</w:t>
      </w:r>
      <w:r>
        <w:rPr>
          <w:rFonts w:ascii="Arial" w:eastAsia="Times New Roman" w:hAnsi="Arial" w:cs="Arial"/>
          <w:color w:val="000000"/>
          <w:sz w:val="20"/>
          <w:szCs w:val="20"/>
        </w:rPr>
        <w:t xml:space="preserve"> – At October 31, 2021, our total liability for unrecognized tax benefits was $12.5 million. The</w:t>
      </w:r>
      <w:r>
        <w:rPr>
          <w:rFonts w:ascii="Arial" w:eastAsia="Times New Roman" w:hAnsi="Arial" w:cs="Arial"/>
          <w:color w:val="000000"/>
          <w:sz w:val="20"/>
          <w:szCs w:val="20"/>
        </w:rPr>
        <w:t xml:space="preserve"> resolution or settlement of these tax positions with the taxing authorities is subject to significant uncertainty, and therefore we are unable to make a reliable estimate of the amount or timing of cash that may be required to settle these matters. In add</w:t>
      </w:r>
      <w:r>
        <w:rPr>
          <w:rFonts w:ascii="Arial" w:eastAsia="Times New Roman" w:hAnsi="Arial" w:cs="Arial"/>
          <w:color w:val="000000"/>
          <w:sz w:val="20"/>
          <w:szCs w:val="20"/>
        </w:rPr>
        <w:t>ition, certain of these matters may not require cash settlements due to the exercise of credits and net operating loss carryforwards as well as other offsets, including the indirect benefit from other taxing jurisdictions that may be available.</w:t>
      </w:r>
    </w:p>
    <w:p w:rsidR="00000000" w:rsidRDefault="00485CCD">
      <w:pPr>
        <w:jc w:val="both"/>
        <w:divId w:val="1096634281"/>
        <w:rPr>
          <w:rFonts w:eastAsia="Times New Roman"/>
        </w:rPr>
      </w:pPr>
      <w:r>
        <w:rPr>
          <w:rFonts w:ascii="Arial" w:eastAsia="Times New Roman" w:hAnsi="Arial" w:cs="Arial"/>
          <w:b/>
          <w:bCs/>
          <w:i/>
          <w:iCs/>
          <w:color w:val="0046AD"/>
          <w:sz w:val="20"/>
          <w:szCs w:val="20"/>
        </w:rPr>
        <w:t>Off-Balance</w:t>
      </w:r>
      <w:r>
        <w:rPr>
          <w:rFonts w:ascii="Arial" w:eastAsia="Times New Roman" w:hAnsi="Arial" w:cs="Arial"/>
          <w:b/>
          <w:bCs/>
          <w:i/>
          <w:iCs/>
          <w:color w:val="0046AD"/>
          <w:sz w:val="20"/>
          <w:szCs w:val="20"/>
        </w:rPr>
        <w:t xml:space="preserve"> Sheet Arrangements</w:t>
      </w:r>
    </w:p>
    <w:p w:rsidR="00000000" w:rsidRDefault="00485CCD">
      <w:pPr>
        <w:ind w:firstLine="720"/>
        <w:jc w:val="both"/>
        <w:divId w:val="747581142"/>
        <w:rPr>
          <w:rFonts w:eastAsia="Times New Roman"/>
        </w:rPr>
      </w:pPr>
      <w:r>
        <w:rPr>
          <w:rFonts w:ascii="Arial" w:eastAsia="Times New Roman" w:hAnsi="Arial" w:cs="Arial"/>
          <w:color w:val="000000"/>
          <w:sz w:val="20"/>
          <w:szCs w:val="20"/>
        </w:rPr>
        <w:t>We have no off-balance sheet arrangements other than unrecorded standby letters of credit and surety bonds. We use letters of credit and surety bonds in the ordinary course of business to ensure the performance of contractual obligation</w:t>
      </w:r>
      <w:r>
        <w:rPr>
          <w:rFonts w:ascii="Arial" w:eastAsia="Times New Roman" w:hAnsi="Arial" w:cs="Arial"/>
          <w:color w:val="000000"/>
          <w:sz w:val="20"/>
          <w:szCs w:val="20"/>
        </w:rPr>
        <w:t>s and to collateralize self-insurance obligations in the event we are unable to meet our claim payment obligations. As we already have reserves on our books for the claims costs, these do not represent additional liabilities. The surety bonds typically rem</w:t>
      </w:r>
      <w:r>
        <w:rPr>
          <w:rFonts w:ascii="Arial" w:eastAsia="Times New Roman" w:hAnsi="Arial" w:cs="Arial"/>
          <w:color w:val="000000"/>
          <w:sz w:val="20"/>
          <w:szCs w:val="20"/>
        </w:rPr>
        <w:t>ain in force for one to five years and may include optional renewal periods. As of October 31, 2021, these letters of credit and surety bonds totaled $167.7 million and $687.3 million, respectively. Neither of these arrangements has a material current effe</w:t>
      </w:r>
      <w:r>
        <w:rPr>
          <w:rFonts w:ascii="Arial" w:eastAsia="Times New Roman" w:hAnsi="Arial" w:cs="Arial"/>
          <w:color w:val="000000"/>
          <w:sz w:val="20"/>
          <w:szCs w:val="20"/>
        </w:rPr>
        <w:t xml:space="preserve">ct, or is reasonably likely to have a material future effect, on our financial condition, revenues or expenses, results of operations, liquidity, capital expenditures, or capital resources. </w:t>
      </w:r>
    </w:p>
    <w:p w:rsidR="00000000" w:rsidRDefault="00485CCD">
      <w:pPr>
        <w:divId w:val="1270628228"/>
        <w:rPr>
          <w:rFonts w:eastAsia="Times New Roman"/>
        </w:rPr>
      </w:pPr>
    </w:p>
    <w:p w:rsidR="00000000" w:rsidRDefault="00485CCD">
      <w:pPr>
        <w:jc w:val="center"/>
        <w:divId w:val="1474442601"/>
        <w:rPr>
          <w:rFonts w:eastAsia="Times New Roman"/>
        </w:rPr>
      </w:pPr>
      <w:r>
        <w:rPr>
          <w:rFonts w:ascii="Arial" w:eastAsia="Times New Roman" w:hAnsi="Arial" w:cs="Arial"/>
          <w:color w:val="000000"/>
          <w:sz w:val="20"/>
          <w:szCs w:val="20"/>
        </w:rPr>
        <w:t>38</w:t>
      </w:r>
    </w:p>
    <w:p w:rsidR="00000000" w:rsidRDefault="00485CCD">
      <w:pPr>
        <w:rPr>
          <w:rFonts w:eastAsia="Times New Roman"/>
        </w:rPr>
      </w:pPr>
      <w:r>
        <w:rPr>
          <w:rFonts w:eastAsia="Times New Roman"/>
        </w:rPr>
        <w:pict>
          <v:rect id="_x0000_i1074" style="width:0;height:1.5pt" o:hralign="center" o:hrstd="t" o:hr="t" fillcolor="#a0a0a0" stroked="f"/>
        </w:pict>
      </w:r>
    </w:p>
    <w:p w:rsidR="00000000" w:rsidRDefault="00485CCD">
      <w:pPr>
        <w:divId w:val="2116824382"/>
        <w:rPr>
          <w:rFonts w:eastAsia="Times New Roman"/>
        </w:rPr>
      </w:pPr>
    </w:p>
    <w:p w:rsidR="00000000" w:rsidRDefault="00485CCD">
      <w:pPr>
        <w:divId w:val="653533704"/>
        <w:rPr>
          <w:rFonts w:eastAsia="Times New Roman"/>
        </w:rPr>
      </w:pPr>
      <w:r>
        <w:rPr>
          <w:rFonts w:ascii="Arial" w:eastAsia="Times New Roman" w:hAnsi="Arial" w:cs="Arial"/>
          <w:b/>
          <w:bCs/>
          <w:color w:val="0046AD"/>
          <w:sz w:val="20"/>
          <w:szCs w:val="20"/>
        </w:rPr>
        <w:t>Critical Accounting Po</w:t>
      </w:r>
      <w:r>
        <w:rPr>
          <w:rFonts w:ascii="Arial" w:eastAsia="Times New Roman" w:hAnsi="Arial" w:cs="Arial"/>
          <w:b/>
          <w:bCs/>
          <w:color w:val="0046AD"/>
          <w:sz w:val="20"/>
          <w:szCs w:val="20"/>
        </w:rPr>
        <w:t>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68105439"/>
        </w:trPr>
        <w:tc>
          <w:tcPr>
            <w:tcW w:w="5" w:type="pct"/>
            <w:vAlign w:val="center"/>
            <w:hideMark/>
          </w:tcPr>
          <w:p w:rsidR="00000000" w:rsidRDefault="00485CCD">
            <w:pPr>
              <w:rPr>
                <w:rFonts w:eastAsia="Times New Roman"/>
              </w:rPr>
            </w:pPr>
          </w:p>
        </w:tc>
        <w:tc>
          <w:tcPr>
            <w:tcW w:w="1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868105439"/>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1529758752"/>
        <w:rPr>
          <w:rFonts w:eastAsia="Times New Roman"/>
        </w:rPr>
      </w:pPr>
      <w:r>
        <w:rPr>
          <w:rFonts w:ascii="Arial" w:eastAsia="Times New Roman" w:hAnsi="Arial" w:cs="Arial"/>
          <w:color w:val="000000"/>
          <w:sz w:val="20"/>
          <w:szCs w:val="20"/>
        </w:rPr>
        <w:t>The preparation of consolidated financial statements in accordance with United States generally accepted accounting principles requires our management to make certain estimates that affect the reported amounts. We base our estimates on historical experienc</w:t>
      </w:r>
      <w:r>
        <w:rPr>
          <w:rFonts w:ascii="Arial" w:eastAsia="Times New Roman" w:hAnsi="Arial" w:cs="Arial"/>
          <w:color w:val="000000"/>
          <w:sz w:val="20"/>
          <w:szCs w:val="20"/>
        </w:rPr>
        <w:t>e, known or expected trends, independent valuations, and various other assumptions that we believe to be reasonable under the circumstances. As future events and their effects cannot be determined with precision, actual results could differ significantly f</w:t>
      </w:r>
      <w:r>
        <w:rPr>
          <w:rFonts w:ascii="Arial" w:eastAsia="Times New Roman" w:hAnsi="Arial" w:cs="Arial"/>
          <w:color w:val="000000"/>
          <w:sz w:val="20"/>
          <w:szCs w:val="20"/>
        </w:rPr>
        <w:t>rom these estimates. There have been no significant changes to our critical accounting policies and estimates for the year ended October 31, 2021. We believe the following critical accounting policies govern the more significant judgments and estimates use</w:t>
      </w:r>
      <w:r>
        <w:rPr>
          <w:rFonts w:ascii="Arial" w:eastAsia="Times New Roman" w:hAnsi="Arial" w:cs="Arial"/>
          <w:color w:val="000000"/>
          <w:sz w:val="20"/>
          <w:szCs w:val="20"/>
        </w:rPr>
        <w:t>d in the preparation of our Financial Statements.</w:t>
      </w:r>
    </w:p>
    <w:p w:rsidR="00000000" w:rsidRDefault="00485CCD">
      <w:pPr>
        <w:divId w:val="3600095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741"/>
        <w:gridCol w:w="36"/>
        <w:gridCol w:w="36"/>
        <w:gridCol w:w="36"/>
        <w:gridCol w:w="36"/>
        <w:gridCol w:w="43"/>
        <w:gridCol w:w="2252"/>
        <w:gridCol w:w="37"/>
        <w:gridCol w:w="36"/>
        <w:gridCol w:w="36"/>
        <w:gridCol w:w="36"/>
        <w:gridCol w:w="42"/>
        <w:gridCol w:w="3845"/>
        <w:gridCol w:w="36"/>
      </w:tblGrid>
      <w:tr w:rsidR="00000000">
        <w:trPr>
          <w:divId w:val="1562055584"/>
        </w:trPr>
        <w:tc>
          <w:tcPr>
            <w:tcW w:w="50" w:type="pct"/>
            <w:vAlign w:val="center"/>
            <w:hideMark/>
          </w:tcPr>
          <w:p w:rsidR="00000000" w:rsidRDefault="00485CCD">
            <w:pPr>
              <w:rPr>
                <w:rFonts w:eastAsia="Times New Roman"/>
              </w:rPr>
            </w:pPr>
          </w:p>
        </w:tc>
        <w:tc>
          <w:tcPr>
            <w:tcW w:w="106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37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6205558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1562055584"/>
        </w:trPr>
        <w:tc>
          <w:tcPr>
            <w:tcW w:w="0" w:type="auto"/>
            <w:gridSpan w:val="3"/>
            <w:tcBorders>
              <w:top w:val="single" w:sz="8" w:space="0" w:color="000000"/>
            </w:tcBorders>
            <w:tcMar>
              <w:top w:w="30" w:type="dxa"/>
              <w:left w:w="20" w:type="dxa"/>
              <w:bottom w:w="30" w:type="dxa"/>
              <w:right w:w="20" w:type="dxa"/>
            </w:tcMar>
            <w:hideMark/>
          </w:tcPr>
          <w:p w:rsidR="00000000" w:rsidRDefault="00485CCD">
            <w:pPr>
              <w:divId w:val="1036933703"/>
              <w:rPr>
                <w:rFonts w:eastAsia="Times New Roman"/>
              </w:rPr>
            </w:pPr>
            <w:r>
              <w:rPr>
                <w:rFonts w:ascii="Arial" w:eastAsia="Times New Roman" w:hAnsi="Arial" w:cs="Arial"/>
                <w:b/>
                <w:bCs/>
                <w:color w:val="000000"/>
                <w:sz w:val="18"/>
                <w:szCs w:val="18"/>
              </w:rPr>
              <w:t>Customer Relationships</w:t>
            </w:r>
          </w:p>
          <w:p w:rsidR="00000000" w:rsidRDefault="00485CCD">
            <w:pPr>
              <w:divId w:val="1902867207"/>
              <w:rPr>
                <w:rFonts w:eastAsia="Times New Roman"/>
              </w:rPr>
            </w:pPr>
          </w:p>
          <w:p w:rsidR="00000000" w:rsidRDefault="00485CCD">
            <w:pPr>
              <w:divId w:val="2043554784"/>
              <w:rPr>
                <w:rFonts w:eastAsia="Times New Roman"/>
              </w:rPr>
            </w:pPr>
            <w:r>
              <w:rPr>
                <w:rFonts w:ascii="Arial" w:eastAsia="Times New Roman" w:hAnsi="Arial" w:cs="Arial"/>
                <w:color w:val="000000"/>
                <w:sz w:val="18"/>
                <w:szCs w:val="18"/>
              </w:rPr>
              <w:t>When we acquire a company, we determine the fair value on the acquisition date of assets acquired and liabilities assumed.</w:t>
            </w:r>
          </w:p>
          <w:p w:rsidR="00000000" w:rsidRDefault="00485CCD">
            <w:pPr>
              <w:divId w:val="1434469686"/>
              <w:rPr>
                <w:rFonts w:eastAsia="Times New Roman"/>
              </w:rPr>
            </w:pPr>
          </w:p>
          <w:p w:rsidR="00000000" w:rsidRDefault="00485CCD">
            <w:pPr>
              <w:divId w:val="1181240507"/>
              <w:rPr>
                <w:rFonts w:eastAsia="Times New Roman"/>
              </w:rPr>
            </w:pPr>
            <w:r>
              <w:rPr>
                <w:rFonts w:ascii="Arial" w:eastAsia="Times New Roman" w:hAnsi="Arial" w:cs="Arial"/>
                <w:color w:val="000000"/>
                <w:sz w:val="18"/>
                <w:szCs w:val="18"/>
              </w:rPr>
              <w:t>We anticipate that for most acquisitions, we will exercise significant judgment in estimating the fair value of intangible assets.</w:t>
            </w:r>
          </w:p>
          <w:p w:rsidR="00000000" w:rsidRDefault="00485CCD">
            <w:pPr>
              <w:divId w:val="1264531691"/>
              <w:rPr>
                <w:rFonts w:eastAsia="Times New Roman"/>
              </w:rPr>
            </w:pPr>
          </w:p>
          <w:p w:rsidR="00000000" w:rsidRDefault="00485CCD">
            <w:pPr>
              <w:divId w:val="535628704"/>
              <w:rPr>
                <w:rFonts w:eastAsia="Times New Roman"/>
              </w:rPr>
            </w:pPr>
            <w:r>
              <w:rPr>
                <w:rFonts w:ascii="Arial" w:eastAsia="Times New Roman" w:hAnsi="Arial" w:cs="Arial"/>
                <w:color w:val="000000"/>
                <w:sz w:val="18"/>
                <w:szCs w:val="18"/>
              </w:rPr>
              <w:t>In a typical acquisition, customer relationships are our most significant definite-lived intangible asset. In valuing these relationships, we engage a third-party valuation expert to fair value these assets using a version of the income approach known as</w:t>
            </w:r>
            <w:r>
              <w:rPr>
                <w:rFonts w:ascii="Arial" w:eastAsia="Times New Roman" w:hAnsi="Arial" w:cs="Arial"/>
                <w:color w:val="000000"/>
                <w:sz w:val="18"/>
                <w:szCs w:val="18"/>
              </w:rPr>
              <w:t xml:space="preserve"> the “excess earnings method.”</w:t>
            </w:r>
          </w:p>
          <w:p w:rsidR="00000000" w:rsidRDefault="00485CCD">
            <w:pPr>
              <w:divId w:val="175192038"/>
              <w:rPr>
                <w:rFonts w:eastAsia="Times New Roman"/>
              </w:rPr>
            </w:pPr>
          </w:p>
          <w:p w:rsidR="00000000" w:rsidRDefault="00485CCD">
            <w:pPr>
              <w:divId w:val="397166398"/>
              <w:rPr>
                <w:rFonts w:eastAsia="Times New Roman"/>
              </w:rPr>
            </w:pPr>
            <w:r>
              <w:rPr>
                <w:rFonts w:ascii="Arial" w:eastAsia="Times New Roman" w:hAnsi="Arial" w:cs="Arial"/>
                <w:color w:val="000000"/>
                <w:sz w:val="18"/>
                <w:szCs w:val="18"/>
              </w:rPr>
              <w:t>This method uses a discounted cash flow approach that is derived from historical information, future revenue and operating profit margins, contributory asset charges, and the selection of an appropriate discount rate.</w:t>
            </w:r>
          </w:p>
          <w:p w:rsidR="00000000" w:rsidRDefault="00485CCD">
            <w:pPr>
              <w:divId w:val="809251104"/>
              <w:rPr>
                <w:rFonts w:eastAsia="Times New Roman"/>
              </w:rPr>
            </w:pPr>
          </w:p>
          <w:p w:rsidR="00000000" w:rsidRDefault="00485CCD">
            <w:pPr>
              <w:divId w:val="520975455"/>
              <w:rPr>
                <w:rFonts w:eastAsia="Times New Roman"/>
              </w:rPr>
            </w:pPr>
            <w:r>
              <w:rPr>
                <w:rFonts w:ascii="Arial" w:eastAsia="Times New Roman" w:hAnsi="Arial" w:cs="Arial"/>
                <w:color w:val="000000"/>
                <w:sz w:val="18"/>
                <w:szCs w:val="18"/>
              </w:rPr>
              <w:t xml:space="preserve">We </w:t>
            </w:r>
            <w:r>
              <w:rPr>
                <w:rFonts w:ascii="Arial" w:eastAsia="Times New Roman" w:hAnsi="Arial" w:cs="Arial"/>
                <w:color w:val="000000"/>
                <w:sz w:val="18"/>
                <w:szCs w:val="18"/>
              </w:rPr>
              <w:t>consider this approach the most appropriate valuation technique because the inherent value of these assets is their ability to generate current and future income.</w:t>
            </w:r>
          </w:p>
          <w:p w:rsidR="00000000" w:rsidRDefault="00485CCD">
            <w:pPr>
              <w:divId w:val="257951741"/>
              <w:rPr>
                <w:rFonts w:eastAsia="Times New Roman"/>
              </w:rPr>
            </w:pPr>
          </w:p>
          <w:p w:rsidR="00000000" w:rsidRDefault="00485CCD">
            <w:pPr>
              <w:divId w:val="1982340568"/>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divId w:val="4602036"/>
              <w:rPr>
                <w:rFonts w:eastAsia="Times New Roman"/>
              </w:rPr>
            </w:pPr>
          </w:p>
          <w:p w:rsidR="00000000" w:rsidRDefault="00485CCD">
            <w:pPr>
              <w:divId w:val="2051225073"/>
              <w:rPr>
                <w:rFonts w:eastAsia="Times New Roman"/>
              </w:rPr>
            </w:pPr>
          </w:p>
          <w:p w:rsidR="00000000" w:rsidRDefault="00485CCD">
            <w:pPr>
              <w:divId w:val="1900675594"/>
              <w:rPr>
                <w:rFonts w:eastAsia="Times New Roman"/>
              </w:rPr>
            </w:pPr>
            <w:r>
              <w:rPr>
                <w:rFonts w:ascii="Arial" w:eastAsia="Times New Roman" w:hAnsi="Arial" w:cs="Arial"/>
                <w:color w:val="000000"/>
                <w:sz w:val="18"/>
                <w:szCs w:val="18"/>
              </w:rPr>
              <w:t>Future revenue growth, future operating performance margin as a percentage of re</w:t>
            </w:r>
            <w:r>
              <w:rPr>
                <w:rFonts w:ascii="Arial" w:eastAsia="Times New Roman" w:hAnsi="Arial" w:cs="Arial"/>
                <w:color w:val="000000"/>
                <w:sz w:val="18"/>
                <w:szCs w:val="18"/>
              </w:rPr>
              <w:t>venues, customer attrition rate, and discount rate applied are the significant estimates used in the excess earnings method to determine the fair value of customer relationships. These estimates are influenced by many factors, including historical financia</w:t>
            </w:r>
            <w:r>
              <w:rPr>
                <w:rFonts w:ascii="Arial" w:eastAsia="Times New Roman" w:hAnsi="Arial" w:cs="Arial"/>
                <w:color w:val="000000"/>
                <w:sz w:val="18"/>
                <w:szCs w:val="18"/>
              </w:rPr>
              <w:t>l information, estimated retention rates, and management's expectations for future customer growth as a combined company.</w:t>
            </w:r>
          </w:p>
          <w:p w:rsidR="00000000" w:rsidRDefault="00485CCD">
            <w:pPr>
              <w:divId w:val="1106540291"/>
              <w:rPr>
                <w:rFonts w:eastAsia="Times New Roman"/>
              </w:rPr>
            </w:pPr>
          </w:p>
          <w:p w:rsidR="00000000" w:rsidRDefault="00485CCD">
            <w:pPr>
              <w:divId w:val="1340615697"/>
              <w:rPr>
                <w:rFonts w:eastAsia="Times New Roman"/>
              </w:rPr>
            </w:pPr>
            <w:r>
              <w:rPr>
                <w:rFonts w:ascii="Arial" w:eastAsia="Times New Roman" w:hAnsi="Arial" w:cs="Arial"/>
                <w:color w:val="000000"/>
                <w:sz w:val="18"/>
                <w:szCs w:val="18"/>
              </w:rPr>
              <w:t>Another estimate that impacts the valuation is the contributory charge for the acquired workforce, which involves management assumpt</w:t>
            </w:r>
            <w:r>
              <w:rPr>
                <w:rFonts w:ascii="Arial" w:eastAsia="Times New Roman" w:hAnsi="Arial" w:cs="Arial"/>
                <w:color w:val="000000"/>
                <w:sz w:val="18"/>
                <w:szCs w:val="18"/>
              </w:rPr>
              <w:t>ions based on historical experience, including interview time and new hire productivity.</w:t>
            </w:r>
          </w:p>
          <w:p w:rsidR="00000000" w:rsidRDefault="00485CCD">
            <w:pPr>
              <w:divId w:val="530611041"/>
              <w:rPr>
                <w:rFonts w:eastAsia="Times New Roman"/>
              </w:rPr>
            </w:pPr>
          </w:p>
          <w:p w:rsidR="00000000" w:rsidRDefault="00485CCD">
            <w:pPr>
              <w:divId w:val="1411276150"/>
              <w:rPr>
                <w:rFonts w:eastAsia="Times New Roman"/>
              </w:rPr>
            </w:pPr>
            <w:r>
              <w:rPr>
                <w:rFonts w:ascii="Arial" w:eastAsia="Times New Roman" w:hAnsi="Arial" w:cs="Arial"/>
                <w:color w:val="000000"/>
                <w:sz w:val="18"/>
                <w:szCs w:val="18"/>
              </w:rPr>
              <w:t>The estimated life is determined by calculating the number of years necessary to obtain 90% of the value of the discounted cash flows of the relationships and is dir</w:t>
            </w:r>
            <w:r>
              <w:rPr>
                <w:rFonts w:ascii="Arial" w:eastAsia="Times New Roman" w:hAnsi="Arial" w:cs="Arial"/>
                <w:color w:val="000000"/>
                <w:sz w:val="18"/>
                <w:szCs w:val="18"/>
              </w:rPr>
              <w:t>ectly tied to the accuracy of the above assumptions.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divId w:val="458572983"/>
              <w:rPr>
                <w:rFonts w:eastAsia="Times New Roman"/>
              </w:rPr>
            </w:pPr>
          </w:p>
          <w:p w:rsidR="00000000" w:rsidRDefault="00485CCD">
            <w:pPr>
              <w:divId w:val="743840311"/>
              <w:rPr>
                <w:rFonts w:eastAsia="Times New Roman"/>
              </w:rPr>
            </w:pPr>
          </w:p>
          <w:p w:rsidR="00000000" w:rsidRDefault="00485CCD">
            <w:pPr>
              <w:divId w:val="1370379272"/>
              <w:rPr>
                <w:rFonts w:eastAsia="Times New Roman"/>
              </w:rPr>
            </w:pPr>
            <w:r>
              <w:rPr>
                <w:rFonts w:ascii="Arial" w:eastAsia="Times New Roman" w:hAnsi="Arial" w:cs="Arial"/>
                <w:color w:val="000000"/>
                <w:sz w:val="18"/>
                <w:szCs w:val="18"/>
              </w:rPr>
              <w:t>We have not made any changes in the accounting methodology used to determine the fair value of customer relationships during the last three years.</w:t>
            </w:r>
          </w:p>
          <w:p w:rsidR="00000000" w:rsidRDefault="00485CCD">
            <w:pPr>
              <w:divId w:val="1400520767"/>
              <w:rPr>
                <w:rFonts w:eastAsia="Times New Roman"/>
              </w:rPr>
            </w:pPr>
          </w:p>
          <w:p w:rsidR="00000000" w:rsidRDefault="00485CCD">
            <w:pPr>
              <w:divId w:val="1371684340"/>
              <w:rPr>
                <w:rFonts w:eastAsia="Times New Roman"/>
              </w:rPr>
            </w:pPr>
            <w:r>
              <w:rPr>
                <w:rFonts w:ascii="Arial" w:eastAsia="Times New Roman" w:hAnsi="Arial" w:cs="Arial"/>
                <w:color w:val="000000"/>
                <w:sz w:val="18"/>
                <w:szCs w:val="18"/>
              </w:rPr>
              <w:t>If the subsequent actual results and updated projections of the underlying business activity change compared with the assumptions and projections used to develop the values of the identifiable intangible assets, then we could record material impairment los</w:t>
            </w:r>
            <w:r>
              <w:rPr>
                <w:rFonts w:ascii="Arial" w:eastAsia="Times New Roman" w:hAnsi="Arial" w:cs="Arial"/>
                <w:color w:val="000000"/>
                <w:sz w:val="18"/>
                <w:szCs w:val="18"/>
              </w:rPr>
              <w:t>ses.</w:t>
            </w:r>
          </w:p>
          <w:p w:rsidR="00000000" w:rsidRDefault="00485CCD">
            <w:pPr>
              <w:divId w:val="1685355384"/>
              <w:rPr>
                <w:rFonts w:eastAsia="Times New Roman"/>
              </w:rPr>
            </w:pPr>
          </w:p>
          <w:p w:rsidR="00000000" w:rsidRDefault="00485CCD">
            <w:pPr>
              <w:divId w:val="1293706764"/>
              <w:rPr>
                <w:rFonts w:eastAsia="Times New Roman"/>
              </w:rPr>
            </w:pPr>
            <w:r>
              <w:rPr>
                <w:rFonts w:ascii="Arial" w:eastAsia="Times New Roman" w:hAnsi="Arial" w:cs="Arial"/>
                <w:color w:val="000000"/>
                <w:sz w:val="18"/>
                <w:szCs w:val="18"/>
              </w:rPr>
              <w:t>With other assumptions held constant, a 10% increase in the calculated fair value of the Able customer relationships would increase the annual amortization expense by $2.8 million in 2022.</w:t>
            </w:r>
          </w:p>
          <w:p w:rsidR="00000000" w:rsidRDefault="00485CCD">
            <w:pPr>
              <w:divId w:val="98765542"/>
              <w:rPr>
                <w:rFonts w:eastAsia="Times New Roman"/>
              </w:rPr>
            </w:pPr>
          </w:p>
          <w:p w:rsidR="00000000" w:rsidRDefault="00485CCD">
            <w:pPr>
              <w:divId w:val="433790011"/>
              <w:rPr>
                <w:rFonts w:eastAsia="Times New Roman"/>
              </w:rPr>
            </w:pPr>
            <w:r>
              <w:rPr>
                <w:rFonts w:ascii="Arial" w:eastAsia="Times New Roman" w:hAnsi="Arial" w:cs="Arial"/>
                <w:color w:val="000000"/>
                <w:sz w:val="18"/>
                <w:szCs w:val="18"/>
              </w:rPr>
              <w:t>See the “Valuation of Long-Lived Assets” critical accounti</w:t>
            </w:r>
            <w:r>
              <w:rPr>
                <w:rFonts w:ascii="Arial" w:eastAsia="Times New Roman" w:hAnsi="Arial" w:cs="Arial"/>
                <w:color w:val="000000"/>
                <w:sz w:val="18"/>
                <w:szCs w:val="18"/>
              </w:rPr>
              <w:t>ng policy for information about impairment evaluations.</w:t>
            </w:r>
          </w:p>
          <w:p w:rsidR="00000000" w:rsidRDefault="00485CCD">
            <w:pPr>
              <w:divId w:val="450981794"/>
              <w:rPr>
                <w:rFonts w:eastAsia="Times New Roman"/>
              </w:rPr>
            </w:pPr>
          </w:p>
        </w:tc>
      </w:tr>
    </w:tbl>
    <w:p w:rsidR="00000000" w:rsidRDefault="00485CCD">
      <w:pPr>
        <w:divId w:val="2037651815"/>
        <w:rPr>
          <w:rFonts w:eastAsia="Times New Roman"/>
        </w:rPr>
      </w:pPr>
    </w:p>
    <w:p w:rsidR="00000000" w:rsidRDefault="00485CCD">
      <w:pPr>
        <w:jc w:val="center"/>
        <w:divId w:val="523128734"/>
        <w:rPr>
          <w:rFonts w:eastAsia="Times New Roman"/>
        </w:rPr>
      </w:pPr>
      <w:r>
        <w:rPr>
          <w:rFonts w:ascii="Arial" w:eastAsia="Times New Roman" w:hAnsi="Arial" w:cs="Arial"/>
          <w:color w:val="000000"/>
          <w:sz w:val="20"/>
          <w:szCs w:val="20"/>
        </w:rPr>
        <w:t>39</w:t>
      </w:r>
    </w:p>
    <w:p w:rsidR="00000000" w:rsidRDefault="00485CCD">
      <w:pPr>
        <w:rPr>
          <w:rFonts w:eastAsia="Times New Roman"/>
        </w:rPr>
      </w:pPr>
      <w:r>
        <w:rPr>
          <w:rFonts w:eastAsia="Times New Roman"/>
        </w:rPr>
        <w:pict>
          <v:rect id="_x0000_i1075" style="width:0;height:1.5pt" o:hralign="center" o:hrstd="t" o:hr="t" fillcolor="#a0a0a0" stroked="f"/>
        </w:pict>
      </w:r>
    </w:p>
    <w:p w:rsidR="00000000" w:rsidRDefault="00485CCD">
      <w:pPr>
        <w:divId w:val="14562138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741"/>
        <w:gridCol w:w="36"/>
        <w:gridCol w:w="36"/>
        <w:gridCol w:w="36"/>
        <w:gridCol w:w="36"/>
        <w:gridCol w:w="42"/>
        <w:gridCol w:w="2253"/>
        <w:gridCol w:w="36"/>
        <w:gridCol w:w="36"/>
        <w:gridCol w:w="36"/>
        <w:gridCol w:w="36"/>
        <w:gridCol w:w="42"/>
        <w:gridCol w:w="3845"/>
        <w:gridCol w:w="37"/>
      </w:tblGrid>
      <w:tr w:rsidR="00000000">
        <w:trPr>
          <w:divId w:val="1450511985"/>
        </w:trPr>
        <w:tc>
          <w:tcPr>
            <w:tcW w:w="50" w:type="pct"/>
            <w:vAlign w:val="center"/>
            <w:hideMark/>
          </w:tcPr>
          <w:p w:rsidR="00000000" w:rsidRDefault="00485CCD">
            <w:pPr>
              <w:rPr>
                <w:rFonts w:eastAsia="Times New Roman"/>
              </w:rPr>
            </w:pPr>
          </w:p>
        </w:tc>
        <w:tc>
          <w:tcPr>
            <w:tcW w:w="106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37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45051198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1450511985"/>
        </w:trPr>
        <w:tc>
          <w:tcPr>
            <w:tcW w:w="0" w:type="auto"/>
            <w:gridSpan w:val="3"/>
            <w:tcBorders>
              <w:top w:val="single" w:sz="8" w:space="0" w:color="000000"/>
            </w:tcBorders>
            <w:tcMar>
              <w:top w:w="30" w:type="dxa"/>
              <w:left w:w="20" w:type="dxa"/>
              <w:bottom w:w="30" w:type="dxa"/>
              <w:right w:w="20" w:type="dxa"/>
            </w:tcMar>
            <w:hideMark/>
          </w:tcPr>
          <w:p w:rsidR="00000000" w:rsidRDefault="00485CCD">
            <w:pPr>
              <w:divId w:val="1984388842"/>
              <w:rPr>
                <w:rFonts w:eastAsia="Times New Roman"/>
              </w:rPr>
            </w:pPr>
            <w:r>
              <w:rPr>
                <w:rFonts w:ascii="Arial" w:eastAsia="Times New Roman" w:hAnsi="Arial" w:cs="Arial"/>
                <w:b/>
                <w:bCs/>
                <w:color w:val="000000"/>
                <w:sz w:val="18"/>
                <w:szCs w:val="18"/>
              </w:rPr>
              <w:t xml:space="preserve">Valuation of Long-Lived Assets </w:t>
            </w:r>
          </w:p>
          <w:p w:rsidR="00000000" w:rsidRDefault="00485CCD">
            <w:pPr>
              <w:divId w:val="1744063523"/>
              <w:rPr>
                <w:rFonts w:eastAsia="Times New Roman"/>
              </w:rPr>
            </w:pPr>
          </w:p>
          <w:p w:rsidR="00000000" w:rsidRDefault="00485CCD">
            <w:pPr>
              <w:divId w:val="1817796844"/>
              <w:rPr>
                <w:rFonts w:eastAsia="Times New Roman"/>
              </w:rPr>
            </w:pPr>
            <w:r>
              <w:rPr>
                <w:rFonts w:ascii="Arial" w:eastAsia="Times New Roman" w:hAnsi="Arial" w:cs="Arial"/>
                <w:color w:val="000000"/>
                <w:sz w:val="18"/>
                <w:szCs w:val="18"/>
              </w:rPr>
              <w:t>We evaluate our fixed assets and amortizable intangible assets for impairment whenever events or changes in circumstances indicate that the carrying amount of such assets may not be recoverable. These events and circumstances include, but are not limited t</w:t>
            </w:r>
            <w:r>
              <w:rPr>
                <w:rFonts w:ascii="Arial" w:eastAsia="Times New Roman" w:hAnsi="Arial" w:cs="Arial"/>
                <w:color w:val="000000"/>
                <w:sz w:val="18"/>
                <w:szCs w:val="18"/>
              </w:rPr>
              <w:t>o: higher than expected attrition for customer relationships; a current expectation that a long-lived asset will be disposed of significantly before the end of its previously estimated useful life, such as when we classify a business as held for sale; a si</w:t>
            </w:r>
            <w:r>
              <w:rPr>
                <w:rFonts w:ascii="Arial" w:eastAsia="Times New Roman" w:hAnsi="Arial" w:cs="Arial"/>
                <w:color w:val="000000"/>
                <w:sz w:val="18"/>
                <w:szCs w:val="18"/>
              </w:rPr>
              <w:t xml:space="preserve">gnificant adverse change in the extent or manner in which we use a long-lived asset; or a change in the physical condition of a long-lived asset. </w:t>
            </w:r>
          </w:p>
          <w:p w:rsidR="00000000" w:rsidRDefault="00485CCD">
            <w:pPr>
              <w:divId w:val="1598102410"/>
              <w:rPr>
                <w:rFonts w:eastAsia="Times New Roman"/>
              </w:rPr>
            </w:pPr>
          </w:p>
          <w:p w:rsidR="00000000" w:rsidRDefault="00485CCD">
            <w:pPr>
              <w:divId w:val="78065232"/>
              <w:rPr>
                <w:rFonts w:eastAsia="Times New Roman"/>
              </w:rPr>
            </w:pPr>
            <w:r>
              <w:rPr>
                <w:rFonts w:ascii="Arial" w:eastAsia="Times New Roman" w:hAnsi="Arial" w:cs="Arial"/>
                <w:color w:val="000000"/>
                <w:sz w:val="18"/>
                <w:szCs w:val="18"/>
              </w:rPr>
              <w:t xml:space="preserve">Undiscounted cash flow analyses are used to determine if impairment exists; if impairment is determined to </w:t>
            </w:r>
            <w:r>
              <w:rPr>
                <w:rFonts w:ascii="Arial" w:eastAsia="Times New Roman" w:hAnsi="Arial" w:cs="Arial"/>
                <w:color w:val="000000"/>
                <w:sz w:val="18"/>
                <w:szCs w:val="18"/>
              </w:rPr>
              <w:t>exist, the loss is calculated based on estimated fair value.</w:t>
            </w:r>
          </w:p>
          <w:p w:rsidR="00000000" w:rsidRDefault="00485CCD">
            <w:pPr>
              <w:divId w:val="1460411906"/>
              <w:rPr>
                <w:rFonts w:eastAsia="Times New Roman"/>
              </w:rPr>
            </w:pPr>
          </w:p>
          <w:p w:rsidR="00000000" w:rsidRDefault="00485CCD">
            <w:pPr>
              <w:divId w:val="995887499"/>
              <w:rPr>
                <w:rFonts w:eastAsia="Times New Roman"/>
              </w:rPr>
            </w:pPr>
            <w:r>
              <w:rPr>
                <w:rFonts w:ascii="Arial" w:eastAsia="Times New Roman" w:hAnsi="Arial" w:cs="Arial"/>
                <w:color w:val="000000"/>
                <w:sz w:val="18"/>
                <w:szCs w:val="18"/>
              </w:rPr>
              <w:t xml:space="preserve">Goodwill is not amortized but rather tested at least annually for impairment or more often if events or changes in circumstances indicate it is more-likely-than-not that the carrying amount of </w:t>
            </w:r>
            <w:r>
              <w:rPr>
                <w:rFonts w:ascii="Arial" w:eastAsia="Times New Roman" w:hAnsi="Arial" w:cs="Arial"/>
                <w:color w:val="000000"/>
                <w:sz w:val="18"/>
                <w:szCs w:val="18"/>
              </w:rPr>
              <w:t>the asset may not be recoverable. Goodwill is tested for impairment at the reporting unit level, which represents an operating segment or a component of an operating segment. Goodwill is tested for impairment by either performing a qualitative evaluation o</w:t>
            </w:r>
            <w:r>
              <w:rPr>
                <w:rFonts w:ascii="Arial" w:eastAsia="Times New Roman" w:hAnsi="Arial" w:cs="Arial"/>
                <w:color w:val="000000"/>
                <w:sz w:val="18"/>
                <w:szCs w:val="18"/>
              </w:rPr>
              <w:t>r a quantitative test. The qualitative evaluation is an assessment of factors to determine whether it is more-likely-than-not that the fair value of a reporting unit is less than its carrying amount, including goodwill. We may elect not to perform the qual</w:t>
            </w:r>
            <w:r>
              <w:rPr>
                <w:rFonts w:ascii="Arial" w:eastAsia="Times New Roman" w:hAnsi="Arial" w:cs="Arial"/>
                <w:color w:val="000000"/>
                <w:sz w:val="18"/>
                <w:szCs w:val="18"/>
              </w:rPr>
              <w:t xml:space="preserve">itative assessment for some or all of our reporting units and instead perform a quantitative impairment test. </w:t>
            </w:r>
          </w:p>
          <w:p w:rsidR="00000000" w:rsidRDefault="00485CCD">
            <w:pPr>
              <w:divId w:val="558563463"/>
              <w:rPr>
                <w:rFonts w:eastAsia="Times New Roman"/>
              </w:rPr>
            </w:pPr>
          </w:p>
          <w:p w:rsidR="00000000" w:rsidRDefault="00485CCD">
            <w:pPr>
              <w:divId w:val="864445664"/>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divId w:val="229385289"/>
              <w:rPr>
                <w:rFonts w:eastAsia="Times New Roman"/>
              </w:rPr>
            </w:pPr>
          </w:p>
          <w:p w:rsidR="00000000" w:rsidRDefault="00485CCD">
            <w:pPr>
              <w:divId w:val="617643472"/>
              <w:rPr>
                <w:rFonts w:eastAsia="Times New Roman"/>
              </w:rPr>
            </w:pPr>
          </w:p>
          <w:p w:rsidR="00000000" w:rsidRDefault="00485CCD">
            <w:pPr>
              <w:divId w:val="1116369133"/>
              <w:rPr>
                <w:rFonts w:eastAsia="Times New Roman"/>
              </w:rPr>
            </w:pPr>
            <w:r>
              <w:rPr>
                <w:rFonts w:ascii="Arial" w:eastAsia="Times New Roman" w:hAnsi="Arial" w:cs="Arial"/>
                <w:color w:val="000000"/>
                <w:sz w:val="18"/>
                <w:szCs w:val="18"/>
              </w:rPr>
              <w:t>Our impairment evaluations require us to apply judgment in determining whether a triggering event has occurred, including the evalua</w:t>
            </w:r>
            <w:r>
              <w:rPr>
                <w:rFonts w:ascii="Arial" w:eastAsia="Times New Roman" w:hAnsi="Arial" w:cs="Arial"/>
                <w:color w:val="000000"/>
                <w:sz w:val="18"/>
                <w:szCs w:val="18"/>
              </w:rPr>
              <w:t>tion of whether it is more- likely-than-not that a long-lived asset will be disposed of significantly before the end of its previously estimated useful life. Incorrect estimation of useful lives may result in inaccurate depreciation and amortization charge</w:t>
            </w:r>
            <w:r>
              <w:rPr>
                <w:rFonts w:ascii="Arial" w:eastAsia="Times New Roman" w:hAnsi="Arial" w:cs="Arial"/>
                <w:color w:val="000000"/>
                <w:sz w:val="18"/>
                <w:szCs w:val="18"/>
              </w:rPr>
              <w:t xml:space="preserve">s over future periods leading, to future impairment. </w:t>
            </w:r>
          </w:p>
          <w:p w:rsidR="00000000" w:rsidRDefault="00485CCD">
            <w:pPr>
              <w:divId w:val="1719010399"/>
              <w:rPr>
                <w:rFonts w:eastAsia="Times New Roman"/>
              </w:rPr>
            </w:pPr>
          </w:p>
          <w:p w:rsidR="00000000" w:rsidRDefault="00485CCD">
            <w:pPr>
              <w:divId w:val="944924934"/>
              <w:rPr>
                <w:rFonts w:eastAsia="Times New Roman"/>
              </w:rPr>
            </w:pPr>
            <w:r>
              <w:rPr>
                <w:rFonts w:ascii="Arial" w:eastAsia="Times New Roman" w:hAnsi="Arial" w:cs="Arial"/>
                <w:color w:val="000000"/>
                <w:sz w:val="18"/>
                <w:szCs w:val="18"/>
              </w:rPr>
              <w:t>Our impairment loss calculations contain uncertainties because they require management to make assumptions and to apply judgment to estimate future cash flows and asset fair values, including forecast</w:t>
            </w:r>
            <w:r>
              <w:rPr>
                <w:rFonts w:ascii="Arial" w:eastAsia="Times New Roman" w:hAnsi="Arial" w:cs="Arial"/>
                <w:color w:val="000000"/>
                <w:sz w:val="18"/>
                <w:szCs w:val="18"/>
              </w:rPr>
              <w:t>ing useful lives of the assets and selecting the discount rate that reflects the risk inherent in future cash flows.</w:t>
            </w:r>
          </w:p>
          <w:p w:rsidR="00000000" w:rsidRDefault="00485CCD">
            <w:pPr>
              <w:divId w:val="643243470"/>
              <w:rPr>
                <w:rFonts w:eastAsia="Times New Roman"/>
              </w:rPr>
            </w:pPr>
          </w:p>
          <w:p w:rsidR="00000000" w:rsidRDefault="00485CCD">
            <w:pPr>
              <w:divId w:val="189151659"/>
              <w:rPr>
                <w:rFonts w:eastAsia="Times New Roman"/>
              </w:rPr>
            </w:pPr>
            <w:r>
              <w:rPr>
                <w:rFonts w:ascii="Arial" w:eastAsia="Times New Roman" w:hAnsi="Arial" w:cs="Arial"/>
                <w:color w:val="000000"/>
                <w:sz w:val="18"/>
                <w:szCs w:val="18"/>
              </w:rPr>
              <w:t>We estimate the fair value of each reporting unit using a combination of the income approach and the market approach.</w:t>
            </w:r>
          </w:p>
          <w:p w:rsidR="00000000" w:rsidRDefault="00485CCD">
            <w:pPr>
              <w:divId w:val="1874033045"/>
              <w:rPr>
                <w:rFonts w:eastAsia="Times New Roman"/>
              </w:rPr>
            </w:pPr>
          </w:p>
          <w:p w:rsidR="00000000" w:rsidRDefault="00485CCD">
            <w:pPr>
              <w:divId w:val="1868056519"/>
              <w:rPr>
                <w:rFonts w:eastAsia="Times New Roman"/>
              </w:rPr>
            </w:pPr>
            <w:r>
              <w:rPr>
                <w:rFonts w:ascii="Arial" w:eastAsia="Times New Roman" w:hAnsi="Arial" w:cs="Arial"/>
                <w:color w:val="000000"/>
                <w:sz w:val="18"/>
                <w:szCs w:val="18"/>
              </w:rPr>
              <w:t>The income approa</w:t>
            </w:r>
            <w:r>
              <w:rPr>
                <w:rFonts w:ascii="Arial" w:eastAsia="Times New Roman" w:hAnsi="Arial" w:cs="Arial"/>
                <w:color w:val="000000"/>
                <w:sz w:val="18"/>
                <w:szCs w:val="18"/>
              </w:rPr>
              <w:t xml:space="preserve">ch incorporates the use of a discounted cash flow method in which the estimated future cash flows and terminal value are calculated for each reporting unit and then discounted to present value using an appropriate discount rate. </w:t>
            </w:r>
          </w:p>
          <w:p w:rsidR="00000000" w:rsidRDefault="00485CCD">
            <w:pPr>
              <w:divId w:val="842235070"/>
              <w:rPr>
                <w:rFonts w:eastAsia="Times New Roman"/>
              </w:rPr>
            </w:pPr>
          </w:p>
          <w:p w:rsidR="00000000" w:rsidRDefault="00485CCD">
            <w:pPr>
              <w:divId w:val="1015114478"/>
              <w:rPr>
                <w:rFonts w:eastAsia="Times New Roman"/>
              </w:rPr>
            </w:pPr>
            <w:r>
              <w:rPr>
                <w:rFonts w:ascii="Arial" w:eastAsia="Times New Roman" w:hAnsi="Arial" w:cs="Arial"/>
                <w:color w:val="000000"/>
                <w:sz w:val="18"/>
                <w:szCs w:val="18"/>
              </w:rPr>
              <w:t>The valuation of our reporting units requires significant judgment in evaluation of recent indicators of market activity and estimated future cash flows, discount rates, and other factors. Our impairment analyses contain inherent uncertainties due to uncon</w:t>
            </w:r>
            <w:r>
              <w:rPr>
                <w:rFonts w:ascii="Arial" w:eastAsia="Times New Roman" w:hAnsi="Arial" w:cs="Arial"/>
                <w:color w:val="000000"/>
                <w:sz w:val="18"/>
                <w:szCs w:val="18"/>
              </w:rPr>
              <w:t>trollable events that could positively or negatively impact anticipated future economic and operating conditions.</w:t>
            </w:r>
          </w:p>
          <w:p w:rsidR="00000000" w:rsidRDefault="00485CCD">
            <w:pPr>
              <w:divId w:val="1491867428"/>
              <w:rPr>
                <w:rFonts w:eastAsia="Times New Roman"/>
              </w:rPr>
            </w:pPr>
          </w:p>
          <w:p w:rsidR="00000000" w:rsidRDefault="00485CCD">
            <w:pPr>
              <w:divId w:val="1529562227"/>
              <w:rPr>
                <w:rFonts w:eastAsia="Times New Roman"/>
              </w:rPr>
            </w:pPr>
            <w:r>
              <w:rPr>
                <w:rFonts w:ascii="Arial" w:eastAsia="Times New Roman" w:hAnsi="Arial" w:cs="Arial"/>
                <w:color w:val="000000"/>
                <w:sz w:val="18"/>
                <w:szCs w:val="18"/>
              </w:rPr>
              <w:t>In making these estimates, the weighted-average cost of capital is utilized to calculate the present value of future cash flows and terminal value. Many variables go into estimating future cash flows, including estimates of our future revenue growth and op</w:t>
            </w:r>
            <w:r>
              <w:rPr>
                <w:rFonts w:ascii="Arial" w:eastAsia="Times New Roman" w:hAnsi="Arial" w:cs="Arial"/>
                <w:color w:val="000000"/>
                <w:sz w:val="18"/>
                <w:szCs w:val="18"/>
              </w:rPr>
              <w:t xml:space="preserve">erating results. When estimating our projected revenue growth and future operating results, we consider industry trends, economic data, and our competitive advantage. </w:t>
            </w:r>
          </w:p>
          <w:p w:rsidR="00000000" w:rsidRDefault="00485CCD">
            <w:pPr>
              <w:divId w:val="273902715"/>
              <w:rPr>
                <w:rFonts w:eastAsia="Times New Roman"/>
              </w:rPr>
            </w:pPr>
          </w:p>
          <w:p w:rsidR="00000000" w:rsidRDefault="00485CCD">
            <w:pPr>
              <w:divId w:val="1642995695"/>
              <w:rPr>
                <w:rFonts w:eastAsia="Times New Roman"/>
              </w:rPr>
            </w:pPr>
            <w:r>
              <w:rPr>
                <w:rFonts w:ascii="Arial" w:eastAsia="Times New Roman" w:hAnsi="Arial" w:cs="Arial"/>
                <w:color w:val="000000"/>
                <w:sz w:val="18"/>
                <w:szCs w:val="18"/>
              </w:rPr>
              <w:t>The market approach estimates fair value of a reporting unit by using market comparabl</w:t>
            </w:r>
            <w:r>
              <w:rPr>
                <w:rFonts w:ascii="Arial" w:eastAsia="Times New Roman" w:hAnsi="Arial" w:cs="Arial"/>
                <w:color w:val="000000"/>
                <w:sz w:val="18"/>
                <w:szCs w:val="18"/>
              </w:rPr>
              <w:t xml:space="preserve">es for reasonably similar public companies. </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divId w:val="902568073"/>
              <w:rPr>
                <w:rFonts w:eastAsia="Times New Roman"/>
              </w:rPr>
            </w:pPr>
          </w:p>
          <w:p w:rsidR="00000000" w:rsidRDefault="00485CCD">
            <w:pPr>
              <w:divId w:val="1438522165"/>
              <w:rPr>
                <w:rFonts w:eastAsia="Times New Roman"/>
              </w:rPr>
            </w:pPr>
          </w:p>
          <w:p w:rsidR="00000000" w:rsidRDefault="00485CCD">
            <w:pPr>
              <w:divId w:val="1574386711"/>
              <w:rPr>
                <w:rFonts w:eastAsia="Times New Roman"/>
              </w:rPr>
            </w:pPr>
            <w:r>
              <w:rPr>
                <w:rFonts w:ascii="Arial" w:eastAsia="Times New Roman" w:hAnsi="Arial" w:cs="Arial"/>
                <w:color w:val="000000"/>
                <w:sz w:val="18"/>
                <w:szCs w:val="18"/>
              </w:rPr>
              <w:t>During the last three years, we have not made any changes in the accounting methodology used to evaluate the impairment of long-lived assets or to estimate the useful lives of our long-lived assets. Add</w:t>
            </w:r>
            <w:r>
              <w:rPr>
                <w:rFonts w:ascii="Arial" w:eastAsia="Times New Roman" w:hAnsi="Arial" w:cs="Arial"/>
                <w:color w:val="000000"/>
                <w:sz w:val="18"/>
                <w:szCs w:val="18"/>
              </w:rPr>
              <w:t>itionally, we have not made any changes in the accounting methodology used to evaluate impairment of goodwill during the last three years.</w:t>
            </w:r>
          </w:p>
          <w:p w:rsidR="00000000" w:rsidRDefault="00485CCD">
            <w:pPr>
              <w:divId w:val="1583686180"/>
              <w:rPr>
                <w:rFonts w:eastAsia="Times New Roman"/>
              </w:rPr>
            </w:pPr>
          </w:p>
          <w:p w:rsidR="00000000" w:rsidRDefault="00485CCD">
            <w:pPr>
              <w:divId w:val="1244684191"/>
              <w:rPr>
                <w:rFonts w:eastAsia="Times New Roman"/>
              </w:rPr>
            </w:pPr>
            <w:r>
              <w:rPr>
                <w:rFonts w:ascii="Arial" w:eastAsia="Times New Roman" w:hAnsi="Arial" w:cs="Arial"/>
                <w:color w:val="000000"/>
                <w:sz w:val="18"/>
                <w:szCs w:val="18"/>
              </w:rPr>
              <w:t>At October 31, 2021, we had $2.2 billion of goodwill. Our goodwill is included in the following segments:</w:t>
            </w:r>
          </w:p>
          <w:p w:rsidR="00000000" w:rsidRDefault="00485CCD">
            <w:pPr>
              <w:divId w:val="1789854048"/>
              <w:rPr>
                <w:rFonts w:eastAsia="Times New Roman"/>
              </w:rPr>
            </w:pPr>
          </w:p>
          <w:p w:rsidR="00000000" w:rsidRDefault="00485CCD">
            <w:pPr>
              <w:divId w:val="1529291081"/>
              <w:rPr>
                <w:rFonts w:eastAsia="Times New Roman"/>
              </w:rPr>
            </w:pPr>
            <w:r>
              <w:rPr>
                <w:rFonts w:ascii="Arial" w:eastAsia="Times New Roman" w:hAnsi="Arial" w:cs="Arial"/>
                <w:color w:val="000000"/>
                <w:sz w:val="18"/>
                <w:szCs w:val="18"/>
              </w:rPr>
              <w:t>$1.1 bi</w:t>
            </w:r>
            <w:r>
              <w:rPr>
                <w:rFonts w:ascii="Arial" w:eastAsia="Times New Roman" w:hAnsi="Arial" w:cs="Arial"/>
                <w:color w:val="000000"/>
                <w:sz w:val="18"/>
                <w:szCs w:val="18"/>
              </w:rPr>
              <w:t>llion — B&amp;I (includes $554.0 million related to the Able Acquisition on September 30, 2021)</w:t>
            </w:r>
          </w:p>
          <w:p w:rsidR="00000000" w:rsidRDefault="00485CCD">
            <w:pPr>
              <w:divId w:val="293369507"/>
              <w:rPr>
                <w:rFonts w:eastAsia="Times New Roman"/>
              </w:rPr>
            </w:pPr>
          </w:p>
          <w:p w:rsidR="00000000" w:rsidRDefault="00485CCD">
            <w:pPr>
              <w:divId w:val="2032608474"/>
              <w:rPr>
                <w:rFonts w:eastAsia="Times New Roman"/>
              </w:rPr>
            </w:pPr>
            <w:r>
              <w:rPr>
                <w:rFonts w:ascii="Arial" w:eastAsia="Times New Roman" w:hAnsi="Arial" w:cs="Arial"/>
                <w:color w:val="000000"/>
                <w:sz w:val="18"/>
                <w:szCs w:val="18"/>
              </w:rPr>
              <w:t>$407.2 million — T&amp;M</w:t>
            </w:r>
          </w:p>
          <w:p w:rsidR="00000000" w:rsidRDefault="00485CCD">
            <w:pPr>
              <w:divId w:val="1641379859"/>
              <w:rPr>
                <w:rFonts w:eastAsia="Times New Roman"/>
              </w:rPr>
            </w:pPr>
          </w:p>
          <w:p w:rsidR="00000000" w:rsidRDefault="00485CCD">
            <w:pPr>
              <w:divId w:val="754863658"/>
              <w:rPr>
                <w:rFonts w:eastAsia="Times New Roman"/>
              </w:rPr>
            </w:pPr>
            <w:r>
              <w:rPr>
                <w:rFonts w:ascii="Arial" w:eastAsia="Times New Roman" w:hAnsi="Arial" w:cs="Arial"/>
                <w:color w:val="000000"/>
                <w:sz w:val="18"/>
                <w:szCs w:val="18"/>
              </w:rPr>
              <w:t>$459.3 million — Education</w:t>
            </w:r>
          </w:p>
          <w:p w:rsidR="00000000" w:rsidRDefault="00485CCD">
            <w:pPr>
              <w:divId w:val="784881933"/>
              <w:rPr>
                <w:rFonts w:eastAsia="Times New Roman"/>
              </w:rPr>
            </w:pPr>
          </w:p>
          <w:p w:rsidR="00000000" w:rsidRDefault="00485CCD">
            <w:pPr>
              <w:divId w:val="1926918318"/>
              <w:rPr>
                <w:rFonts w:eastAsia="Times New Roman"/>
              </w:rPr>
            </w:pPr>
            <w:r>
              <w:rPr>
                <w:rFonts w:ascii="Arial" w:eastAsia="Times New Roman" w:hAnsi="Arial" w:cs="Arial"/>
                <w:color w:val="000000"/>
                <w:sz w:val="18"/>
                <w:szCs w:val="18"/>
              </w:rPr>
              <w:t>$69.9 million — Aviation</w:t>
            </w:r>
          </w:p>
          <w:p w:rsidR="00000000" w:rsidRDefault="00485CCD">
            <w:pPr>
              <w:divId w:val="1994677240"/>
              <w:rPr>
                <w:rFonts w:eastAsia="Times New Roman"/>
              </w:rPr>
            </w:pPr>
          </w:p>
          <w:p w:rsidR="00000000" w:rsidRDefault="00485CCD">
            <w:pPr>
              <w:divId w:val="1694264735"/>
              <w:rPr>
                <w:rFonts w:eastAsia="Times New Roman"/>
              </w:rPr>
            </w:pPr>
            <w:r>
              <w:rPr>
                <w:rFonts w:ascii="Arial" w:eastAsia="Times New Roman" w:hAnsi="Arial" w:cs="Arial"/>
                <w:color w:val="000000"/>
                <w:sz w:val="18"/>
                <w:szCs w:val="18"/>
              </w:rPr>
              <w:t>$162.7 million — Technical Solutions</w:t>
            </w:r>
          </w:p>
          <w:p w:rsidR="00000000" w:rsidRDefault="00485CCD">
            <w:pPr>
              <w:divId w:val="93477012"/>
              <w:rPr>
                <w:rFonts w:eastAsia="Times New Roman"/>
              </w:rPr>
            </w:pPr>
          </w:p>
          <w:p w:rsidR="00000000" w:rsidRDefault="00485CCD">
            <w:pPr>
              <w:divId w:val="1291784370"/>
              <w:rPr>
                <w:rFonts w:eastAsia="Times New Roman"/>
              </w:rPr>
            </w:pPr>
            <w:r>
              <w:rPr>
                <w:rFonts w:ascii="Arial" w:eastAsia="Times New Roman" w:hAnsi="Arial" w:cs="Arial"/>
                <w:color w:val="000000"/>
                <w:sz w:val="18"/>
                <w:szCs w:val="18"/>
              </w:rPr>
              <w:t>A goodwill impairment analysis was performed</w:t>
            </w:r>
            <w:r>
              <w:rPr>
                <w:rFonts w:ascii="Arial" w:eastAsia="Times New Roman" w:hAnsi="Arial" w:cs="Arial"/>
                <w:color w:val="000000"/>
                <w:sz w:val="18"/>
                <w:szCs w:val="18"/>
              </w:rPr>
              <w:t xml:space="preserve"> for each of our reporting units on August 1, 2021. Based on these studies, the implied fair value of each of our reporting units was substantially in excess of its carrying value. Therefore, we concluded there were no indicators of impairment. A 10% decre</w:t>
            </w:r>
            <w:r>
              <w:rPr>
                <w:rFonts w:ascii="Arial" w:eastAsia="Times New Roman" w:hAnsi="Arial" w:cs="Arial"/>
                <w:color w:val="000000"/>
                <w:sz w:val="18"/>
                <w:szCs w:val="18"/>
              </w:rPr>
              <w:t>ase in the estimated fair value of any of our reporting units would not have resulted in a different conclusion.</w:t>
            </w:r>
          </w:p>
          <w:p w:rsidR="00000000" w:rsidRDefault="00485CCD">
            <w:pPr>
              <w:divId w:val="403919210"/>
              <w:rPr>
                <w:rFonts w:eastAsia="Times New Roman"/>
              </w:rPr>
            </w:pPr>
          </w:p>
          <w:p w:rsidR="00000000" w:rsidRDefault="00485CCD">
            <w:pPr>
              <w:divId w:val="2116443425"/>
              <w:rPr>
                <w:rFonts w:eastAsia="Times New Roman"/>
              </w:rPr>
            </w:pPr>
            <w:r>
              <w:rPr>
                <w:rFonts w:ascii="Arial" w:eastAsia="Times New Roman" w:hAnsi="Arial" w:cs="Arial"/>
                <w:color w:val="000000"/>
                <w:sz w:val="18"/>
                <w:szCs w:val="18"/>
              </w:rPr>
              <w:t>During the third quarter of 2021, we recognized a non-cash impairment charge totaling $9.1 million in our Corporate segment for previously ca</w:t>
            </w:r>
            <w:r>
              <w:rPr>
                <w:rFonts w:ascii="Arial" w:eastAsia="Times New Roman" w:hAnsi="Arial" w:cs="Arial"/>
                <w:color w:val="000000"/>
                <w:sz w:val="18"/>
                <w:szCs w:val="18"/>
              </w:rPr>
              <w:t xml:space="preserve">pitalized internal-use software related to our ERP system implementation. The Company determined that certain components that were previously developed would no longer be integrated into the new ERP system. The impairment charge reduced the carrying value </w:t>
            </w:r>
            <w:r>
              <w:rPr>
                <w:rFonts w:ascii="Arial" w:eastAsia="Times New Roman" w:hAnsi="Arial" w:cs="Arial"/>
                <w:color w:val="000000"/>
                <w:sz w:val="18"/>
                <w:szCs w:val="18"/>
              </w:rPr>
              <w:t>to zero for those components.</w:t>
            </w:r>
          </w:p>
          <w:p w:rsidR="00000000" w:rsidRDefault="00485CCD">
            <w:pPr>
              <w:divId w:val="1784373668"/>
              <w:rPr>
                <w:rFonts w:eastAsia="Times New Roman"/>
              </w:rPr>
            </w:pPr>
          </w:p>
          <w:p w:rsidR="00000000" w:rsidRDefault="00485CCD">
            <w:pPr>
              <w:divId w:val="1775202416"/>
              <w:rPr>
                <w:rFonts w:eastAsia="Times New Roman"/>
              </w:rPr>
            </w:pPr>
            <w:r>
              <w:rPr>
                <w:rFonts w:ascii="Arial" w:eastAsia="Times New Roman" w:hAnsi="Arial" w:cs="Arial"/>
                <w:color w:val="000000"/>
                <w:sz w:val="18"/>
                <w:szCs w:val="18"/>
              </w:rPr>
              <w:t>During the second quarter of 2020, given the general deterioration in economic and market conditions arising from the Pandemic, we identified a triggering event indicating possible impairment of goodwill and intangible asset</w:t>
            </w:r>
            <w:r>
              <w:rPr>
                <w:rFonts w:ascii="Arial" w:eastAsia="Times New Roman" w:hAnsi="Arial" w:cs="Arial"/>
                <w:color w:val="000000"/>
                <w:sz w:val="18"/>
                <w:szCs w:val="18"/>
              </w:rPr>
              <w:t>s. For the three goodwill reporting units tested quantitatively, we estimated the fair value using a weighting of fair values derived from an income approach and a market approach. Based on the evaluation performed, we determined that goodwill was impaired</w:t>
            </w:r>
            <w:r>
              <w:rPr>
                <w:rFonts w:ascii="Arial" w:eastAsia="Times New Roman" w:hAnsi="Arial" w:cs="Arial"/>
                <w:color w:val="000000"/>
                <w:sz w:val="18"/>
                <w:szCs w:val="18"/>
              </w:rPr>
              <w:t xml:space="preserve"> for each of the three goodwill reporting units evaluated and recognized a non-cash impairment charge totaling $163.8 million ($99.3 million related to Education, $55.5 million related to Aviation, and $9.0 million related to our U.K. Technical Solutions b</w:t>
            </w:r>
            <w:r>
              <w:rPr>
                <w:rFonts w:ascii="Arial" w:eastAsia="Times New Roman" w:hAnsi="Arial" w:cs="Arial"/>
                <w:color w:val="000000"/>
                <w:sz w:val="18"/>
                <w:szCs w:val="18"/>
              </w:rPr>
              <w:t>usiness). We also recognized intangible asset impairment charges of $5.6 million related to Aviation and $3.4 million related to our U.K. Technical Solutions business. We performed our annual goodwill impairment analysis on August 1, 2020, using a qualitat</w:t>
            </w:r>
            <w:r>
              <w:rPr>
                <w:rFonts w:ascii="Arial" w:eastAsia="Times New Roman" w:hAnsi="Arial" w:cs="Arial"/>
                <w:color w:val="000000"/>
                <w:sz w:val="18"/>
                <w:szCs w:val="18"/>
              </w:rPr>
              <w:t xml:space="preserve">ive approach since there were no indicators of impairment subsequent to our quantitative analysis performed in the second quarter of 2020 as discussed above. As a result of the qualitative analysis, we concluded that there were no further impairments. </w:t>
            </w:r>
          </w:p>
          <w:p w:rsidR="00000000" w:rsidRDefault="00485CCD">
            <w:pPr>
              <w:divId w:val="642321256"/>
              <w:rPr>
                <w:rFonts w:eastAsia="Times New Roman"/>
              </w:rPr>
            </w:pPr>
          </w:p>
        </w:tc>
      </w:tr>
    </w:tbl>
    <w:p w:rsidR="00000000" w:rsidRDefault="00485CCD">
      <w:pPr>
        <w:jc w:val="center"/>
        <w:divId w:val="508570230"/>
        <w:rPr>
          <w:rFonts w:eastAsia="Times New Roman"/>
        </w:rPr>
      </w:pPr>
      <w:r>
        <w:rPr>
          <w:rFonts w:ascii="Arial" w:eastAsia="Times New Roman" w:hAnsi="Arial" w:cs="Arial"/>
          <w:color w:val="000000"/>
          <w:sz w:val="20"/>
          <w:szCs w:val="20"/>
        </w:rPr>
        <w:t>40</w:t>
      </w:r>
    </w:p>
    <w:p w:rsidR="00000000" w:rsidRDefault="00485CCD">
      <w:pPr>
        <w:rPr>
          <w:rFonts w:eastAsia="Times New Roman"/>
        </w:rPr>
      </w:pPr>
      <w:r>
        <w:rPr>
          <w:rFonts w:eastAsia="Times New Roman"/>
        </w:rPr>
        <w:pict>
          <v:rect id="_x0000_i1076" style="width:0;height:1.5pt" o:hralign="center" o:hrstd="t" o:hr="t" fillcolor="#a0a0a0" stroked="f"/>
        </w:pict>
      </w:r>
    </w:p>
    <w:p w:rsidR="00000000" w:rsidRDefault="00485CCD">
      <w:pPr>
        <w:divId w:val="99267821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7"/>
        <w:gridCol w:w="36"/>
        <w:gridCol w:w="36"/>
        <w:gridCol w:w="36"/>
        <w:gridCol w:w="42"/>
        <w:gridCol w:w="2227"/>
        <w:gridCol w:w="36"/>
        <w:gridCol w:w="36"/>
        <w:gridCol w:w="36"/>
        <w:gridCol w:w="36"/>
        <w:gridCol w:w="42"/>
        <w:gridCol w:w="3346"/>
        <w:gridCol w:w="36"/>
      </w:tblGrid>
      <w:tr w:rsidR="00000000">
        <w:trPr>
          <w:divId w:val="1587420660"/>
        </w:trPr>
        <w:tc>
          <w:tcPr>
            <w:tcW w:w="50" w:type="pct"/>
            <w:vAlign w:val="center"/>
            <w:hideMark/>
          </w:tcPr>
          <w:p w:rsidR="00000000" w:rsidRDefault="00485CCD">
            <w:pPr>
              <w:rPr>
                <w:rFonts w:eastAsia="Times New Roman"/>
              </w:rPr>
            </w:pPr>
          </w:p>
        </w:tc>
        <w:tc>
          <w:tcPr>
            <w:tcW w:w="136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36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0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87420660"/>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1587420660"/>
        </w:trPr>
        <w:tc>
          <w:tcPr>
            <w:tcW w:w="0" w:type="auto"/>
            <w:gridSpan w:val="3"/>
            <w:tcBorders>
              <w:top w:val="single" w:sz="8" w:space="0" w:color="000000"/>
            </w:tcBorders>
            <w:tcMar>
              <w:top w:w="30" w:type="dxa"/>
              <w:left w:w="20" w:type="dxa"/>
              <w:bottom w:w="30" w:type="dxa"/>
              <w:right w:w="20" w:type="dxa"/>
            </w:tcMar>
            <w:hideMark/>
          </w:tcPr>
          <w:p w:rsidR="00000000" w:rsidRDefault="00485CCD">
            <w:pPr>
              <w:spacing w:after="240"/>
              <w:rPr>
                <w:rFonts w:eastAsia="Times New Roman"/>
              </w:rPr>
            </w:pPr>
            <w:r>
              <w:rPr>
                <w:rFonts w:ascii="Arial" w:eastAsia="Times New Roman" w:hAnsi="Arial" w:cs="Arial"/>
                <w:b/>
                <w:bCs/>
                <w:color w:val="000000"/>
                <w:sz w:val="18"/>
                <w:szCs w:val="18"/>
              </w:rPr>
              <w:t>Insurance Reserves</w:t>
            </w:r>
          </w:p>
        </w:tc>
        <w:tc>
          <w:tcPr>
            <w:tcW w:w="0" w:type="auto"/>
            <w:gridSpan w:val="3"/>
            <w:tcMar>
              <w:top w:w="0" w:type="dxa"/>
              <w:left w:w="20" w:type="dxa"/>
              <w:bottom w:w="0" w:type="dxa"/>
              <w:right w:w="20" w:type="dxa"/>
            </w:tcMar>
            <w:vAlign w:val="center"/>
            <w:hideMark/>
          </w:tcPr>
          <w:p w:rsidR="00000000" w:rsidRDefault="00485CCD">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587420660"/>
        </w:trPr>
        <w:tc>
          <w:tcPr>
            <w:tcW w:w="0" w:type="auto"/>
            <w:gridSpan w:val="3"/>
            <w:tcMar>
              <w:top w:w="30" w:type="dxa"/>
              <w:left w:w="20" w:type="dxa"/>
              <w:bottom w:w="30" w:type="dxa"/>
              <w:right w:w="20" w:type="dxa"/>
            </w:tcMar>
            <w:hideMark/>
          </w:tcPr>
          <w:p w:rsidR="00000000" w:rsidRDefault="00485CCD">
            <w:pPr>
              <w:divId w:val="1757357745"/>
              <w:rPr>
                <w:rFonts w:eastAsia="Times New Roman"/>
              </w:rPr>
            </w:pPr>
            <w:r>
              <w:rPr>
                <w:rFonts w:ascii="Arial" w:eastAsia="Times New Roman" w:hAnsi="Arial" w:cs="Arial"/>
                <w:color w:val="000000"/>
                <w:sz w:val="18"/>
                <w:szCs w:val="18"/>
              </w:rPr>
              <w:t xml:space="preserve">We use a combination of insured and self-insurance programs to cover workers’ compensation, general liability, automobile liability, property damage, and other insurable risks. </w:t>
            </w:r>
          </w:p>
          <w:p w:rsidR="00000000" w:rsidRDefault="00485CCD">
            <w:pPr>
              <w:divId w:val="1517691121"/>
              <w:rPr>
                <w:rFonts w:eastAsia="Times New Roman"/>
              </w:rPr>
            </w:pPr>
          </w:p>
          <w:p w:rsidR="00000000" w:rsidRDefault="00485CCD">
            <w:pPr>
              <w:divId w:val="1531533626"/>
              <w:rPr>
                <w:rFonts w:eastAsia="Times New Roman"/>
              </w:rPr>
            </w:pPr>
            <w:r>
              <w:rPr>
                <w:rFonts w:ascii="Arial" w:eastAsia="Times New Roman" w:hAnsi="Arial" w:cs="Arial"/>
                <w:color w:val="000000"/>
                <w:sz w:val="18"/>
                <w:szCs w:val="18"/>
              </w:rPr>
              <w:t>Insurance claim liabilities represent our estimate of retained risks without</w:t>
            </w:r>
            <w:r>
              <w:rPr>
                <w:rFonts w:ascii="Arial" w:eastAsia="Times New Roman" w:hAnsi="Arial" w:cs="Arial"/>
                <w:color w:val="000000"/>
                <w:sz w:val="18"/>
                <w:szCs w:val="18"/>
              </w:rPr>
              <w:t xml:space="preserve"> regard to insurance coverage. We retain a substantial portion of the risk related to certain workers’ compensation and medical claims. Liabilities associated with these losses include estimates of both claims filed and IBNR Claims.</w:t>
            </w:r>
          </w:p>
          <w:p w:rsidR="00000000" w:rsidRDefault="00485CCD">
            <w:pPr>
              <w:divId w:val="739137456"/>
              <w:rPr>
                <w:rFonts w:eastAsia="Times New Roman"/>
              </w:rPr>
            </w:pPr>
          </w:p>
          <w:p w:rsidR="00000000" w:rsidRDefault="00485CCD">
            <w:pPr>
              <w:divId w:val="222495228"/>
              <w:rPr>
                <w:rFonts w:eastAsia="Times New Roman"/>
              </w:rPr>
            </w:pPr>
            <w:r>
              <w:rPr>
                <w:rFonts w:ascii="Arial" w:eastAsia="Times New Roman" w:hAnsi="Arial" w:cs="Arial"/>
                <w:color w:val="000000"/>
                <w:sz w:val="18"/>
                <w:szCs w:val="18"/>
              </w:rPr>
              <w:t>With the assistance o</w:t>
            </w:r>
            <w:r>
              <w:rPr>
                <w:rFonts w:ascii="Arial" w:eastAsia="Times New Roman" w:hAnsi="Arial" w:cs="Arial"/>
                <w:color w:val="000000"/>
                <w:sz w:val="18"/>
                <w:szCs w:val="18"/>
              </w:rPr>
              <w:t>f third-party actuaries, we periodically review our estimate of ultimate losses for IBNR Claims and adjust our required self-insurance reserves as appropriate. As part of this evaluation, we review the status of existing and new claim reserves as establish</w:t>
            </w:r>
            <w:r>
              <w:rPr>
                <w:rFonts w:ascii="Arial" w:eastAsia="Times New Roman" w:hAnsi="Arial" w:cs="Arial"/>
                <w:color w:val="000000"/>
                <w:sz w:val="18"/>
                <w:szCs w:val="18"/>
              </w:rPr>
              <w:t xml:space="preserve">ed by our third-party claims administrators. </w:t>
            </w:r>
          </w:p>
          <w:p w:rsidR="00000000" w:rsidRDefault="00485CCD">
            <w:pPr>
              <w:divId w:val="764964607"/>
              <w:rPr>
                <w:rFonts w:eastAsia="Times New Roman"/>
              </w:rPr>
            </w:pPr>
          </w:p>
          <w:p w:rsidR="00000000" w:rsidRDefault="00485CCD">
            <w:pPr>
              <w:divId w:val="1510831202"/>
              <w:rPr>
                <w:rFonts w:eastAsia="Times New Roman"/>
              </w:rPr>
            </w:pPr>
            <w:r>
              <w:rPr>
                <w:rFonts w:ascii="Arial" w:eastAsia="Times New Roman" w:hAnsi="Arial" w:cs="Arial"/>
                <w:color w:val="000000"/>
                <w:sz w:val="18"/>
                <w:szCs w:val="18"/>
              </w:rPr>
              <w:t>The third-party claims administrators establish the case reserves based upon known factors related to the type and severity of the claims, demographic data, legislative matters, and case law, as appropriate. </w:t>
            </w:r>
          </w:p>
          <w:p w:rsidR="00000000" w:rsidRDefault="00485CCD">
            <w:pPr>
              <w:divId w:val="1995988474"/>
              <w:rPr>
                <w:rFonts w:eastAsia="Times New Roman"/>
              </w:rPr>
            </w:pPr>
          </w:p>
          <w:p w:rsidR="00000000" w:rsidRDefault="00485CCD">
            <w:pPr>
              <w:divId w:val="1490750086"/>
              <w:rPr>
                <w:rFonts w:eastAsia="Times New Roman"/>
              </w:rPr>
            </w:pPr>
            <w:r>
              <w:rPr>
                <w:rFonts w:ascii="Arial" w:eastAsia="Times New Roman" w:hAnsi="Arial" w:cs="Arial"/>
                <w:color w:val="000000"/>
                <w:sz w:val="18"/>
                <w:szCs w:val="18"/>
              </w:rPr>
              <w:t xml:space="preserve">We compare actual trends to expected trends and monitor claims development. </w:t>
            </w:r>
          </w:p>
          <w:p w:rsidR="00000000" w:rsidRDefault="00485CCD">
            <w:pPr>
              <w:divId w:val="1062749003"/>
              <w:rPr>
                <w:rFonts w:eastAsia="Times New Roman"/>
              </w:rPr>
            </w:pPr>
          </w:p>
          <w:p w:rsidR="00000000" w:rsidRDefault="00485CCD">
            <w:pPr>
              <w:divId w:val="578368890"/>
              <w:rPr>
                <w:rFonts w:eastAsia="Times New Roman"/>
              </w:rPr>
            </w:pPr>
            <w:r>
              <w:rPr>
                <w:rFonts w:ascii="Arial" w:eastAsia="Times New Roman" w:hAnsi="Arial" w:cs="Arial"/>
                <w:color w:val="000000"/>
                <w:sz w:val="18"/>
                <w:szCs w:val="18"/>
              </w:rPr>
              <w:t>The specific case reserves estimated by the third-party administrators </w:t>
            </w:r>
            <w:r>
              <w:rPr>
                <w:rFonts w:ascii="Arial" w:eastAsia="Times New Roman" w:hAnsi="Arial" w:cs="Arial"/>
                <w:color w:val="000000"/>
                <w:sz w:val="18"/>
                <w:szCs w:val="18"/>
              </w:rPr>
              <w:t>are provided to an actuary who assists us in projecting an actuarial estimate of the overall ultimate losses for our self-insured or high deductible programs. The projection includes the case reserves plus an actuarial estimate of reserves required for add</w:t>
            </w:r>
            <w:r>
              <w:rPr>
                <w:rFonts w:ascii="Arial" w:eastAsia="Times New Roman" w:hAnsi="Arial" w:cs="Arial"/>
                <w:color w:val="000000"/>
                <w:sz w:val="18"/>
                <w:szCs w:val="18"/>
              </w:rPr>
              <w:t xml:space="preserve">itional developments, including IBNR Claims. </w:t>
            </w:r>
          </w:p>
          <w:p w:rsidR="00000000" w:rsidRDefault="00485CCD">
            <w:pPr>
              <w:divId w:val="729036121"/>
              <w:rPr>
                <w:rFonts w:eastAsia="Times New Roman"/>
              </w:rPr>
            </w:pPr>
          </w:p>
          <w:p w:rsidR="00000000" w:rsidRDefault="00485CCD">
            <w:pPr>
              <w:divId w:val="524487778"/>
              <w:rPr>
                <w:rFonts w:eastAsia="Times New Roman"/>
              </w:rPr>
            </w:pPr>
            <w:r>
              <w:rPr>
                <w:rFonts w:ascii="Arial" w:eastAsia="Times New Roman" w:hAnsi="Arial" w:cs="Arial"/>
                <w:color w:val="000000"/>
                <w:sz w:val="18"/>
                <w:szCs w:val="18"/>
              </w:rPr>
              <w:t>We utilize the results of actuarial studies to estimate our insurance rates and insurance reserves for future periods and to adjust reserves, if appropriate, for prior years.</w:t>
            </w:r>
          </w:p>
          <w:p w:rsidR="00000000" w:rsidRDefault="00485CCD">
            <w:pPr>
              <w:divId w:val="481578606"/>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Our self-insurance liabili</w:t>
            </w:r>
            <w:r>
              <w:rPr>
                <w:rFonts w:ascii="Arial" w:eastAsia="Times New Roman" w:hAnsi="Arial" w:cs="Arial"/>
                <w:color w:val="000000"/>
                <w:sz w:val="18"/>
                <w:szCs w:val="18"/>
              </w:rPr>
              <w:t xml:space="preserve">ties contain uncertainties due to assumptions required and judgment used. </w:t>
            </w:r>
            <w:r>
              <w:rPr>
                <w:rFonts w:ascii="Arial" w:eastAsia="Times New Roman" w:hAnsi="Arial" w:cs="Arial"/>
                <w:color w:val="000000"/>
                <w:sz w:val="18"/>
                <w:szCs w:val="18"/>
              </w:rPr>
              <w:br/>
            </w:r>
            <w:r>
              <w:rPr>
                <w:rFonts w:ascii="Arial" w:eastAsia="Times New Roman" w:hAnsi="Arial" w:cs="Arial"/>
                <w:color w:val="000000"/>
                <w:sz w:val="18"/>
                <w:szCs w:val="18"/>
              </w:rPr>
              <w:br/>
              <w:t xml:space="preserve">Costs to settle our obligations, including legal and healthcare costs, could fluctuate and cause estimates of our self-insurance liabilities to change. </w:t>
            </w:r>
            <w:r>
              <w:rPr>
                <w:rFonts w:ascii="Arial" w:eastAsia="Times New Roman" w:hAnsi="Arial" w:cs="Arial"/>
                <w:color w:val="000000"/>
                <w:sz w:val="18"/>
                <w:szCs w:val="18"/>
              </w:rPr>
              <w:br/>
            </w:r>
            <w:r>
              <w:rPr>
                <w:rFonts w:ascii="Arial" w:eastAsia="Times New Roman" w:hAnsi="Arial" w:cs="Arial"/>
                <w:color w:val="000000"/>
                <w:sz w:val="18"/>
                <w:szCs w:val="18"/>
              </w:rPr>
              <w:br/>
              <w:t xml:space="preserve">Incident rates, including </w:t>
            </w:r>
            <w:r>
              <w:rPr>
                <w:rFonts w:ascii="Arial" w:eastAsia="Times New Roman" w:hAnsi="Arial" w:cs="Arial"/>
                <w:color w:val="000000"/>
                <w:sz w:val="18"/>
                <w:szCs w:val="18"/>
              </w:rPr>
              <w:t>frequency and severity, could fluctuate and cause the estimates in our self-insurance liabilities to change.</w:t>
            </w:r>
            <w:r>
              <w:rPr>
                <w:rFonts w:ascii="Arial" w:eastAsia="Times New Roman" w:hAnsi="Arial" w:cs="Arial"/>
                <w:color w:val="000000"/>
                <w:sz w:val="18"/>
                <w:szCs w:val="18"/>
              </w:rPr>
              <w:br/>
            </w:r>
            <w:r>
              <w:rPr>
                <w:rFonts w:ascii="Arial" w:eastAsia="Times New Roman" w:hAnsi="Arial" w:cs="Arial"/>
                <w:color w:val="000000"/>
                <w:sz w:val="18"/>
                <w:szCs w:val="18"/>
              </w:rPr>
              <w:br/>
              <w:t>These estimates are subject to: changes in the regulatory environment; fluctuations in projected exposures, including payroll, revenues, and the n</w:t>
            </w:r>
            <w:r>
              <w:rPr>
                <w:rFonts w:ascii="Arial" w:eastAsia="Times New Roman" w:hAnsi="Arial" w:cs="Arial"/>
                <w:color w:val="000000"/>
                <w:sz w:val="18"/>
                <w:szCs w:val="18"/>
              </w:rPr>
              <w:t>umber of vehicle units; and the frequency, lag, and severity of claims.</w:t>
            </w:r>
            <w:r>
              <w:rPr>
                <w:rFonts w:ascii="Arial" w:eastAsia="Times New Roman" w:hAnsi="Arial" w:cs="Arial"/>
                <w:color w:val="000000"/>
                <w:sz w:val="18"/>
                <w:szCs w:val="18"/>
              </w:rPr>
              <w:br/>
              <w:t xml:space="preserve">The full extent of certain claims, especially workers’ compensation and general liability claims, may not be fully determined for several years. </w:t>
            </w:r>
            <w:r>
              <w:rPr>
                <w:rFonts w:ascii="Arial" w:eastAsia="Times New Roman" w:hAnsi="Arial" w:cs="Arial"/>
                <w:color w:val="000000"/>
                <w:sz w:val="18"/>
                <w:szCs w:val="18"/>
              </w:rPr>
              <w:br/>
            </w:r>
            <w:r>
              <w:rPr>
                <w:rFonts w:ascii="Arial" w:eastAsia="Times New Roman" w:hAnsi="Arial" w:cs="Arial"/>
                <w:color w:val="000000"/>
                <w:sz w:val="18"/>
                <w:szCs w:val="18"/>
              </w:rPr>
              <w:br/>
              <w:t xml:space="preserve">In addition, if the reserves related </w:t>
            </w:r>
            <w:r>
              <w:rPr>
                <w:rFonts w:ascii="Arial" w:eastAsia="Times New Roman" w:hAnsi="Arial" w:cs="Arial"/>
                <w:color w:val="000000"/>
                <w:sz w:val="18"/>
                <w:szCs w:val="18"/>
              </w:rPr>
              <w:t>to self-insurance or high deductible programs from acquired businesses are not adequate to cover damages resulting from future accidents or other incidents, we may be exposed to substantial losses arising from future claim developments.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hideMark/>
          </w:tcPr>
          <w:p w:rsidR="00000000" w:rsidRDefault="00485CCD">
            <w:pPr>
              <w:divId w:val="1728187166"/>
              <w:rPr>
                <w:rFonts w:eastAsia="Times New Roman"/>
              </w:rPr>
            </w:pPr>
            <w:r>
              <w:rPr>
                <w:rFonts w:ascii="Arial" w:eastAsia="Times New Roman" w:hAnsi="Arial" w:cs="Arial"/>
                <w:color w:val="000000"/>
                <w:sz w:val="18"/>
                <w:szCs w:val="18"/>
              </w:rPr>
              <w:t>We have not ma</w:t>
            </w:r>
            <w:r>
              <w:rPr>
                <w:rFonts w:ascii="Arial" w:eastAsia="Times New Roman" w:hAnsi="Arial" w:cs="Arial"/>
                <w:color w:val="000000"/>
                <w:sz w:val="18"/>
                <w:szCs w:val="18"/>
              </w:rPr>
              <w:t>de any changes in the accounting methodology used to establish our self-insurance liabilities during the past three years.</w:t>
            </w:r>
          </w:p>
          <w:p w:rsidR="00000000" w:rsidRDefault="00485CCD">
            <w:pPr>
              <w:divId w:val="53627529"/>
              <w:rPr>
                <w:rFonts w:eastAsia="Times New Roman"/>
              </w:rPr>
            </w:pPr>
          </w:p>
          <w:p w:rsidR="00000000" w:rsidRDefault="00485CCD">
            <w:pPr>
              <w:divId w:val="2065249784"/>
              <w:rPr>
                <w:rFonts w:eastAsia="Times New Roman"/>
              </w:rPr>
            </w:pPr>
            <w:r>
              <w:rPr>
                <w:rFonts w:ascii="Arial" w:eastAsia="Times New Roman" w:hAnsi="Arial" w:cs="Arial"/>
                <w:color w:val="000000"/>
                <w:sz w:val="18"/>
                <w:szCs w:val="18"/>
              </w:rPr>
              <w:t>After analyzing recent loss development patterns, comparing the loss development patterns against benchmarks, and applying actuaria</w:t>
            </w:r>
            <w:r>
              <w:rPr>
                <w:rFonts w:ascii="Arial" w:eastAsia="Times New Roman" w:hAnsi="Arial" w:cs="Arial"/>
                <w:color w:val="000000"/>
                <w:sz w:val="18"/>
                <w:szCs w:val="18"/>
              </w:rPr>
              <w:t xml:space="preserve">l projection methods to estimate the ultimate losses, we decreased our total reserves related to prior years known claims as well as our estimate of the loss amounts associated with IBNR claims during 2021 by $36.0 million. In 2020, we decreased our total </w:t>
            </w:r>
            <w:r>
              <w:rPr>
                <w:rFonts w:ascii="Arial" w:eastAsia="Times New Roman" w:hAnsi="Arial" w:cs="Arial"/>
                <w:color w:val="000000"/>
                <w:sz w:val="18"/>
                <w:szCs w:val="18"/>
              </w:rPr>
              <w:t>reserves related to prior years claims by $30.2 million.</w:t>
            </w:r>
          </w:p>
          <w:p w:rsidR="00000000" w:rsidRDefault="00485CCD">
            <w:pPr>
              <w:divId w:val="2049643888"/>
              <w:rPr>
                <w:rFonts w:eastAsia="Times New Roman"/>
              </w:rPr>
            </w:pPr>
          </w:p>
          <w:p w:rsidR="00000000" w:rsidRDefault="00485CCD">
            <w:pPr>
              <w:divId w:val="2098557366"/>
              <w:rPr>
                <w:rFonts w:eastAsia="Times New Roman"/>
              </w:rPr>
            </w:pPr>
            <w:r>
              <w:rPr>
                <w:rFonts w:ascii="Arial" w:eastAsia="Times New Roman" w:hAnsi="Arial" w:cs="Arial"/>
                <w:color w:val="000000"/>
                <w:sz w:val="18"/>
                <w:szCs w:val="18"/>
              </w:rPr>
              <w:t>It is possible that actual results could differ from recorded self-insurance liabilities. A 10% change in our projected ultimate losses would have affected net income by approximately $37.3 million</w:t>
            </w:r>
            <w:r>
              <w:rPr>
                <w:rFonts w:ascii="Arial" w:eastAsia="Times New Roman" w:hAnsi="Arial" w:cs="Arial"/>
                <w:color w:val="000000"/>
                <w:sz w:val="18"/>
                <w:szCs w:val="18"/>
              </w:rPr>
              <w:t xml:space="preserve"> for 2021.</w:t>
            </w:r>
          </w:p>
          <w:p w:rsidR="00000000" w:rsidRDefault="00485CCD">
            <w:pPr>
              <w:divId w:val="230391549"/>
              <w:rPr>
                <w:rFonts w:eastAsia="Times New Roman"/>
              </w:rPr>
            </w:pPr>
          </w:p>
        </w:tc>
      </w:tr>
    </w:tbl>
    <w:p w:rsidR="00000000" w:rsidRDefault="00485CCD">
      <w:pPr>
        <w:divId w:val="425200568"/>
        <w:rPr>
          <w:rFonts w:eastAsia="Times New Roman"/>
        </w:rPr>
      </w:pPr>
    </w:p>
    <w:p w:rsidR="00000000" w:rsidRDefault="00485CCD">
      <w:pPr>
        <w:jc w:val="center"/>
        <w:divId w:val="489367631"/>
        <w:rPr>
          <w:rFonts w:eastAsia="Times New Roman"/>
        </w:rPr>
      </w:pPr>
      <w:r>
        <w:rPr>
          <w:rFonts w:ascii="Arial" w:eastAsia="Times New Roman" w:hAnsi="Arial" w:cs="Arial"/>
          <w:color w:val="000000"/>
          <w:sz w:val="20"/>
          <w:szCs w:val="20"/>
        </w:rPr>
        <w:t>41</w:t>
      </w:r>
    </w:p>
    <w:p w:rsidR="00000000" w:rsidRDefault="00485CCD">
      <w:pPr>
        <w:rPr>
          <w:rFonts w:eastAsia="Times New Roman"/>
        </w:rPr>
      </w:pPr>
      <w:r>
        <w:rPr>
          <w:rFonts w:eastAsia="Times New Roman"/>
        </w:rPr>
        <w:pict>
          <v:rect id="_x0000_i1077" style="width:0;height:1.5pt" o:hralign="center" o:hrstd="t" o:hr="t" fillcolor="#a0a0a0" stroked="f"/>
        </w:pict>
      </w:r>
    </w:p>
    <w:p w:rsidR="00000000" w:rsidRDefault="00485CCD">
      <w:pPr>
        <w:divId w:val="1764062731"/>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6"/>
        <w:gridCol w:w="36"/>
        <w:gridCol w:w="36"/>
        <w:gridCol w:w="36"/>
        <w:gridCol w:w="56"/>
        <w:gridCol w:w="2213"/>
        <w:gridCol w:w="37"/>
        <w:gridCol w:w="36"/>
        <w:gridCol w:w="36"/>
        <w:gridCol w:w="36"/>
        <w:gridCol w:w="42"/>
        <w:gridCol w:w="3346"/>
        <w:gridCol w:w="36"/>
      </w:tblGrid>
      <w:tr w:rsidR="00000000">
        <w:trPr>
          <w:divId w:val="1383212057"/>
        </w:trPr>
        <w:tc>
          <w:tcPr>
            <w:tcW w:w="50" w:type="pct"/>
            <w:vAlign w:val="center"/>
            <w:hideMark/>
          </w:tcPr>
          <w:p w:rsidR="00000000" w:rsidRDefault="00485CCD">
            <w:pPr>
              <w:rPr>
                <w:rFonts w:eastAsia="Times New Roman"/>
              </w:rPr>
            </w:pPr>
          </w:p>
        </w:tc>
        <w:tc>
          <w:tcPr>
            <w:tcW w:w="136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36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0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383212057"/>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1383212057"/>
        </w:trPr>
        <w:tc>
          <w:tcPr>
            <w:tcW w:w="0" w:type="auto"/>
            <w:gridSpan w:val="3"/>
            <w:tcBorders>
              <w:top w:val="single" w:sz="8" w:space="0" w:color="000000"/>
            </w:tcBorders>
            <w:tcMar>
              <w:top w:w="30" w:type="dxa"/>
              <w:left w:w="20" w:type="dxa"/>
              <w:bottom w:w="30" w:type="dxa"/>
              <w:right w:w="20" w:type="dxa"/>
            </w:tcMar>
            <w:hideMark/>
          </w:tcPr>
          <w:p w:rsidR="00000000" w:rsidRDefault="00485CCD">
            <w:pPr>
              <w:spacing w:after="240"/>
              <w:rPr>
                <w:rFonts w:eastAsia="Times New Roman"/>
              </w:rPr>
            </w:pPr>
            <w:r>
              <w:rPr>
                <w:rFonts w:ascii="Arial" w:eastAsia="Times New Roman" w:hAnsi="Arial" w:cs="Arial"/>
                <w:b/>
                <w:bCs/>
                <w:color w:val="000000"/>
                <w:sz w:val="18"/>
                <w:szCs w:val="18"/>
              </w:rPr>
              <w:t xml:space="preserve">Contingencies and Litigation </w:t>
            </w:r>
          </w:p>
        </w:tc>
        <w:tc>
          <w:tcPr>
            <w:tcW w:w="0" w:type="auto"/>
            <w:gridSpan w:val="3"/>
            <w:tcMar>
              <w:top w:w="0" w:type="dxa"/>
              <w:left w:w="20" w:type="dxa"/>
              <w:bottom w:w="0" w:type="dxa"/>
              <w:right w:w="20" w:type="dxa"/>
            </w:tcMar>
            <w:vAlign w:val="center"/>
            <w:hideMark/>
          </w:tcPr>
          <w:p w:rsidR="00000000" w:rsidRDefault="00485CCD">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383212057"/>
        </w:trPr>
        <w:tc>
          <w:tcPr>
            <w:tcW w:w="0" w:type="auto"/>
            <w:gridSpan w:val="3"/>
            <w:tcBorders>
              <w:bottom w:val="single" w:sz="8" w:space="0" w:color="000000"/>
            </w:tcBorders>
            <w:tcMar>
              <w:top w:w="30" w:type="dxa"/>
              <w:left w:w="20" w:type="dxa"/>
              <w:bottom w:w="30" w:type="dxa"/>
              <w:right w:w="20" w:type="dxa"/>
            </w:tcMar>
            <w:hideMark/>
          </w:tcPr>
          <w:p w:rsidR="00000000" w:rsidRDefault="00485CCD">
            <w:pPr>
              <w:divId w:val="525680902"/>
              <w:rPr>
                <w:rFonts w:eastAsia="Times New Roman"/>
              </w:rPr>
            </w:pPr>
            <w:r>
              <w:rPr>
                <w:rFonts w:ascii="Arial" w:eastAsia="Times New Roman" w:hAnsi="Arial" w:cs="Arial"/>
                <w:color w:val="000000"/>
                <w:sz w:val="18"/>
                <w:szCs w:val="18"/>
              </w:rPr>
              <w:t>We are a party to a number of lawsuits, claims, and proceedings incident to the operation of our business, including those pertaining to labor and employment, contracts, personal injury, and other matters, some of which allege substantial monetary damages.</w:t>
            </w:r>
            <w:r>
              <w:rPr>
                <w:rFonts w:ascii="Arial" w:eastAsia="Times New Roman" w:hAnsi="Arial" w:cs="Arial"/>
                <w:color w:val="000000"/>
                <w:sz w:val="18"/>
                <w:szCs w:val="18"/>
              </w:rPr>
              <w:t xml:space="preserve"> Some of these actions may be brought as class actions on behalf of a class or purported class of employees.</w:t>
            </w:r>
          </w:p>
          <w:p w:rsidR="00000000" w:rsidRDefault="00485CCD">
            <w:pPr>
              <w:divId w:val="673655694"/>
              <w:rPr>
                <w:rFonts w:eastAsia="Times New Roman"/>
              </w:rPr>
            </w:pPr>
          </w:p>
          <w:p w:rsidR="00000000" w:rsidRDefault="00485CCD">
            <w:pPr>
              <w:divId w:val="50008657"/>
              <w:rPr>
                <w:rFonts w:eastAsia="Times New Roman"/>
              </w:rPr>
            </w:pPr>
            <w:r>
              <w:rPr>
                <w:rFonts w:ascii="Arial" w:eastAsia="Times New Roman" w:hAnsi="Arial" w:cs="Arial"/>
                <w:color w:val="000000"/>
                <w:sz w:val="18"/>
                <w:szCs w:val="18"/>
              </w:rPr>
              <w:t xml:space="preserve">We accrue for loss contingencies when losses become probable and are reasonably estimable. If the reasonable estimate of the loss is a range and </w:t>
            </w:r>
            <w:r>
              <w:rPr>
                <w:rFonts w:ascii="Arial" w:eastAsia="Times New Roman" w:hAnsi="Arial" w:cs="Arial"/>
                <w:color w:val="000000"/>
                <w:sz w:val="18"/>
                <w:szCs w:val="18"/>
              </w:rPr>
              <w:t xml:space="preserve">no amount within the range is a better estimate, the minimum amount of the range is recorded as a liability. </w:t>
            </w:r>
          </w:p>
          <w:p w:rsidR="00000000" w:rsidRDefault="00485CCD">
            <w:pPr>
              <w:divId w:val="1088575986"/>
              <w:rPr>
                <w:rFonts w:eastAsia="Times New Roman"/>
              </w:rPr>
            </w:pPr>
          </w:p>
          <w:p w:rsidR="00000000" w:rsidRDefault="00485CCD">
            <w:pPr>
              <w:divId w:val="1314027293"/>
              <w:rPr>
                <w:rFonts w:eastAsia="Times New Roman"/>
              </w:rPr>
            </w:pPr>
            <w:r>
              <w:rPr>
                <w:rFonts w:ascii="Arial" w:eastAsia="Times New Roman" w:hAnsi="Arial" w:cs="Arial"/>
                <w:color w:val="000000"/>
                <w:sz w:val="18"/>
                <w:szCs w:val="18"/>
              </w:rPr>
              <w:t xml:space="preserve">We do not accrue for contingent losses that, in our judgment, are considered to be reasonably possible but not probable.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 xml:space="preserve">Litigation outcomes are difficult to predict and are often resolved over long periods of time. </w:t>
            </w:r>
            <w:r>
              <w:rPr>
                <w:rFonts w:ascii="Arial" w:eastAsia="Times New Roman" w:hAnsi="Arial" w:cs="Arial"/>
                <w:color w:val="000000"/>
                <w:sz w:val="18"/>
                <w:szCs w:val="18"/>
              </w:rPr>
              <w:br/>
            </w:r>
            <w:r>
              <w:rPr>
                <w:rFonts w:ascii="Arial" w:eastAsia="Times New Roman" w:hAnsi="Arial" w:cs="Arial"/>
                <w:color w:val="000000"/>
                <w:sz w:val="18"/>
                <w:szCs w:val="18"/>
              </w:rPr>
              <w:br/>
              <w:t>Estimating probable and reasonably possible losses requires the analysis of multiple possible outcomes that often depend on judgments about potential actions b</w:t>
            </w:r>
            <w:r>
              <w:rPr>
                <w:rFonts w:ascii="Arial" w:eastAsia="Times New Roman" w:hAnsi="Arial" w:cs="Arial"/>
                <w:color w:val="000000"/>
                <w:sz w:val="18"/>
                <w:szCs w:val="18"/>
              </w:rPr>
              <w:t>y third parties, such as future changes in facts and circumstances, differing interpretations of the law, assessments of the amount of damages, and other factors beyond our control. There is the potential for a material adverse effect on our Financial Stat</w:t>
            </w:r>
            <w:r>
              <w:rPr>
                <w:rFonts w:ascii="Arial" w:eastAsia="Times New Roman" w:hAnsi="Arial" w:cs="Arial"/>
                <w:color w:val="000000"/>
                <w:sz w:val="18"/>
                <w:szCs w:val="18"/>
              </w:rPr>
              <w:t>ements if one or more matters are resolved in a particular period in an amount materially in excess of what we anticipated.</w:t>
            </w:r>
            <w:r>
              <w:rPr>
                <w:rFonts w:ascii="Arial" w:eastAsia="Times New Roman" w:hAnsi="Arial" w:cs="Arial"/>
                <w:color w:val="000000"/>
                <w:sz w:val="18"/>
                <w:szCs w:val="18"/>
              </w:rPr>
              <w:br/>
            </w:r>
            <w:r>
              <w:rPr>
                <w:rFonts w:ascii="Arial" w:eastAsia="Times New Roman" w:hAnsi="Arial" w:cs="Arial"/>
                <w:color w:val="000000"/>
                <w:sz w:val="18"/>
                <w:szCs w:val="18"/>
              </w:rPr>
              <w:br/>
              <w:t>In addition, in some cases, although a loss is probable or reasonably possible, we cannot reasonably estimate the maximum potential</w:t>
            </w:r>
            <w:r>
              <w:rPr>
                <w:rFonts w:ascii="Arial" w:eastAsia="Times New Roman" w:hAnsi="Arial" w:cs="Arial"/>
                <w:color w:val="000000"/>
                <w:sz w:val="18"/>
                <w:szCs w:val="18"/>
              </w:rPr>
              <w:t xml:space="preserve"> losses for probable matters or the range of losses for reasonably possible matters. Therefore, our accrual for probable losses and our estimated range of loss for reasonably possible losses do not represent our maximum possible exposure.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485CCD">
            <w:pPr>
              <w:divId w:val="1174568720"/>
              <w:rPr>
                <w:rFonts w:eastAsia="Times New Roman"/>
              </w:rPr>
            </w:pPr>
            <w:r>
              <w:rPr>
                <w:rFonts w:ascii="Arial" w:eastAsia="Times New Roman" w:hAnsi="Arial" w:cs="Arial"/>
                <w:color w:val="000000"/>
                <w:sz w:val="18"/>
                <w:szCs w:val="18"/>
              </w:rPr>
              <w:t xml:space="preserve">We have not </w:t>
            </w:r>
            <w:r>
              <w:rPr>
                <w:rFonts w:ascii="Arial" w:eastAsia="Times New Roman" w:hAnsi="Arial" w:cs="Arial"/>
                <w:color w:val="000000"/>
                <w:sz w:val="18"/>
                <w:szCs w:val="18"/>
              </w:rPr>
              <w:t>made any changes in the accounting methodology used to establish our loss contingencies during the past three years.</w:t>
            </w:r>
          </w:p>
          <w:p w:rsidR="00000000" w:rsidRDefault="00485CCD">
            <w:pPr>
              <w:divId w:val="883371646"/>
              <w:rPr>
                <w:rFonts w:eastAsia="Times New Roman"/>
              </w:rPr>
            </w:pPr>
          </w:p>
          <w:p w:rsidR="00000000" w:rsidRDefault="00485CCD">
            <w:pPr>
              <w:divId w:val="1062174568"/>
              <w:rPr>
                <w:rFonts w:eastAsia="Times New Roman"/>
              </w:rPr>
            </w:pPr>
            <w:r>
              <w:rPr>
                <w:rFonts w:ascii="Arial" w:eastAsia="Times New Roman" w:hAnsi="Arial" w:cs="Arial"/>
                <w:color w:val="000000"/>
                <w:sz w:val="18"/>
                <w:szCs w:val="18"/>
              </w:rPr>
              <w:t>Our management currently estimates the range of loss for all reasonably possible losses for which a reasonable estimate of the loss can b</w:t>
            </w:r>
            <w:r>
              <w:rPr>
                <w:rFonts w:ascii="Arial" w:eastAsia="Times New Roman" w:hAnsi="Arial" w:cs="Arial"/>
                <w:color w:val="000000"/>
                <w:sz w:val="18"/>
                <w:szCs w:val="18"/>
              </w:rPr>
              <w:t>e made is between zero and $6 million. Factors underlying this estimated range of loss may change from time to time, and actual results may vary significantly from this estimate.</w:t>
            </w:r>
          </w:p>
        </w:tc>
      </w:tr>
    </w:tbl>
    <w:p w:rsidR="00000000" w:rsidRDefault="00485CCD">
      <w:pPr>
        <w:divId w:val="1565679895"/>
        <w:rPr>
          <w:rFonts w:eastAsia="Times New Roman"/>
        </w:rPr>
      </w:pPr>
    </w:p>
    <w:p w:rsidR="00000000" w:rsidRDefault="00485CCD">
      <w:pPr>
        <w:jc w:val="center"/>
        <w:divId w:val="1725063338"/>
        <w:rPr>
          <w:rFonts w:eastAsia="Times New Roman"/>
        </w:rPr>
      </w:pPr>
      <w:r>
        <w:rPr>
          <w:rFonts w:ascii="Arial" w:eastAsia="Times New Roman" w:hAnsi="Arial" w:cs="Arial"/>
          <w:color w:val="000000"/>
          <w:sz w:val="20"/>
          <w:szCs w:val="20"/>
        </w:rPr>
        <w:t>42</w:t>
      </w:r>
    </w:p>
    <w:p w:rsidR="00000000" w:rsidRDefault="00485CCD">
      <w:pPr>
        <w:rPr>
          <w:rFonts w:eastAsia="Times New Roman"/>
        </w:rPr>
      </w:pPr>
      <w:r>
        <w:rPr>
          <w:rFonts w:eastAsia="Times New Roman"/>
        </w:rPr>
        <w:pict>
          <v:rect id="_x0000_i1078" style="width:0;height:1.5pt" o:hralign="center" o:hrstd="t" o:hr="t" fillcolor="#a0a0a0" stroked="f"/>
        </w:pict>
      </w:r>
    </w:p>
    <w:p w:rsidR="00000000" w:rsidRDefault="00485CCD">
      <w:pPr>
        <w:divId w:val="765728803"/>
        <w:rPr>
          <w:rFonts w:eastAsia="Times New Roman"/>
        </w:rPr>
      </w:pPr>
    </w:p>
    <w:p w:rsidR="00000000" w:rsidRDefault="00485CCD">
      <w:pPr>
        <w:divId w:val="1493716536"/>
        <w:rPr>
          <w:rFonts w:eastAsia="Times New Roman"/>
        </w:rPr>
      </w:pPr>
      <w:r>
        <w:rPr>
          <w:rFonts w:ascii="Arial" w:eastAsia="Times New Roman" w:hAnsi="Arial" w:cs="Arial"/>
          <w:b/>
          <w:bCs/>
          <w:color w:val="0046AD"/>
          <w:sz w:val="20"/>
          <w:szCs w:val="20"/>
        </w:rPr>
        <w:t>Recent Accounting Pronouncements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4"/>
        <w:gridCol w:w="927"/>
        <w:gridCol w:w="36"/>
        <w:gridCol w:w="36"/>
        <w:gridCol w:w="36"/>
        <w:gridCol w:w="36"/>
        <w:gridCol w:w="64"/>
        <w:gridCol w:w="1348"/>
        <w:gridCol w:w="37"/>
        <w:gridCol w:w="36"/>
        <w:gridCol w:w="36"/>
        <w:gridCol w:w="36"/>
        <w:gridCol w:w="39"/>
        <w:gridCol w:w="3776"/>
        <w:gridCol w:w="37"/>
        <w:gridCol w:w="36"/>
        <w:gridCol w:w="36"/>
        <w:gridCol w:w="36"/>
        <w:gridCol w:w="60"/>
        <w:gridCol w:w="1526"/>
        <w:gridCol w:w="38"/>
      </w:tblGrid>
      <w:tr w:rsidR="00000000">
        <w:trPr>
          <w:jc w:val="center"/>
        </w:trPr>
        <w:tc>
          <w:tcPr>
            <w:tcW w:w="50" w:type="pct"/>
            <w:vAlign w:val="center"/>
            <w:hideMark/>
          </w:tcPr>
          <w:p w:rsidR="00000000" w:rsidRDefault="00485CCD">
            <w:pPr>
              <w:rPr>
                <w:rFonts w:eastAsia="Times New Roman"/>
              </w:rPr>
            </w:pPr>
          </w:p>
        </w:tc>
        <w:tc>
          <w:tcPr>
            <w:tcW w:w="49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8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9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This Accounting Standard Update (“ASU”), issued in January 2021, clarifies that derivatives affected by the discounting transition are explicitly eligible for certain optional expedients and exceptions under To</w:t>
            </w:r>
            <w:r>
              <w:rPr>
                <w:rFonts w:ascii="Arial" w:eastAsia="Times New Roman" w:hAnsi="Arial" w:cs="Arial"/>
                <w:color w:val="000000"/>
                <w:sz w:val="18"/>
                <w:szCs w:val="18"/>
              </w:rPr>
              <w:t xml:space="preserve">pic 848. </w:t>
            </w:r>
            <w:r>
              <w:rPr>
                <w:rFonts w:ascii="Arial" w:eastAsia="Times New Roman" w:hAnsi="Arial" w:cs="Arial"/>
                <w:color w:val="000000"/>
                <w:sz w:val="18"/>
                <w:szCs w:val="18"/>
              </w:rPr>
              <w:br/>
            </w:r>
            <w:r>
              <w:rPr>
                <w:rFonts w:ascii="Arial" w:eastAsia="Times New Roman" w:hAnsi="Arial" w:cs="Arial"/>
                <w:color w:val="000000"/>
                <w:sz w:val="18"/>
                <w:szCs w:val="18"/>
              </w:rPr>
              <w:br/>
              <w:t>While we are currently evaluating the impact of implementing this guidance on our financial statements, we do not expect adoption to have a material impact.</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This update was effective upon issuance and can be applied to hedging relationships retrospectively or prospectively through December 31, 2022.</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w:t>
            </w:r>
            <w:r>
              <w:rPr>
                <w:rFonts w:ascii="Arial" w:eastAsia="Times New Roman" w:hAnsi="Arial" w:cs="Arial"/>
                <w:color w:val="000000"/>
                <w:sz w:val="18"/>
                <w:szCs w:val="18"/>
              </w:rPr>
              <w:t>cial Reporting</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 xml:space="preserve">This ASU, issued in March 2020, provides optional expedients to assist with the discontinuance of LIBOR. The expedients allow companies to ease the potential accounting burden when modifying contracts and hedging relationships that use </w:t>
            </w:r>
            <w:r>
              <w:rPr>
                <w:rFonts w:ascii="Arial" w:eastAsia="Times New Roman" w:hAnsi="Arial" w:cs="Arial"/>
                <w:color w:val="000000"/>
                <w:sz w:val="18"/>
                <w:szCs w:val="18"/>
              </w:rPr>
              <w:t xml:space="preserve">LIBOR as a reference rate, if certain criteria are met. </w:t>
            </w:r>
            <w:r>
              <w:rPr>
                <w:rFonts w:ascii="Arial" w:eastAsia="Times New Roman" w:hAnsi="Arial" w:cs="Arial"/>
                <w:color w:val="000000"/>
                <w:sz w:val="18"/>
                <w:szCs w:val="18"/>
              </w:rPr>
              <w:br/>
            </w:r>
            <w:r>
              <w:rPr>
                <w:rFonts w:ascii="Arial" w:eastAsia="Times New Roman" w:hAnsi="Arial" w:cs="Arial"/>
                <w:color w:val="000000"/>
                <w:sz w:val="18"/>
                <w:szCs w:val="18"/>
              </w:rPr>
              <w:br/>
              <w:t>While we are currently evaluating the impact of implementing this guidance on our financial statements, we do not expect adoption to have a material impact.</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This update was effective upon issuance and can be applied prospectively to contract modifications made and hedging relationships entered into or evaluated through December 31, 2022.</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2020-01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Investments—Equity Securities (Topic 321), Investments—Eq</w:t>
            </w:r>
            <w:r>
              <w:rPr>
                <w:rFonts w:ascii="Arial" w:eastAsia="Times New Roman" w:hAnsi="Arial" w:cs="Arial"/>
                <w:color w:val="000000"/>
                <w:sz w:val="18"/>
                <w:szCs w:val="18"/>
              </w:rPr>
              <w:t>uity Method and Joint Ventures (Topic 323), and Derivatives and Hedging (Topic 815): Clarifying the Interactions between Topic 321, Topic 323, and Topic 815</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 xml:space="preserve">This ASU, issued in January 2020, clarifies the interaction between Topic 321, Topic 323, and </w:t>
            </w:r>
            <w:r>
              <w:rPr>
                <w:rFonts w:ascii="Arial" w:eastAsia="Times New Roman" w:hAnsi="Arial" w:cs="Arial"/>
                <w:color w:val="000000"/>
                <w:sz w:val="18"/>
                <w:szCs w:val="18"/>
              </w:rPr>
              <w:t>Topic 815. The new guidance, among other things, states that a company should consider observable transactions that require it to either apply or discontinue the equity method of accounting for the purposes of applying the fair value measurement alternativ</w:t>
            </w:r>
            <w:r>
              <w:rPr>
                <w:rFonts w:ascii="Arial" w:eastAsia="Times New Roman" w:hAnsi="Arial" w:cs="Arial"/>
                <w:color w:val="000000"/>
                <w:sz w:val="18"/>
                <w:szCs w:val="18"/>
              </w:rPr>
              <w:t>e immediately before applying or upon discontinuing the equity method.</w:t>
            </w:r>
            <w:r>
              <w:rPr>
                <w:rFonts w:ascii="Arial" w:eastAsia="Times New Roman" w:hAnsi="Arial" w:cs="Arial"/>
                <w:color w:val="000000"/>
                <w:sz w:val="18"/>
                <w:szCs w:val="18"/>
              </w:rPr>
              <w:br/>
            </w:r>
            <w:r>
              <w:rPr>
                <w:rFonts w:ascii="Arial" w:eastAsia="Times New Roman" w:hAnsi="Arial" w:cs="Arial"/>
                <w:color w:val="000000"/>
                <w:sz w:val="18"/>
                <w:szCs w:val="18"/>
              </w:rPr>
              <w:br/>
              <w:t>While we are currently evaluating the impact of implementing this guidance on our financial statements, we do not expect adoption to have a material impact.</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color w:val="000000"/>
                <w:sz w:val="18"/>
                <w:szCs w:val="18"/>
              </w:rPr>
              <w:br/>
              <w:t>Thi</w:t>
            </w:r>
            <w:r>
              <w:rPr>
                <w:rFonts w:ascii="Arial" w:eastAsia="Times New Roman" w:hAnsi="Arial" w:cs="Arial"/>
                <w:color w:val="000000"/>
                <w:sz w:val="18"/>
                <w:szCs w:val="18"/>
              </w:rPr>
              <w:t>s update will be applied prospectively.</w:t>
            </w:r>
          </w:p>
        </w:tc>
      </w:tr>
      <w:tr w:rsidR="00000000">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2019-12</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Income Taxes (Topic 740): Simplifying the Accounting for Income Taxes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period, and the recognition of deferred tax liabilities for outside basis diffe</w:t>
            </w:r>
            <w:r>
              <w:rPr>
                <w:rFonts w:ascii="Arial" w:eastAsia="Times New Roman" w:hAnsi="Arial" w:cs="Arial"/>
                <w:color w:val="000000"/>
                <w:sz w:val="18"/>
                <w:szCs w:val="18"/>
              </w:rPr>
              <w:t xml:space="preserv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color w:val="000000"/>
                <w:sz w:val="18"/>
                <w:szCs w:val="18"/>
              </w:rPr>
              <w:br/>
              <w:t>The amen</w:t>
            </w:r>
            <w:r>
              <w:rPr>
                <w:rFonts w:ascii="Arial" w:eastAsia="Times New Roman" w:hAnsi="Arial" w:cs="Arial"/>
                <w:color w:val="000000"/>
                <w:sz w:val="18"/>
                <w:szCs w:val="18"/>
              </w:rPr>
              <w:t>dments have differing adoption methods, including retrospectively, prospectively, and/or on a modified retrospective basis.</w:t>
            </w:r>
          </w:p>
        </w:tc>
      </w:tr>
    </w:tbl>
    <w:p w:rsidR="00000000" w:rsidRDefault="00485CCD">
      <w:pPr>
        <w:jc w:val="center"/>
        <w:rPr>
          <w:rFonts w:eastAsia="Times New Roman"/>
        </w:rPr>
      </w:pPr>
    </w:p>
    <w:p w:rsidR="00000000" w:rsidRDefault="00485CCD">
      <w:pPr>
        <w:jc w:val="center"/>
        <w:divId w:val="773551217"/>
        <w:rPr>
          <w:rFonts w:eastAsia="Times New Roman"/>
        </w:rPr>
      </w:pPr>
    </w:p>
    <w:p w:rsidR="00000000" w:rsidRDefault="00485CCD">
      <w:pPr>
        <w:jc w:val="center"/>
        <w:divId w:val="998388323"/>
        <w:rPr>
          <w:rFonts w:eastAsia="Times New Roman"/>
        </w:rPr>
      </w:pPr>
      <w:r>
        <w:rPr>
          <w:rFonts w:ascii="Arial" w:eastAsia="Times New Roman" w:hAnsi="Arial" w:cs="Arial"/>
          <w:color w:val="000000"/>
          <w:sz w:val="20"/>
          <w:szCs w:val="20"/>
        </w:rPr>
        <w:t>43</w:t>
      </w:r>
    </w:p>
    <w:p w:rsidR="00000000" w:rsidRDefault="00485CCD">
      <w:pPr>
        <w:rPr>
          <w:rFonts w:eastAsia="Times New Roman"/>
        </w:rPr>
      </w:pPr>
      <w:r>
        <w:rPr>
          <w:rFonts w:eastAsia="Times New Roman"/>
        </w:rPr>
        <w:pict>
          <v:rect id="_x0000_i1079" style="width:0;height:1.5pt" o:hralign="center" o:hrstd="t" o:hr="t" fillcolor="#a0a0a0" stroked="f"/>
        </w:pict>
      </w:r>
    </w:p>
    <w:p w:rsidR="00000000" w:rsidRDefault="00485CCD">
      <w:pPr>
        <w:divId w:val="2134128560"/>
        <w:rPr>
          <w:rFonts w:eastAsia="Times New Roman"/>
        </w:rPr>
      </w:pPr>
    </w:p>
    <w:p w:rsidR="00000000" w:rsidRDefault="00485CCD">
      <w:pPr>
        <w:jc w:val="both"/>
        <w:divId w:val="90442626"/>
        <w:rPr>
          <w:rFonts w:eastAsia="Times New Roman"/>
        </w:rPr>
      </w:pPr>
      <w:r>
        <w:rPr>
          <w:rFonts w:ascii="Arial" w:eastAsia="Times New Roman" w:hAnsi="Arial" w:cs="Arial"/>
          <w:b/>
          <w:bCs/>
          <w:color w:val="0046AD"/>
          <w:sz w:val="20"/>
          <w:szCs w:val="20"/>
        </w:rPr>
        <w:t>ITEM 7A. QUANTITATIVE AND QUALITATIVE DISCLOSURES ABOUT MARKET RISK.</w:t>
      </w:r>
    </w:p>
    <w:p w:rsidR="00000000" w:rsidRDefault="00485CCD">
      <w:pPr>
        <w:ind w:firstLine="720"/>
        <w:jc w:val="both"/>
        <w:divId w:val="1997954876"/>
        <w:rPr>
          <w:rFonts w:eastAsia="Times New Roman"/>
        </w:rPr>
      </w:pPr>
      <w:r>
        <w:rPr>
          <w:rFonts w:ascii="Arial" w:eastAsia="Times New Roman" w:hAnsi="Arial" w:cs="Arial"/>
          <w:color w:val="000000"/>
          <w:sz w:val="20"/>
          <w:szCs w:val="20"/>
        </w:rPr>
        <w:t xml:space="preserve">We have market risk exposure related to interest rates and foreign currency exchange rates. Market risk is measured as the potential negative impact </w:t>
      </w:r>
      <w:r>
        <w:rPr>
          <w:rFonts w:ascii="Arial" w:eastAsia="Times New Roman" w:hAnsi="Arial" w:cs="Arial"/>
          <w:color w:val="000000"/>
          <w:sz w:val="20"/>
          <w:szCs w:val="20"/>
        </w:rPr>
        <w:t>on earnings, cash flows, or fair values resulting from a hypothetical change in interest rates or foreign currency exchange rates.</w:t>
      </w:r>
    </w:p>
    <w:p w:rsidR="00000000" w:rsidRDefault="00485CCD">
      <w:pPr>
        <w:jc w:val="both"/>
        <w:divId w:val="597564933"/>
        <w:rPr>
          <w:rFonts w:eastAsia="Times New Roman"/>
        </w:rPr>
      </w:pPr>
      <w:r>
        <w:rPr>
          <w:rFonts w:ascii="Arial" w:eastAsia="Times New Roman" w:hAnsi="Arial" w:cs="Arial"/>
          <w:b/>
          <w:bCs/>
          <w:color w:val="0046AD"/>
          <w:sz w:val="20"/>
          <w:szCs w:val="20"/>
        </w:rPr>
        <w:t>Interest Rate Risk</w:t>
      </w:r>
    </w:p>
    <w:p w:rsidR="00000000" w:rsidRDefault="00485CCD">
      <w:pPr>
        <w:ind w:firstLine="720"/>
        <w:jc w:val="both"/>
        <w:divId w:val="1077172944"/>
        <w:rPr>
          <w:rFonts w:eastAsia="Times New Roman"/>
        </w:rPr>
      </w:pPr>
      <w:r>
        <w:rPr>
          <w:rFonts w:ascii="Arial" w:eastAsia="Times New Roman" w:hAnsi="Arial" w:cs="Arial"/>
          <w:color w:val="000000"/>
          <w:sz w:val="20"/>
          <w:szCs w:val="20"/>
        </w:rPr>
        <w:t>We are primarily exposed to interest rate risk through our variable rate borrowings under our Amended Credit Facility, as further described in Note 11, “Credit Facility,” in the Financial Statements. Under the Amended Credit Facility, the term loan and U.S</w:t>
      </w:r>
      <w:r>
        <w:rPr>
          <w:rFonts w:ascii="Arial" w:eastAsia="Times New Roman" w:hAnsi="Arial" w:cs="Arial"/>
          <w:color w:val="000000"/>
          <w:sz w:val="20"/>
          <w:szCs w:val="20"/>
        </w:rPr>
        <w:t xml:space="preserve">.-dollar-denominated borrowings under the revolver bear interest at a rate equal to one-month LIBOR plus a spread. Euro- and sterling-denominated borrowings under the revolver bear at rate equal to the EURIBOR and SONIA reference rates, respectively, plus </w:t>
      </w:r>
      <w:r>
        <w:rPr>
          <w:rFonts w:ascii="Arial" w:eastAsia="Times New Roman" w:hAnsi="Arial" w:cs="Arial"/>
          <w:color w:val="000000"/>
          <w:sz w:val="20"/>
          <w:szCs w:val="20"/>
        </w:rPr>
        <w:t>a spread. At October 31, 2021, we had total outstanding borrowings of $888.8 million. To limit exposure to upward movements in interest rates associated with our floating-rate, LIBOR-based borrowings, we entered into interest rate swap agreements to fix th</w:t>
      </w:r>
      <w:r>
        <w:rPr>
          <w:rFonts w:ascii="Arial" w:eastAsia="Times New Roman" w:hAnsi="Arial" w:cs="Arial"/>
          <w:color w:val="000000"/>
          <w:sz w:val="20"/>
          <w:szCs w:val="20"/>
        </w:rPr>
        <w:t xml:space="preserve">e interest rates on a portion of our outstanding borrowings. At October 31, 2021, we had interest rate swaps with an underlying notional amount of $260.0 million and fixed interest rates of 2.84% and 2.86%. Based on our average borrowings, interest rates, </w:t>
      </w:r>
      <w:r>
        <w:rPr>
          <w:rFonts w:ascii="Arial" w:eastAsia="Times New Roman" w:hAnsi="Arial" w:cs="Arial"/>
          <w:color w:val="000000"/>
          <w:sz w:val="20"/>
          <w:szCs w:val="20"/>
        </w:rPr>
        <w:t>and interest rate swaps in effect at October 31, 2021, a 100 basis point increase in LIBOR, EURIBOR, and SONIA would decrease our future earnings and cash flows by $7.1 million. For 2020, our market risk exposure related to interest rate fluctuations was $</w:t>
      </w:r>
      <w:r>
        <w:rPr>
          <w:rFonts w:ascii="Arial" w:eastAsia="Times New Roman" w:hAnsi="Arial" w:cs="Arial"/>
          <w:color w:val="000000"/>
          <w:sz w:val="20"/>
          <w:szCs w:val="20"/>
        </w:rPr>
        <w:t>2.5 million. As actual interest rate movements over time are uncertain, our interest rate swaps pose potential interest rate risks if interest rates decrease. As of October 31, 2021, the fair value of our interest rate swap agreements was a liability of $4</w:t>
      </w:r>
      <w:r>
        <w:rPr>
          <w:rFonts w:ascii="Arial" w:eastAsia="Times New Roman" w:hAnsi="Arial" w:cs="Arial"/>
          <w:color w:val="000000"/>
          <w:sz w:val="20"/>
          <w:szCs w:val="20"/>
        </w:rPr>
        <w:t>.6 million.</w:t>
      </w:r>
    </w:p>
    <w:p w:rsidR="00000000" w:rsidRDefault="00485CCD">
      <w:pPr>
        <w:jc w:val="both"/>
        <w:divId w:val="2122214923"/>
        <w:rPr>
          <w:rFonts w:eastAsia="Times New Roman"/>
        </w:rPr>
      </w:pPr>
      <w:r>
        <w:rPr>
          <w:rFonts w:ascii="Arial" w:eastAsia="Times New Roman" w:hAnsi="Arial" w:cs="Arial"/>
          <w:b/>
          <w:bCs/>
          <w:color w:val="0046AD"/>
          <w:sz w:val="20"/>
          <w:szCs w:val="20"/>
        </w:rPr>
        <w:t>Foreign Currency Exchange Rate Risk</w:t>
      </w:r>
    </w:p>
    <w:p w:rsidR="00000000" w:rsidRDefault="00485CCD">
      <w:pPr>
        <w:ind w:firstLine="720"/>
        <w:jc w:val="both"/>
        <w:divId w:val="1113666559"/>
        <w:rPr>
          <w:rFonts w:eastAsia="Times New Roman"/>
        </w:rPr>
      </w:pPr>
      <w:r>
        <w:rPr>
          <w:rFonts w:ascii="Arial" w:eastAsia="Times New Roman" w:hAnsi="Arial" w:cs="Arial"/>
          <w:color w:val="000000"/>
          <w:sz w:val="20"/>
          <w:szCs w:val="20"/>
        </w:rPr>
        <w:t>We are primarily exposed to the impact of foreign exchange rate risk through our U.K. operations where the functional currency is the GBP. As we intend to remain permanently invested in these foreign operatio</w:t>
      </w:r>
      <w:r>
        <w:rPr>
          <w:rFonts w:ascii="Arial" w:eastAsia="Times New Roman" w:hAnsi="Arial" w:cs="Arial"/>
          <w:color w:val="000000"/>
          <w:sz w:val="20"/>
          <w:szCs w:val="20"/>
        </w:rPr>
        <w:t>ns, we do not utilize hedging instruments to mitigate foreign currency exchange risks. If we change our intent with respect to such international investment, we would expect to implement strategies designed to manage those risks in an effort to mitigate th</w:t>
      </w:r>
      <w:r>
        <w:rPr>
          <w:rFonts w:ascii="Arial" w:eastAsia="Times New Roman" w:hAnsi="Arial" w:cs="Arial"/>
          <w:color w:val="000000"/>
          <w:sz w:val="20"/>
          <w:szCs w:val="20"/>
        </w:rPr>
        <w:t>e effect of foreign currency fluctuations on our earnings and cash flows.</w:t>
      </w:r>
    </w:p>
    <w:p w:rsidR="00000000" w:rsidRDefault="00485CCD">
      <w:pPr>
        <w:jc w:val="center"/>
        <w:divId w:val="1181696397"/>
        <w:rPr>
          <w:rFonts w:eastAsia="Times New Roman"/>
        </w:rPr>
      </w:pPr>
      <w:r>
        <w:rPr>
          <w:rFonts w:ascii="Arial" w:eastAsia="Times New Roman" w:hAnsi="Arial" w:cs="Arial"/>
          <w:color w:val="000000"/>
          <w:sz w:val="20"/>
          <w:szCs w:val="20"/>
        </w:rPr>
        <w:t>44</w:t>
      </w:r>
    </w:p>
    <w:p w:rsidR="00000000" w:rsidRDefault="00485CCD">
      <w:pPr>
        <w:rPr>
          <w:rFonts w:eastAsia="Times New Roman"/>
        </w:rPr>
      </w:pPr>
      <w:r>
        <w:rPr>
          <w:rFonts w:eastAsia="Times New Roman"/>
        </w:rPr>
        <w:pict>
          <v:rect id="_x0000_i1080" style="width:0;height:1.5pt" o:hralign="center" o:hrstd="t" o:hr="t" fillcolor="#a0a0a0" stroked="f"/>
        </w:pict>
      </w:r>
    </w:p>
    <w:p w:rsidR="00000000" w:rsidRDefault="00485CCD">
      <w:pPr>
        <w:divId w:val="1118449263"/>
        <w:rPr>
          <w:rFonts w:eastAsia="Times New Roman"/>
        </w:rPr>
      </w:pPr>
    </w:p>
    <w:p w:rsidR="00000000" w:rsidRDefault="00485CCD">
      <w:pPr>
        <w:divId w:val="395278700"/>
        <w:rPr>
          <w:rFonts w:eastAsia="Times New Roman"/>
        </w:rPr>
      </w:pPr>
      <w:r>
        <w:rPr>
          <w:rFonts w:ascii="Arial" w:eastAsia="Times New Roman" w:hAnsi="Arial" w:cs="Arial"/>
          <w:b/>
          <w:bCs/>
          <w:color w:val="0046AD"/>
          <w:sz w:val="20"/>
          <w:szCs w:val="20"/>
        </w:rPr>
        <w:t>ITEM 8. FINANCIAL STATEMENTS AND SUPPLEMENTARY DATA.</w:t>
      </w:r>
    </w:p>
    <w:p w:rsidR="00000000" w:rsidRDefault="00485CCD">
      <w:pPr>
        <w:jc w:val="center"/>
        <w:divId w:val="1234123463"/>
        <w:rPr>
          <w:rFonts w:eastAsia="Times New Roman"/>
        </w:rPr>
      </w:pPr>
      <w:r>
        <w:rPr>
          <w:rFonts w:ascii="Arial" w:eastAsia="Times New Roman" w:hAnsi="Arial" w:cs="Arial"/>
          <w:b/>
          <w:bCs/>
          <w:color w:val="000000"/>
          <w:sz w:val="20"/>
          <w:szCs w:val="20"/>
          <w:shd w:val="clear" w:color="auto" w:fill="FFFFFF"/>
        </w:rPr>
        <w:t>Report of Independent Registered Public Accounting Firm</w:t>
      </w:r>
    </w:p>
    <w:p w:rsidR="00000000" w:rsidRDefault="00485CCD">
      <w:pPr>
        <w:divId w:val="1963262454"/>
        <w:rPr>
          <w:rFonts w:eastAsia="Times New Roman"/>
        </w:rPr>
      </w:pPr>
    </w:p>
    <w:p w:rsidR="00000000" w:rsidRDefault="00485CCD">
      <w:pPr>
        <w:divId w:val="1001659132"/>
        <w:rPr>
          <w:rFonts w:eastAsia="Times New Roman"/>
        </w:rPr>
      </w:pPr>
      <w:r>
        <w:rPr>
          <w:rFonts w:ascii="Arial" w:eastAsia="Times New Roman" w:hAnsi="Arial" w:cs="Arial"/>
          <w:color w:val="000000"/>
          <w:sz w:val="20"/>
          <w:szCs w:val="20"/>
        </w:rPr>
        <w:t>To the Stockholders and Board of Directors</w:t>
      </w:r>
    </w:p>
    <w:p w:rsidR="00000000" w:rsidRDefault="00485CCD">
      <w:pPr>
        <w:divId w:val="1372028625"/>
        <w:rPr>
          <w:rFonts w:eastAsia="Times New Roman"/>
        </w:rPr>
      </w:pPr>
      <w:r>
        <w:rPr>
          <w:rFonts w:ascii="Arial" w:eastAsia="Times New Roman" w:hAnsi="Arial" w:cs="Arial"/>
          <w:color w:val="000000"/>
          <w:sz w:val="20"/>
          <w:szCs w:val="20"/>
        </w:rPr>
        <w:t>ABM Industries Incorporated:</w:t>
      </w:r>
    </w:p>
    <w:p w:rsidR="00000000" w:rsidRDefault="00485CCD">
      <w:pPr>
        <w:divId w:val="1078094598"/>
        <w:rPr>
          <w:rFonts w:eastAsia="Times New Roman"/>
        </w:rPr>
      </w:pPr>
    </w:p>
    <w:p w:rsidR="00000000" w:rsidRDefault="00485CCD">
      <w:pPr>
        <w:divId w:val="2016222598"/>
        <w:rPr>
          <w:rFonts w:eastAsia="Times New Roman"/>
        </w:rPr>
      </w:pPr>
      <w:r>
        <w:rPr>
          <w:rFonts w:ascii="Arial" w:eastAsia="Times New Roman" w:hAnsi="Arial" w:cs="Arial"/>
          <w:i/>
          <w:iCs/>
          <w:color w:val="000000"/>
          <w:sz w:val="20"/>
          <w:szCs w:val="20"/>
        </w:rPr>
        <w:t>Opinion on the Consolidated Financial Statements</w:t>
      </w:r>
    </w:p>
    <w:p w:rsidR="00000000" w:rsidRDefault="00485CCD">
      <w:pPr>
        <w:divId w:val="566918196"/>
        <w:rPr>
          <w:rFonts w:eastAsia="Times New Roman"/>
        </w:rPr>
      </w:pPr>
      <w:r>
        <w:rPr>
          <w:rFonts w:ascii="Arial" w:eastAsia="Times New Roman" w:hAnsi="Arial" w:cs="Arial"/>
          <w:color w:val="000000"/>
          <w:sz w:val="20"/>
          <w:szCs w:val="20"/>
        </w:rPr>
        <w:t>We have audited the accompanying consolidated balance sheets of ABM Industries Incorporated and subsidiaries (the Company) as of Octo</w:t>
      </w:r>
      <w:r>
        <w:rPr>
          <w:rFonts w:ascii="Arial" w:eastAsia="Times New Roman" w:hAnsi="Arial" w:cs="Arial"/>
          <w:color w:val="000000"/>
          <w:sz w:val="20"/>
          <w:szCs w:val="20"/>
        </w:rPr>
        <w:t>ber 31, 2021 and 2020, the related consolidated statements of comprehensive income (loss), stockholders’ equity, and cash flows for each of the years in the three</w:t>
      </w:r>
      <w:r>
        <w:rPr>
          <w:rFonts w:ascii="Arial" w:eastAsia="Times New Roman" w:hAnsi="Arial" w:cs="Arial"/>
          <w:color w:val="000000"/>
          <w:sz w:val="20"/>
          <w:szCs w:val="20"/>
        </w:rPr>
        <w:noBreakHyphen/>
        <w:t>year period ended October 31, 2021, and the related notes and financial statement schedule II</w:t>
      </w:r>
      <w:r>
        <w:rPr>
          <w:rFonts w:ascii="Arial" w:eastAsia="Times New Roman" w:hAnsi="Arial" w:cs="Arial"/>
          <w:color w:val="000000"/>
          <w:sz w:val="20"/>
          <w:szCs w:val="20"/>
        </w:rPr>
        <w:t xml:space="preserve"> (collectively, the consolidated financial statements). In our opinion, the consolidated financial statements present fairly, in all material respects, the financial position of the Company as of October 31, 2021 and 2020, and the results of its operations</w:t>
      </w:r>
      <w:r>
        <w:rPr>
          <w:rFonts w:ascii="Arial" w:eastAsia="Times New Roman" w:hAnsi="Arial" w:cs="Arial"/>
          <w:color w:val="000000"/>
          <w:sz w:val="20"/>
          <w:szCs w:val="20"/>
        </w:rPr>
        <w:t xml:space="preserve"> and its cash flows for each of the years in the three</w:t>
      </w:r>
      <w:r>
        <w:rPr>
          <w:rFonts w:ascii="Arial" w:eastAsia="Times New Roman" w:hAnsi="Arial" w:cs="Arial"/>
          <w:color w:val="000000"/>
          <w:sz w:val="20"/>
          <w:szCs w:val="20"/>
        </w:rPr>
        <w:noBreakHyphen/>
        <w:t>year period ended October 31, 2021, in conformity with U.S. generally accepted accounting principles.</w:t>
      </w:r>
    </w:p>
    <w:p w:rsidR="00000000" w:rsidRDefault="00485CCD">
      <w:pPr>
        <w:divId w:val="85268940"/>
        <w:rPr>
          <w:rFonts w:eastAsia="Times New Roman"/>
        </w:rPr>
      </w:pPr>
      <w:r>
        <w:rPr>
          <w:rFonts w:ascii="Arial" w:eastAsia="Times New Roman" w:hAnsi="Arial" w:cs="Arial"/>
          <w:color w:val="000000"/>
          <w:sz w:val="20"/>
          <w:szCs w:val="20"/>
        </w:rPr>
        <w:t>We also have audited, in accordance with the standards of the Public Company Accounting Oversight B</w:t>
      </w:r>
      <w:r>
        <w:rPr>
          <w:rFonts w:ascii="Arial" w:eastAsia="Times New Roman" w:hAnsi="Arial" w:cs="Arial"/>
          <w:color w:val="000000"/>
          <w:sz w:val="20"/>
          <w:szCs w:val="20"/>
        </w:rPr>
        <w:t xml:space="preserve">oard (United States) (PCAOB), the Company’s internal control over financial reporting as of October 31, 2021,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w:t>
      </w:r>
      <w:r>
        <w:rPr>
          <w:rFonts w:ascii="Arial" w:eastAsia="Times New Roman" w:hAnsi="Arial" w:cs="Arial"/>
          <w:color w:val="000000"/>
          <w:sz w:val="20"/>
          <w:szCs w:val="20"/>
        </w:rPr>
        <w:t>y Commission, and our report dated December 22, 2021 expressed</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an unqualified opinion on the effectiveness of the Company’s internal control over financial reporting.</w:t>
      </w:r>
    </w:p>
    <w:p w:rsidR="00000000" w:rsidRDefault="00485CCD">
      <w:pPr>
        <w:divId w:val="1187721144"/>
        <w:rPr>
          <w:rFonts w:eastAsia="Times New Roman"/>
        </w:rPr>
      </w:pPr>
      <w:r>
        <w:rPr>
          <w:rFonts w:ascii="Arial" w:eastAsia="Times New Roman" w:hAnsi="Arial" w:cs="Arial"/>
          <w:i/>
          <w:iCs/>
          <w:color w:val="000000"/>
          <w:sz w:val="20"/>
          <w:szCs w:val="20"/>
        </w:rPr>
        <w:t>Basis for Opinion</w:t>
      </w:r>
    </w:p>
    <w:p w:rsidR="00000000" w:rsidRDefault="00485CCD">
      <w:pPr>
        <w:divId w:val="1285959957"/>
        <w:rPr>
          <w:rFonts w:eastAsia="Times New Roman"/>
        </w:rPr>
      </w:pPr>
      <w:r>
        <w:rPr>
          <w:rFonts w:ascii="Arial" w:eastAsia="Times New Roman" w:hAnsi="Arial" w:cs="Arial"/>
          <w:color w:val="000000"/>
          <w:sz w:val="20"/>
          <w:szCs w:val="20"/>
        </w:rPr>
        <w:t>These consolidated financial statements are the responsibility of the C</w:t>
      </w:r>
      <w:r>
        <w:rPr>
          <w:rFonts w:ascii="Arial" w:eastAsia="Times New Roman" w:hAnsi="Arial" w:cs="Arial"/>
          <w:color w:val="000000"/>
          <w:sz w:val="20"/>
          <w:szCs w:val="20"/>
        </w:rPr>
        <w:t>ompany’s management. Our responsibility is to express an opinion on these consolidated financial statements based on our audits. We are a public accounting firm registered with the PCAOB and are required to be independent with respect to the Company in acc</w:t>
      </w:r>
      <w:r>
        <w:rPr>
          <w:rFonts w:ascii="Arial" w:eastAsia="Times New Roman" w:hAnsi="Arial" w:cs="Arial"/>
          <w:color w:val="000000"/>
          <w:sz w:val="20"/>
          <w:szCs w:val="20"/>
        </w:rPr>
        <w:t>ordance with the U.S. federal securities laws and the applicable rules and regulations of the Securities and Exchange Commission and the PCAOB.</w:t>
      </w:r>
    </w:p>
    <w:p w:rsidR="00000000" w:rsidRDefault="00485CCD">
      <w:pPr>
        <w:divId w:val="268466330"/>
        <w:rPr>
          <w:rFonts w:eastAsia="Times New Roman"/>
        </w:rPr>
      </w:pPr>
      <w:r>
        <w:rPr>
          <w:rFonts w:ascii="Arial" w:eastAsia="Times New Roman" w:hAnsi="Arial" w:cs="Arial"/>
          <w:color w:val="000000"/>
          <w:sz w:val="20"/>
          <w:szCs w:val="20"/>
        </w:rPr>
        <w:t xml:space="preserve">We conducted our audits in accordance with the standards of the PCAOB. Those standards require that we plan and </w:t>
      </w:r>
      <w:r>
        <w:rPr>
          <w:rFonts w:ascii="Arial" w:eastAsia="Times New Roman" w:hAnsi="Arial" w:cs="Arial"/>
          <w:color w:val="000000"/>
          <w:sz w:val="20"/>
          <w:szCs w:val="20"/>
        </w:rPr>
        <w:t>perform the audit to obtain reasonable assurance about whether the consolidated financial statements are free of material misstatement, whether due to error or fraud. Our audits included performing procedures to assess the risks of material misstatement of</w:t>
      </w:r>
      <w:r>
        <w:rPr>
          <w:rFonts w:ascii="Arial" w:eastAsia="Times New Roman" w:hAnsi="Arial" w:cs="Arial"/>
          <w:color w:val="000000"/>
          <w:sz w:val="20"/>
          <w:szCs w:val="20"/>
        </w:rPr>
        <w:t xml:space="preserve"> the consolidated financial statements, whether due to error or fraud, and performing procedures that respond to those risks. Such procedures included examining, on a test basis, evidence regarding the amounts and disclosures in the consolidated financial </w:t>
      </w:r>
      <w:r>
        <w:rPr>
          <w:rFonts w:ascii="Arial" w:eastAsia="Times New Roman" w:hAnsi="Arial" w:cs="Arial"/>
          <w:color w:val="000000"/>
          <w:sz w:val="20"/>
          <w:szCs w:val="20"/>
        </w:rPr>
        <w:t>statements. Our audits also included evaluating the accounting principles used and significant estimates made by management, as well as evaluating the overall presentation of the consolidated financial statements. We believe that our audits provide a reaso</w:t>
      </w:r>
      <w:r>
        <w:rPr>
          <w:rFonts w:ascii="Arial" w:eastAsia="Times New Roman" w:hAnsi="Arial" w:cs="Arial"/>
          <w:color w:val="000000"/>
          <w:sz w:val="20"/>
          <w:szCs w:val="20"/>
        </w:rPr>
        <w:t>nable basis for our opinion.</w:t>
      </w:r>
    </w:p>
    <w:p w:rsidR="00000000" w:rsidRDefault="00485CCD">
      <w:pPr>
        <w:divId w:val="1600985955"/>
        <w:rPr>
          <w:rFonts w:eastAsia="Times New Roman"/>
        </w:rPr>
      </w:pPr>
      <w:r>
        <w:rPr>
          <w:rFonts w:ascii="Arial" w:eastAsia="Times New Roman" w:hAnsi="Arial" w:cs="Arial"/>
          <w:i/>
          <w:iCs/>
          <w:color w:val="000000"/>
          <w:sz w:val="20"/>
          <w:szCs w:val="20"/>
        </w:rPr>
        <w:t>Critical Audit Matters</w:t>
      </w:r>
    </w:p>
    <w:p w:rsidR="00000000" w:rsidRDefault="00485CCD">
      <w:pPr>
        <w:divId w:val="1122773428"/>
        <w:rPr>
          <w:rFonts w:eastAsia="Times New Roman"/>
        </w:rPr>
      </w:pPr>
      <w:r>
        <w:rPr>
          <w:rFonts w:ascii="Arial" w:eastAsia="Times New Roman" w:hAnsi="Arial" w:cs="Arial"/>
          <w:color w:val="000000"/>
          <w:sz w:val="20"/>
          <w:szCs w:val="20"/>
        </w:rPr>
        <w:t xml:space="preserve">The critical audit matters communicated below are matters arising from the current period audit of the consolidated financial statements that were communicated or required to be communicated to the audit </w:t>
      </w:r>
      <w:r>
        <w:rPr>
          <w:rFonts w:ascii="Arial" w:eastAsia="Times New Roman" w:hAnsi="Arial" w:cs="Arial"/>
          <w:color w:val="000000"/>
          <w:sz w:val="20"/>
          <w:szCs w:val="20"/>
        </w:rPr>
        <w:t>committee and that: (1) relate to accounts or disclosures that are material to the consolidated financial statements and (2) involved our especially challenging, subjective, or complex judgments. The communication of critical audit matters does not alter i</w:t>
      </w:r>
      <w:r>
        <w:rPr>
          <w:rFonts w:ascii="Arial" w:eastAsia="Times New Roman" w:hAnsi="Arial" w:cs="Arial"/>
          <w:color w:val="000000"/>
          <w:sz w:val="20"/>
          <w:szCs w:val="20"/>
        </w:rPr>
        <w:t>n any way our opinion on the consolidated financial statements, taken as a whole, and we are not, by communicating the critical audit matters below, providing separate opinions on the critical audit matters or on the accounts or disclosures to which they r</w:t>
      </w:r>
      <w:r>
        <w:rPr>
          <w:rFonts w:ascii="Arial" w:eastAsia="Times New Roman" w:hAnsi="Arial" w:cs="Arial"/>
          <w:color w:val="000000"/>
          <w:sz w:val="20"/>
          <w:szCs w:val="20"/>
        </w:rPr>
        <w:t>elate.</w:t>
      </w:r>
    </w:p>
    <w:p w:rsidR="00000000" w:rsidRDefault="00485CCD">
      <w:pPr>
        <w:divId w:val="2118795242"/>
        <w:rPr>
          <w:rFonts w:eastAsia="Times New Roman"/>
        </w:rPr>
      </w:pPr>
      <w:r>
        <w:rPr>
          <w:rFonts w:ascii="Arial" w:eastAsia="Times New Roman" w:hAnsi="Arial" w:cs="Arial"/>
          <w:i/>
          <w:iCs/>
          <w:color w:val="000000"/>
          <w:sz w:val="20"/>
          <w:szCs w:val="20"/>
        </w:rPr>
        <w:t>Fair value of customer relationship intangible asset from the acquisition of Able</w:t>
      </w:r>
    </w:p>
    <w:p w:rsidR="00000000" w:rsidRDefault="00485CCD">
      <w:pPr>
        <w:divId w:val="438725844"/>
        <w:rPr>
          <w:rFonts w:eastAsia="Times New Roman"/>
        </w:rPr>
      </w:pPr>
      <w:r>
        <w:rPr>
          <w:rFonts w:ascii="Arial" w:eastAsia="Times New Roman" w:hAnsi="Arial" w:cs="Arial"/>
          <w:color w:val="000000"/>
          <w:sz w:val="20"/>
          <w:szCs w:val="20"/>
        </w:rPr>
        <w:t>As discussed in Note 4 to the consolidated financial statements, on September 30, 2021, the Company completed its acquisition of Crown Building Maintenance Co. and Cro</w:t>
      </w:r>
      <w:r>
        <w:rPr>
          <w:rFonts w:ascii="Arial" w:eastAsia="Times New Roman" w:hAnsi="Arial" w:cs="Arial"/>
          <w:color w:val="000000"/>
          <w:sz w:val="20"/>
          <w:szCs w:val="20"/>
        </w:rPr>
        <w:t xml:space="preserve">wn Energy Services, Inc. (collectively, </w:t>
      </w:r>
    </w:p>
    <w:p w:rsidR="00000000" w:rsidRDefault="00485CCD">
      <w:pPr>
        <w:jc w:val="center"/>
        <w:divId w:val="434712975"/>
        <w:rPr>
          <w:rFonts w:eastAsia="Times New Roman"/>
        </w:rPr>
      </w:pPr>
      <w:r>
        <w:rPr>
          <w:rFonts w:ascii="Arial" w:eastAsia="Times New Roman" w:hAnsi="Arial" w:cs="Arial"/>
          <w:color w:val="000000"/>
          <w:sz w:val="20"/>
          <w:szCs w:val="20"/>
        </w:rPr>
        <w:t>45</w:t>
      </w:r>
    </w:p>
    <w:p w:rsidR="00000000" w:rsidRDefault="00485CCD">
      <w:pPr>
        <w:rPr>
          <w:rFonts w:eastAsia="Times New Roman"/>
        </w:rPr>
      </w:pPr>
      <w:r>
        <w:rPr>
          <w:rFonts w:eastAsia="Times New Roman"/>
        </w:rPr>
        <w:pict>
          <v:rect id="_x0000_i1081" style="width:0;height:1.5pt" o:hralign="center" o:hrstd="t" o:hr="t" fillcolor="#a0a0a0" stroked="f"/>
        </w:pict>
      </w:r>
    </w:p>
    <w:p w:rsidR="00000000" w:rsidRDefault="00485CCD">
      <w:pPr>
        <w:divId w:val="222565382"/>
        <w:rPr>
          <w:rFonts w:eastAsia="Times New Roman"/>
        </w:rPr>
      </w:pPr>
    </w:p>
    <w:p w:rsidR="00000000" w:rsidRDefault="00485CCD">
      <w:pPr>
        <w:divId w:val="1790779774"/>
        <w:rPr>
          <w:rFonts w:eastAsia="Times New Roman"/>
        </w:rPr>
      </w:pPr>
      <w:r>
        <w:rPr>
          <w:rFonts w:ascii="Arial" w:eastAsia="Times New Roman" w:hAnsi="Arial" w:cs="Arial"/>
          <w:color w:val="000000"/>
          <w:sz w:val="20"/>
          <w:szCs w:val="20"/>
        </w:rPr>
        <w:t>Able) for $741.7 million. As a result of the transaction, the Company acquired a customer relationship intangible asset representing future estimated income from Able’s exist</w:t>
      </w:r>
      <w:r>
        <w:rPr>
          <w:rFonts w:ascii="Arial" w:eastAsia="Times New Roman" w:hAnsi="Arial" w:cs="Arial"/>
          <w:color w:val="000000"/>
          <w:sz w:val="20"/>
          <w:szCs w:val="20"/>
        </w:rPr>
        <w:t>ing customers. The acquisition-date preliminary fair value determined for the customer relationship intangible asset was $220.0 million.</w:t>
      </w:r>
    </w:p>
    <w:p w:rsidR="00000000" w:rsidRDefault="00485CCD">
      <w:pPr>
        <w:divId w:val="1577323415"/>
        <w:rPr>
          <w:rFonts w:eastAsia="Times New Roman"/>
        </w:rPr>
      </w:pPr>
      <w:r>
        <w:rPr>
          <w:rFonts w:ascii="Arial" w:eastAsia="Times New Roman" w:hAnsi="Arial" w:cs="Arial"/>
          <w:color w:val="000000"/>
          <w:sz w:val="20"/>
          <w:szCs w:val="20"/>
        </w:rPr>
        <w:t>We identified the evaluation of the fair value of the customer relationship intangible asset from the acquisition of Ab</w:t>
      </w:r>
      <w:r>
        <w:rPr>
          <w:rFonts w:ascii="Arial" w:eastAsia="Times New Roman" w:hAnsi="Arial" w:cs="Arial"/>
          <w:color w:val="000000"/>
          <w:sz w:val="20"/>
          <w:szCs w:val="20"/>
        </w:rPr>
        <w:t>le as a critical audit matter as a high degree of subjectivity was required to evaluate certain inputs in the discounted cash flow model used to determine the fair value of the asset. Such inputs included expected future revenue growth, future operating pe</w:t>
      </w:r>
      <w:r>
        <w:rPr>
          <w:rFonts w:ascii="Arial" w:eastAsia="Times New Roman" w:hAnsi="Arial" w:cs="Arial"/>
          <w:color w:val="000000"/>
          <w:sz w:val="20"/>
          <w:szCs w:val="20"/>
        </w:rPr>
        <w:t>rformance margins, customer attrition rate, and discount rate applied. Changes in these inputs could have a significant impact on the fair value of the customer relationship intangible asset.</w:t>
      </w:r>
    </w:p>
    <w:p w:rsidR="00000000" w:rsidRDefault="00485CCD">
      <w:pPr>
        <w:divId w:val="917522136"/>
        <w:rPr>
          <w:rFonts w:eastAsia="Times New Roman"/>
        </w:rPr>
      </w:pPr>
      <w:r>
        <w:rPr>
          <w:rFonts w:ascii="Arial" w:eastAsia="Times New Roman" w:hAnsi="Arial" w:cs="Arial"/>
          <w:color w:val="000000"/>
          <w:sz w:val="20"/>
          <w:szCs w:val="20"/>
        </w:rPr>
        <w:t xml:space="preserve">The following are the primary procedures we performed to address this critical audit matter. We evaluated the design and tested the operating effectiveness of certain internal controls related to the Company’s acquisition-date valuation process, including </w:t>
      </w:r>
      <w:r>
        <w:rPr>
          <w:rFonts w:ascii="Arial" w:eastAsia="Times New Roman" w:hAnsi="Arial" w:cs="Arial"/>
          <w:color w:val="000000"/>
          <w:sz w:val="20"/>
          <w:szCs w:val="20"/>
        </w:rPr>
        <w:t>controls over the development of the above listed inputs used to value the customer relationship intangible asset. We evaluated the future revenue growth and future operating performance margins by comparing these inputs to the historical performance of pe</w:t>
      </w:r>
      <w:r>
        <w:rPr>
          <w:rFonts w:ascii="Arial" w:eastAsia="Times New Roman" w:hAnsi="Arial" w:cs="Arial"/>
          <w:color w:val="000000"/>
          <w:sz w:val="20"/>
          <w:szCs w:val="20"/>
        </w:rPr>
        <w:t>er companies and to the pre-acquisition historical performance of both the Company and Able. We involved valuation professionals with specialized skills and knowledge who assisted in:</w:t>
      </w:r>
    </w:p>
    <w:p w:rsidR="00000000" w:rsidRDefault="00485CCD">
      <w:pPr>
        <w:ind w:hanging="360"/>
        <w:divId w:val="2058311723"/>
        <w:rPr>
          <w:rFonts w:eastAsia="Times New Roman"/>
        </w:rPr>
      </w:pPr>
      <w:r>
        <w:rPr>
          <w:rFonts w:ascii="Arial" w:eastAsia="Times New Roman" w:hAnsi="Arial" w:cs="Arial"/>
          <w:color w:val="000000"/>
          <w:sz w:val="20"/>
          <w:szCs w:val="20"/>
        </w:rPr>
        <w:t>•evaluating the estimated annual attrition rate by comparing the selecte</w:t>
      </w:r>
      <w:r>
        <w:rPr>
          <w:rFonts w:ascii="Arial" w:eastAsia="Times New Roman" w:hAnsi="Arial" w:cs="Arial"/>
          <w:color w:val="000000"/>
          <w:sz w:val="20"/>
          <w:szCs w:val="20"/>
        </w:rPr>
        <w:t>d attrition rate against historical customer attrition of Able</w:t>
      </w:r>
    </w:p>
    <w:p w:rsidR="00000000" w:rsidRDefault="00485CCD">
      <w:pPr>
        <w:ind w:hanging="360"/>
        <w:divId w:val="255872783"/>
        <w:rPr>
          <w:rFonts w:eastAsia="Times New Roman"/>
        </w:rPr>
      </w:pPr>
      <w:r>
        <w:rPr>
          <w:rFonts w:ascii="Arial" w:eastAsia="Times New Roman" w:hAnsi="Arial" w:cs="Arial"/>
          <w:color w:val="000000"/>
          <w:sz w:val="20"/>
          <w:szCs w:val="20"/>
        </w:rPr>
        <w:t>•evaluating the Company’s discount rate by comparing the rate against a discount rate range that was independently developed</w:t>
      </w:r>
    </w:p>
    <w:p w:rsidR="00000000" w:rsidRDefault="00485CCD">
      <w:pPr>
        <w:ind w:hanging="360"/>
        <w:divId w:val="219291205"/>
        <w:rPr>
          <w:rFonts w:eastAsia="Times New Roman"/>
        </w:rPr>
      </w:pPr>
      <w:r>
        <w:rPr>
          <w:rFonts w:ascii="Arial" w:eastAsia="Times New Roman" w:hAnsi="Arial" w:cs="Arial"/>
          <w:color w:val="000000"/>
          <w:sz w:val="20"/>
          <w:szCs w:val="20"/>
        </w:rPr>
        <w:t>•developing a fair value estimate of the customer relationship intan</w:t>
      </w:r>
      <w:r>
        <w:rPr>
          <w:rFonts w:ascii="Arial" w:eastAsia="Times New Roman" w:hAnsi="Arial" w:cs="Arial"/>
          <w:color w:val="000000"/>
          <w:sz w:val="20"/>
          <w:szCs w:val="20"/>
        </w:rPr>
        <w:t>gible asset using the Company’s cash flow projections and independently developed range of discount rates and comparing it to the Company’s estimate.</w:t>
      </w:r>
    </w:p>
    <w:p w:rsidR="00000000" w:rsidRDefault="00485CCD">
      <w:pPr>
        <w:divId w:val="1096711990"/>
        <w:rPr>
          <w:rFonts w:eastAsia="Times New Roman"/>
        </w:rPr>
      </w:pPr>
      <w:r>
        <w:rPr>
          <w:rFonts w:ascii="Arial" w:eastAsia="Times New Roman" w:hAnsi="Arial" w:cs="Arial"/>
          <w:i/>
          <w:iCs/>
          <w:color w:val="000000"/>
          <w:sz w:val="20"/>
          <w:szCs w:val="20"/>
        </w:rPr>
        <w:t xml:space="preserve">Valuation of self-insurance liabilities </w:t>
      </w:r>
    </w:p>
    <w:p w:rsidR="00000000" w:rsidRDefault="00485CCD">
      <w:pPr>
        <w:divId w:val="1665355457"/>
        <w:rPr>
          <w:rFonts w:eastAsia="Times New Roman"/>
        </w:rPr>
      </w:pPr>
      <w:r>
        <w:rPr>
          <w:rFonts w:ascii="Arial" w:eastAsia="Times New Roman" w:hAnsi="Arial" w:cs="Arial"/>
          <w:color w:val="000000"/>
          <w:sz w:val="20"/>
          <w:szCs w:val="20"/>
        </w:rPr>
        <w:t>As discussed in Notes 2 and 10 to the consolidated financial stat</w:t>
      </w:r>
      <w:r>
        <w:rPr>
          <w:rFonts w:ascii="Arial" w:eastAsia="Times New Roman" w:hAnsi="Arial" w:cs="Arial"/>
          <w:color w:val="000000"/>
          <w:sz w:val="20"/>
          <w:szCs w:val="20"/>
        </w:rPr>
        <w:t>ements, the Company uses a combination of insured and self-insurance programs to cover workers’ compensation, general liability, automobile liability, property damage, and other insurable risks. The balance of casualty program insurance reserves, net of re</w:t>
      </w:r>
      <w:r>
        <w:rPr>
          <w:rFonts w:ascii="Arial" w:eastAsia="Times New Roman" w:hAnsi="Arial" w:cs="Arial"/>
          <w:color w:val="000000"/>
          <w:sz w:val="20"/>
          <w:szCs w:val="20"/>
        </w:rPr>
        <w:t>coverables, as of October 31, 2021 amounted to $508.3 million. The Company engages actuaries to estimate its self-insurance liabilities at least annually.</w:t>
      </w:r>
    </w:p>
    <w:p w:rsidR="00000000" w:rsidRDefault="00485CCD">
      <w:pPr>
        <w:divId w:val="1809786374"/>
        <w:rPr>
          <w:rFonts w:eastAsia="Times New Roman"/>
        </w:rPr>
      </w:pPr>
      <w:r>
        <w:rPr>
          <w:rFonts w:ascii="Arial" w:eastAsia="Times New Roman" w:hAnsi="Arial" w:cs="Arial"/>
          <w:color w:val="000000"/>
          <w:sz w:val="20"/>
          <w:szCs w:val="20"/>
        </w:rPr>
        <w:t>We identified the assessment of the valuation of self-insurance liabilities, other than those assumed</w:t>
      </w:r>
      <w:r>
        <w:rPr>
          <w:rFonts w:ascii="Arial" w:eastAsia="Times New Roman" w:hAnsi="Arial" w:cs="Arial"/>
          <w:color w:val="000000"/>
          <w:sz w:val="20"/>
          <w:szCs w:val="20"/>
        </w:rPr>
        <w:t xml:space="preserve"> in the acquisition of Able, as a critical audit matter. A high degree of judgment and actuarial expertise was required to assess: (1) the actuarial models used and (2) the estimated incurred but not reported claims based on application of loss development</w:t>
      </w:r>
      <w:r>
        <w:rPr>
          <w:rFonts w:ascii="Arial" w:eastAsia="Times New Roman" w:hAnsi="Arial" w:cs="Arial"/>
          <w:color w:val="000000"/>
          <w:sz w:val="20"/>
          <w:szCs w:val="20"/>
        </w:rPr>
        <w:t xml:space="preserve"> factors to historical claims experience.</w:t>
      </w:r>
    </w:p>
    <w:p w:rsidR="00000000" w:rsidRDefault="00485CCD">
      <w:pPr>
        <w:divId w:val="1292442063"/>
        <w:rPr>
          <w:rFonts w:eastAsia="Times New Roman"/>
        </w:rPr>
      </w:pPr>
      <w:r>
        <w:rPr>
          <w:rFonts w:ascii="Arial" w:eastAsia="Times New Roman" w:hAnsi="Arial" w:cs="Arial"/>
          <w:color w:val="000000"/>
          <w:sz w:val="20"/>
          <w:szCs w:val="20"/>
        </w:rPr>
        <w:t>The following are the primary procedures we performed to address this critical audit matter. We evaluated the design and tested the operating effectiveness of certain internal controls over the Company’s self-insur</w:t>
      </w:r>
      <w:r>
        <w:rPr>
          <w:rFonts w:ascii="Arial" w:eastAsia="Times New Roman" w:hAnsi="Arial" w:cs="Arial"/>
          <w:color w:val="000000"/>
          <w:sz w:val="20"/>
          <w:szCs w:val="20"/>
        </w:rPr>
        <w:t>ance liability process, including controls related to (1) evaluation of claims information sent to the actuary, (2) estimation of incurred but not reported claims based on the application of loss development factors to historical claims experience, and (3)</w:t>
      </w:r>
      <w:r>
        <w:rPr>
          <w:rFonts w:ascii="Arial" w:eastAsia="Times New Roman" w:hAnsi="Arial" w:cs="Arial"/>
          <w:color w:val="000000"/>
          <w:sz w:val="20"/>
          <w:szCs w:val="20"/>
        </w:rPr>
        <w:t xml:space="preserve"> evaluation of the actuarial report and the external actuarial specialist’s qualifications and competency. We evaluated the Company’s historical ability to estimate self-insurance liabilities by comparing the prior year recorded amounts to the subsequent c</w:t>
      </w:r>
      <w:r>
        <w:rPr>
          <w:rFonts w:ascii="Arial" w:eastAsia="Times New Roman" w:hAnsi="Arial" w:cs="Arial"/>
          <w:color w:val="000000"/>
          <w:sz w:val="20"/>
          <w:szCs w:val="20"/>
        </w:rPr>
        <w:t>laim development. We tested a sample of the claims data utilized by the Company’s actuaries by comparing it to underlying claims details; and involved an actuarial professional with specialized skills and knowledge who assisted in the:</w:t>
      </w:r>
    </w:p>
    <w:p w:rsidR="00000000" w:rsidRDefault="00485CCD">
      <w:pPr>
        <w:ind w:hanging="360"/>
        <w:divId w:val="810102624"/>
        <w:rPr>
          <w:rFonts w:eastAsia="Times New Roman"/>
        </w:rPr>
      </w:pPr>
      <w:r>
        <w:rPr>
          <w:rFonts w:ascii="Arial" w:eastAsia="Times New Roman" w:hAnsi="Arial" w:cs="Arial"/>
          <w:color w:val="000000"/>
          <w:sz w:val="20"/>
          <w:szCs w:val="20"/>
        </w:rPr>
        <w:t>•assessment of the a</w:t>
      </w:r>
      <w:r>
        <w:rPr>
          <w:rFonts w:ascii="Arial" w:eastAsia="Times New Roman" w:hAnsi="Arial" w:cs="Arial"/>
          <w:color w:val="000000"/>
          <w:sz w:val="20"/>
          <w:szCs w:val="20"/>
        </w:rPr>
        <w:t>ctuarial models used by the Company for consistency with generally accepted actuarial standards and</w:t>
      </w:r>
    </w:p>
    <w:p w:rsidR="00000000" w:rsidRDefault="00485CCD">
      <w:pPr>
        <w:ind w:hanging="360"/>
        <w:divId w:val="298196032"/>
        <w:rPr>
          <w:rFonts w:eastAsia="Times New Roman"/>
        </w:rPr>
      </w:pPr>
      <w:r>
        <w:rPr>
          <w:rFonts w:ascii="Arial" w:eastAsia="Times New Roman" w:hAnsi="Arial" w:cs="Arial"/>
          <w:color w:val="000000"/>
          <w:sz w:val="20"/>
          <w:szCs w:val="20"/>
        </w:rPr>
        <w:t xml:space="preserve">•development of an actuarial estimate of self-insurance liabilities based on the Company’s underlying historical paid and incurred loss data for comparison </w:t>
      </w:r>
      <w:r>
        <w:rPr>
          <w:rFonts w:ascii="Arial" w:eastAsia="Times New Roman" w:hAnsi="Arial" w:cs="Arial"/>
          <w:color w:val="000000"/>
          <w:sz w:val="20"/>
          <w:szCs w:val="20"/>
        </w:rPr>
        <w:t>with the liabilities recorded by the Company.</w:t>
      </w:r>
    </w:p>
    <w:p w:rsidR="00000000" w:rsidRDefault="00485CCD">
      <w:pPr>
        <w:divId w:val="1588542273"/>
        <w:rPr>
          <w:rFonts w:eastAsia="Times New Roman"/>
        </w:rPr>
      </w:pPr>
    </w:p>
    <w:p w:rsidR="00000000" w:rsidRDefault="00485CCD">
      <w:pPr>
        <w:divId w:val="1239364400"/>
        <w:rPr>
          <w:rFonts w:eastAsia="Times New Roman"/>
        </w:rPr>
      </w:pPr>
    </w:p>
    <w:p w:rsidR="00000000" w:rsidRDefault="00485CCD">
      <w:pPr>
        <w:jc w:val="center"/>
        <w:divId w:val="1317150127"/>
        <w:rPr>
          <w:rFonts w:eastAsia="Times New Roman"/>
        </w:rPr>
      </w:pPr>
      <w:r>
        <w:rPr>
          <w:rFonts w:ascii="Arial" w:eastAsia="Times New Roman" w:hAnsi="Arial" w:cs="Arial"/>
          <w:color w:val="000000"/>
          <w:sz w:val="20"/>
          <w:szCs w:val="20"/>
        </w:rPr>
        <w:t>46</w:t>
      </w:r>
    </w:p>
    <w:p w:rsidR="00000000" w:rsidRDefault="00485CCD">
      <w:pPr>
        <w:rPr>
          <w:rFonts w:eastAsia="Times New Roman"/>
        </w:rPr>
      </w:pPr>
      <w:r>
        <w:rPr>
          <w:rFonts w:eastAsia="Times New Roman"/>
        </w:rPr>
        <w:pict>
          <v:rect id="_x0000_i1082" style="width:0;height:1.5pt" o:hralign="center" o:hrstd="t" o:hr="t" fillcolor="#a0a0a0" stroked="f"/>
        </w:pict>
      </w:r>
    </w:p>
    <w:p w:rsidR="00000000" w:rsidRDefault="00485CCD">
      <w:pPr>
        <w:divId w:val="12732233"/>
        <w:rPr>
          <w:rFonts w:eastAsia="Times New Roman"/>
        </w:rPr>
      </w:pPr>
    </w:p>
    <w:p w:rsidR="00000000" w:rsidRDefault="00485CCD">
      <w:pPr>
        <w:divId w:val="1185512091"/>
        <w:rPr>
          <w:rFonts w:eastAsia="Times New Roman"/>
        </w:rPr>
      </w:pPr>
      <w:r>
        <w:rPr>
          <w:rFonts w:ascii="Arial" w:eastAsia="Times New Roman" w:hAnsi="Arial" w:cs="Arial"/>
          <w:color w:val="000000"/>
          <w:sz w:val="20"/>
          <w:szCs w:val="20"/>
        </w:rPr>
        <w:t>/s/ KPMG LLP</w:t>
      </w:r>
    </w:p>
    <w:p w:rsidR="00000000" w:rsidRDefault="00485CCD">
      <w:pPr>
        <w:divId w:val="1227955087"/>
        <w:rPr>
          <w:rFonts w:eastAsia="Times New Roman"/>
        </w:rPr>
      </w:pPr>
      <w:r>
        <w:rPr>
          <w:rFonts w:ascii="Arial" w:eastAsia="Times New Roman" w:hAnsi="Arial" w:cs="Arial"/>
          <w:color w:val="000000"/>
          <w:sz w:val="20"/>
          <w:szCs w:val="20"/>
        </w:rPr>
        <w:t>We have served as the Company’s auditor since 1980.</w:t>
      </w:r>
    </w:p>
    <w:p w:rsidR="00000000" w:rsidRDefault="00485CCD">
      <w:pPr>
        <w:divId w:val="1499464198"/>
        <w:rPr>
          <w:rFonts w:eastAsia="Times New Roman"/>
        </w:rPr>
      </w:pPr>
      <w:r>
        <w:rPr>
          <w:rFonts w:ascii="Arial" w:eastAsia="Times New Roman" w:hAnsi="Arial" w:cs="Arial"/>
          <w:color w:val="000000"/>
          <w:sz w:val="20"/>
          <w:szCs w:val="20"/>
        </w:rPr>
        <w:t>New York, New York</w:t>
      </w:r>
    </w:p>
    <w:p w:rsidR="00000000" w:rsidRDefault="00485CCD">
      <w:pPr>
        <w:divId w:val="716049986"/>
        <w:rPr>
          <w:rFonts w:eastAsia="Times New Roman"/>
        </w:rPr>
      </w:pPr>
      <w:r>
        <w:rPr>
          <w:rFonts w:ascii="Arial" w:eastAsia="Times New Roman" w:hAnsi="Arial" w:cs="Arial"/>
          <w:color w:val="000000"/>
          <w:sz w:val="20"/>
          <w:szCs w:val="20"/>
        </w:rPr>
        <w:t xml:space="preserve">December 22, 2021 </w:t>
      </w:r>
    </w:p>
    <w:p w:rsidR="00000000" w:rsidRDefault="00485CCD">
      <w:pPr>
        <w:divId w:val="147138737"/>
        <w:rPr>
          <w:rFonts w:eastAsia="Times New Roman"/>
        </w:rPr>
      </w:pPr>
    </w:p>
    <w:p w:rsidR="00000000" w:rsidRDefault="00485CCD">
      <w:pPr>
        <w:jc w:val="center"/>
        <w:divId w:val="753667804"/>
        <w:rPr>
          <w:rFonts w:eastAsia="Times New Roman"/>
        </w:rPr>
      </w:pPr>
      <w:r>
        <w:rPr>
          <w:rFonts w:ascii="Arial" w:eastAsia="Times New Roman" w:hAnsi="Arial" w:cs="Arial"/>
          <w:color w:val="000000"/>
          <w:sz w:val="20"/>
          <w:szCs w:val="20"/>
        </w:rPr>
        <w:t>47</w:t>
      </w:r>
    </w:p>
    <w:p w:rsidR="00000000" w:rsidRDefault="00485CCD">
      <w:pPr>
        <w:rPr>
          <w:rFonts w:eastAsia="Times New Roman"/>
        </w:rPr>
      </w:pPr>
      <w:r>
        <w:rPr>
          <w:rFonts w:eastAsia="Times New Roman"/>
        </w:rPr>
        <w:pict>
          <v:rect id="_x0000_i1083" style="width:0;height:1.5pt" o:hralign="center" o:hrstd="t" o:hr="t" fillcolor="#a0a0a0" stroked="f"/>
        </w:pict>
      </w:r>
    </w:p>
    <w:p w:rsidR="00000000" w:rsidRDefault="00485CCD">
      <w:pPr>
        <w:divId w:val="1803696922"/>
        <w:rPr>
          <w:rFonts w:eastAsia="Times New Roman"/>
        </w:rPr>
      </w:pPr>
    </w:p>
    <w:p w:rsidR="00000000" w:rsidRDefault="00485CCD">
      <w:pPr>
        <w:jc w:val="center"/>
        <w:divId w:val="1288588920"/>
        <w:rPr>
          <w:rFonts w:eastAsia="Times New Roman"/>
        </w:rPr>
      </w:pPr>
      <w:r>
        <w:rPr>
          <w:rFonts w:ascii="Arial" w:eastAsia="Times New Roman" w:hAnsi="Arial" w:cs="Arial"/>
          <w:b/>
          <w:bCs/>
          <w:color w:val="000000"/>
          <w:sz w:val="20"/>
          <w:szCs w:val="20"/>
          <w:shd w:val="clear" w:color="auto" w:fill="FFFFFF"/>
        </w:rPr>
        <w:t>Report of Independent Registered Public Accounting Firm</w:t>
      </w:r>
    </w:p>
    <w:p w:rsidR="00000000" w:rsidRDefault="00485CCD">
      <w:pPr>
        <w:divId w:val="1740862766"/>
        <w:rPr>
          <w:rFonts w:eastAsia="Times New Roman"/>
        </w:rPr>
      </w:pPr>
    </w:p>
    <w:p w:rsidR="00000000" w:rsidRDefault="00485CCD">
      <w:pPr>
        <w:divId w:val="279530853"/>
        <w:rPr>
          <w:rFonts w:eastAsia="Times New Roman"/>
        </w:rPr>
      </w:pPr>
      <w:r>
        <w:rPr>
          <w:rFonts w:ascii="Arial" w:eastAsia="Times New Roman" w:hAnsi="Arial" w:cs="Arial"/>
          <w:color w:val="000000"/>
          <w:sz w:val="20"/>
          <w:szCs w:val="20"/>
        </w:rPr>
        <w:t>To the Stockholders and Board of Directors</w:t>
      </w:r>
    </w:p>
    <w:p w:rsidR="00000000" w:rsidRDefault="00485CCD">
      <w:pPr>
        <w:divId w:val="686521102"/>
        <w:rPr>
          <w:rFonts w:eastAsia="Times New Roman"/>
        </w:rPr>
      </w:pPr>
      <w:r>
        <w:rPr>
          <w:rFonts w:ascii="Arial" w:eastAsia="Times New Roman" w:hAnsi="Arial" w:cs="Arial"/>
          <w:color w:val="000000"/>
          <w:sz w:val="20"/>
          <w:szCs w:val="20"/>
        </w:rPr>
        <w:t>ABM Industries Incorporated:</w:t>
      </w:r>
    </w:p>
    <w:p w:rsidR="00000000" w:rsidRDefault="00485CCD">
      <w:pPr>
        <w:divId w:val="1706368254"/>
        <w:rPr>
          <w:rFonts w:eastAsia="Times New Roman"/>
        </w:rPr>
      </w:pPr>
    </w:p>
    <w:p w:rsidR="00000000" w:rsidRDefault="00485CCD">
      <w:pPr>
        <w:divId w:val="1510024120"/>
        <w:rPr>
          <w:rFonts w:eastAsia="Times New Roman"/>
        </w:rPr>
      </w:pPr>
      <w:r>
        <w:rPr>
          <w:rFonts w:ascii="Arial" w:eastAsia="Times New Roman" w:hAnsi="Arial" w:cs="Arial"/>
          <w:i/>
          <w:iCs/>
          <w:color w:val="000000"/>
          <w:sz w:val="20"/>
          <w:szCs w:val="20"/>
        </w:rPr>
        <w:t xml:space="preserve">Opinion on Internal Control Over Financial Reporting </w:t>
      </w:r>
    </w:p>
    <w:p w:rsidR="00000000" w:rsidRDefault="00485CCD">
      <w:pPr>
        <w:divId w:val="1391418554"/>
        <w:rPr>
          <w:rFonts w:eastAsia="Times New Roman"/>
        </w:rPr>
      </w:pPr>
      <w:r>
        <w:rPr>
          <w:rFonts w:ascii="Arial" w:eastAsia="Times New Roman" w:hAnsi="Arial" w:cs="Arial"/>
          <w:color w:val="000000"/>
          <w:sz w:val="20"/>
          <w:szCs w:val="20"/>
        </w:rPr>
        <w:t xml:space="preserve">We have audited ABM Industries Incorporated and subsidiaries’ (the Company) internal control over financial reporting as of October 31, 2021, based on criteria established in </w:t>
      </w:r>
      <w:r>
        <w:rPr>
          <w:rFonts w:ascii="Arial" w:eastAsia="Times New Roman" w:hAnsi="Arial" w:cs="Arial"/>
          <w:i/>
          <w:iCs/>
          <w:color w:val="000000"/>
          <w:sz w:val="20"/>
          <w:szCs w:val="20"/>
        </w:rPr>
        <w:t>Internal Control – Integrat</w:t>
      </w:r>
      <w:r>
        <w:rPr>
          <w:rFonts w:ascii="Arial" w:eastAsia="Times New Roman" w:hAnsi="Arial" w:cs="Arial"/>
          <w:i/>
          <w:iCs/>
          <w:color w:val="000000"/>
          <w:sz w:val="20"/>
          <w:szCs w:val="20"/>
        </w:rPr>
        <w:t>ed Framework (2013)</w:t>
      </w:r>
      <w:r>
        <w:rPr>
          <w:rFonts w:ascii="Arial" w:eastAsia="Times New Roman" w:hAnsi="Arial" w:cs="Arial"/>
          <w:color w:val="000000"/>
          <w:sz w:val="20"/>
          <w:szCs w:val="20"/>
        </w:rPr>
        <w:t xml:space="preserve"> issued by the Committee of Sponsoring Organizations of the Treadway Commission. In our opinion, the Company maintained, in all material respects, effective internal control over financial reporting as of October 31, 2021, based on crite</w:t>
      </w:r>
      <w:r>
        <w:rPr>
          <w:rFonts w:ascii="Arial" w:eastAsia="Times New Roman" w:hAnsi="Arial" w:cs="Arial"/>
          <w:color w:val="000000"/>
          <w:sz w:val="20"/>
          <w:szCs w:val="20"/>
        </w:rPr>
        <w:t xml:space="preserv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w:t>
      </w:r>
    </w:p>
    <w:p w:rsidR="00000000" w:rsidRDefault="00485CCD">
      <w:pPr>
        <w:divId w:val="1635673035"/>
        <w:rPr>
          <w:rFonts w:eastAsia="Times New Roman"/>
        </w:rPr>
      </w:pPr>
      <w:r>
        <w:rPr>
          <w:rFonts w:ascii="Arial" w:eastAsia="Times New Roman" w:hAnsi="Arial" w:cs="Arial"/>
          <w:color w:val="000000"/>
          <w:sz w:val="20"/>
          <w:szCs w:val="20"/>
        </w:rPr>
        <w:t>We also have audited, in accordance with the standards of the Public Company Accounting Oversight Board (Unit</w:t>
      </w:r>
      <w:r>
        <w:rPr>
          <w:rFonts w:ascii="Arial" w:eastAsia="Times New Roman" w:hAnsi="Arial" w:cs="Arial"/>
          <w:color w:val="000000"/>
          <w:sz w:val="20"/>
          <w:szCs w:val="20"/>
        </w:rPr>
        <w:t>ed States) (PCAOB), the consolidated balance sheets of the Company as of October 31, 2021 and 2020, the related consolidated statements of comprehensive income, (loss), stockholders’ equity, and cash flows for each of the years in the three</w:t>
      </w:r>
      <w:r>
        <w:rPr>
          <w:rFonts w:ascii="Arial" w:eastAsia="Times New Roman" w:hAnsi="Arial" w:cs="Arial"/>
          <w:color w:val="000000"/>
          <w:sz w:val="20"/>
          <w:szCs w:val="20"/>
        </w:rPr>
        <w:noBreakHyphen/>
        <w:t>year period end</w:t>
      </w:r>
      <w:r>
        <w:rPr>
          <w:rFonts w:ascii="Arial" w:eastAsia="Times New Roman" w:hAnsi="Arial" w:cs="Arial"/>
          <w:color w:val="000000"/>
          <w:sz w:val="20"/>
          <w:szCs w:val="20"/>
        </w:rPr>
        <w:t>ed October 31, 2021, and the related notes and financial statement schedule II (collectively, the consolidated financial statements), and our report dated December 22, 2021 expressed an unqualified opinion on those consolidated financial statements.</w:t>
      </w:r>
    </w:p>
    <w:p w:rsidR="00000000" w:rsidRDefault="00485CCD">
      <w:pPr>
        <w:divId w:val="337268400"/>
        <w:rPr>
          <w:rFonts w:eastAsia="Times New Roman"/>
        </w:rPr>
      </w:pPr>
      <w:r>
        <w:rPr>
          <w:rFonts w:ascii="Arial" w:eastAsia="Times New Roman" w:hAnsi="Arial" w:cs="Arial"/>
          <w:color w:val="000000"/>
          <w:sz w:val="20"/>
          <w:szCs w:val="20"/>
        </w:rPr>
        <w:t>The Co</w:t>
      </w:r>
      <w:r>
        <w:rPr>
          <w:rFonts w:ascii="Arial" w:eastAsia="Times New Roman" w:hAnsi="Arial" w:cs="Arial"/>
          <w:color w:val="000000"/>
          <w:sz w:val="20"/>
          <w:szCs w:val="20"/>
        </w:rPr>
        <w:t>mpany acquired Crown Building Maintenance Co. and Crown Energy Services, Inc. (collectively, “Able”) on September 30, 2021, and management excluded from its assessment of the effectiveness of the Company’s internal control over financial reporting as of Oc</w:t>
      </w:r>
      <w:r>
        <w:rPr>
          <w:rFonts w:ascii="Arial" w:eastAsia="Times New Roman" w:hAnsi="Arial" w:cs="Arial"/>
          <w:color w:val="000000"/>
          <w:sz w:val="20"/>
          <w:szCs w:val="20"/>
        </w:rPr>
        <w:t>tober 31, 2021, Able’s internal control over financial reporting. Able represented approximately 4.4% of the Company’s total consolidated assets (excluding goodwill and intangibles, which are included in the scope of the assessment) and 1.6% of total conso</w:t>
      </w:r>
      <w:r>
        <w:rPr>
          <w:rFonts w:ascii="Arial" w:eastAsia="Times New Roman" w:hAnsi="Arial" w:cs="Arial"/>
          <w:color w:val="000000"/>
          <w:sz w:val="20"/>
          <w:szCs w:val="20"/>
        </w:rPr>
        <w:t>lidated revenues as of and for the year ended October 31, 2021. Our audit of internal control over financial reporting of the Company also excluded an evaluation of the internal control over financial reporting of Able.</w:t>
      </w:r>
    </w:p>
    <w:p w:rsidR="00000000" w:rsidRDefault="00485CCD">
      <w:pPr>
        <w:divId w:val="1420559666"/>
        <w:rPr>
          <w:rFonts w:eastAsia="Times New Roman"/>
        </w:rPr>
      </w:pPr>
      <w:r>
        <w:rPr>
          <w:rFonts w:ascii="Arial" w:eastAsia="Times New Roman" w:hAnsi="Arial" w:cs="Arial"/>
          <w:i/>
          <w:iCs/>
          <w:color w:val="000000"/>
          <w:sz w:val="20"/>
          <w:szCs w:val="20"/>
        </w:rPr>
        <w:t xml:space="preserve">Basis for Opinion </w:t>
      </w:r>
    </w:p>
    <w:p w:rsidR="00000000" w:rsidRDefault="00485CCD">
      <w:pPr>
        <w:divId w:val="1588806063"/>
        <w:rPr>
          <w:rFonts w:eastAsia="Times New Roman"/>
        </w:rPr>
      </w:pPr>
      <w:r>
        <w:rPr>
          <w:rFonts w:ascii="Arial" w:eastAsia="Times New Roman" w:hAnsi="Arial" w:cs="Arial"/>
          <w:color w:val="000000"/>
          <w:sz w:val="20"/>
          <w:szCs w:val="20"/>
        </w:rPr>
        <w:t>The Company’s man</w:t>
      </w:r>
      <w:r>
        <w:rPr>
          <w:rFonts w:ascii="Arial" w:eastAsia="Times New Roman" w:hAnsi="Arial" w:cs="Arial"/>
          <w:color w:val="000000"/>
          <w:sz w:val="20"/>
          <w:szCs w:val="20"/>
        </w:rPr>
        <w:t>agement is responsible for maintaining effective internal control over financial reporting and for its assessment of the effectiveness of internal control over financial reporting, included in the accompanying Management’s Report on Internal Control Over F</w:t>
      </w:r>
      <w:r>
        <w:rPr>
          <w:rFonts w:ascii="Arial" w:eastAsia="Times New Roman" w:hAnsi="Arial" w:cs="Arial"/>
          <w:color w:val="000000"/>
          <w:sz w:val="20"/>
          <w:szCs w:val="20"/>
        </w:rPr>
        <w:t xml:space="preserve">inancial Reporting. Our responsibility is to express an opinion on the Company’s internal control over financial reporting based on our audit. We are a public accounting firm registered with the PCAOB and are required to be independent with respect to the </w:t>
      </w:r>
      <w:r>
        <w:rPr>
          <w:rFonts w:ascii="Arial" w:eastAsia="Times New Roman" w:hAnsi="Arial" w:cs="Arial"/>
          <w:color w:val="000000"/>
          <w:sz w:val="20"/>
          <w:szCs w:val="20"/>
        </w:rPr>
        <w:t>Company in accordance with the U.S. federal securities laws and the applicable rules and regulations of the Securities and Exchange Commission and the PCAOB.</w:t>
      </w:r>
    </w:p>
    <w:p w:rsidR="00000000" w:rsidRDefault="00485CCD">
      <w:pPr>
        <w:divId w:val="1694067975"/>
        <w:rPr>
          <w:rFonts w:eastAsia="Times New Roman"/>
        </w:rPr>
      </w:pPr>
      <w:r>
        <w:rPr>
          <w:rFonts w:ascii="Arial" w:eastAsia="Times New Roman" w:hAnsi="Arial" w:cs="Arial"/>
          <w:color w:val="000000"/>
          <w:sz w:val="20"/>
          <w:szCs w:val="20"/>
        </w:rPr>
        <w:t>We conducted our audit in accordance with the standards of the PCAOB. Those standards require that</w:t>
      </w:r>
      <w:r>
        <w:rPr>
          <w:rFonts w:ascii="Arial" w:eastAsia="Times New Roman" w:hAnsi="Arial" w:cs="Arial"/>
          <w:color w:val="000000"/>
          <w:sz w:val="20"/>
          <w:szCs w:val="20"/>
        </w:rPr>
        <w:t xml:space="preserve"> we plan and perform the audit to obtain reasonable assurance about whether effective internal control over financial reporting was maintained in all material respects. Our audit of internal control over financial reporting included obtaining an understand</w:t>
      </w:r>
      <w:r>
        <w:rPr>
          <w:rFonts w:ascii="Arial" w:eastAsia="Times New Roman" w:hAnsi="Arial" w:cs="Arial"/>
          <w:color w:val="000000"/>
          <w:sz w:val="20"/>
          <w:szCs w:val="20"/>
        </w:rPr>
        <w:t xml:space="preserve">ing of internal control over financial reporting, assessing the risk that a material weakness exists, and testing and evaluating the design and operating effectiveness of internal control based on the assessed risk. Our audit also included performing such </w:t>
      </w:r>
      <w:r>
        <w:rPr>
          <w:rFonts w:ascii="Arial" w:eastAsia="Times New Roman" w:hAnsi="Arial" w:cs="Arial"/>
          <w:color w:val="000000"/>
          <w:sz w:val="20"/>
          <w:szCs w:val="20"/>
        </w:rPr>
        <w:t>other procedures as we considered necessary in the circumstances. We believe that our audit provides a reasonable basis for our opinion.</w:t>
      </w:r>
    </w:p>
    <w:p w:rsidR="00000000" w:rsidRDefault="00485CCD">
      <w:pPr>
        <w:divId w:val="1526866670"/>
        <w:rPr>
          <w:rFonts w:eastAsia="Times New Roman"/>
        </w:rPr>
      </w:pPr>
      <w:r>
        <w:rPr>
          <w:rFonts w:ascii="Arial" w:eastAsia="Times New Roman" w:hAnsi="Arial" w:cs="Arial"/>
          <w:i/>
          <w:iCs/>
          <w:color w:val="000000"/>
          <w:sz w:val="20"/>
          <w:szCs w:val="20"/>
        </w:rPr>
        <w:t xml:space="preserve">Definition and Limitations of Internal Control Over Financial Reporting </w:t>
      </w:r>
    </w:p>
    <w:p w:rsidR="00000000" w:rsidRDefault="00485CCD">
      <w:pPr>
        <w:divId w:val="413550183"/>
        <w:rPr>
          <w:rFonts w:eastAsia="Times New Roman"/>
        </w:rPr>
      </w:pPr>
      <w:r>
        <w:rPr>
          <w:rFonts w:ascii="Arial" w:eastAsia="Times New Roman" w:hAnsi="Arial" w:cs="Arial"/>
          <w:color w:val="000000"/>
          <w:sz w:val="20"/>
          <w:szCs w:val="20"/>
        </w:rPr>
        <w:t>A company’s internal control over financial re</w:t>
      </w:r>
      <w:r>
        <w:rPr>
          <w:rFonts w:ascii="Arial" w:eastAsia="Times New Roman" w:hAnsi="Arial" w:cs="Arial"/>
          <w:color w:val="000000"/>
          <w:sz w:val="20"/>
          <w:szCs w:val="20"/>
        </w:rPr>
        <w:t>porting is a process designed to provide reasonable assurance regarding the reliability of financial reporting and the preparation of financial statements for external purposes in accordance with generally accepted accounting principles. A company’s intern</w:t>
      </w:r>
      <w:r>
        <w:rPr>
          <w:rFonts w:ascii="Arial" w:eastAsia="Times New Roman" w:hAnsi="Arial" w:cs="Arial"/>
          <w:color w:val="000000"/>
          <w:sz w:val="20"/>
          <w:szCs w:val="20"/>
        </w:rPr>
        <w:t xml:space="preserve">al control over financial reporting includes those policies and procedures that (1) pertain to the maintenance of records that, in reasonable detail, accurately and fairly reflect the transactions and dispositions of the assets of the company; (2) provide </w:t>
      </w:r>
      <w:r>
        <w:rPr>
          <w:rFonts w:ascii="Arial" w:eastAsia="Times New Roman" w:hAnsi="Arial" w:cs="Arial"/>
          <w:color w:val="000000"/>
          <w:sz w:val="20"/>
          <w:szCs w:val="20"/>
        </w:rPr>
        <w:t xml:space="preserve">reasonable assurance that transactions are recorded as necessary to permit preparation of financial statements in accordance with generally accepted accounting principles, and that receipts and expenditures of the company are being made </w:t>
      </w:r>
    </w:p>
    <w:p w:rsidR="00000000" w:rsidRDefault="00485CCD">
      <w:pPr>
        <w:jc w:val="center"/>
        <w:divId w:val="166285182"/>
        <w:rPr>
          <w:rFonts w:eastAsia="Times New Roman"/>
        </w:rPr>
      </w:pPr>
      <w:r>
        <w:rPr>
          <w:rFonts w:ascii="Arial" w:eastAsia="Times New Roman" w:hAnsi="Arial" w:cs="Arial"/>
          <w:color w:val="000000"/>
          <w:sz w:val="20"/>
          <w:szCs w:val="20"/>
        </w:rPr>
        <w:t>48</w:t>
      </w:r>
    </w:p>
    <w:p w:rsidR="00000000" w:rsidRDefault="00485CCD">
      <w:pPr>
        <w:rPr>
          <w:rFonts w:eastAsia="Times New Roman"/>
        </w:rPr>
      </w:pPr>
      <w:r>
        <w:rPr>
          <w:rFonts w:eastAsia="Times New Roman"/>
        </w:rPr>
        <w:pict>
          <v:rect id="_x0000_i1084" style="width:0;height:1.5pt" o:hralign="center" o:hrstd="t" o:hr="t" fillcolor="#a0a0a0" stroked="f"/>
        </w:pict>
      </w:r>
    </w:p>
    <w:p w:rsidR="00000000" w:rsidRDefault="00485CCD">
      <w:pPr>
        <w:divId w:val="1998264748"/>
        <w:rPr>
          <w:rFonts w:eastAsia="Times New Roman"/>
        </w:rPr>
      </w:pPr>
    </w:p>
    <w:p w:rsidR="00000000" w:rsidRDefault="00485CCD">
      <w:pPr>
        <w:divId w:val="465662299"/>
        <w:rPr>
          <w:rFonts w:eastAsia="Times New Roman"/>
        </w:rPr>
      </w:pPr>
      <w:r>
        <w:rPr>
          <w:rFonts w:ascii="Arial" w:eastAsia="Times New Roman" w:hAnsi="Arial" w:cs="Arial"/>
          <w:color w:val="000000"/>
          <w:sz w:val="20"/>
          <w:szCs w:val="20"/>
        </w:rPr>
        <w:t>only in accordance with authorizations of management and directors of the company; and (3) provide reasonable assurance regarding prevention or timely detection of unauthorized acquisition, use, or disposition of the company’s asset</w:t>
      </w:r>
      <w:r>
        <w:rPr>
          <w:rFonts w:ascii="Arial" w:eastAsia="Times New Roman" w:hAnsi="Arial" w:cs="Arial"/>
          <w:color w:val="000000"/>
          <w:sz w:val="20"/>
          <w:szCs w:val="20"/>
        </w:rPr>
        <w:t>s that could have a material effect on the financial statements.</w:t>
      </w:r>
    </w:p>
    <w:p w:rsidR="00000000" w:rsidRDefault="00485CCD">
      <w:pPr>
        <w:divId w:val="1556699013"/>
        <w:rPr>
          <w:rFonts w:eastAsia="Times New Roman"/>
        </w:rPr>
      </w:pPr>
      <w:r>
        <w:rPr>
          <w:rFonts w:ascii="Arial" w:eastAsia="Times New Roman" w:hAnsi="Arial" w:cs="Arial"/>
          <w:color w:val="000000"/>
          <w:sz w:val="20"/>
          <w:szCs w:val="20"/>
        </w:rPr>
        <w:t xml:space="preserve">Because of its inherent limitations, internal control over financial reporting may not prevent or detect misstatements. Also, projections of any evaluation of effectiveness to future periods </w:t>
      </w:r>
      <w:r>
        <w:rPr>
          <w:rFonts w:ascii="Arial" w:eastAsia="Times New Roman" w:hAnsi="Arial" w:cs="Arial"/>
          <w:color w:val="000000"/>
          <w:sz w:val="20"/>
          <w:szCs w:val="20"/>
        </w:rPr>
        <w:t>are subject to the risk that controls may become inadequate because of changes in conditions, or that the degree of compliance with the policies or procedures may deteriorate.</w:t>
      </w:r>
    </w:p>
    <w:p w:rsidR="00000000" w:rsidRDefault="00485CCD">
      <w:pPr>
        <w:jc w:val="center"/>
        <w:divId w:val="938027835"/>
        <w:rPr>
          <w:rFonts w:eastAsia="Times New Roman"/>
        </w:rPr>
      </w:pPr>
    </w:p>
    <w:p w:rsidR="00000000" w:rsidRDefault="00485CCD">
      <w:pPr>
        <w:divId w:val="241572914"/>
        <w:rPr>
          <w:rFonts w:eastAsia="Times New Roman"/>
        </w:rPr>
      </w:pPr>
      <w:r>
        <w:rPr>
          <w:rFonts w:ascii="Arial" w:eastAsia="Times New Roman" w:hAnsi="Arial" w:cs="Arial"/>
          <w:color w:val="000000"/>
          <w:sz w:val="20"/>
          <w:szCs w:val="20"/>
        </w:rPr>
        <w:t>/s/ KPMG LLP</w:t>
      </w:r>
    </w:p>
    <w:p w:rsidR="00000000" w:rsidRDefault="00485CCD">
      <w:pPr>
        <w:divId w:val="994181918"/>
        <w:rPr>
          <w:rFonts w:eastAsia="Times New Roman"/>
        </w:rPr>
      </w:pPr>
      <w:r>
        <w:rPr>
          <w:rFonts w:ascii="Arial" w:eastAsia="Times New Roman" w:hAnsi="Arial" w:cs="Arial"/>
          <w:color w:val="000000"/>
          <w:sz w:val="20"/>
          <w:szCs w:val="20"/>
        </w:rPr>
        <w:t>New York, New York</w:t>
      </w:r>
    </w:p>
    <w:p w:rsidR="00000000" w:rsidRDefault="00485CCD">
      <w:pPr>
        <w:divId w:val="242761835"/>
        <w:rPr>
          <w:rFonts w:eastAsia="Times New Roman"/>
        </w:rPr>
      </w:pPr>
      <w:r>
        <w:rPr>
          <w:rFonts w:ascii="Arial" w:eastAsia="Times New Roman" w:hAnsi="Arial" w:cs="Arial"/>
          <w:color w:val="000000"/>
          <w:sz w:val="20"/>
          <w:szCs w:val="20"/>
        </w:rPr>
        <w:t>December 22, 2021</w:t>
      </w:r>
    </w:p>
    <w:p w:rsidR="00000000" w:rsidRDefault="00485CCD">
      <w:pPr>
        <w:jc w:val="center"/>
        <w:divId w:val="1489052737"/>
        <w:rPr>
          <w:rFonts w:eastAsia="Times New Roman"/>
        </w:rPr>
      </w:pPr>
      <w:r>
        <w:rPr>
          <w:rFonts w:ascii="Arial" w:eastAsia="Times New Roman" w:hAnsi="Arial" w:cs="Arial"/>
          <w:color w:val="000000"/>
          <w:sz w:val="20"/>
          <w:szCs w:val="20"/>
        </w:rPr>
        <w:t>49</w:t>
      </w:r>
    </w:p>
    <w:p w:rsidR="00000000" w:rsidRDefault="00485CCD">
      <w:pPr>
        <w:rPr>
          <w:rFonts w:eastAsia="Times New Roman"/>
        </w:rPr>
      </w:pPr>
      <w:r>
        <w:rPr>
          <w:rFonts w:eastAsia="Times New Roman"/>
        </w:rPr>
        <w:pict>
          <v:rect id="_x0000_i1085" style="width:0;height:1.5pt" o:hralign="center" o:hrstd="t" o:hr="t" fillcolor="#a0a0a0" stroked="f"/>
        </w:pict>
      </w:r>
    </w:p>
    <w:p w:rsidR="00000000" w:rsidRDefault="00485CCD">
      <w:pPr>
        <w:divId w:val="1652102521"/>
        <w:rPr>
          <w:rFonts w:eastAsia="Times New Roman"/>
        </w:rPr>
      </w:pPr>
    </w:p>
    <w:p w:rsidR="00000000" w:rsidRDefault="00485CCD">
      <w:pPr>
        <w:jc w:val="center"/>
        <w:divId w:val="415563929"/>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1949775205"/>
        <w:rPr>
          <w:rFonts w:eastAsia="Times New Roman"/>
        </w:rPr>
      </w:pPr>
      <w:r>
        <w:rPr>
          <w:rFonts w:ascii="Arial" w:eastAsia="Times New Roman" w:hAnsi="Arial" w:cs="Arial"/>
          <w:b/>
          <w:bCs/>
          <w:color w:val="0046AD"/>
          <w:sz w:val="20"/>
          <w:szCs w:val="20"/>
        </w:rPr>
        <w:t>CONSOLIDATED BALANCE SHEETS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22"/>
        <w:gridCol w:w="39"/>
        <w:gridCol w:w="132"/>
        <w:gridCol w:w="1038"/>
        <w:gridCol w:w="36"/>
        <w:gridCol w:w="36"/>
        <w:gridCol w:w="36"/>
        <w:gridCol w:w="36"/>
        <w:gridCol w:w="132"/>
        <w:gridCol w:w="998"/>
        <w:gridCol w:w="36"/>
      </w:tblGrid>
      <w:tr w:rsidR="00000000">
        <w:trPr>
          <w:divId w:val="476071203"/>
          <w:jc w:val="center"/>
        </w:trPr>
        <w:tc>
          <w:tcPr>
            <w:tcW w:w="50" w:type="pct"/>
            <w:vAlign w:val="center"/>
            <w:hideMark/>
          </w:tcPr>
          <w:p w:rsidR="00000000" w:rsidRDefault="00485CCD">
            <w:pPr>
              <w:jc w:val="center"/>
              <w:rPr>
                <w:rFonts w:eastAsia="Times New Roman"/>
              </w:rPr>
            </w:pPr>
          </w:p>
        </w:tc>
        <w:tc>
          <w:tcPr>
            <w:tcW w:w="348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5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5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76071203"/>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w:t>
            </w:r>
          </w:p>
        </w:tc>
      </w:tr>
      <w:tr w:rsidR="00000000">
        <w:trPr>
          <w:divId w:val="476071203"/>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share and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Cash and cash equivalents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394.2 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2113163373"/>
              <w:rPr>
                <w:rFonts w:eastAsia="Times New Roman"/>
              </w:rPr>
            </w:pPr>
            <w:r>
              <w:rPr>
                <w:rFonts w:ascii="Arial" w:eastAsia="Times New Roman" w:hAnsi="Arial" w:cs="Arial"/>
                <w:color w:val="000000"/>
                <w:sz w:val="20"/>
                <w:szCs w:val="20"/>
              </w:rPr>
              <w:t xml:space="preserve">Trade accounts receivable, net of allowances of $32.7 and $35.5 </w:t>
            </w:r>
          </w:p>
          <w:p w:rsidR="00000000" w:rsidRDefault="00485CCD">
            <w:pPr>
              <w:ind w:hanging="180"/>
              <w:divId w:val="60062243"/>
              <w:rPr>
                <w:rFonts w:eastAsia="Times New Roman"/>
              </w:rPr>
            </w:pPr>
            <w:r>
              <w:rPr>
                <w:rFonts w:ascii="Arial" w:eastAsia="Times New Roman" w:hAnsi="Arial" w:cs="Arial"/>
                <w:color w:val="000000"/>
                <w:sz w:val="20"/>
                <w:szCs w:val="20"/>
              </w:rPr>
              <w:t>    at October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1,137.1 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854.2 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52.2 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88.7 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55.9 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74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1334140377"/>
              <w:rPr>
                <w:rFonts w:eastAsia="Times New Roman"/>
              </w:rPr>
            </w:pPr>
            <w:r>
              <w:rPr>
                <w:rFonts w:ascii="Arial" w:eastAsia="Times New Roman" w:hAnsi="Arial" w:cs="Arial"/>
                <w:color w:val="000000"/>
                <w:sz w:val="20"/>
                <w:szCs w:val="20"/>
              </w:rPr>
              <w:t xml:space="preserve">Property, plant and equipment, net of accumulated depreciation of $274.7 and </w:t>
            </w:r>
          </w:p>
          <w:p w:rsidR="00000000" w:rsidRDefault="00485CCD">
            <w:pPr>
              <w:divId w:val="1644852363"/>
              <w:rPr>
                <w:rFonts w:eastAsia="Times New Roman"/>
              </w:rPr>
            </w:pPr>
            <w:r>
              <w:rPr>
                <w:rFonts w:ascii="Arial" w:eastAsia="Times New Roman" w:hAnsi="Arial" w:cs="Arial"/>
                <w:color w:val="000000"/>
                <w:sz w:val="20"/>
                <w:szCs w:val="20"/>
              </w:rPr>
              <w:t>    $241.3 at October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111.9 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143.1 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687371899"/>
              <w:rPr>
                <w:rFonts w:eastAsia="Times New Roman"/>
              </w:rPr>
            </w:pPr>
            <w:r>
              <w:rPr>
                <w:rFonts w:ascii="Arial" w:eastAsia="Times New Roman" w:hAnsi="Arial" w:cs="Arial"/>
                <w:color w:val="000000"/>
                <w:sz w:val="20"/>
                <w:szCs w:val="20"/>
              </w:rPr>
              <w:t>Other intangible assets, net of accumulated amortization of $389.3 and $343.8 at October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424.8 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239.7 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Goodwill</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2,228.9 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1,671.4 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3,776.9 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portion of long-term debt, net</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116.7 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Trade accounts payable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289.4 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273.3 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238.0 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Accrued taxes—other than income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124.9 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155.2 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Current portion of lease liabilities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387.4 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167.3 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74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Deferred income tax liability, net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Noncurrent insurance claims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413.3 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168.1 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2,827.0 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2,276.6 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Stockholders’ Equity</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1753432534"/>
              <w:rPr>
                <w:rFonts w:eastAsia="Times New Roman"/>
              </w:rPr>
            </w:pPr>
            <w:r>
              <w:rPr>
                <w:rFonts w:ascii="Arial" w:eastAsia="Times New Roman" w:hAnsi="Arial" w:cs="Arial"/>
                <w:color w:val="000000"/>
                <w:sz w:val="20"/>
                <w:szCs w:val="20"/>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divId w:val="1567569850"/>
              <w:rPr>
                <w:rFonts w:eastAsia="Times New Roman"/>
              </w:rPr>
            </w:pPr>
            <w:r>
              <w:rPr>
                <w:rFonts w:ascii="Arial" w:eastAsia="Times New Roman" w:hAnsi="Arial" w:cs="Arial"/>
                <w:color w:val="000000"/>
                <w:sz w:val="20"/>
                <w:szCs w:val="20"/>
              </w:rPr>
              <w:t>Common stock, $0.01 par value; 100,000,000 shares authorized;</w:t>
            </w:r>
          </w:p>
          <w:p w:rsidR="00000000" w:rsidRDefault="00485CCD">
            <w:pPr>
              <w:divId w:val="1788623969"/>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xml:space="preserve">67,302,449 and 66,748,157 shares issued and outstanding at </w:t>
            </w:r>
          </w:p>
          <w:p w:rsidR="00000000" w:rsidRDefault="00485CCD">
            <w:pPr>
              <w:divId w:val="1722752828"/>
              <w:rPr>
                <w:rFonts w:eastAsia="Times New Roman"/>
              </w:rPr>
            </w:pPr>
            <w:r>
              <w:rPr>
                <w:rFonts w:ascii="Arial" w:eastAsia="Times New Roman" w:hAnsi="Arial" w:cs="Arial"/>
                <w:color w:val="000000"/>
                <w:sz w:val="20"/>
                <w:szCs w:val="20"/>
              </w:rPr>
              <w:t>    October 31, 2021 and 2020, respectively</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750.9 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724.1 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880.2 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806.4 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7607120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1954434208"/>
        <w:rPr>
          <w:rFonts w:eastAsia="Times New Roman"/>
        </w:rPr>
      </w:pPr>
      <w:r>
        <w:rPr>
          <w:rFonts w:ascii="Arial" w:eastAsia="Times New Roman" w:hAnsi="Arial" w:cs="Arial"/>
          <w:color w:val="000000"/>
          <w:sz w:val="20"/>
          <w:szCs w:val="20"/>
        </w:rPr>
        <w:t>See accompanying notes to consolidated financial statements.</w:t>
      </w:r>
    </w:p>
    <w:p w:rsidR="00000000" w:rsidRDefault="00485CCD">
      <w:pPr>
        <w:jc w:val="center"/>
        <w:divId w:val="689180251"/>
        <w:rPr>
          <w:rFonts w:eastAsia="Times New Roman"/>
        </w:rPr>
      </w:pPr>
      <w:r>
        <w:rPr>
          <w:rFonts w:ascii="Arial" w:eastAsia="Times New Roman" w:hAnsi="Arial" w:cs="Arial"/>
          <w:color w:val="000000"/>
          <w:sz w:val="20"/>
          <w:szCs w:val="20"/>
        </w:rPr>
        <w:t>50</w:t>
      </w:r>
    </w:p>
    <w:p w:rsidR="00000000" w:rsidRDefault="00485CCD">
      <w:pPr>
        <w:rPr>
          <w:rFonts w:eastAsia="Times New Roman"/>
        </w:rPr>
      </w:pPr>
      <w:r>
        <w:rPr>
          <w:rFonts w:eastAsia="Times New Roman"/>
        </w:rPr>
        <w:pict>
          <v:rect id="_x0000_i1086" style="width:0;height:1.5pt" o:hralign="center" o:hrstd="t" o:hr="t" fillcolor="#a0a0a0" stroked="f"/>
        </w:pict>
      </w:r>
    </w:p>
    <w:p w:rsidR="00000000" w:rsidRDefault="00485CCD">
      <w:pPr>
        <w:divId w:val="488135819"/>
        <w:rPr>
          <w:rFonts w:eastAsia="Times New Roman"/>
        </w:rPr>
      </w:pPr>
    </w:p>
    <w:p w:rsidR="00000000" w:rsidRDefault="00485CCD">
      <w:pPr>
        <w:jc w:val="center"/>
        <w:divId w:val="837888914"/>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97337883"/>
        <w:rPr>
          <w:rFonts w:eastAsia="Times New Roman"/>
        </w:rPr>
      </w:pPr>
      <w:r>
        <w:rPr>
          <w:rFonts w:ascii="Arial" w:eastAsia="Times New Roman" w:hAnsi="Arial" w:cs="Arial"/>
          <w:b/>
          <w:bCs/>
          <w:color w:val="0046AD"/>
          <w:sz w:val="20"/>
          <w:szCs w:val="20"/>
        </w:rPr>
        <w:t>CONSOLIDATED STATEMENTS OF COMPREHENSIVE INCOME (LOSS)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656"/>
        <w:gridCol w:w="40"/>
        <w:gridCol w:w="132"/>
        <w:gridCol w:w="972"/>
        <w:gridCol w:w="36"/>
        <w:gridCol w:w="36"/>
        <w:gridCol w:w="36"/>
        <w:gridCol w:w="36"/>
        <w:gridCol w:w="132"/>
        <w:gridCol w:w="926"/>
        <w:gridCol w:w="36"/>
        <w:gridCol w:w="36"/>
        <w:gridCol w:w="36"/>
        <w:gridCol w:w="36"/>
        <w:gridCol w:w="132"/>
        <w:gridCol w:w="926"/>
        <w:gridCol w:w="36"/>
      </w:tblGrid>
      <w:tr w:rsidR="00000000">
        <w:trPr>
          <w:divId w:val="265772477"/>
          <w:jc w:val="center"/>
        </w:trPr>
        <w:tc>
          <w:tcPr>
            <w:tcW w:w="50" w:type="pct"/>
            <w:vAlign w:val="center"/>
            <w:hideMark/>
          </w:tcPr>
          <w:p w:rsidR="00000000" w:rsidRDefault="00485CCD">
            <w:pPr>
              <w:jc w:val="center"/>
              <w:rPr>
                <w:rFonts w:eastAsia="Times New Roman"/>
              </w:rPr>
            </w:pPr>
          </w:p>
        </w:tc>
        <w:tc>
          <w:tcPr>
            <w:tcW w:w="284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65772477"/>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265772477"/>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5,258.2 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5,157.0 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5,767.5 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719.2 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506.1 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452.9 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Restructuring and related expenses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Amortization of intangible assets </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48.4 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58.5 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Impairment loss of goodwill and other intangibles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172.8 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tax provision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(loss)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65772477"/>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Comprehensive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523246832"/>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711929948"/>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 xml:space="preserve">Weighted-average common and common </w:t>
            </w:r>
            <w:r>
              <w:rPr>
                <w:rFonts w:ascii="Arial" w:eastAsia="Times New Roman" w:hAnsi="Arial" w:cs="Arial"/>
                <w:b/>
                <w:bCs/>
                <w:color w:val="000000"/>
                <w:sz w:val="20"/>
                <w:szCs w:val="20"/>
              </w:rPr>
              <w:br/>
            </w:r>
            <w:r>
              <w:rPr>
                <w:rFonts w:ascii="Arial" w:eastAsia="Times New Roman" w:hAnsi="Arial" w:cs="Arial"/>
                <w:b/>
                <w:bCs/>
                <w:color w:val="000000"/>
                <w:sz w:val="20"/>
                <w:szCs w:val="20"/>
              </w:rPr>
              <w:t>equivalent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65772477"/>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Basic</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65772477"/>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67.3 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1053576366"/>
        <w:rPr>
          <w:rFonts w:eastAsia="Times New Roman"/>
        </w:rPr>
      </w:pPr>
      <w:r>
        <w:rPr>
          <w:rFonts w:ascii="Arial" w:eastAsia="Times New Roman" w:hAnsi="Arial" w:cs="Arial"/>
          <w:color w:val="000000"/>
          <w:sz w:val="20"/>
          <w:szCs w:val="20"/>
        </w:rPr>
        <w:t>See accompanying notes to consolidated financial statements.</w:t>
      </w:r>
    </w:p>
    <w:p w:rsidR="00000000" w:rsidRDefault="00485CCD">
      <w:pPr>
        <w:jc w:val="center"/>
        <w:divId w:val="1586567510"/>
        <w:rPr>
          <w:rFonts w:eastAsia="Times New Roman"/>
        </w:rPr>
      </w:pPr>
      <w:r>
        <w:rPr>
          <w:rFonts w:ascii="Arial" w:eastAsia="Times New Roman" w:hAnsi="Arial" w:cs="Arial"/>
          <w:color w:val="000000"/>
          <w:sz w:val="20"/>
          <w:szCs w:val="20"/>
        </w:rPr>
        <w:t>51</w:t>
      </w:r>
    </w:p>
    <w:p w:rsidR="00000000" w:rsidRDefault="00485CCD">
      <w:pPr>
        <w:rPr>
          <w:rFonts w:eastAsia="Times New Roman"/>
        </w:rPr>
      </w:pPr>
      <w:r>
        <w:rPr>
          <w:rFonts w:eastAsia="Times New Roman"/>
        </w:rPr>
        <w:pict>
          <v:rect id="_x0000_i1087" style="width:0;height:1.5pt" o:hralign="center" o:hrstd="t" o:hr="t" fillcolor="#a0a0a0" stroked="f"/>
        </w:pict>
      </w:r>
    </w:p>
    <w:p w:rsidR="00000000" w:rsidRDefault="00485CCD">
      <w:pPr>
        <w:divId w:val="1908147707"/>
        <w:rPr>
          <w:rFonts w:eastAsia="Times New Roman"/>
        </w:rPr>
      </w:pPr>
    </w:p>
    <w:p w:rsidR="00000000" w:rsidRDefault="00485CCD">
      <w:pPr>
        <w:jc w:val="center"/>
        <w:divId w:val="1083800706"/>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659846702"/>
        <w:rPr>
          <w:rFonts w:eastAsia="Times New Roman"/>
        </w:rPr>
      </w:pPr>
      <w:r>
        <w:rPr>
          <w:rFonts w:ascii="Arial" w:eastAsia="Times New Roman" w:hAnsi="Arial" w:cs="Arial"/>
          <w:b/>
          <w:bCs/>
          <w:color w:val="0046AD"/>
          <w:sz w:val="20"/>
          <w:szCs w:val="20"/>
        </w:rPr>
        <w:t xml:space="preserve">CONSOLIDATED STATEMENTS OF STOCKHOLDERS’ EQUITY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3509"/>
        <w:gridCol w:w="40"/>
        <w:gridCol w:w="36"/>
        <w:gridCol w:w="36"/>
        <w:gridCol w:w="36"/>
        <w:gridCol w:w="66"/>
        <w:gridCol w:w="546"/>
        <w:gridCol w:w="36"/>
        <w:gridCol w:w="36"/>
        <w:gridCol w:w="36"/>
        <w:gridCol w:w="36"/>
        <w:gridCol w:w="109"/>
        <w:gridCol w:w="579"/>
        <w:gridCol w:w="36"/>
        <w:gridCol w:w="36"/>
        <w:gridCol w:w="36"/>
        <w:gridCol w:w="36"/>
        <w:gridCol w:w="66"/>
        <w:gridCol w:w="512"/>
        <w:gridCol w:w="36"/>
        <w:gridCol w:w="36"/>
        <w:gridCol w:w="36"/>
        <w:gridCol w:w="36"/>
        <w:gridCol w:w="109"/>
        <w:gridCol w:w="579"/>
        <w:gridCol w:w="36"/>
        <w:gridCol w:w="36"/>
        <w:gridCol w:w="36"/>
        <w:gridCol w:w="36"/>
        <w:gridCol w:w="66"/>
        <w:gridCol w:w="516"/>
        <w:gridCol w:w="36"/>
        <w:gridCol w:w="36"/>
        <w:gridCol w:w="36"/>
        <w:gridCol w:w="36"/>
        <w:gridCol w:w="109"/>
        <w:gridCol w:w="579"/>
        <w:gridCol w:w="36"/>
      </w:tblGrid>
      <w:tr w:rsidR="00000000">
        <w:trPr>
          <w:divId w:val="1427386679"/>
          <w:jc w:val="center"/>
        </w:trPr>
        <w:tc>
          <w:tcPr>
            <w:tcW w:w="50" w:type="pct"/>
            <w:vAlign w:val="center"/>
            <w:hideMark/>
          </w:tcPr>
          <w:p w:rsidR="00000000" w:rsidRDefault="00485CCD">
            <w:pPr>
              <w:jc w:val="center"/>
              <w:rPr>
                <w:rFonts w:eastAsia="Times New Roman"/>
              </w:rPr>
            </w:pPr>
          </w:p>
        </w:tc>
        <w:tc>
          <w:tcPr>
            <w:tcW w:w="213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8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6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8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6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8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8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427386679"/>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Years Ended October 31,</w:t>
            </w:r>
          </w:p>
        </w:tc>
      </w:tr>
      <w:tr w:rsidR="00000000">
        <w:trPr>
          <w:divId w:val="1427386679"/>
          <w:jc w:val="center"/>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2019</w:t>
            </w:r>
          </w:p>
        </w:tc>
      </w:tr>
      <w:tr w:rsidR="00000000">
        <w:trPr>
          <w:divId w:val="1427386679"/>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Amount</w:t>
            </w:r>
          </w:p>
        </w:tc>
      </w:tr>
      <w:tr w:rsidR="00000000">
        <w:trPr>
          <w:divId w:val="1427386679"/>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27386679"/>
          <w:jc w:val="center"/>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66.0 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Stock issued under employee stock purchase and share-based</w:t>
            </w:r>
            <w:r>
              <w:rPr>
                <w:rFonts w:ascii="Arial" w:eastAsia="Times New Roman" w:hAnsi="Arial" w:cs="Arial"/>
                <w:color w:val="000000"/>
                <w:sz w:val="16"/>
                <w:szCs w:val="16"/>
              </w:rPr>
              <w:br/>
              <w:t>compensation plans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708.9 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691.8 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ind w:hanging="270"/>
              <w:divId w:val="2135519698"/>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485CCD">
            <w:pPr>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Share-based compensation expense</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20.3 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750.9 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724.1 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708.9 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(14.9)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(22.5)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(23.9)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771.2 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Dividends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1006519759"/>
              <w:rPr>
                <w:rFonts w:eastAsia="Times New Roman"/>
              </w:rPr>
            </w:pPr>
            <w:r>
              <w:rPr>
                <w:rFonts w:ascii="Arial" w:eastAsia="Times New Roman" w:hAnsi="Arial" w:cs="Arial"/>
                <w:color w:val="000000"/>
                <w:sz w:val="16"/>
                <w:szCs w:val="16"/>
              </w:rPr>
              <w:t>Common stock ($0.760, $0.740, and $0.720 per share)</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(51.0)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(49.3)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(47.7)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Stock issued under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1042437709"/>
              <w:rPr>
                <w:rFonts w:eastAsia="Times New Roman"/>
              </w:rPr>
            </w:pPr>
            <w:r>
              <w:rPr>
                <w:rFonts w:ascii="Arial" w:eastAsia="Times New Roman" w:hAnsi="Arial" w:cs="Arial"/>
                <w:color w:val="000000"/>
                <w:sz w:val="16"/>
                <w:szCs w:val="16"/>
              </w:rPr>
              <w:t>Cumulative effect adjustment for adoption of</w:t>
            </w:r>
            <w:r>
              <w:rPr>
                <w:rFonts w:ascii="Arial" w:eastAsia="Times New Roman" w:hAnsi="Arial" w:cs="Arial"/>
                <w:color w:val="000000"/>
                <w:sz w:val="16"/>
                <w:szCs w:val="16"/>
              </w:rPr>
              <w:t xml:space="preserve"> </w:t>
            </w:r>
            <w:r>
              <w:rPr>
                <w:rFonts w:ascii="Arial" w:eastAsia="Times New Roman" w:hAnsi="Arial" w:cs="Arial"/>
                <w:color w:val="000000"/>
                <w:sz w:val="16"/>
                <w:szCs w:val="16"/>
              </w:rPr>
              <w:t>ASU 2014-0</w:t>
            </w:r>
            <w:r>
              <w:rPr>
                <w:rFonts w:ascii="Arial" w:eastAsia="Times New Roman" w:hAnsi="Arial" w:cs="Arial"/>
                <w:color w:val="000000"/>
                <w:sz w:val="16"/>
                <w:szCs w:val="16"/>
              </w:rPr>
              <w:t>9</w:t>
            </w:r>
          </w:p>
        </w:tc>
        <w:tc>
          <w:tcPr>
            <w:tcW w:w="0" w:type="auto"/>
            <w:gridSpan w:val="3"/>
            <w:shd w:val="clear" w:color="auto" w:fill="FFFFFF"/>
            <w:tcMar>
              <w:top w:w="0" w:type="dxa"/>
              <w:left w:w="20" w:type="dxa"/>
              <w:bottom w:w="0" w:type="dxa"/>
              <w:right w:w="20" w:type="dxa"/>
            </w:tcMar>
            <w:vAlign w:val="center"/>
            <w:hideMark/>
          </w:tcPr>
          <w:p w:rsidR="00000000" w:rsidRDefault="00485CCD">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   Balance, end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880.2 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806.4 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856.3 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427386679"/>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1,609.2 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1,500.3 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1,542.0 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696270539"/>
        <w:rPr>
          <w:rFonts w:eastAsia="Times New Roman"/>
        </w:rPr>
      </w:pPr>
      <w:r>
        <w:rPr>
          <w:rFonts w:ascii="Arial" w:eastAsia="Times New Roman" w:hAnsi="Arial" w:cs="Arial"/>
          <w:color w:val="000000"/>
          <w:sz w:val="20"/>
          <w:szCs w:val="20"/>
        </w:rPr>
        <w:t>See accompanying notes to consolidated financial statements.</w:t>
      </w:r>
    </w:p>
    <w:p w:rsidR="00000000" w:rsidRDefault="00485CCD">
      <w:pPr>
        <w:jc w:val="center"/>
        <w:divId w:val="261842680"/>
        <w:rPr>
          <w:rFonts w:eastAsia="Times New Roman"/>
        </w:rPr>
      </w:pPr>
    </w:p>
    <w:p w:rsidR="00000000" w:rsidRDefault="00485CCD">
      <w:pPr>
        <w:divId w:val="1311322196"/>
        <w:rPr>
          <w:rFonts w:eastAsia="Times New Roman"/>
        </w:rPr>
      </w:pPr>
    </w:p>
    <w:p w:rsidR="00000000" w:rsidRDefault="00485CCD">
      <w:pPr>
        <w:jc w:val="center"/>
        <w:divId w:val="673143144"/>
        <w:rPr>
          <w:rFonts w:eastAsia="Times New Roman"/>
        </w:rPr>
      </w:pPr>
      <w:r>
        <w:rPr>
          <w:rFonts w:ascii="Arial" w:eastAsia="Times New Roman" w:hAnsi="Arial" w:cs="Arial"/>
          <w:color w:val="000000"/>
          <w:sz w:val="20"/>
          <w:szCs w:val="20"/>
        </w:rPr>
        <w:t>52</w:t>
      </w:r>
    </w:p>
    <w:p w:rsidR="00000000" w:rsidRDefault="00485CCD">
      <w:pPr>
        <w:rPr>
          <w:rFonts w:eastAsia="Times New Roman"/>
        </w:rPr>
      </w:pPr>
      <w:r>
        <w:rPr>
          <w:rFonts w:eastAsia="Times New Roman"/>
        </w:rPr>
        <w:pict>
          <v:rect id="_x0000_i1088" style="width:0;height:1.5pt" o:hralign="center" o:hrstd="t" o:hr="t" fillcolor="#a0a0a0" stroked="f"/>
        </w:pict>
      </w:r>
    </w:p>
    <w:p w:rsidR="00000000" w:rsidRDefault="00485CCD">
      <w:pPr>
        <w:divId w:val="220411310"/>
        <w:rPr>
          <w:rFonts w:eastAsia="Times New Roman"/>
        </w:rPr>
      </w:pPr>
    </w:p>
    <w:p w:rsidR="00000000" w:rsidRDefault="00485CCD">
      <w:pPr>
        <w:jc w:val="center"/>
        <w:divId w:val="1113938535"/>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1039087614"/>
        <w:rPr>
          <w:rFonts w:eastAsia="Times New Roman"/>
        </w:rPr>
      </w:pPr>
      <w:r>
        <w:rPr>
          <w:rFonts w:ascii="Arial" w:eastAsia="Times New Roman" w:hAnsi="Arial" w:cs="Arial"/>
          <w:b/>
          <w:bCs/>
          <w:color w:val="0046AD"/>
          <w:sz w:val="20"/>
          <w:szCs w:val="20"/>
        </w:rPr>
        <w:t>CONSOLIDATED STATEMENTS OF CASH FLOWS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136"/>
        <w:gridCol w:w="39"/>
        <w:gridCol w:w="109"/>
        <w:gridCol w:w="834"/>
        <w:gridCol w:w="36"/>
        <w:gridCol w:w="36"/>
        <w:gridCol w:w="36"/>
        <w:gridCol w:w="36"/>
        <w:gridCol w:w="110"/>
        <w:gridCol w:w="795"/>
        <w:gridCol w:w="36"/>
        <w:gridCol w:w="36"/>
        <w:gridCol w:w="36"/>
        <w:gridCol w:w="36"/>
        <w:gridCol w:w="110"/>
        <w:gridCol w:w="796"/>
        <w:gridCol w:w="36"/>
      </w:tblGrid>
      <w:tr w:rsidR="00000000">
        <w:trPr>
          <w:divId w:val="838812011"/>
          <w:jc w:val="center"/>
        </w:trPr>
        <w:tc>
          <w:tcPr>
            <w:tcW w:w="50" w:type="pct"/>
            <w:vAlign w:val="center"/>
            <w:hideMark/>
          </w:tcPr>
          <w:p w:rsidR="00000000" w:rsidRDefault="00485CCD">
            <w:pPr>
              <w:jc w:val="center"/>
              <w:rPr>
                <w:rFonts w:eastAsia="Times New Roman"/>
              </w:rPr>
            </w:pPr>
          </w:p>
        </w:tc>
        <w:tc>
          <w:tcPr>
            <w:tcW w:w="312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838812011"/>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Years Ended October 31,</w:t>
            </w:r>
          </w:p>
        </w:tc>
      </w:tr>
      <w:tr w:rsidR="00000000">
        <w:trPr>
          <w:divId w:val="838812011"/>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2019</w:t>
            </w: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(Income) loss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Adjustments to reconcile income from continuing operations to net cash provided by</w:t>
            </w:r>
            <w:r>
              <w:rPr>
                <w:rFonts w:ascii="Arial" w:eastAsia="Times New Roman" w:hAnsi="Arial" w:cs="Arial"/>
                <w:b/>
                <w:bCs/>
                <w:color w:val="000000"/>
                <w:sz w:val="16"/>
                <w:szCs w:val="16"/>
              </w:rPr>
              <w:br/>
              <w:t>operating activities of continuing operations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89.9 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96.4 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107.4 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Impairment loss on goodwill and other intangibles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172.8 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Impairment loss on fixed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(48.0)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(36.6)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33.5 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Amortization of accumulated other comprehensive gain on interest rate swaps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Loss (gain) on sale of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Reserves on other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Changes in operating assets and liabilities, net of effects of acquisitions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(124.5)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141.4 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(78.3)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(15.5)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(13.2)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24.4 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(10.4)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265.7 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(53.5)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85.8 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 xml:space="preserve">Long-term lease liabilities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(16.3)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(22.9)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(28.4)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(35.4)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96.2 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Net cash provided by operating activities of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Net cash provided by (used in)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(34.3)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(38.0)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(59.6)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Purchase of business,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(710.2)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(740.0)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(27.5)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(58.3)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Dividends paid</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(51.0)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(49.3)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47.7)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357.7 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1,058.5 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1,755.9 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(194.2)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(1,141.6)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(1,896.5)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(17.9)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41.2 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15.1 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(184.8)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(0.2)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Net (decrease) increase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(331.4)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335.7 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19.4 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394.2 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58.5 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39.1 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838812011"/>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Cash and cash equivalents at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62.8 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394.2 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58.5 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909970917"/>
        <w:rPr>
          <w:rFonts w:eastAsia="Times New Roman"/>
        </w:rPr>
      </w:pPr>
      <w:r>
        <w:rPr>
          <w:rFonts w:ascii="Arial" w:eastAsia="Times New Roman" w:hAnsi="Arial" w:cs="Arial"/>
          <w:color w:val="000000"/>
          <w:sz w:val="20"/>
          <w:szCs w:val="20"/>
        </w:rPr>
        <w:t>53</w:t>
      </w:r>
    </w:p>
    <w:p w:rsidR="00000000" w:rsidRDefault="00485CCD">
      <w:pPr>
        <w:rPr>
          <w:rFonts w:eastAsia="Times New Roman"/>
        </w:rPr>
      </w:pPr>
      <w:r>
        <w:rPr>
          <w:rFonts w:eastAsia="Times New Roman"/>
        </w:rPr>
        <w:pict>
          <v:rect id="_x0000_i1089" style="width:0;height:1.5pt" o:hralign="center" o:hrstd="t" o:hr="t" fillcolor="#a0a0a0" stroked="f"/>
        </w:pict>
      </w:r>
    </w:p>
    <w:p w:rsidR="00000000" w:rsidRDefault="00485CCD">
      <w:pPr>
        <w:divId w:val="816385540"/>
        <w:rPr>
          <w:rFonts w:eastAsia="Times New Roman"/>
        </w:rPr>
      </w:pPr>
    </w:p>
    <w:p w:rsidR="00000000" w:rsidRDefault="00485CCD">
      <w:pPr>
        <w:jc w:val="center"/>
        <w:divId w:val="799231221"/>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74478421"/>
        <w:rPr>
          <w:rFonts w:eastAsia="Times New Roman"/>
        </w:rPr>
      </w:pPr>
      <w:r>
        <w:rPr>
          <w:rFonts w:ascii="Arial" w:eastAsia="Times New Roman" w:hAnsi="Arial" w:cs="Arial"/>
          <w:b/>
          <w:bCs/>
          <w:color w:val="0046AD"/>
          <w:sz w:val="20"/>
          <w:szCs w:val="20"/>
        </w:rPr>
        <w:t>CONSOLIDATED STATEMENTS OF CASH FLOWS</w:t>
      </w:r>
    </w:p>
    <w:p w:rsidR="00000000" w:rsidRDefault="00485CCD">
      <w:pPr>
        <w:jc w:val="center"/>
        <w:divId w:val="868488250"/>
        <w:rPr>
          <w:rFonts w:eastAsia="Times New Roman"/>
        </w:rPr>
      </w:pPr>
      <w:r>
        <w:rPr>
          <w:rFonts w:ascii="Arial" w:eastAsia="Times New Roman" w:hAnsi="Arial" w:cs="Arial"/>
          <w:b/>
          <w:bCs/>
          <w:color w:val="0046AD"/>
          <w:sz w:val="20"/>
          <w:szCs w:val="20"/>
        </w:rPr>
        <w:t>(continued)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139"/>
        <w:gridCol w:w="36"/>
        <w:gridCol w:w="109"/>
        <w:gridCol w:w="835"/>
        <w:gridCol w:w="36"/>
        <w:gridCol w:w="36"/>
        <w:gridCol w:w="36"/>
        <w:gridCol w:w="36"/>
        <w:gridCol w:w="109"/>
        <w:gridCol w:w="796"/>
        <w:gridCol w:w="36"/>
        <w:gridCol w:w="36"/>
        <w:gridCol w:w="36"/>
        <w:gridCol w:w="36"/>
        <w:gridCol w:w="109"/>
        <w:gridCol w:w="797"/>
        <w:gridCol w:w="36"/>
      </w:tblGrid>
      <w:tr w:rsidR="00000000">
        <w:trPr>
          <w:divId w:val="2036416722"/>
          <w:jc w:val="center"/>
        </w:trPr>
        <w:tc>
          <w:tcPr>
            <w:tcW w:w="50" w:type="pct"/>
            <w:vAlign w:val="center"/>
            <w:hideMark/>
          </w:tcPr>
          <w:p w:rsidR="00000000" w:rsidRDefault="00485CCD">
            <w:pPr>
              <w:jc w:val="center"/>
              <w:rPr>
                <w:rFonts w:eastAsia="Times New Roman"/>
              </w:rPr>
            </w:pPr>
          </w:p>
        </w:tc>
        <w:tc>
          <w:tcPr>
            <w:tcW w:w="312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36416722"/>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Years Ended October 31,</w:t>
            </w:r>
          </w:p>
        </w:tc>
      </w:tr>
      <w:tr w:rsidR="00000000">
        <w:trPr>
          <w:divId w:val="2036416722"/>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2019</w:t>
            </w:r>
          </w:p>
        </w:tc>
      </w:tr>
      <w:tr w:rsidR="00000000">
        <w:trPr>
          <w:divId w:val="2036416722"/>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6"/>
                <w:szCs w:val="16"/>
              </w:rPr>
              <w:t>Supplemental cash flow information</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036416722"/>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Income tax payments, net</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93.5 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82.2 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36416722"/>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Interest paid on credit facility</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14.3 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32.9 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6"/>
                <w:szCs w:val="16"/>
              </w:rPr>
              <w:t>39.9 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1301569662"/>
        <w:rPr>
          <w:rFonts w:eastAsia="Times New Roman"/>
        </w:rPr>
      </w:pPr>
      <w:r>
        <w:rPr>
          <w:rFonts w:ascii="Arial" w:eastAsia="Times New Roman" w:hAnsi="Arial" w:cs="Arial"/>
          <w:color w:val="000000"/>
          <w:sz w:val="20"/>
          <w:szCs w:val="20"/>
        </w:rPr>
        <w:t>See accompanying notes to consolidated financial statements.</w:t>
      </w:r>
    </w:p>
    <w:p w:rsidR="00000000" w:rsidRDefault="00485CCD">
      <w:pPr>
        <w:jc w:val="center"/>
        <w:divId w:val="1927807742"/>
        <w:rPr>
          <w:rFonts w:eastAsia="Times New Roman"/>
        </w:rPr>
      </w:pPr>
      <w:r>
        <w:rPr>
          <w:rFonts w:ascii="Arial" w:eastAsia="Times New Roman" w:hAnsi="Arial" w:cs="Arial"/>
          <w:color w:val="000000"/>
          <w:sz w:val="20"/>
          <w:szCs w:val="20"/>
        </w:rPr>
        <w:t>54</w:t>
      </w:r>
    </w:p>
    <w:p w:rsidR="00000000" w:rsidRDefault="00485CCD">
      <w:pPr>
        <w:rPr>
          <w:rFonts w:eastAsia="Times New Roman"/>
        </w:rPr>
      </w:pPr>
      <w:r>
        <w:rPr>
          <w:rFonts w:eastAsia="Times New Roman"/>
        </w:rPr>
        <w:pict>
          <v:rect id="_x0000_i1090" style="width:0;height:1.5pt" o:hralign="center" o:hrstd="t" o:hr="t" fillcolor="#a0a0a0" stroked="f"/>
        </w:pict>
      </w:r>
    </w:p>
    <w:p w:rsidR="00000000" w:rsidRDefault="00485CCD">
      <w:pPr>
        <w:divId w:val="1529947954"/>
        <w:rPr>
          <w:rFonts w:eastAsia="Times New Roman"/>
        </w:rPr>
      </w:pPr>
    </w:p>
    <w:p w:rsidR="00000000" w:rsidRDefault="00485CCD">
      <w:pPr>
        <w:jc w:val="center"/>
        <w:divId w:val="716323145"/>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799496518"/>
        <w:rPr>
          <w:rFonts w:eastAsia="Times New Roman"/>
        </w:rPr>
      </w:pPr>
      <w:r>
        <w:rPr>
          <w:rFonts w:ascii="Arial" w:eastAsia="Times New Roman" w:hAnsi="Arial" w:cs="Arial"/>
          <w:b/>
          <w:bCs/>
          <w:color w:val="0046AD"/>
          <w:sz w:val="20"/>
          <w:szCs w:val="20"/>
        </w:rPr>
        <w:t>NOTES TO CONSOLIDATED FINANCIAL STATEMENTS</w:t>
      </w:r>
    </w:p>
    <w:p w:rsidR="00000000" w:rsidRDefault="00485CCD">
      <w:pPr>
        <w:divId w:val="94055584"/>
        <w:rPr>
          <w:rFonts w:eastAsia="Times New Roman"/>
        </w:rPr>
      </w:pPr>
      <w:r>
        <w:rPr>
          <w:rFonts w:ascii="Arial" w:eastAsia="Times New Roman" w:hAnsi="Arial" w:cs="Arial"/>
          <w:b/>
          <w:bCs/>
          <w:color w:val="0046AD"/>
          <w:sz w:val="20"/>
          <w:szCs w:val="20"/>
        </w:rPr>
        <w:t>1. THE COMPANY AND NATURE OF OPERATIONS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191144585"/>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191144585"/>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1647054250"/>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rsidR="00000000" w:rsidRDefault="00485CCD">
      <w:pPr>
        <w:jc w:val="both"/>
        <w:divId w:val="855852074"/>
        <w:rPr>
          <w:rFonts w:eastAsia="Times New Roman"/>
        </w:rPr>
      </w:pPr>
    </w:p>
    <w:p w:rsidR="00000000" w:rsidRDefault="00485CCD">
      <w:pPr>
        <w:spacing w:before="60" w:after="180"/>
        <w:jc w:val="center"/>
        <w:divId w:val="731005835"/>
        <w:rPr>
          <w:rFonts w:eastAsia="Times New Roman"/>
        </w:rPr>
      </w:pPr>
      <w:r>
        <w:rPr>
          <w:rFonts w:eastAsia="Times New Roman"/>
          <w:noProof/>
        </w:rPr>
        <w:drawing>
          <wp:inline distT="0" distB="0" distL="0" distR="0">
            <wp:extent cx="304800" cy="3048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85CCD">
      <w:pPr>
        <w:ind w:firstLine="720"/>
        <w:jc w:val="both"/>
        <w:divId w:val="1180043191"/>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w:t>
      </w:r>
      <w:r>
        <w:rPr>
          <w:rFonts w:ascii="Arial" w:eastAsia="Times New Roman" w:hAnsi="Arial" w:cs="Arial"/>
          <w:color w:val="000000"/>
          <w:sz w:val="20"/>
          <w:szCs w:val="20"/>
        </w:rPr>
        <w:t>n with other services.</w:t>
      </w:r>
    </w:p>
    <w:p w:rsidR="00000000" w:rsidRDefault="00485CCD">
      <w:pPr>
        <w:divId w:val="122894325"/>
        <w:rPr>
          <w:rFonts w:eastAsia="Times New Roman"/>
        </w:rPr>
      </w:pPr>
    </w:p>
    <w:p w:rsidR="00000000" w:rsidRDefault="00485CCD">
      <w:pPr>
        <w:divId w:val="1196046403"/>
        <w:rPr>
          <w:rFonts w:eastAsia="Times New Roman"/>
        </w:rPr>
      </w:pPr>
      <w:r>
        <w:rPr>
          <w:rFonts w:ascii="Arial" w:eastAsia="Times New Roman" w:hAnsi="Arial" w:cs="Arial"/>
          <w:b/>
          <w:bCs/>
          <w:color w:val="0046AD"/>
          <w:sz w:val="20"/>
          <w:szCs w:val="20"/>
        </w:rPr>
        <w:t>2. BASIS OF PRESENTATION AND SIGNIFICANT ACCOUNTING POLICIES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trPr>
          <w:divId w:val="1253776167"/>
        </w:trPr>
        <w:tc>
          <w:tcPr>
            <w:tcW w:w="5" w:type="pct"/>
            <w:vAlign w:val="center"/>
            <w:hideMark/>
          </w:tcPr>
          <w:p w:rsidR="00000000" w:rsidRDefault="00485CCD">
            <w:pPr>
              <w:rPr>
                <w:rFonts w:eastAsia="Times New Roman"/>
              </w:rPr>
            </w:pPr>
          </w:p>
        </w:tc>
        <w:tc>
          <w:tcPr>
            <w:tcW w:w="1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253776167"/>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842740600"/>
        <w:rPr>
          <w:rFonts w:eastAsia="Times New Roman"/>
        </w:rPr>
      </w:pPr>
      <w:r>
        <w:rPr>
          <w:rFonts w:ascii="Arial" w:eastAsia="Times New Roman" w:hAnsi="Arial" w:cs="Arial"/>
          <w:b/>
          <w:bCs/>
          <w:color w:val="0046AD"/>
          <w:sz w:val="20"/>
          <w:szCs w:val="20"/>
        </w:rPr>
        <w:t>Basis of Presentation and Principles of Consolidation</w:t>
      </w:r>
    </w:p>
    <w:p w:rsidR="00000000" w:rsidRDefault="00485CCD">
      <w:pPr>
        <w:ind w:firstLine="720"/>
        <w:jc w:val="both"/>
        <w:divId w:val="305941965"/>
        <w:rPr>
          <w:rFonts w:eastAsia="Times New Roman"/>
        </w:rPr>
      </w:pPr>
      <w:r>
        <w:rPr>
          <w:rFonts w:ascii="Arial" w:eastAsia="Times New Roman" w:hAnsi="Arial" w:cs="Arial"/>
          <w:color w:val="000000"/>
          <w:sz w:val="20"/>
          <w:szCs w:val="20"/>
        </w:rPr>
        <w:t>The Financial Statements have been prepared in accordance with United States generally accepted accounting principles (“U.S. GAAP”) and with the rules and regulations of the SEC, specifically Regulation S-X and the instructions to Form 10-K. Unless otherwi</w:t>
      </w:r>
      <w:r>
        <w:rPr>
          <w:rFonts w:ascii="Arial" w:eastAsia="Times New Roman" w:hAnsi="Arial" w:cs="Arial"/>
          <w:color w:val="000000"/>
          <w:sz w:val="20"/>
          <w:szCs w:val="20"/>
        </w:rPr>
        <w:t>se indicated, all references to years are to our fiscal year, which ends on October 31.</w:t>
      </w:r>
    </w:p>
    <w:p w:rsidR="00000000" w:rsidRDefault="00485CCD">
      <w:pPr>
        <w:ind w:firstLine="720"/>
        <w:jc w:val="both"/>
        <w:divId w:val="1082869464"/>
        <w:rPr>
          <w:rFonts w:eastAsia="Times New Roman"/>
        </w:rPr>
      </w:pPr>
      <w:r>
        <w:rPr>
          <w:rFonts w:ascii="Arial" w:eastAsia="Times New Roman" w:hAnsi="Arial" w:cs="Arial"/>
          <w:color w:val="000000"/>
          <w:sz w:val="20"/>
          <w:szCs w:val="20"/>
        </w:rPr>
        <w:t>The Financial Statements include the accounts of ABM and all of our consolidated subsidiaries. We account for ABM’s investments in unconsolidated affiliates under the e</w:t>
      </w:r>
      <w:r>
        <w:rPr>
          <w:rFonts w:ascii="Arial" w:eastAsia="Times New Roman" w:hAnsi="Arial" w:cs="Arial"/>
          <w:color w:val="000000"/>
          <w:sz w:val="20"/>
          <w:szCs w:val="20"/>
        </w:rPr>
        <w:t>quity method of accounting. We include the results of acquired businesses in the Consolidated Statements of Comprehensive Income (Loss) from their respective acquisition dates. All intercompany accounts and transactions have been eliminated in consolidatio</w:t>
      </w:r>
      <w:r>
        <w:rPr>
          <w:rFonts w:ascii="Arial" w:eastAsia="Times New Roman" w:hAnsi="Arial" w:cs="Arial"/>
          <w:color w:val="000000"/>
          <w:sz w:val="20"/>
          <w:szCs w:val="20"/>
        </w:rPr>
        <w:t xml:space="preserve">n. </w:t>
      </w:r>
    </w:p>
    <w:p w:rsidR="00000000" w:rsidRDefault="00485CCD">
      <w:pPr>
        <w:ind w:firstLine="720"/>
        <w:jc w:val="both"/>
        <w:divId w:val="1940945595"/>
        <w:rPr>
          <w:rFonts w:eastAsia="Times New Roman"/>
        </w:rPr>
      </w:pPr>
      <w:r>
        <w:rPr>
          <w:rFonts w:ascii="Arial" w:eastAsia="Times New Roman" w:hAnsi="Arial" w:cs="Arial"/>
          <w:color w:val="000000"/>
          <w:sz w:val="20"/>
          <w:szCs w:val="20"/>
        </w:rPr>
        <w:t>The preparation of consolidated financial statements in accordance with U.S. GAAP requires our management to make certain estimates that affect reported amounts. We base our estimates on historical experience, known or expected trends, independent valuatio</w:t>
      </w:r>
      <w:r>
        <w:rPr>
          <w:rFonts w:ascii="Arial" w:eastAsia="Times New Roman" w:hAnsi="Arial" w:cs="Arial"/>
          <w:color w:val="000000"/>
          <w:sz w:val="20"/>
          <w:szCs w:val="20"/>
        </w:rPr>
        <w:t xml:space="preserve">ns, and various other assumptions that we believe to be reasonable under the circumstances. As future events and their effects cannot be determined with precision, actual results could differ significantly from these estimates. </w:t>
      </w:r>
    </w:p>
    <w:p w:rsidR="00000000" w:rsidRDefault="00485CCD">
      <w:pPr>
        <w:ind w:firstLine="720"/>
        <w:jc w:val="both"/>
        <w:divId w:val="77338253"/>
        <w:rPr>
          <w:rFonts w:eastAsia="Times New Roman"/>
        </w:rPr>
      </w:pPr>
      <w:r>
        <w:rPr>
          <w:rFonts w:ascii="Arial" w:eastAsia="Times New Roman" w:hAnsi="Arial" w:cs="Arial"/>
          <w:color w:val="000000"/>
          <w:sz w:val="20"/>
          <w:szCs w:val="20"/>
        </w:rPr>
        <w:t>We round amounts in the Fin</w:t>
      </w:r>
      <w:r>
        <w:rPr>
          <w:rFonts w:ascii="Arial" w:eastAsia="Times New Roman" w:hAnsi="Arial" w:cs="Arial"/>
          <w:color w:val="000000"/>
          <w:sz w:val="20"/>
          <w:szCs w:val="20"/>
        </w:rPr>
        <w:t>ancial Statements to millions and calculate all percentages and per-share data from the underlying whole-dollar amounts. Thus, certain amounts may not foot, crossfoot, or recalculate based on reported numbers due to rounding.</w:t>
      </w:r>
    </w:p>
    <w:p w:rsidR="00000000" w:rsidRDefault="00485CCD">
      <w:pPr>
        <w:jc w:val="both"/>
        <w:divId w:val="768739904"/>
        <w:rPr>
          <w:rFonts w:eastAsia="Times New Roman"/>
        </w:rPr>
      </w:pPr>
      <w:r>
        <w:rPr>
          <w:rFonts w:ascii="Arial" w:eastAsia="Times New Roman" w:hAnsi="Arial" w:cs="Arial"/>
          <w:b/>
          <w:bCs/>
          <w:color w:val="0046AD"/>
          <w:sz w:val="20"/>
          <w:szCs w:val="20"/>
        </w:rPr>
        <w:t>Impact of the Pandemic</w:t>
      </w:r>
    </w:p>
    <w:p w:rsidR="00000000" w:rsidRDefault="00485CCD">
      <w:pPr>
        <w:ind w:firstLine="720"/>
        <w:jc w:val="both"/>
        <w:divId w:val="1005858390"/>
        <w:rPr>
          <w:rFonts w:eastAsia="Times New Roman"/>
        </w:rPr>
      </w:pPr>
      <w:r>
        <w:rPr>
          <w:rFonts w:ascii="Arial" w:eastAsia="Times New Roman" w:hAnsi="Arial" w:cs="Arial"/>
          <w:color w:val="000000"/>
          <w:sz w:val="20"/>
          <w:szCs w:val="20"/>
        </w:rPr>
        <w:t>COVID-1</w:t>
      </w:r>
      <w:r>
        <w:rPr>
          <w:rFonts w:ascii="Arial" w:eastAsia="Times New Roman" w:hAnsi="Arial" w:cs="Arial"/>
          <w:color w:val="000000"/>
          <w:sz w:val="20"/>
          <w:szCs w:val="20"/>
        </w:rPr>
        <w:t>9 has resulted in a worldwide health Pandemic. To date, the Pandemic has surfaced in regions all around the world and resulted in business slowdowns and shutdowns, as well as global travel restrictions. In these Financial Statements, we have assessed the c</w:t>
      </w:r>
      <w:r>
        <w:rPr>
          <w:rFonts w:ascii="Arial" w:eastAsia="Times New Roman" w:hAnsi="Arial" w:cs="Arial"/>
          <w:color w:val="000000"/>
          <w:sz w:val="20"/>
          <w:szCs w:val="20"/>
        </w:rPr>
        <w:t>urrent impact of the Pandemic on our financial condition, results of operations, and cash flows as well as on our estimates, forecasts, and accounting policies. We have made additional disclosures of these assessments, as necessary. Given the unprecedented</w:t>
      </w:r>
      <w:r>
        <w:rPr>
          <w:rFonts w:ascii="Arial" w:eastAsia="Times New Roman" w:hAnsi="Arial" w:cs="Arial"/>
          <w:color w:val="000000"/>
          <w:sz w:val="20"/>
          <w:szCs w:val="20"/>
        </w:rPr>
        <w:t xml:space="preserve"> nature of this situation, we cannot reasonably estimate the full impact the Pandemic will have on our financial condition, results of operations, or cash flows in the foreseeable future. The ultimate impact of the Pandemic on our company is highly uncerta</w:t>
      </w:r>
      <w:r>
        <w:rPr>
          <w:rFonts w:ascii="Arial" w:eastAsia="Times New Roman" w:hAnsi="Arial" w:cs="Arial"/>
          <w:color w:val="000000"/>
          <w:sz w:val="20"/>
          <w:szCs w:val="20"/>
        </w:rPr>
        <w:t>in and will depend on future developments, and such impacts could exist for an extended period of time, even after the Pandemic subsides.</w:t>
      </w:r>
    </w:p>
    <w:p w:rsidR="00000000" w:rsidRDefault="00485CCD">
      <w:pPr>
        <w:ind w:firstLine="720"/>
        <w:jc w:val="both"/>
        <w:divId w:val="1027172574"/>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clients’ ch</w:t>
      </w:r>
      <w:r>
        <w:rPr>
          <w:rFonts w:ascii="Arial" w:eastAsia="Times New Roman" w:hAnsi="Arial" w:cs="Arial"/>
          <w:color w:val="000000"/>
          <w:sz w:val="20"/>
          <w:szCs w:val="20"/>
        </w:rPr>
        <w:t xml:space="preserve">anging staffing and service needs are met while actively managing direct labor and related personnel </w:t>
      </w:r>
    </w:p>
    <w:p w:rsidR="00000000" w:rsidRDefault="00485CCD">
      <w:pPr>
        <w:jc w:val="center"/>
        <w:divId w:val="626081661"/>
        <w:rPr>
          <w:rFonts w:eastAsia="Times New Roman"/>
        </w:rPr>
      </w:pPr>
      <w:r>
        <w:rPr>
          <w:rFonts w:ascii="Arial" w:eastAsia="Times New Roman" w:hAnsi="Arial" w:cs="Arial"/>
          <w:color w:val="000000"/>
          <w:sz w:val="20"/>
          <w:szCs w:val="20"/>
        </w:rPr>
        <w:t>55</w:t>
      </w:r>
    </w:p>
    <w:p w:rsidR="00000000" w:rsidRDefault="00485CCD">
      <w:pPr>
        <w:rPr>
          <w:rFonts w:eastAsia="Times New Roman"/>
        </w:rPr>
      </w:pPr>
      <w:r>
        <w:rPr>
          <w:rFonts w:eastAsia="Times New Roman"/>
        </w:rPr>
        <w:pict>
          <v:rect id="_x0000_i1092" style="width:0;height:1.5pt" o:hralign="center" o:hrstd="t" o:hr="t" fillcolor="#a0a0a0" stroked="f"/>
        </w:pict>
      </w:r>
    </w:p>
    <w:p w:rsidR="00000000" w:rsidRDefault="00485CCD">
      <w:pPr>
        <w:divId w:val="1622882532"/>
        <w:rPr>
          <w:rFonts w:eastAsia="Times New Roman"/>
        </w:rPr>
      </w:pPr>
    </w:p>
    <w:p w:rsidR="00000000" w:rsidRDefault="00485CCD">
      <w:pPr>
        <w:jc w:val="both"/>
        <w:divId w:val="1108311282"/>
        <w:rPr>
          <w:rFonts w:eastAsia="Times New Roman"/>
        </w:rPr>
      </w:pPr>
      <w:r>
        <w:rPr>
          <w:rFonts w:ascii="Arial" w:eastAsia="Times New Roman" w:hAnsi="Arial" w:cs="Arial"/>
          <w:color w:val="000000"/>
          <w:sz w:val="20"/>
          <w:szCs w:val="20"/>
        </w:rPr>
        <w:t>costs, including furloughs or reduced hours for certain frontline employees in markets significantly impacted by</w:t>
      </w:r>
      <w:r>
        <w:rPr>
          <w:rFonts w:ascii="Arial" w:eastAsia="Times New Roman" w:hAnsi="Arial" w:cs="Arial"/>
          <w:color w:val="000000"/>
          <w:sz w:val="20"/>
          <w:szCs w:val="20"/>
        </w:rPr>
        <w:t xml:space="preserve"> business slowdowns and shutdowns.</w:t>
      </w:r>
    </w:p>
    <w:p w:rsidR="00000000" w:rsidRDefault="00485CCD">
      <w:pPr>
        <w:ind w:firstLine="720"/>
        <w:jc w:val="both"/>
        <w:divId w:val="1996182592"/>
        <w:rPr>
          <w:rFonts w:eastAsia="Times New Roman"/>
        </w:rPr>
      </w:pPr>
      <w:r>
        <w:rPr>
          <w:rFonts w:ascii="Arial" w:eastAsia="Times New Roman" w:hAnsi="Arial" w:cs="Arial"/>
          <w:color w:val="000000"/>
          <w:sz w:val="20"/>
          <w:szCs w:val="20"/>
        </w:rPr>
        <w:t>Refer to additional discussion regarding the Pandemic and the impact on our business throughout this document, including Note 7, “Fair Value of Financial Instruments,” Note 9, “Goodwill and Other Intangible Assets,” and N</w:t>
      </w:r>
      <w:r>
        <w:rPr>
          <w:rFonts w:ascii="Arial" w:eastAsia="Times New Roman" w:hAnsi="Arial" w:cs="Arial"/>
          <w:color w:val="000000"/>
          <w:sz w:val="20"/>
          <w:szCs w:val="20"/>
        </w:rPr>
        <w:t>ote 11, “Credit Facility.”</w:t>
      </w:r>
    </w:p>
    <w:p w:rsidR="00000000" w:rsidRDefault="00485CCD">
      <w:pPr>
        <w:jc w:val="both"/>
        <w:divId w:val="773749085"/>
        <w:rPr>
          <w:rFonts w:eastAsia="Times New Roman"/>
        </w:rPr>
      </w:pPr>
      <w:r>
        <w:rPr>
          <w:rFonts w:ascii="Arial" w:eastAsia="Times New Roman" w:hAnsi="Arial" w:cs="Arial"/>
          <w:b/>
          <w:bCs/>
          <w:color w:val="0046AD"/>
          <w:sz w:val="20"/>
          <w:szCs w:val="20"/>
        </w:rPr>
        <w:t>Cash and Cash Equivalents</w:t>
      </w:r>
    </w:p>
    <w:p w:rsidR="00000000" w:rsidRDefault="00485CCD">
      <w:pPr>
        <w:ind w:firstLine="720"/>
        <w:jc w:val="both"/>
        <w:divId w:val="132256379"/>
        <w:rPr>
          <w:rFonts w:eastAsia="Times New Roman"/>
        </w:rPr>
      </w:pPr>
      <w:r>
        <w:rPr>
          <w:rFonts w:ascii="Arial" w:eastAsia="Times New Roman" w:hAnsi="Arial" w:cs="Arial"/>
          <w:color w:val="000000"/>
          <w:sz w:val="20"/>
          <w:szCs w:val="20"/>
        </w:rPr>
        <w:t>We consider all highly liquid securities with an original maturity of three months or less to be cash and cash equivalents. As part of our cash management system, we use “zero balance” accounts to fund o</w:t>
      </w:r>
      <w:r>
        <w:rPr>
          <w:rFonts w:ascii="Arial" w:eastAsia="Times New Roman" w:hAnsi="Arial" w:cs="Arial"/>
          <w:color w:val="000000"/>
          <w:sz w:val="20"/>
          <w:szCs w:val="20"/>
        </w:rPr>
        <w:t>ur disbursements. Under this system, at the end of each day the bank balance is zero, while the book balance is usually a negative amount due to reconciling items, such as outstanding checks. We report the changes in these book cash overdrafts as cash flow</w:t>
      </w:r>
      <w:r>
        <w:rPr>
          <w:rFonts w:ascii="Arial" w:eastAsia="Times New Roman" w:hAnsi="Arial" w:cs="Arial"/>
          <w:color w:val="000000"/>
          <w:sz w:val="20"/>
          <w:szCs w:val="20"/>
        </w:rPr>
        <w:t xml:space="preserve">s from financing activities. </w:t>
      </w:r>
    </w:p>
    <w:p w:rsidR="00000000" w:rsidRDefault="00485CCD">
      <w:pPr>
        <w:jc w:val="both"/>
        <w:divId w:val="117535280"/>
        <w:rPr>
          <w:rFonts w:eastAsia="Times New Roman"/>
        </w:rPr>
      </w:pPr>
      <w:r>
        <w:rPr>
          <w:rFonts w:ascii="Arial" w:eastAsia="Times New Roman" w:hAnsi="Arial" w:cs="Arial"/>
          <w:b/>
          <w:bCs/>
          <w:color w:val="0046AD"/>
          <w:sz w:val="20"/>
          <w:szCs w:val="20"/>
        </w:rPr>
        <w:t>Trade Accounts Receivable and Costs Incurred in Excess of Amounts Billed</w:t>
      </w:r>
    </w:p>
    <w:p w:rsidR="00000000" w:rsidRDefault="00485CCD">
      <w:pPr>
        <w:ind w:firstLine="720"/>
        <w:jc w:val="both"/>
        <w:divId w:val="1111782425"/>
        <w:rPr>
          <w:rFonts w:eastAsia="Times New Roman"/>
        </w:rPr>
      </w:pPr>
      <w:r>
        <w:rPr>
          <w:rFonts w:ascii="Arial" w:eastAsia="Times New Roman" w:hAnsi="Arial" w:cs="Arial"/>
          <w:color w:val="000000"/>
          <w:sz w:val="20"/>
          <w:szCs w:val="20"/>
        </w:rPr>
        <w:t>Trade accounts receivable arise from services provided to our clients and are usually due and payable on varying terms from receipt of the invoice to net 90 days, with the exception of certain Technical Solutions project receivables that may have longer co</w:t>
      </w:r>
      <w:r>
        <w:rPr>
          <w:rFonts w:ascii="Arial" w:eastAsia="Times New Roman" w:hAnsi="Arial" w:cs="Arial"/>
          <w:color w:val="000000"/>
          <w:sz w:val="20"/>
          <w:szCs w:val="20"/>
        </w:rPr>
        <w:t>llection periods. These receivables are recorded at the invoiced amount and normally do not bear interest. In addition, our trade accounts receivable include unbilled receivables, such as invoices for services that have been provided but are not yet billed</w:t>
      </w:r>
      <w:r>
        <w:rPr>
          <w:rFonts w:ascii="Arial" w:eastAsia="Times New Roman" w:hAnsi="Arial" w:cs="Arial"/>
          <w:color w:val="000000"/>
          <w:sz w:val="20"/>
          <w:szCs w:val="20"/>
        </w:rPr>
        <w:t>.</w:t>
      </w:r>
    </w:p>
    <w:p w:rsidR="00000000" w:rsidRDefault="00485CCD">
      <w:pPr>
        <w:ind w:firstLine="720"/>
        <w:jc w:val="both"/>
        <w:divId w:val="468984693"/>
        <w:rPr>
          <w:rFonts w:eastAsia="Times New Roman"/>
        </w:rPr>
      </w:pPr>
      <w:r>
        <w:rPr>
          <w:rFonts w:ascii="Arial" w:eastAsia="Times New Roman" w:hAnsi="Arial" w:cs="Arial"/>
          <w:color w:val="000000"/>
          <w:sz w:val="20"/>
          <w:szCs w:val="20"/>
        </w:rPr>
        <w:t xml:space="preserve">Costs incurred in excess of amounts billed arise from Technical Solutions project contracts that typically provide for a schedule of billings or invoices to the client based on our performance to date of specific tasks inherent in the fulfillment of our </w:t>
      </w:r>
      <w:r>
        <w:rPr>
          <w:rFonts w:ascii="Arial" w:eastAsia="Times New Roman" w:hAnsi="Arial" w:cs="Arial"/>
          <w:color w:val="000000"/>
          <w:sz w:val="20"/>
          <w:szCs w:val="20"/>
        </w:rPr>
        <w:t>performance obligation(s). The schedules for such billings usually do not precisely match the schedule on which costs are incurred. As a result, revenues generally differ from amounts that can be billed or invoiced to the client at any point during the con</w:t>
      </w:r>
      <w:r>
        <w:rPr>
          <w:rFonts w:ascii="Arial" w:eastAsia="Times New Roman" w:hAnsi="Arial" w:cs="Arial"/>
          <w:color w:val="000000"/>
          <w:sz w:val="20"/>
          <w:szCs w:val="20"/>
        </w:rPr>
        <w:t>tract.</w:t>
      </w:r>
    </w:p>
    <w:p w:rsidR="00000000" w:rsidRDefault="00485CCD">
      <w:pPr>
        <w:jc w:val="both"/>
        <w:divId w:val="1619680567"/>
        <w:rPr>
          <w:rFonts w:eastAsia="Times New Roman"/>
        </w:rPr>
      </w:pPr>
      <w:r>
        <w:rPr>
          <w:rFonts w:ascii="Arial" w:eastAsia="Times New Roman" w:hAnsi="Arial" w:cs="Arial"/>
          <w:b/>
          <w:bCs/>
          <w:i/>
          <w:iCs/>
          <w:color w:val="0046AD"/>
          <w:sz w:val="20"/>
          <w:szCs w:val="20"/>
        </w:rPr>
        <w:t>Allowance for Doubtful Accounts</w:t>
      </w:r>
    </w:p>
    <w:p w:rsidR="00000000" w:rsidRDefault="00485CCD">
      <w:pPr>
        <w:ind w:firstLine="720"/>
        <w:jc w:val="both"/>
        <w:divId w:val="681670074"/>
        <w:rPr>
          <w:rFonts w:eastAsia="Times New Roman"/>
        </w:rPr>
      </w:pPr>
      <w:r>
        <w:rPr>
          <w:rFonts w:ascii="Arial" w:eastAsia="Times New Roman" w:hAnsi="Arial" w:cs="Arial"/>
          <w:color w:val="000000"/>
          <w:sz w:val="20"/>
          <w:szCs w:val="20"/>
        </w:rPr>
        <w:t>We determine the allowance for doubtful accounts based on historical write-offs, known or expected trends, and the identification of specific balances deemed uncollectible. For the specifically identified balances, we</w:t>
      </w:r>
      <w:r>
        <w:rPr>
          <w:rFonts w:ascii="Arial" w:eastAsia="Times New Roman" w:hAnsi="Arial" w:cs="Arial"/>
          <w:color w:val="000000"/>
          <w:sz w:val="20"/>
          <w:szCs w:val="20"/>
        </w:rPr>
        <w:t xml:space="preserve"> establish the reserve upon the earlier of a client’s inability to meet its financial obligations or after a period of 12 months, unless our management believes such amounts will ultimately be collectible. </w:t>
      </w:r>
    </w:p>
    <w:p w:rsidR="00000000" w:rsidRDefault="00485CCD">
      <w:pPr>
        <w:jc w:val="both"/>
        <w:divId w:val="2089299509"/>
        <w:rPr>
          <w:rFonts w:eastAsia="Times New Roman"/>
        </w:rPr>
      </w:pPr>
      <w:r>
        <w:rPr>
          <w:rFonts w:ascii="Arial" w:eastAsia="Times New Roman" w:hAnsi="Arial" w:cs="Arial"/>
          <w:b/>
          <w:bCs/>
          <w:i/>
          <w:iCs/>
          <w:color w:val="0046AD"/>
          <w:sz w:val="20"/>
          <w:szCs w:val="20"/>
        </w:rPr>
        <w:t>Sales Allowance</w:t>
      </w:r>
    </w:p>
    <w:p w:rsidR="00000000" w:rsidRDefault="00485CCD">
      <w:pPr>
        <w:ind w:firstLine="720"/>
        <w:jc w:val="both"/>
        <w:divId w:val="715398423"/>
        <w:rPr>
          <w:rFonts w:eastAsia="Times New Roman"/>
        </w:rPr>
      </w:pPr>
      <w:r>
        <w:rPr>
          <w:rFonts w:ascii="Arial" w:eastAsia="Times New Roman" w:hAnsi="Arial" w:cs="Arial"/>
          <w:color w:val="000000"/>
          <w:sz w:val="20"/>
          <w:szCs w:val="20"/>
        </w:rPr>
        <w:t>In connection with our service co</w:t>
      </w:r>
      <w:r>
        <w:rPr>
          <w:rFonts w:ascii="Arial" w:eastAsia="Times New Roman" w:hAnsi="Arial" w:cs="Arial"/>
          <w:color w:val="000000"/>
          <w:sz w:val="20"/>
          <w:szCs w:val="20"/>
        </w:rPr>
        <w:t>ntracts, we periodically issue credit memos to our clients that are recorded as a reduction in revenues and an increase to the allowance for billing adjustments. These credits can result from client vacancy discounts, job cancellations, property damage, an</w:t>
      </w:r>
      <w:r>
        <w:rPr>
          <w:rFonts w:ascii="Arial" w:eastAsia="Times New Roman" w:hAnsi="Arial" w:cs="Arial"/>
          <w:color w:val="000000"/>
          <w:sz w:val="20"/>
          <w:szCs w:val="20"/>
        </w:rPr>
        <w:t xml:space="preserve">d other items. We estimate our potential future losses on these client receivables based on an analysis of the historical rate of sales adjustments (credit memos, net of re-bills) and known or expected trends. </w:t>
      </w:r>
    </w:p>
    <w:p w:rsidR="00000000" w:rsidRDefault="00485CCD">
      <w:pPr>
        <w:jc w:val="both"/>
        <w:divId w:val="177814898"/>
        <w:rPr>
          <w:rFonts w:eastAsia="Times New Roman"/>
        </w:rPr>
      </w:pPr>
      <w:r>
        <w:rPr>
          <w:rFonts w:ascii="Arial" w:eastAsia="Times New Roman" w:hAnsi="Arial" w:cs="Arial"/>
          <w:b/>
          <w:bCs/>
          <w:color w:val="0046AD"/>
          <w:sz w:val="20"/>
          <w:szCs w:val="20"/>
        </w:rPr>
        <w:t>Other Current Assets</w:t>
      </w:r>
    </w:p>
    <w:p w:rsidR="00000000" w:rsidRDefault="00485CCD">
      <w:pPr>
        <w:ind w:firstLine="720"/>
        <w:jc w:val="both"/>
        <w:divId w:val="1629819750"/>
        <w:rPr>
          <w:rFonts w:eastAsia="Times New Roman"/>
        </w:rPr>
      </w:pPr>
      <w:r>
        <w:rPr>
          <w:rFonts w:ascii="Arial" w:eastAsia="Times New Roman" w:hAnsi="Arial" w:cs="Arial"/>
          <w:color w:val="000000"/>
          <w:sz w:val="20"/>
          <w:szCs w:val="20"/>
        </w:rPr>
        <w:t xml:space="preserve">At October 31, 2021 and </w:t>
      </w:r>
      <w:r>
        <w:rPr>
          <w:rFonts w:ascii="Arial" w:eastAsia="Times New Roman" w:hAnsi="Arial" w:cs="Arial"/>
          <w:color w:val="000000"/>
          <w:sz w:val="20"/>
          <w:szCs w:val="20"/>
        </w:rPr>
        <w:t xml:space="preserve">2020, other current assets primarily consisted of other receivables, short-term insurance recoverables, and capitalized commissions. </w:t>
      </w:r>
    </w:p>
    <w:p w:rsidR="00000000" w:rsidRDefault="00485CCD">
      <w:pPr>
        <w:jc w:val="both"/>
        <w:divId w:val="1035304950"/>
        <w:rPr>
          <w:rFonts w:eastAsia="Times New Roman"/>
        </w:rPr>
      </w:pPr>
      <w:r>
        <w:rPr>
          <w:rFonts w:ascii="Arial" w:eastAsia="Times New Roman" w:hAnsi="Arial" w:cs="Arial"/>
          <w:b/>
          <w:bCs/>
          <w:color w:val="0046AD"/>
          <w:sz w:val="20"/>
          <w:szCs w:val="20"/>
        </w:rPr>
        <w:t>Other Investments</w:t>
      </w:r>
    </w:p>
    <w:p w:rsidR="00000000" w:rsidRDefault="00485CCD">
      <w:pPr>
        <w:ind w:firstLine="720"/>
        <w:jc w:val="both"/>
        <w:divId w:val="949050327"/>
        <w:rPr>
          <w:rFonts w:eastAsia="Times New Roman"/>
        </w:rPr>
      </w:pPr>
      <w:r>
        <w:rPr>
          <w:rFonts w:ascii="Arial" w:eastAsia="Times New Roman" w:hAnsi="Arial" w:cs="Arial"/>
          <w:color w:val="000000"/>
          <w:sz w:val="20"/>
          <w:szCs w:val="20"/>
        </w:rPr>
        <w:t>At October 31, 2021 and 2020, other investments primarily consisted of investments in unconsolidated aff</w:t>
      </w:r>
      <w:r>
        <w:rPr>
          <w:rFonts w:ascii="Arial" w:eastAsia="Times New Roman" w:hAnsi="Arial" w:cs="Arial"/>
          <w:color w:val="000000"/>
          <w:sz w:val="20"/>
          <w:szCs w:val="20"/>
        </w:rPr>
        <w:t>iliates.</w:t>
      </w:r>
    </w:p>
    <w:p w:rsidR="00000000" w:rsidRDefault="00485CCD">
      <w:pPr>
        <w:jc w:val="both"/>
        <w:divId w:val="1750616835"/>
        <w:rPr>
          <w:rFonts w:eastAsia="Times New Roman"/>
        </w:rPr>
      </w:pPr>
      <w:r>
        <w:rPr>
          <w:rFonts w:ascii="Arial" w:eastAsia="Times New Roman" w:hAnsi="Arial" w:cs="Arial"/>
          <w:b/>
          <w:bCs/>
          <w:i/>
          <w:iCs/>
          <w:color w:val="0046AD"/>
          <w:sz w:val="20"/>
          <w:szCs w:val="20"/>
        </w:rPr>
        <w:t>Investments in Unconsolidated Affiliates</w:t>
      </w:r>
    </w:p>
    <w:p w:rsidR="00000000" w:rsidRDefault="00485CCD">
      <w:pPr>
        <w:ind w:firstLine="720"/>
        <w:jc w:val="both"/>
        <w:divId w:val="1450006039"/>
        <w:rPr>
          <w:rFonts w:eastAsia="Times New Roman"/>
        </w:rPr>
      </w:pPr>
      <w:r>
        <w:rPr>
          <w:rFonts w:ascii="Arial" w:eastAsia="Times New Roman" w:hAnsi="Arial" w:cs="Arial"/>
          <w:color w:val="000000"/>
          <w:sz w:val="20"/>
          <w:szCs w:val="20"/>
        </w:rPr>
        <w:t>We own non-controlling interests (generally 20% to 50%) in certain affiliated entities that predominantly provide facility solutions to governmental and commercial clients, primarily in the United States an</w:t>
      </w:r>
      <w:r>
        <w:rPr>
          <w:rFonts w:ascii="Arial" w:eastAsia="Times New Roman" w:hAnsi="Arial" w:cs="Arial"/>
          <w:color w:val="000000"/>
          <w:sz w:val="20"/>
          <w:szCs w:val="20"/>
        </w:rPr>
        <w:t>d the Middle East. We account for such investments under the equity method of accounting. We evaluate our equity method investments for impairment whenever events or changes in circumstances indicate that the carrying amounts of such investments may not be</w:t>
      </w:r>
      <w:r>
        <w:rPr>
          <w:rFonts w:ascii="Arial" w:eastAsia="Times New Roman" w:hAnsi="Arial" w:cs="Arial"/>
          <w:color w:val="000000"/>
          <w:sz w:val="20"/>
          <w:szCs w:val="20"/>
        </w:rPr>
        <w:t xml:space="preserve"> recoverable. An impairment loss is recognized to the extent that the estimated fair value of the investment is less than its carrying amount and we determine that the impairment is other than temporary. At October 31, 2021, 2020, and 2019, our investments</w:t>
      </w:r>
      <w:r>
        <w:rPr>
          <w:rFonts w:ascii="Arial" w:eastAsia="Times New Roman" w:hAnsi="Arial" w:cs="Arial"/>
          <w:color w:val="000000"/>
          <w:sz w:val="20"/>
          <w:szCs w:val="20"/>
        </w:rPr>
        <w:t xml:space="preserve"> in unconsolidated affiliates were $11.7 million, </w:t>
      </w:r>
    </w:p>
    <w:p w:rsidR="00000000" w:rsidRDefault="00485CCD">
      <w:pPr>
        <w:jc w:val="center"/>
        <w:divId w:val="1279530436"/>
        <w:rPr>
          <w:rFonts w:eastAsia="Times New Roman"/>
        </w:rPr>
      </w:pPr>
      <w:r>
        <w:rPr>
          <w:rFonts w:ascii="Arial" w:eastAsia="Times New Roman" w:hAnsi="Arial" w:cs="Arial"/>
          <w:color w:val="000000"/>
          <w:sz w:val="20"/>
          <w:szCs w:val="20"/>
        </w:rPr>
        <w:t>56</w:t>
      </w:r>
    </w:p>
    <w:p w:rsidR="00000000" w:rsidRDefault="00485CCD">
      <w:pPr>
        <w:rPr>
          <w:rFonts w:eastAsia="Times New Roman"/>
        </w:rPr>
      </w:pPr>
      <w:r>
        <w:rPr>
          <w:rFonts w:eastAsia="Times New Roman"/>
        </w:rPr>
        <w:pict>
          <v:rect id="_x0000_i1093" style="width:0;height:1.5pt" o:hralign="center" o:hrstd="t" o:hr="t" fillcolor="#a0a0a0" stroked="f"/>
        </w:pict>
      </w:r>
    </w:p>
    <w:p w:rsidR="00000000" w:rsidRDefault="00485CCD">
      <w:pPr>
        <w:divId w:val="801576114"/>
        <w:rPr>
          <w:rFonts w:eastAsia="Times New Roman"/>
        </w:rPr>
      </w:pPr>
    </w:p>
    <w:p w:rsidR="00000000" w:rsidRDefault="00485CCD">
      <w:pPr>
        <w:jc w:val="both"/>
        <w:divId w:val="1136336807"/>
        <w:rPr>
          <w:rFonts w:eastAsia="Times New Roman"/>
        </w:rPr>
      </w:pPr>
      <w:r>
        <w:rPr>
          <w:rFonts w:ascii="Arial" w:eastAsia="Times New Roman" w:hAnsi="Arial" w:cs="Arial"/>
          <w:color w:val="000000"/>
          <w:sz w:val="20"/>
          <w:szCs w:val="20"/>
        </w:rPr>
        <w:t xml:space="preserve">$11.0 million, and $8.9 </w:t>
      </w:r>
      <w:r>
        <w:rPr>
          <w:rFonts w:ascii="Arial" w:eastAsia="Times New Roman" w:hAnsi="Arial" w:cs="Arial"/>
          <w:color w:val="000000"/>
          <w:sz w:val="20"/>
          <w:szCs w:val="20"/>
        </w:rPr>
        <w:t xml:space="preserve">million, respectively. We did not recognize any impairment charges on these investments in 2021, 2020, or 2019. </w:t>
      </w:r>
    </w:p>
    <w:p w:rsidR="00000000" w:rsidRDefault="00485CCD">
      <w:pPr>
        <w:jc w:val="both"/>
        <w:divId w:val="1630621215"/>
        <w:rPr>
          <w:rFonts w:eastAsia="Times New Roman"/>
        </w:rPr>
      </w:pPr>
      <w:r>
        <w:rPr>
          <w:rFonts w:ascii="Arial" w:eastAsia="Times New Roman" w:hAnsi="Arial" w:cs="Arial"/>
          <w:b/>
          <w:bCs/>
          <w:color w:val="0046AD"/>
          <w:sz w:val="20"/>
          <w:szCs w:val="20"/>
        </w:rPr>
        <w:t>Property, Plant and Equipment</w:t>
      </w:r>
      <w:r>
        <w:rPr>
          <w:rFonts w:ascii="Arial" w:eastAsia="Times New Roman" w:hAnsi="Arial" w:cs="Arial"/>
          <w:b/>
          <w:bCs/>
          <w:color w:val="000000"/>
          <w:sz w:val="20"/>
          <w:szCs w:val="20"/>
        </w:rPr>
        <w:t xml:space="preserve"> </w:t>
      </w:r>
    </w:p>
    <w:p w:rsidR="00000000" w:rsidRDefault="00485CCD">
      <w:pPr>
        <w:ind w:firstLine="720"/>
        <w:jc w:val="both"/>
        <w:divId w:val="342048036"/>
        <w:rPr>
          <w:rFonts w:eastAsia="Times New Roman"/>
        </w:rPr>
      </w:pPr>
      <w:r>
        <w:rPr>
          <w:rFonts w:ascii="Arial" w:eastAsia="Times New Roman" w:hAnsi="Arial" w:cs="Arial"/>
          <w:color w:val="000000"/>
          <w:sz w:val="20"/>
          <w:szCs w:val="20"/>
        </w:rPr>
        <w:t xml:space="preserve">We record property, plant and equipment at cost. Repairs and maintenance expenditures are expensed as incurred. </w:t>
      </w:r>
      <w:r>
        <w:rPr>
          <w:rFonts w:ascii="Arial" w:eastAsia="Times New Roman" w:hAnsi="Arial" w:cs="Arial"/>
          <w:color w:val="000000"/>
          <w:sz w:val="20"/>
          <w:szCs w:val="20"/>
        </w:rPr>
        <w:t>In contrast, we capitalize major renewals or replacements that substantially extend the useful life of an asset. We determine depreciation for financial reporting purposes using the straight-line method over the following estimated useful lives:</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4023"/>
        <w:gridCol w:w="37"/>
        <w:gridCol w:w="69"/>
        <w:gridCol w:w="4023"/>
        <w:gridCol w:w="36"/>
      </w:tblGrid>
      <w:tr w:rsidR="00000000">
        <w:trPr>
          <w:divId w:val="1243298310"/>
          <w:jc w:val="center"/>
        </w:trPr>
        <w:tc>
          <w:tcPr>
            <w:tcW w:w="50" w:type="pct"/>
            <w:vAlign w:val="center"/>
            <w:hideMark/>
          </w:tcPr>
          <w:p w:rsidR="00000000" w:rsidRDefault="00485CCD">
            <w:pPr>
              <w:ind w:firstLine="720"/>
              <w:jc w:val="both"/>
              <w:rPr>
                <w:rFonts w:eastAsia="Times New Roman"/>
              </w:rPr>
            </w:pPr>
          </w:p>
        </w:tc>
        <w:tc>
          <w:tcPr>
            <w:tcW w:w="24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243298310"/>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u w:val="single"/>
              </w:rPr>
              <w:t>Cat</w:t>
            </w:r>
            <w:r>
              <w:rPr>
                <w:rFonts w:ascii="Arial" w:eastAsia="Times New Roman" w:hAnsi="Arial" w:cs="Arial"/>
                <w:b/>
                <w:bCs/>
                <w:color w:val="000000"/>
                <w:sz w:val="20"/>
                <w:szCs w:val="20"/>
                <w:u w:val="single"/>
              </w:rPr>
              <w:t>egory</w:t>
            </w: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u w:val="single"/>
              </w:rPr>
              <w:t>Years</w:t>
            </w:r>
          </w:p>
        </w:tc>
      </w:tr>
      <w:tr w:rsidR="00000000">
        <w:trPr>
          <w:divId w:val="1243298310"/>
          <w:jc w:val="center"/>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Computer equipment and software</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3–5</w:t>
            </w:r>
          </w:p>
        </w:tc>
      </w:tr>
      <w:tr w:rsidR="00000000">
        <w:trPr>
          <w:divId w:val="1243298310"/>
          <w:jc w:val="center"/>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Machinery and other equipment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3–5</w:t>
            </w:r>
          </w:p>
        </w:tc>
      </w:tr>
      <w:tr w:rsidR="00000000">
        <w:trPr>
          <w:divId w:val="1243298310"/>
          <w:jc w:val="center"/>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Transportation equipment</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1.5–10</w:t>
            </w:r>
          </w:p>
        </w:tc>
      </w:tr>
      <w:tr w:rsidR="00000000">
        <w:trPr>
          <w:divId w:val="1243298310"/>
          <w:jc w:val="center"/>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Buildings</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10–40</w:t>
            </w:r>
          </w:p>
        </w:tc>
      </w:tr>
      <w:tr w:rsidR="00000000">
        <w:trPr>
          <w:divId w:val="1243298310"/>
          <w:jc w:val="center"/>
        </w:trPr>
        <w:tc>
          <w:tcPr>
            <w:tcW w:w="0" w:type="auto"/>
            <w:gridSpan w:val="3"/>
            <w:tcBorders>
              <w:left w:val="single" w:sz="8" w:space="0" w:color="000000"/>
              <w:bottom w:val="single" w:sz="8" w:space="0" w:color="000000"/>
            </w:tcBorders>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Furniture and fixtures</w:t>
            </w:r>
          </w:p>
        </w:tc>
        <w:tc>
          <w:tcPr>
            <w:tcW w:w="0" w:type="auto"/>
            <w:gridSpan w:val="3"/>
            <w:tcBorders>
              <w:bottom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5</w:t>
            </w:r>
          </w:p>
        </w:tc>
      </w:tr>
    </w:tbl>
    <w:p w:rsidR="00000000" w:rsidRDefault="00485CCD">
      <w:pPr>
        <w:ind w:firstLine="720"/>
        <w:jc w:val="both"/>
        <w:divId w:val="470249221"/>
        <w:rPr>
          <w:rFonts w:eastAsia="Times New Roman"/>
        </w:rPr>
      </w:pPr>
      <w:r>
        <w:rPr>
          <w:rFonts w:ascii="Arial" w:eastAsia="Times New Roman" w:hAnsi="Arial" w:cs="Arial"/>
          <w:color w:val="000000"/>
          <w:sz w:val="20"/>
          <w:szCs w:val="20"/>
        </w:rPr>
        <w:t>In addition, we depreciate assets under finance leases and leasehold improvements over the shorter of their estimated useful lives or the remaining lease term. Upon retirement or sale of an asset, we remove the cost and accumulated depreciation from our Co</w:t>
      </w:r>
      <w:r>
        <w:rPr>
          <w:rFonts w:ascii="Arial" w:eastAsia="Times New Roman" w:hAnsi="Arial" w:cs="Arial"/>
          <w:color w:val="000000"/>
          <w:sz w:val="20"/>
          <w:szCs w:val="20"/>
        </w:rPr>
        <w:t>nsolidated Balance Sheets. When applicable, we record corresponding gains or losses within the accompanying Consolidated Statements of Comprehensive Income (Loss).</w:t>
      </w:r>
    </w:p>
    <w:p w:rsidR="00000000" w:rsidRDefault="00485CCD">
      <w:pPr>
        <w:divId w:val="1051003828"/>
        <w:rPr>
          <w:rFonts w:eastAsia="Times New Roman"/>
        </w:rPr>
      </w:pPr>
      <w:r>
        <w:rPr>
          <w:rFonts w:ascii="Arial" w:eastAsia="Times New Roman" w:hAnsi="Arial" w:cs="Arial"/>
          <w:b/>
          <w:bCs/>
          <w:color w:val="0046AD"/>
          <w:sz w:val="20"/>
          <w:szCs w:val="20"/>
        </w:rPr>
        <w:t>Leases</w:t>
      </w:r>
    </w:p>
    <w:p w:rsidR="00000000" w:rsidRDefault="00485CCD">
      <w:pPr>
        <w:ind w:firstLine="720"/>
        <w:jc w:val="both"/>
        <w:divId w:val="340162033"/>
        <w:rPr>
          <w:rFonts w:eastAsia="Times New Roman"/>
        </w:rPr>
      </w:pPr>
      <w:r>
        <w:rPr>
          <w:rFonts w:ascii="Arial" w:eastAsia="Times New Roman" w:hAnsi="Arial" w:cs="Arial"/>
          <w:color w:val="000000"/>
          <w:sz w:val="20"/>
          <w:szCs w:val="20"/>
          <w:shd w:val="clear" w:color="auto" w:fill="FFFFFF"/>
        </w:rPr>
        <w:t>We adopted ASU 2016-02,</w:t>
      </w:r>
      <w:r>
        <w:rPr>
          <w:rFonts w:ascii="Arial" w:eastAsia="Times New Roman" w:hAnsi="Arial" w:cs="Arial"/>
          <w:i/>
          <w:iCs/>
          <w:color w:val="000000"/>
          <w:sz w:val="20"/>
          <w:szCs w:val="20"/>
          <w:shd w:val="clear" w:color="auto" w:fill="FFFFFF"/>
        </w:rPr>
        <w:t xml:space="preserve"> Leases</w:t>
      </w:r>
      <w:r>
        <w:rPr>
          <w:rFonts w:ascii="Arial" w:eastAsia="Times New Roman" w:hAnsi="Arial" w:cs="Arial"/>
          <w:color w:val="000000"/>
          <w:sz w:val="20"/>
          <w:szCs w:val="20"/>
          <w:shd w:val="clear" w:color="auto" w:fill="FFFFFF"/>
        </w:rPr>
        <w:t xml:space="preserve"> (Topic 842), and all related amendments on November 1,</w:t>
      </w:r>
      <w:r>
        <w:rPr>
          <w:rFonts w:ascii="Arial" w:eastAsia="Times New Roman" w:hAnsi="Arial" w:cs="Arial"/>
          <w:color w:val="000000"/>
          <w:sz w:val="20"/>
          <w:szCs w:val="20"/>
          <w:shd w:val="clear" w:color="auto" w:fill="FFFFFF"/>
        </w:rPr>
        <w:t xml:space="preserve"> 2019, on a modified retrospective basis. Comparative prior period Financial Statements for fiscal year 2019 have not been restated and continue to be reported under the accounting standards in effect for fiscal year 2019. Topic 842 requires lessees to rec</w:t>
      </w:r>
      <w:r>
        <w:rPr>
          <w:rFonts w:ascii="Arial" w:eastAsia="Times New Roman" w:hAnsi="Arial" w:cs="Arial"/>
          <w:color w:val="000000"/>
          <w:sz w:val="20"/>
          <w:szCs w:val="20"/>
          <w:shd w:val="clear" w:color="auto" w:fill="FFFFFF"/>
        </w:rPr>
        <w:t>ognize substantially all leases on their balance sheet as a right-of-use (“ROU”) asset and a lease liability. Upon adoption, we elected the package of transition practical expedients that allowed us to carry forward prior conclusions related to: (i) whethe</w:t>
      </w:r>
      <w:r>
        <w:rPr>
          <w:rFonts w:ascii="Arial" w:eastAsia="Times New Roman" w:hAnsi="Arial" w:cs="Arial"/>
          <w:color w:val="000000"/>
          <w:sz w:val="20"/>
          <w:szCs w:val="20"/>
          <w:shd w:val="clear" w:color="auto" w:fill="FFFFFF"/>
        </w:rPr>
        <w:t>r any expired or existing contracts are or contain leases; (ii) the lease classification for any expired or existing leases; and (iii) initial direct costs for existing leases. Additionally, we elected the practical expedient of not separating lease compon</w:t>
      </w:r>
      <w:r>
        <w:rPr>
          <w:rFonts w:ascii="Arial" w:eastAsia="Times New Roman" w:hAnsi="Arial" w:cs="Arial"/>
          <w:color w:val="000000"/>
          <w:sz w:val="20"/>
          <w:szCs w:val="20"/>
          <w:shd w:val="clear" w:color="auto" w:fill="FFFFFF"/>
        </w:rPr>
        <w:t>ents from non-lease components for all asset classes. We also made an accounting policy election to not record ROU assets or lease liabilities for leases with an initial term of 12 months or less and will recognize payments for such leases in our Consolida</w:t>
      </w:r>
      <w:r>
        <w:rPr>
          <w:rFonts w:ascii="Arial" w:eastAsia="Times New Roman" w:hAnsi="Arial" w:cs="Arial"/>
          <w:color w:val="000000"/>
          <w:sz w:val="20"/>
          <w:szCs w:val="20"/>
          <w:shd w:val="clear" w:color="auto" w:fill="FFFFFF"/>
        </w:rPr>
        <w:t>ted Statements of Comprehensive Income (Loss) on a straight-line basis over the lease term. We did not elect the use of hindsight for determining the reasonably certain lease term.</w:t>
      </w:r>
    </w:p>
    <w:p w:rsidR="00000000" w:rsidRDefault="00485CCD">
      <w:pPr>
        <w:ind w:firstLine="720"/>
        <w:jc w:val="both"/>
        <w:divId w:val="1420253650"/>
        <w:rPr>
          <w:rFonts w:eastAsia="Times New Roman"/>
        </w:rPr>
      </w:pPr>
      <w:r>
        <w:rPr>
          <w:rFonts w:ascii="Arial" w:eastAsia="Times New Roman" w:hAnsi="Arial" w:cs="Arial"/>
          <w:color w:val="000000"/>
          <w:sz w:val="20"/>
          <w:szCs w:val="20"/>
        </w:rPr>
        <w:t>We enter into various noncancelable l</w:t>
      </w:r>
      <w:r>
        <w:rPr>
          <w:rFonts w:ascii="Arial" w:eastAsia="Times New Roman" w:hAnsi="Arial" w:cs="Arial"/>
          <w:color w:val="000000"/>
          <w:sz w:val="20"/>
          <w:szCs w:val="20"/>
          <w:shd w:val="clear" w:color="auto" w:fill="FFFFFF"/>
        </w:rPr>
        <w:t>ease agreements for office space, park</w:t>
      </w:r>
      <w:r>
        <w:rPr>
          <w:rFonts w:ascii="Arial" w:eastAsia="Times New Roman" w:hAnsi="Arial" w:cs="Arial"/>
          <w:color w:val="000000"/>
          <w:sz w:val="20"/>
          <w:szCs w:val="20"/>
          <w:shd w:val="clear" w:color="auto" w:fill="FFFFFF"/>
        </w:rPr>
        <w:t xml:space="preserve">ing facilities, warehouses, vehicles, and equipment used in the normal course of business. </w:t>
      </w:r>
      <w:r>
        <w:rPr>
          <w:rFonts w:ascii="Arial" w:eastAsia="Times New Roman" w:hAnsi="Arial" w:cs="Arial"/>
          <w:color w:val="000000"/>
          <w:sz w:val="20"/>
          <w:szCs w:val="20"/>
        </w:rPr>
        <w:t>We determine if an arrangement is a lease at inception and begin recording lease activity at the commencement date, which is generally the date in which we take poss</w:t>
      </w:r>
      <w:r>
        <w:rPr>
          <w:rFonts w:ascii="Arial" w:eastAsia="Times New Roman" w:hAnsi="Arial" w:cs="Arial"/>
          <w:color w:val="000000"/>
          <w:sz w:val="20"/>
          <w:szCs w:val="20"/>
        </w:rPr>
        <w:t>ession of or control the physical use of the asset. ROU assets and lease liabilities are recognized based on the present value of lease payments over the lease term with lease expense recognized on a straight-line basis. We use our incremental borrowing ra</w:t>
      </w:r>
      <w:r>
        <w:rPr>
          <w:rFonts w:ascii="Arial" w:eastAsia="Times New Roman" w:hAnsi="Arial" w:cs="Arial"/>
          <w:color w:val="000000"/>
          <w:sz w:val="20"/>
          <w:szCs w:val="20"/>
        </w:rPr>
        <w:t>te to determine the present value of future lease payments unless the implicit rate in a lease is readily determinable. Our incremental borrowing rate is the rate of interest we would have to pay to borrow on a collateralized basis over a similar term at a</w:t>
      </w:r>
      <w:r>
        <w:rPr>
          <w:rFonts w:ascii="Arial" w:eastAsia="Times New Roman" w:hAnsi="Arial" w:cs="Arial"/>
          <w:color w:val="000000"/>
          <w:sz w:val="20"/>
          <w:szCs w:val="20"/>
        </w:rPr>
        <w:t>n amount equal to the lease payments in a similar economic environment. This incremental borrowing rate is applied to the minimum lease payments within each lease agreement to determine the amounts of our ROU assets and lease liabilities. Our incremental b</w:t>
      </w:r>
      <w:r>
        <w:rPr>
          <w:rFonts w:ascii="Arial" w:eastAsia="Times New Roman" w:hAnsi="Arial" w:cs="Arial"/>
          <w:color w:val="000000"/>
          <w:sz w:val="20"/>
          <w:szCs w:val="20"/>
        </w:rPr>
        <w:t>orrowing rate as of November 1, 2019, was utilized for the initial measurement of operating lease liabilities upon adoption of Topic 842.</w:t>
      </w:r>
    </w:p>
    <w:p w:rsidR="00000000" w:rsidRDefault="00485CCD">
      <w:pPr>
        <w:ind w:firstLine="720"/>
        <w:jc w:val="both"/>
        <w:divId w:val="1992976910"/>
        <w:rPr>
          <w:rFonts w:eastAsia="Times New Roman"/>
        </w:rPr>
      </w:pPr>
      <w:r>
        <w:rPr>
          <w:rFonts w:ascii="Arial" w:eastAsia="Times New Roman" w:hAnsi="Arial" w:cs="Arial"/>
          <w:color w:val="000000"/>
          <w:sz w:val="20"/>
          <w:szCs w:val="20"/>
        </w:rPr>
        <w:t>Our lease terms range from</w:t>
      </w:r>
      <w:r>
        <w:rPr>
          <w:rFonts w:ascii="Arial" w:eastAsia="Times New Roman" w:hAnsi="Arial" w:cs="Arial"/>
          <w:color w:val="000000"/>
          <w:sz w:val="20"/>
          <w:szCs w:val="20"/>
        </w:rPr>
        <w:t xml:space="preserve"> </w:t>
      </w:r>
      <w:r>
        <w:rPr>
          <w:rFonts w:ascii="Arial" w:eastAsia="Times New Roman" w:hAnsi="Arial" w:cs="Arial"/>
          <w:color w:val="000000"/>
          <w:sz w:val="20"/>
          <w:szCs w:val="20"/>
        </w:rPr>
        <w:t>on</w:t>
      </w:r>
      <w:r>
        <w:rPr>
          <w:rFonts w:ascii="Arial" w:eastAsia="Times New Roman" w:hAnsi="Arial" w:cs="Arial"/>
          <w:color w:val="000000"/>
          <w:sz w:val="20"/>
          <w:szCs w:val="20"/>
        </w:rPr>
        <w:t>e</w:t>
      </w:r>
      <w:r>
        <w:rPr>
          <w:rFonts w:ascii="Arial" w:eastAsia="Times New Roman" w:hAnsi="Arial" w:cs="Arial"/>
          <w:color w:val="000000"/>
          <w:sz w:val="20"/>
          <w:szCs w:val="20"/>
        </w:rPr>
        <w:t xml:space="preserve"> to 30 years. Some leases include one or more options to renew, with renewal terms that </w:t>
      </w:r>
      <w:r>
        <w:rPr>
          <w:rFonts w:ascii="Arial" w:eastAsia="Times New Roman" w:hAnsi="Arial" w:cs="Arial"/>
          <w:color w:val="000000"/>
          <w:sz w:val="20"/>
          <w:szCs w:val="20"/>
        </w:rPr>
        <w:t>can extend the lease term. We typically include options to extend the lease in a lease term when it is reasonably certain that we will exercise that option and when doing so is at our sole discretion. Certain equipment and vehicle leases may also include o</w:t>
      </w:r>
      <w:r>
        <w:rPr>
          <w:rFonts w:ascii="Arial" w:eastAsia="Times New Roman" w:hAnsi="Arial" w:cs="Arial"/>
          <w:color w:val="000000"/>
          <w:sz w:val="20"/>
          <w:szCs w:val="20"/>
        </w:rPr>
        <w:t>ptions to purchase the leased property. The depreciable life of assets and leasehold improvements are limited by the expected lease term, unless there is a transfer of title or purchase option reasonably certain of exercise. Typically, if we decide to canc</w:t>
      </w:r>
      <w:r>
        <w:rPr>
          <w:rFonts w:ascii="Arial" w:eastAsia="Times New Roman" w:hAnsi="Arial" w:cs="Arial"/>
          <w:color w:val="000000"/>
          <w:sz w:val="20"/>
          <w:szCs w:val="20"/>
        </w:rPr>
        <w:t>el or terminate a lease before the end of its term, then we would owe the lessor the remaining lease payments under the term of such lease. Our lease agreements generally do not contain any material residual value guarantees or material restrictive covenan</w:t>
      </w:r>
      <w:r>
        <w:rPr>
          <w:rFonts w:ascii="Arial" w:eastAsia="Times New Roman" w:hAnsi="Arial" w:cs="Arial"/>
          <w:color w:val="000000"/>
          <w:sz w:val="20"/>
          <w:szCs w:val="20"/>
        </w:rPr>
        <w:t>ts. We may rent or sublease certain real estate assets that we no longer use to third parties.</w:t>
      </w:r>
    </w:p>
    <w:p w:rsidR="00000000" w:rsidRDefault="00485CCD">
      <w:pPr>
        <w:jc w:val="center"/>
        <w:divId w:val="1113285430"/>
        <w:rPr>
          <w:rFonts w:eastAsia="Times New Roman"/>
        </w:rPr>
      </w:pPr>
      <w:r>
        <w:rPr>
          <w:rFonts w:ascii="Arial" w:eastAsia="Times New Roman" w:hAnsi="Arial" w:cs="Arial"/>
          <w:color w:val="000000"/>
          <w:sz w:val="20"/>
          <w:szCs w:val="20"/>
        </w:rPr>
        <w:t>57</w:t>
      </w:r>
    </w:p>
    <w:p w:rsidR="00000000" w:rsidRDefault="00485CCD">
      <w:pPr>
        <w:rPr>
          <w:rFonts w:eastAsia="Times New Roman"/>
        </w:rPr>
      </w:pPr>
      <w:r>
        <w:rPr>
          <w:rFonts w:eastAsia="Times New Roman"/>
        </w:rPr>
        <w:pict>
          <v:rect id="_x0000_i1094" style="width:0;height:1.5pt" o:hralign="center" o:hrstd="t" o:hr="t" fillcolor="#a0a0a0" stroked="f"/>
        </w:pict>
      </w:r>
    </w:p>
    <w:p w:rsidR="00000000" w:rsidRDefault="00485CCD">
      <w:pPr>
        <w:divId w:val="674460817"/>
        <w:rPr>
          <w:rFonts w:eastAsia="Times New Roman"/>
        </w:rPr>
      </w:pPr>
    </w:p>
    <w:p w:rsidR="00000000" w:rsidRDefault="00485CCD">
      <w:pPr>
        <w:ind w:firstLine="720"/>
        <w:jc w:val="both"/>
        <w:divId w:val="986976969"/>
        <w:rPr>
          <w:rFonts w:eastAsia="Times New Roman"/>
        </w:rPr>
      </w:pPr>
      <w:r>
        <w:rPr>
          <w:rFonts w:ascii="Arial" w:eastAsia="Times New Roman" w:hAnsi="Arial" w:cs="Arial"/>
          <w:color w:val="000000"/>
          <w:sz w:val="20"/>
          <w:szCs w:val="20"/>
        </w:rPr>
        <w:t>Lease agreements may contain rent escalation clauses, rent holidays, or certain landlord incentives, including tenant im</w:t>
      </w:r>
      <w:r>
        <w:rPr>
          <w:rFonts w:ascii="Arial" w:eastAsia="Times New Roman" w:hAnsi="Arial" w:cs="Arial"/>
          <w:color w:val="000000"/>
          <w:sz w:val="20"/>
          <w:szCs w:val="20"/>
        </w:rPr>
        <w:t>provement allowances. Prior to November 1, 2019, we recognized lease expense related to operating leases on a straight-line basis over the terms of the leases and, accordingly, recorded the difference between cash rent payments and recognition of rent expe</w:t>
      </w:r>
      <w:r>
        <w:rPr>
          <w:rFonts w:ascii="Arial" w:eastAsia="Times New Roman" w:hAnsi="Arial" w:cs="Arial"/>
          <w:color w:val="000000"/>
          <w:sz w:val="20"/>
          <w:szCs w:val="20"/>
        </w:rPr>
        <w:t>nse as a deferred rent liability or prepaid rent. Landlord-funded leasehold improvements were also recorded as deferred rent liabilities and were amortized as a reduction of rent expense over the noncancelable term of the related operating lease. The ROU a</w:t>
      </w:r>
      <w:r>
        <w:rPr>
          <w:rFonts w:ascii="Arial" w:eastAsia="Times New Roman" w:hAnsi="Arial" w:cs="Arial"/>
          <w:color w:val="000000"/>
          <w:sz w:val="20"/>
          <w:szCs w:val="20"/>
        </w:rPr>
        <w:t>ssets recognized upon adoption of Topic 842 included: cumulative prepaid or accrued rent on the adoption date, unamortized lease incentives, and unamortized initial direct costs initially recognized prior to adoption of Topic 842. Following adoption of Top</w:t>
      </w:r>
      <w:r>
        <w:rPr>
          <w:rFonts w:ascii="Arial" w:eastAsia="Times New Roman" w:hAnsi="Arial" w:cs="Arial"/>
          <w:color w:val="000000"/>
          <w:sz w:val="20"/>
          <w:szCs w:val="20"/>
        </w:rPr>
        <w:t xml:space="preserve">ic 842, ROU assets include amounts for scheduled rent increases and are reduced by lease incentive amounts. </w:t>
      </w:r>
    </w:p>
    <w:p w:rsidR="00000000" w:rsidRDefault="00485CCD">
      <w:pPr>
        <w:ind w:firstLine="720"/>
        <w:jc w:val="both"/>
        <w:divId w:val="626205911"/>
        <w:rPr>
          <w:rFonts w:eastAsia="Times New Roman"/>
        </w:rPr>
      </w:pPr>
      <w:r>
        <w:rPr>
          <w:rFonts w:ascii="Arial" w:eastAsia="Times New Roman" w:hAnsi="Arial" w:cs="Arial"/>
          <w:color w:val="000000"/>
          <w:sz w:val="20"/>
          <w:szCs w:val="20"/>
        </w:rPr>
        <w:t>Certain of our lease agreements include variable rent payments, consisting primarily of rental payments adjusted periodically for inflation and amo</w:t>
      </w:r>
      <w:r>
        <w:rPr>
          <w:rFonts w:ascii="Arial" w:eastAsia="Times New Roman" w:hAnsi="Arial" w:cs="Arial"/>
          <w:color w:val="000000"/>
          <w:sz w:val="20"/>
          <w:szCs w:val="20"/>
        </w:rPr>
        <w:t>unts paid to the lessor based on cost or consumption, such as maintenance and utilities</w:t>
      </w:r>
      <w:r>
        <w:rPr>
          <w:rFonts w:ascii="Arial" w:eastAsia="Times New Roman" w:hAnsi="Arial" w:cs="Arial"/>
          <w:color w:val="000000"/>
          <w:sz w:val="20"/>
          <w:szCs w:val="20"/>
          <w:shd w:val="clear" w:color="auto" w:fill="FFFFFF"/>
        </w:rPr>
        <w:t>. These costs are expensed as incurred. Certain of our parking arrangements also contain variable rent payments that are a percentage of parking services revenue based o</w:t>
      </w:r>
      <w:r>
        <w:rPr>
          <w:rFonts w:ascii="Arial" w:eastAsia="Times New Roman" w:hAnsi="Arial" w:cs="Arial"/>
          <w:color w:val="000000"/>
          <w:sz w:val="20"/>
          <w:szCs w:val="20"/>
          <w:shd w:val="clear" w:color="auto" w:fill="FFFFFF"/>
        </w:rPr>
        <w:t>n contractual levels. We record contingent rent as it becomes probable that specified targets will be met. Vari</w:t>
      </w:r>
      <w:r>
        <w:rPr>
          <w:rFonts w:ascii="Arial" w:eastAsia="Times New Roman" w:hAnsi="Arial" w:cs="Arial"/>
          <w:color w:val="000000"/>
          <w:sz w:val="20"/>
          <w:szCs w:val="20"/>
        </w:rPr>
        <w:t xml:space="preserve">able rent lease components are not included in the lease liability. </w:t>
      </w:r>
    </w:p>
    <w:p w:rsidR="00000000" w:rsidRDefault="00485CCD">
      <w:pPr>
        <w:ind w:firstLine="720"/>
        <w:jc w:val="both"/>
        <w:divId w:val="1549609328"/>
        <w:rPr>
          <w:rFonts w:eastAsia="Times New Roman"/>
        </w:rPr>
      </w:pPr>
      <w:r>
        <w:rPr>
          <w:rFonts w:ascii="Arial" w:eastAsia="Times New Roman" w:hAnsi="Arial" w:cs="Arial"/>
          <w:color w:val="000000"/>
          <w:sz w:val="20"/>
          <w:szCs w:val="20"/>
        </w:rPr>
        <w:t xml:space="preserve">Service concession arrangements within the scope of ASU No. 2017-10, </w:t>
      </w:r>
      <w:r>
        <w:rPr>
          <w:rFonts w:ascii="Arial" w:eastAsia="Times New Roman" w:hAnsi="Arial" w:cs="Arial"/>
          <w:i/>
          <w:iCs/>
          <w:color w:val="000000"/>
          <w:sz w:val="20"/>
          <w:szCs w:val="20"/>
        </w:rPr>
        <w:t>Service</w:t>
      </w:r>
      <w:r>
        <w:rPr>
          <w:rFonts w:ascii="Arial" w:eastAsia="Times New Roman" w:hAnsi="Arial" w:cs="Arial"/>
          <w:i/>
          <w:iCs/>
          <w:color w:val="000000"/>
          <w:sz w:val="20"/>
          <w:szCs w:val="20"/>
        </w:rPr>
        <w:t xml:space="preserve"> Concession Arrangements (Topic 853)</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Determining the Customer of the Operation Services</w:t>
      </w:r>
      <w:r>
        <w:rPr>
          <w:rFonts w:ascii="Arial" w:eastAsia="Times New Roman" w:hAnsi="Arial" w:cs="Arial"/>
          <w:color w:val="000000"/>
          <w:sz w:val="20"/>
          <w:szCs w:val="20"/>
        </w:rPr>
        <w:t xml:space="preserve">, are excluded from the scope of Topic 842. Lease costs associated with these arrangements are recorded as a reduction of revenues. See Note 3, “Revenues,” for further </w:t>
      </w:r>
      <w:r>
        <w:rPr>
          <w:rFonts w:ascii="Arial" w:eastAsia="Times New Roman" w:hAnsi="Arial" w:cs="Arial"/>
          <w:color w:val="000000"/>
          <w:sz w:val="20"/>
          <w:szCs w:val="20"/>
        </w:rPr>
        <w:t xml:space="preserve">discussion. </w:t>
      </w:r>
    </w:p>
    <w:p w:rsidR="00000000" w:rsidRDefault="00485CCD">
      <w:pPr>
        <w:jc w:val="both"/>
        <w:divId w:val="986282494"/>
        <w:rPr>
          <w:rFonts w:eastAsia="Times New Roman"/>
        </w:rPr>
      </w:pPr>
      <w:r>
        <w:rPr>
          <w:rFonts w:ascii="Arial" w:eastAsia="Times New Roman" w:hAnsi="Arial" w:cs="Arial"/>
          <w:b/>
          <w:bCs/>
          <w:color w:val="0046AD"/>
          <w:sz w:val="20"/>
          <w:szCs w:val="20"/>
        </w:rPr>
        <w:t>Goodwill and Other Intangible Assets</w:t>
      </w:r>
    </w:p>
    <w:p w:rsidR="00000000" w:rsidRDefault="00485CCD">
      <w:pPr>
        <w:ind w:firstLine="720"/>
        <w:jc w:val="both"/>
        <w:divId w:val="1138844129"/>
        <w:rPr>
          <w:rFonts w:eastAsia="Times New Roman"/>
        </w:rPr>
      </w:pPr>
      <w:r>
        <w:rPr>
          <w:rFonts w:ascii="Arial" w:eastAsia="Times New Roman" w:hAnsi="Arial" w:cs="Arial"/>
          <w:color w:val="000000"/>
          <w:sz w:val="20"/>
          <w:szCs w:val="20"/>
        </w:rPr>
        <w:t>Goodwill represents the excess purchase price of acquired businesses over the fair value of the assets acquired and liabilities assumed. We have elected to make the first day of our fourth quarter, August 1, the annual impairment assessment date for goodwi</w:t>
      </w:r>
      <w:r>
        <w:rPr>
          <w:rFonts w:ascii="Arial" w:eastAsia="Times New Roman" w:hAnsi="Arial" w:cs="Arial"/>
          <w:color w:val="000000"/>
          <w:sz w:val="20"/>
          <w:szCs w:val="20"/>
        </w:rPr>
        <w:t xml:space="preserve">ll. However, we could be required to evaluate the recoverability of goodwill more often if impairment indicators exist. Goodwill is tested for impairment at a “reporting unit” level by performing either a qualitative evaluation or a quantitative test. The </w:t>
      </w:r>
      <w:r>
        <w:rPr>
          <w:rFonts w:ascii="Arial" w:eastAsia="Times New Roman" w:hAnsi="Arial" w:cs="Arial"/>
          <w:color w:val="000000"/>
          <w:sz w:val="20"/>
          <w:szCs w:val="20"/>
        </w:rPr>
        <w:t>qualitative evaluation is an assessment of factors to determine whether it is more likely than not that the fair value of a reporting unit is less than its carrying amount. We may elect not to perform the qualitative assessment for some or all reporting un</w:t>
      </w:r>
      <w:r>
        <w:rPr>
          <w:rFonts w:ascii="Arial" w:eastAsia="Times New Roman" w:hAnsi="Arial" w:cs="Arial"/>
          <w:color w:val="000000"/>
          <w:sz w:val="20"/>
          <w:szCs w:val="20"/>
        </w:rPr>
        <w:t>its and instead perform a quantitative test under which we estimate the fair value using a weighting of fair values derived from an income approach and a market approach. The discounted estimates of future cash flows include significant management assumpti</w:t>
      </w:r>
      <w:r>
        <w:rPr>
          <w:rFonts w:ascii="Arial" w:eastAsia="Times New Roman" w:hAnsi="Arial" w:cs="Arial"/>
          <w:color w:val="000000"/>
          <w:sz w:val="20"/>
          <w:szCs w:val="20"/>
        </w:rPr>
        <w:t xml:space="preserve">ons, such as revenue growth rates, operating margins, weighted average cost of capital, and future economic and market conditions. </w:t>
      </w:r>
    </w:p>
    <w:p w:rsidR="00000000" w:rsidRDefault="00485CCD">
      <w:pPr>
        <w:ind w:firstLine="720"/>
        <w:jc w:val="both"/>
        <w:divId w:val="235936669"/>
        <w:rPr>
          <w:rFonts w:eastAsia="Times New Roman"/>
        </w:rPr>
      </w:pPr>
      <w:r>
        <w:rPr>
          <w:rFonts w:ascii="Arial" w:eastAsia="Times New Roman" w:hAnsi="Arial" w:cs="Arial"/>
          <w:color w:val="000000"/>
          <w:sz w:val="20"/>
          <w:szCs w:val="20"/>
        </w:rPr>
        <w:t>Other intangible assets primarily consist of acquired customer contracts and relationships that are amortized using the sum-</w:t>
      </w:r>
      <w:r>
        <w:rPr>
          <w:rFonts w:ascii="Arial" w:eastAsia="Times New Roman" w:hAnsi="Arial" w:cs="Arial"/>
          <w:color w:val="000000"/>
          <w:sz w:val="20"/>
          <w:szCs w:val="20"/>
        </w:rPr>
        <w:t>of-the-years’-digits method over their useful lives, consistent with the estimated useful life considerations used in the determination of their fair values. This accelerated method of amortization reflects the pattern in which the economic benefits from t</w:t>
      </w:r>
      <w:r>
        <w:rPr>
          <w:rFonts w:ascii="Arial" w:eastAsia="Times New Roman" w:hAnsi="Arial" w:cs="Arial"/>
          <w:color w:val="000000"/>
          <w:sz w:val="20"/>
          <w:szCs w:val="20"/>
        </w:rPr>
        <w:t>he intangible assets of customer contracts and relationships are expected to be realized. We amortize other non-customer acquired intangibles using a straight-line method of amortization. We evaluate other intangible assets, as well as our long-lived asset</w:t>
      </w:r>
      <w:r>
        <w:rPr>
          <w:rFonts w:ascii="Arial" w:eastAsia="Times New Roman" w:hAnsi="Arial" w:cs="Arial"/>
          <w:color w:val="000000"/>
          <w:sz w:val="20"/>
          <w:szCs w:val="20"/>
        </w:rPr>
        <w:t>s, for impairment whenever events or changes in circumstances indicate that the carrying amount of such assets may not be recoverable. When this occurs, a recoverability test is performed that compares the projected undiscounted cash flows from the use and</w:t>
      </w:r>
      <w:r>
        <w:rPr>
          <w:rFonts w:ascii="Arial" w:eastAsia="Times New Roman" w:hAnsi="Arial" w:cs="Arial"/>
          <w:color w:val="000000"/>
          <w:sz w:val="20"/>
          <w:szCs w:val="20"/>
        </w:rPr>
        <w:t xml:space="preserve"> eventual disposition of an asset or asset group to its carrying amount. If the projected undiscounted cash flows are less than the carrying amount, then we calculate an impairment loss. The impairment loss calculation compares the fair value, which is bas</w:t>
      </w:r>
      <w:r>
        <w:rPr>
          <w:rFonts w:ascii="Arial" w:eastAsia="Times New Roman" w:hAnsi="Arial" w:cs="Arial"/>
          <w:color w:val="000000"/>
          <w:sz w:val="20"/>
          <w:szCs w:val="20"/>
        </w:rPr>
        <w:t>ed on projected discounted cash flows, to the carrying value.</w:t>
      </w:r>
    </w:p>
    <w:p w:rsidR="00000000" w:rsidRDefault="00485CCD">
      <w:pPr>
        <w:ind w:firstLine="720"/>
        <w:jc w:val="both"/>
        <w:divId w:val="1841894482"/>
        <w:rPr>
          <w:rFonts w:eastAsia="Times New Roman"/>
        </w:rPr>
      </w:pPr>
      <w:r>
        <w:rPr>
          <w:rFonts w:ascii="Arial" w:eastAsia="Times New Roman" w:hAnsi="Arial" w:cs="Arial"/>
          <w:color w:val="000000"/>
          <w:sz w:val="20"/>
          <w:szCs w:val="20"/>
        </w:rPr>
        <w:t>See Note 9, “Goodwill and Other Intangible Assets,” for further information on goodwill, other intangible assets, and impairment charges.</w:t>
      </w:r>
    </w:p>
    <w:p w:rsidR="00000000" w:rsidRDefault="00485CCD">
      <w:pPr>
        <w:jc w:val="both"/>
        <w:divId w:val="375129528"/>
        <w:rPr>
          <w:rFonts w:eastAsia="Times New Roman"/>
        </w:rPr>
      </w:pPr>
      <w:r>
        <w:rPr>
          <w:rFonts w:ascii="Arial" w:eastAsia="Times New Roman" w:hAnsi="Arial" w:cs="Arial"/>
          <w:b/>
          <w:bCs/>
          <w:color w:val="0046AD"/>
          <w:sz w:val="20"/>
          <w:szCs w:val="20"/>
        </w:rPr>
        <w:t>Other Noncurrent Assets</w:t>
      </w:r>
    </w:p>
    <w:p w:rsidR="00000000" w:rsidRDefault="00485CCD">
      <w:pPr>
        <w:ind w:firstLine="720"/>
        <w:jc w:val="both"/>
        <w:divId w:val="1942907482"/>
        <w:rPr>
          <w:rFonts w:eastAsia="Times New Roman"/>
        </w:rPr>
      </w:pPr>
      <w:r>
        <w:rPr>
          <w:rFonts w:ascii="Arial" w:eastAsia="Times New Roman" w:hAnsi="Arial" w:cs="Arial"/>
          <w:color w:val="000000"/>
          <w:sz w:val="20"/>
          <w:szCs w:val="20"/>
        </w:rPr>
        <w:t>At October 31, 2021 and 2020, ot</w:t>
      </w:r>
      <w:r>
        <w:rPr>
          <w:rFonts w:ascii="Arial" w:eastAsia="Times New Roman" w:hAnsi="Arial" w:cs="Arial"/>
          <w:color w:val="000000"/>
          <w:sz w:val="20"/>
          <w:szCs w:val="20"/>
        </w:rPr>
        <w:t>her noncurrent assets primarily consisted of long-term insurance recoverables, deferred charges, capitalized commissions, ESPC receivables, insurance and other long-term deposits, and prepayments to carriers for future insurance claims.</w:t>
      </w:r>
    </w:p>
    <w:p w:rsidR="00000000" w:rsidRDefault="00485CCD">
      <w:pPr>
        <w:jc w:val="center"/>
        <w:divId w:val="816797799"/>
        <w:rPr>
          <w:rFonts w:eastAsia="Times New Roman"/>
        </w:rPr>
      </w:pPr>
      <w:r>
        <w:rPr>
          <w:rFonts w:ascii="Arial" w:eastAsia="Times New Roman" w:hAnsi="Arial" w:cs="Arial"/>
          <w:color w:val="000000"/>
          <w:sz w:val="20"/>
          <w:szCs w:val="20"/>
        </w:rPr>
        <w:t>58</w:t>
      </w:r>
    </w:p>
    <w:p w:rsidR="00000000" w:rsidRDefault="00485CCD">
      <w:pPr>
        <w:rPr>
          <w:rFonts w:eastAsia="Times New Roman"/>
        </w:rPr>
      </w:pPr>
      <w:r>
        <w:rPr>
          <w:rFonts w:eastAsia="Times New Roman"/>
        </w:rPr>
        <w:pict>
          <v:rect id="_x0000_i1095" style="width:0;height:1.5pt" o:hralign="center" o:hrstd="t" o:hr="t" fillcolor="#a0a0a0" stroked="f"/>
        </w:pict>
      </w:r>
    </w:p>
    <w:p w:rsidR="00000000" w:rsidRDefault="00485CCD">
      <w:pPr>
        <w:divId w:val="303856047"/>
        <w:rPr>
          <w:rFonts w:eastAsia="Times New Roman"/>
        </w:rPr>
      </w:pPr>
    </w:p>
    <w:p w:rsidR="00000000" w:rsidRDefault="00485CCD">
      <w:pPr>
        <w:jc w:val="both"/>
        <w:divId w:val="1035354854"/>
        <w:rPr>
          <w:rFonts w:eastAsia="Times New Roman"/>
        </w:rPr>
      </w:pPr>
      <w:r>
        <w:rPr>
          <w:rFonts w:ascii="Arial" w:eastAsia="Times New Roman" w:hAnsi="Arial" w:cs="Arial"/>
          <w:b/>
          <w:bCs/>
          <w:i/>
          <w:iCs/>
          <w:color w:val="0046AD"/>
          <w:sz w:val="20"/>
          <w:szCs w:val="20"/>
        </w:rPr>
        <w:t>Federal Energy Savings Performance Contract Receivables</w:t>
      </w:r>
    </w:p>
    <w:p w:rsidR="00000000" w:rsidRDefault="00485CCD">
      <w:pPr>
        <w:ind w:firstLine="720"/>
        <w:jc w:val="both"/>
        <w:divId w:val="354230788"/>
        <w:rPr>
          <w:rFonts w:eastAsia="Times New Roman"/>
        </w:rPr>
      </w:pPr>
      <w:r>
        <w:rPr>
          <w:rFonts w:ascii="Arial" w:eastAsia="Times New Roman" w:hAnsi="Arial" w:cs="Arial"/>
          <w:color w:val="000000"/>
          <w:sz w:val="20"/>
          <w:szCs w:val="20"/>
        </w:rPr>
        <w:t>As part of our Technical Solutions business, we enter into ESPCs with the federal government pursuant to which we agree to develop, design, engineer, and construc</w:t>
      </w:r>
      <w:r>
        <w:rPr>
          <w:rFonts w:ascii="Arial" w:eastAsia="Times New Roman" w:hAnsi="Arial" w:cs="Arial"/>
          <w:color w:val="000000"/>
          <w:sz w:val="20"/>
          <w:szCs w:val="20"/>
        </w:rPr>
        <w:t xml:space="preserve">t a project and to guarantee that the project will satisfy agreed-upon performance standards. ESPC receivables represent the amount to be paid by various federal government agencies for work we have satisfactorily performed under specific ESPCs. We assign </w:t>
      </w:r>
      <w:r>
        <w:rPr>
          <w:rFonts w:ascii="Arial" w:eastAsia="Times New Roman" w:hAnsi="Arial" w:cs="Arial"/>
          <w:color w:val="000000"/>
          <w:sz w:val="20"/>
          <w:szCs w:val="20"/>
        </w:rPr>
        <w:t>certain of our rights to receive those payments to unaffiliated third parties that provide construction financing, which we record as a liability, for such contracts. This construction financing is recorded as cash flows from financing activities, while th</w:t>
      </w:r>
      <w:r>
        <w:rPr>
          <w:rFonts w:ascii="Arial" w:eastAsia="Times New Roman" w:hAnsi="Arial" w:cs="Arial"/>
          <w:color w:val="000000"/>
          <w:sz w:val="20"/>
          <w:szCs w:val="20"/>
        </w:rPr>
        <w:t>e use of the cash received to pay project costs under these arrangements is classified as operating cash flows. The ESPC receivable is recognized as revenue as each project is constructed. Upon completion and acceptance of the project by the government and</w:t>
      </w:r>
      <w:r>
        <w:rPr>
          <w:rFonts w:ascii="Arial" w:eastAsia="Times New Roman" w:hAnsi="Arial" w:cs="Arial"/>
          <w:color w:val="000000"/>
          <w:sz w:val="20"/>
          <w:szCs w:val="20"/>
        </w:rPr>
        <w:t xml:space="preserve"> upon satisfaction of true sale criteria, the assigned ESPC receivable from the government and corresponding ESPC liability are eliminated from our consolidated financial statements. </w:t>
      </w:r>
    </w:p>
    <w:p w:rsidR="00000000" w:rsidRDefault="00485CCD">
      <w:pPr>
        <w:jc w:val="both"/>
        <w:divId w:val="350035489"/>
        <w:rPr>
          <w:rFonts w:eastAsia="Times New Roman"/>
        </w:rPr>
      </w:pPr>
      <w:r>
        <w:rPr>
          <w:rFonts w:ascii="Arial" w:eastAsia="Times New Roman" w:hAnsi="Arial" w:cs="Arial"/>
          <w:b/>
          <w:bCs/>
          <w:color w:val="0046AD"/>
          <w:sz w:val="20"/>
          <w:szCs w:val="20"/>
        </w:rPr>
        <w:t>Fair Value of Financial Instruments</w:t>
      </w:r>
    </w:p>
    <w:p w:rsidR="00000000" w:rsidRDefault="00485CCD">
      <w:pPr>
        <w:ind w:firstLine="720"/>
        <w:jc w:val="both"/>
        <w:divId w:val="1506629926"/>
        <w:rPr>
          <w:rFonts w:eastAsia="Times New Roman"/>
        </w:rPr>
      </w:pPr>
      <w:r>
        <w:rPr>
          <w:rFonts w:ascii="Arial" w:eastAsia="Times New Roman" w:hAnsi="Arial" w:cs="Arial"/>
          <w:color w:val="000000"/>
          <w:sz w:val="20"/>
          <w:szCs w:val="20"/>
        </w:rPr>
        <w:t>Fair value is the price we would rec</w:t>
      </w:r>
      <w:r>
        <w:rPr>
          <w:rFonts w:ascii="Arial" w:eastAsia="Times New Roman" w:hAnsi="Arial" w:cs="Arial"/>
          <w:color w:val="000000"/>
          <w:sz w:val="20"/>
          <w:szCs w:val="20"/>
        </w:rPr>
        <w:t>eive to sell an asset or pay to transfer a liability in an orderly transaction with a market participant at the measurement date. In the absence of active markets for identical assets or liabilities, such measurements involve developing assumptions based o</w:t>
      </w:r>
      <w:r>
        <w:rPr>
          <w:rFonts w:ascii="Arial" w:eastAsia="Times New Roman" w:hAnsi="Arial" w:cs="Arial"/>
          <w:color w:val="000000"/>
          <w:sz w:val="20"/>
          <w:szCs w:val="20"/>
        </w:rPr>
        <w:t xml:space="preserve">n market observable data and, in the absence of such data, internal information that is consistent with what market participants would use in a hypothetical transaction that occurs at the measurement date. </w:t>
      </w:r>
    </w:p>
    <w:p w:rsidR="00000000" w:rsidRDefault="00485CCD">
      <w:pPr>
        <w:ind w:firstLine="720"/>
        <w:jc w:val="both"/>
        <w:divId w:val="539629942"/>
        <w:rPr>
          <w:rFonts w:eastAsia="Times New Roman"/>
        </w:rPr>
      </w:pPr>
      <w:r>
        <w:rPr>
          <w:rFonts w:ascii="Arial" w:eastAsia="Times New Roman" w:hAnsi="Arial" w:cs="Arial"/>
          <w:color w:val="000000"/>
          <w:sz w:val="20"/>
          <w:szCs w:val="20"/>
        </w:rPr>
        <w:t>Observable inputs reflect market data obtained fr</w:t>
      </w:r>
      <w:r>
        <w:rPr>
          <w:rFonts w:ascii="Arial" w:eastAsia="Times New Roman" w:hAnsi="Arial" w:cs="Arial"/>
          <w:color w:val="000000"/>
          <w:sz w:val="20"/>
          <w:szCs w:val="20"/>
        </w:rPr>
        <w:t>om independent sources, while unobservable inputs reflect our market assumptions. Preference is given to observable inputs. These two types of inputs create the following fair value hierarchy:</w:t>
      </w:r>
    </w:p>
    <w:p w:rsidR="00000000" w:rsidRDefault="00485CCD">
      <w:pPr>
        <w:jc w:val="both"/>
        <w:divId w:val="1420059482"/>
        <w:rPr>
          <w:rFonts w:eastAsia="Times New Roman"/>
        </w:rPr>
      </w:pPr>
      <w:r>
        <w:rPr>
          <w:rFonts w:ascii="Arial" w:eastAsia="Times New Roman" w:hAnsi="Arial" w:cs="Arial"/>
          <w:b/>
          <w:bCs/>
          <w:color w:val="000000"/>
          <w:sz w:val="20"/>
          <w:szCs w:val="20"/>
        </w:rPr>
        <w:t xml:space="preserve">Level 1 </w:t>
      </w:r>
      <w:r>
        <w:rPr>
          <w:rFonts w:ascii="Arial" w:eastAsia="Times New Roman" w:hAnsi="Arial" w:cs="Arial"/>
          <w:color w:val="000000"/>
          <w:sz w:val="20"/>
          <w:szCs w:val="20"/>
        </w:rPr>
        <w:t>– Quoted prices for identical instruments in active mar</w:t>
      </w:r>
      <w:r>
        <w:rPr>
          <w:rFonts w:ascii="Arial" w:eastAsia="Times New Roman" w:hAnsi="Arial" w:cs="Arial"/>
          <w:color w:val="000000"/>
          <w:sz w:val="20"/>
          <w:szCs w:val="20"/>
        </w:rPr>
        <w:t>kets;</w:t>
      </w:r>
    </w:p>
    <w:p w:rsidR="00000000" w:rsidRDefault="00485CCD">
      <w:pPr>
        <w:jc w:val="both"/>
        <w:divId w:val="176240358"/>
        <w:rPr>
          <w:rFonts w:eastAsia="Times New Roman"/>
        </w:rPr>
      </w:pPr>
      <w:r>
        <w:rPr>
          <w:rFonts w:ascii="Arial" w:eastAsia="Times New Roman" w:hAnsi="Arial" w:cs="Arial"/>
          <w:b/>
          <w:bCs/>
          <w:color w:val="000000"/>
          <w:sz w:val="20"/>
          <w:szCs w:val="20"/>
        </w:rPr>
        <w:t xml:space="preserve">Level 2 </w:t>
      </w:r>
      <w:r>
        <w:rPr>
          <w:rFonts w:ascii="Arial" w:eastAsia="Times New Roman" w:hAnsi="Arial" w:cs="Arial"/>
          <w:color w:val="000000"/>
          <w:sz w:val="20"/>
          <w:szCs w:val="20"/>
        </w:rPr>
        <w:t>– Quoted prices for similar instruments in active markets; quoted prices for identical or similar instruments in markets that are not active; and model-derived valuations whose inputs are observable or whose significant value drivers are obse</w:t>
      </w:r>
      <w:r>
        <w:rPr>
          <w:rFonts w:ascii="Arial" w:eastAsia="Times New Roman" w:hAnsi="Arial" w:cs="Arial"/>
          <w:color w:val="000000"/>
          <w:sz w:val="20"/>
          <w:szCs w:val="20"/>
        </w:rPr>
        <w:t>rvable; and</w:t>
      </w:r>
    </w:p>
    <w:p w:rsidR="00000000" w:rsidRDefault="00485CCD">
      <w:pPr>
        <w:jc w:val="both"/>
        <w:divId w:val="496773848"/>
        <w:rPr>
          <w:rFonts w:eastAsia="Times New Roman"/>
        </w:rPr>
      </w:pPr>
      <w:r>
        <w:rPr>
          <w:rFonts w:ascii="Arial" w:eastAsia="Times New Roman" w:hAnsi="Arial" w:cs="Arial"/>
          <w:b/>
          <w:bCs/>
          <w:color w:val="000000"/>
          <w:sz w:val="20"/>
          <w:szCs w:val="20"/>
        </w:rPr>
        <w:t xml:space="preserve">Level 3 </w:t>
      </w:r>
      <w:r>
        <w:rPr>
          <w:rFonts w:ascii="Arial" w:eastAsia="Times New Roman" w:hAnsi="Arial" w:cs="Arial"/>
          <w:color w:val="000000"/>
          <w:sz w:val="20"/>
          <w:szCs w:val="20"/>
        </w:rPr>
        <w:t>– Significant inputs to the valuation model are unobservable.</w:t>
      </w:r>
    </w:p>
    <w:p w:rsidR="00000000" w:rsidRDefault="00485CCD">
      <w:pPr>
        <w:ind w:firstLine="720"/>
        <w:jc w:val="both"/>
        <w:divId w:val="1183860895"/>
        <w:rPr>
          <w:rFonts w:eastAsia="Times New Roman"/>
        </w:rPr>
      </w:pPr>
      <w:r>
        <w:rPr>
          <w:rFonts w:ascii="Arial" w:eastAsia="Times New Roman" w:hAnsi="Arial" w:cs="Arial"/>
          <w:color w:val="000000"/>
          <w:sz w:val="20"/>
          <w:szCs w:val="20"/>
        </w:rPr>
        <w:t xml:space="preserve">We evaluate assets and liabilities subject to fair value measurements on a recurring and non-recurring basis to determine the appropriate level at which to classify them for </w:t>
      </w:r>
      <w:r>
        <w:rPr>
          <w:rFonts w:ascii="Arial" w:eastAsia="Times New Roman" w:hAnsi="Arial" w:cs="Arial"/>
          <w:color w:val="000000"/>
          <w:sz w:val="20"/>
          <w:szCs w:val="20"/>
        </w:rPr>
        <w:t>each reporting period. Some non-financial assets are measured at fair value on a non-recurring basis only in certain circumstances, including the event of impairment. See Note 7, “Fair Value of Financial Instruments,” for the fair value hierarchy table and</w:t>
      </w:r>
      <w:r>
        <w:rPr>
          <w:rFonts w:ascii="Arial" w:eastAsia="Times New Roman" w:hAnsi="Arial" w:cs="Arial"/>
          <w:color w:val="000000"/>
          <w:sz w:val="20"/>
          <w:szCs w:val="20"/>
        </w:rPr>
        <w:t xml:space="preserve"> for details on how we measure fair value for our assets and liabilities.</w:t>
      </w:r>
    </w:p>
    <w:p w:rsidR="00000000" w:rsidRDefault="00485CCD">
      <w:pPr>
        <w:divId w:val="320237304"/>
        <w:rPr>
          <w:rFonts w:eastAsia="Times New Roman"/>
        </w:rPr>
      </w:pPr>
      <w:r>
        <w:rPr>
          <w:rFonts w:ascii="Arial" w:eastAsia="Times New Roman" w:hAnsi="Arial" w:cs="Arial"/>
          <w:b/>
          <w:bCs/>
          <w:color w:val="0046AD"/>
          <w:sz w:val="20"/>
          <w:szCs w:val="20"/>
        </w:rPr>
        <w:t>Insurance Reserves</w:t>
      </w:r>
    </w:p>
    <w:p w:rsidR="00000000" w:rsidRDefault="00485CCD">
      <w:pPr>
        <w:ind w:firstLine="720"/>
        <w:jc w:val="both"/>
        <w:divId w:val="1060514160"/>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w:t>
      </w:r>
      <w:r>
        <w:rPr>
          <w:rFonts w:ascii="Arial" w:eastAsia="Times New Roman" w:hAnsi="Arial" w:cs="Arial"/>
          <w:color w:val="000000"/>
          <w:sz w:val="20"/>
          <w:szCs w:val="20"/>
        </w:rPr>
        <w:t>urable risks. Insurance claim liabilities represent our estimate of retained risks without regard to insurance coverage. We retain a substantial portion of the risk related to certain workers’ compensation and medical claims. Liabilities associated with th</w:t>
      </w:r>
      <w:r>
        <w:rPr>
          <w:rFonts w:ascii="Arial" w:eastAsia="Times New Roman" w:hAnsi="Arial" w:cs="Arial"/>
          <w:color w:val="000000"/>
          <w:sz w:val="20"/>
          <w:szCs w:val="20"/>
        </w:rPr>
        <w:t>ese losses include estimates of both filed claims and IBNR Claims.</w:t>
      </w:r>
    </w:p>
    <w:p w:rsidR="00000000" w:rsidRDefault="00485CCD">
      <w:pPr>
        <w:ind w:firstLine="720"/>
        <w:jc w:val="both"/>
        <w:divId w:val="1276866778"/>
        <w:rPr>
          <w:rFonts w:eastAsia="Times New Roman"/>
        </w:rPr>
      </w:pPr>
      <w:r>
        <w:rPr>
          <w:rFonts w:ascii="Arial" w:eastAsia="Times New Roman" w:hAnsi="Arial" w:cs="Arial"/>
          <w:color w:val="000000"/>
          <w:sz w:val="20"/>
          <w:szCs w:val="20"/>
        </w:rPr>
        <w:t xml:space="preserve">With the assistance of third-party actuaries, we review our estimate of ultimate losses for IBNR Claims on a quarterly basis and adjust our required self-insurance reserves as appropriate. </w:t>
      </w:r>
      <w:r>
        <w:rPr>
          <w:rFonts w:ascii="Arial" w:eastAsia="Times New Roman" w:hAnsi="Arial" w:cs="Arial"/>
          <w:color w:val="000000"/>
          <w:sz w:val="20"/>
          <w:szCs w:val="20"/>
        </w:rPr>
        <w:t>See Note 10, “Insurance,” for further details on the quarterly review procedures. As part of this evaluation, we review the status of existing and new claim reserves as established by third-party claims administrators. The third-party claims administrators</w:t>
      </w:r>
      <w:r>
        <w:rPr>
          <w:rFonts w:ascii="Arial" w:eastAsia="Times New Roman" w:hAnsi="Arial" w:cs="Arial"/>
          <w:color w:val="000000"/>
          <w:sz w:val="20"/>
          <w:szCs w:val="20"/>
        </w:rPr>
        <w:t xml:space="preserve"> establish the case reserves based upon known factors related to the type and severity of the claims, demographic factors, legislative matters, and case law, as appropriate. We compare actual trends to expected trends and monitor claims developments. The s</w:t>
      </w:r>
      <w:r>
        <w:rPr>
          <w:rFonts w:ascii="Arial" w:eastAsia="Times New Roman" w:hAnsi="Arial" w:cs="Arial"/>
          <w:color w:val="000000"/>
          <w:sz w:val="20"/>
          <w:szCs w:val="20"/>
        </w:rPr>
        <w:t>pecific case reserves estimated by the third-party administrators are provided to an actuary who assists us in projecting an actuarial estimate of the overall ultimate losses for our self-insured or high deductible programs, which includes the case reserve</w:t>
      </w:r>
      <w:r>
        <w:rPr>
          <w:rFonts w:ascii="Arial" w:eastAsia="Times New Roman" w:hAnsi="Arial" w:cs="Arial"/>
          <w:color w:val="000000"/>
          <w:sz w:val="20"/>
          <w:szCs w:val="20"/>
        </w:rPr>
        <w:t>s plus an actuarial estimate of reserves required for additional developments, such as IBNR Claims. We utilize the results of actuarial studies to estimate our insurance rates and insurance reserves for future periods and to adjust reserves, if appropriate</w:t>
      </w:r>
      <w:r>
        <w:rPr>
          <w:rFonts w:ascii="Arial" w:eastAsia="Times New Roman" w:hAnsi="Arial" w:cs="Arial"/>
          <w:color w:val="000000"/>
          <w:sz w:val="20"/>
          <w:szCs w:val="20"/>
        </w:rPr>
        <w:t xml:space="preserve">, for prior years. </w:t>
      </w:r>
    </w:p>
    <w:p w:rsidR="00000000" w:rsidRDefault="00485CCD">
      <w:pPr>
        <w:ind w:firstLine="720"/>
        <w:jc w:val="both"/>
        <w:divId w:val="68431809"/>
        <w:rPr>
          <w:rFonts w:eastAsia="Times New Roman"/>
        </w:rPr>
      </w:pPr>
      <w:r>
        <w:rPr>
          <w:rFonts w:ascii="Arial" w:eastAsia="Times New Roman" w:hAnsi="Arial" w:cs="Arial"/>
          <w:color w:val="000000"/>
          <w:sz w:val="20"/>
          <w:szCs w:val="20"/>
        </w:rPr>
        <w:t>In general, our insurance reserves are recorded on an undiscounted basis. We allocate current-year insurance expense to our operating segments based upon their underlying exposures, while actuarial adjustments related to prior year clai</w:t>
      </w:r>
      <w:r>
        <w:rPr>
          <w:rFonts w:ascii="Arial" w:eastAsia="Times New Roman" w:hAnsi="Arial" w:cs="Arial"/>
          <w:color w:val="000000"/>
          <w:sz w:val="20"/>
          <w:szCs w:val="20"/>
        </w:rPr>
        <w:t xml:space="preserve">ms are recorded within Corporate expenses. We classify claims as current or long-term </w:t>
      </w:r>
    </w:p>
    <w:p w:rsidR="00000000" w:rsidRDefault="00485CCD">
      <w:pPr>
        <w:jc w:val="center"/>
        <w:divId w:val="267785158"/>
        <w:rPr>
          <w:rFonts w:eastAsia="Times New Roman"/>
        </w:rPr>
      </w:pPr>
      <w:r>
        <w:rPr>
          <w:rFonts w:ascii="Arial" w:eastAsia="Times New Roman" w:hAnsi="Arial" w:cs="Arial"/>
          <w:color w:val="000000"/>
          <w:sz w:val="20"/>
          <w:szCs w:val="20"/>
        </w:rPr>
        <w:t>59</w:t>
      </w:r>
    </w:p>
    <w:p w:rsidR="00000000" w:rsidRDefault="00485CCD">
      <w:pPr>
        <w:rPr>
          <w:rFonts w:eastAsia="Times New Roman"/>
        </w:rPr>
      </w:pPr>
      <w:r>
        <w:rPr>
          <w:rFonts w:eastAsia="Times New Roman"/>
        </w:rPr>
        <w:pict>
          <v:rect id="_x0000_i1096" style="width:0;height:1.5pt" o:hralign="center" o:hrstd="t" o:hr="t" fillcolor="#a0a0a0" stroked="f"/>
        </w:pict>
      </w:r>
    </w:p>
    <w:p w:rsidR="00000000" w:rsidRDefault="00485CCD">
      <w:pPr>
        <w:divId w:val="1059405074"/>
        <w:rPr>
          <w:rFonts w:eastAsia="Times New Roman"/>
        </w:rPr>
      </w:pPr>
    </w:p>
    <w:p w:rsidR="00000000" w:rsidRDefault="00485CCD">
      <w:pPr>
        <w:jc w:val="both"/>
        <w:divId w:val="101843351"/>
        <w:rPr>
          <w:rFonts w:eastAsia="Times New Roman"/>
        </w:rPr>
      </w:pPr>
      <w:r>
        <w:rPr>
          <w:rFonts w:ascii="Arial" w:eastAsia="Times New Roman" w:hAnsi="Arial" w:cs="Arial"/>
          <w:color w:val="000000"/>
          <w:sz w:val="20"/>
          <w:szCs w:val="20"/>
        </w:rPr>
        <w:t>based on the expected settlement date. Estimated insurance recoveries related to recorded liabilities are reflected as assets in</w:t>
      </w:r>
      <w:r>
        <w:rPr>
          <w:rFonts w:ascii="Arial" w:eastAsia="Times New Roman" w:hAnsi="Arial" w:cs="Arial"/>
          <w:color w:val="000000"/>
          <w:sz w:val="20"/>
          <w:szCs w:val="20"/>
        </w:rPr>
        <w:t xml:space="preserve"> our Consolidated Balance Sheets when we believe the receipt of such amounts is probable.</w:t>
      </w:r>
    </w:p>
    <w:p w:rsidR="00000000" w:rsidRDefault="00485CCD">
      <w:pPr>
        <w:jc w:val="both"/>
        <w:divId w:val="356124170"/>
        <w:rPr>
          <w:rFonts w:eastAsia="Times New Roman"/>
        </w:rPr>
      </w:pPr>
      <w:r>
        <w:rPr>
          <w:rFonts w:ascii="Arial" w:eastAsia="Times New Roman" w:hAnsi="Arial" w:cs="Arial"/>
          <w:b/>
          <w:bCs/>
          <w:color w:val="0046AD"/>
          <w:sz w:val="20"/>
          <w:szCs w:val="20"/>
        </w:rPr>
        <w:t>Other Accrued Liabilities</w:t>
      </w:r>
    </w:p>
    <w:p w:rsidR="00000000" w:rsidRDefault="00485CCD">
      <w:pPr>
        <w:ind w:firstLine="720"/>
        <w:jc w:val="both"/>
        <w:divId w:val="1222211798"/>
        <w:rPr>
          <w:rFonts w:eastAsia="Times New Roman"/>
        </w:rPr>
      </w:pPr>
      <w:r>
        <w:rPr>
          <w:rFonts w:ascii="Arial" w:eastAsia="Times New Roman" w:hAnsi="Arial" w:cs="Arial"/>
          <w:color w:val="000000"/>
          <w:sz w:val="20"/>
          <w:szCs w:val="20"/>
        </w:rPr>
        <w:t>At October 31, 2021 and 2020, other accrued liabilities primarily consisted of legal fees and settlements, other accrued expenses (which inc</w:t>
      </w:r>
      <w:r>
        <w:rPr>
          <w:rFonts w:ascii="Arial" w:eastAsia="Times New Roman" w:hAnsi="Arial" w:cs="Arial"/>
          <w:color w:val="000000"/>
          <w:sz w:val="20"/>
          <w:szCs w:val="20"/>
        </w:rPr>
        <w:t>lude the current portion of deferred payroll taxes), employee benefits, contract liabilities (which include deferred revenue and progress billings in excess of costs), unclaimed property, dividends payable, and insurance claims.</w:t>
      </w:r>
    </w:p>
    <w:p w:rsidR="00000000" w:rsidRDefault="00485CCD">
      <w:pPr>
        <w:jc w:val="both"/>
        <w:divId w:val="1544170334"/>
        <w:rPr>
          <w:rFonts w:eastAsia="Times New Roman"/>
        </w:rPr>
      </w:pPr>
      <w:r>
        <w:rPr>
          <w:rFonts w:ascii="Arial" w:eastAsia="Times New Roman" w:hAnsi="Arial" w:cs="Arial"/>
          <w:b/>
          <w:bCs/>
          <w:color w:val="0046AD"/>
          <w:sz w:val="20"/>
          <w:szCs w:val="20"/>
        </w:rPr>
        <w:t>Other Noncurrent Liabilitie</w:t>
      </w:r>
      <w:r>
        <w:rPr>
          <w:rFonts w:ascii="Arial" w:eastAsia="Times New Roman" w:hAnsi="Arial" w:cs="Arial"/>
          <w:b/>
          <w:bCs/>
          <w:color w:val="0046AD"/>
          <w:sz w:val="20"/>
          <w:szCs w:val="20"/>
        </w:rPr>
        <w:t>s</w:t>
      </w:r>
    </w:p>
    <w:p w:rsidR="00000000" w:rsidRDefault="00485CCD">
      <w:pPr>
        <w:ind w:firstLine="720"/>
        <w:jc w:val="both"/>
        <w:divId w:val="1306398269"/>
        <w:rPr>
          <w:rFonts w:eastAsia="Times New Roman"/>
        </w:rPr>
      </w:pPr>
      <w:r>
        <w:rPr>
          <w:rFonts w:ascii="Arial" w:eastAsia="Times New Roman" w:hAnsi="Arial" w:cs="Arial"/>
          <w:color w:val="000000"/>
          <w:sz w:val="20"/>
          <w:szCs w:val="20"/>
        </w:rPr>
        <w:t xml:space="preserve">At October 31, 2021 and 2020, other noncurrent liabilities primarily consisted of noncurrent deferred payroll taxes, deferred compensation, ESPC liabilities, retirement plan liabilities, long-term finance leases, and warranty reserves. </w:t>
      </w:r>
    </w:p>
    <w:p w:rsidR="00000000" w:rsidRDefault="00485CCD">
      <w:pPr>
        <w:jc w:val="both"/>
        <w:divId w:val="1267613833"/>
        <w:rPr>
          <w:rFonts w:eastAsia="Times New Roman"/>
        </w:rPr>
      </w:pPr>
      <w:r>
        <w:rPr>
          <w:rFonts w:ascii="Arial" w:eastAsia="Times New Roman" w:hAnsi="Arial" w:cs="Arial"/>
          <w:b/>
          <w:bCs/>
          <w:i/>
          <w:iCs/>
          <w:color w:val="0046AD"/>
          <w:sz w:val="20"/>
          <w:szCs w:val="20"/>
        </w:rPr>
        <w:t>Contracts with Cu</w:t>
      </w:r>
      <w:r>
        <w:rPr>
          <w:rFonts w:ascii="Arial" w:eastAsia="Times New Roman" w:hAnsi="Arial" w:cs="Arial"/>
          <w:b/>
          <w:bCs/>
          <w:i/>
          <w:iCs/>
          <w:color w:val="0046AD"/>
          <w:sz w:val="20"/>
          <w:szCs w:val="20"/>
        </w:rPr>
        <w:t>stomers</w:t>
      </w:r>
    </w:p>
    <w:p w:rsidR="00000000" w:rsidRDefault="00485CCD">
      <w:pPr>
        <w:ind w:firstLine="720"/>
        <w:jc w:val="both"/>
        <w:divId w:val="1502237740"/>
        <w:rPr>
          <w:rFonts w:eastAsia="Times New Roman"/>
        </w:rPr>
      </w:pPr>
      <w:r>
        <w:rPr>
          <w:rFonts w:ascii="Arial" w:eastAsia="Times New Roman" w:hAnsi="Arial" w:cs="Arial"/>
          <w:color w:val="000000"/>
          <w:sz w:val="20"/>
          <w:szCs w:val="20"/>
        </w:rPr>
        <w:t>We account for a contract when it has approval and commitment from both parties, the rights of the parties are identified, payment terms are identified, the contract has commercial substance, and collectability of consideration is probable. Once a contract</w:t>
      </w:r>
      <w:r>
        <w:rPr>
          <w:rFonts w:ascii="Arial" w:eastAsia="Times New Roman" w:hAnsi="Arial" w:cs="Arial"/>
          <w:color w:val="000000"/>
          <w:sz w:val="20"/>
          <w:szCs w:val="20"/>
        </w:rPr>
        <w:t xml:space="preserve"> is identified, we evaluate whether it is a combined or single contract and whether it should be accounted for as more than one performance obligation. Generally, most of our contracts are cancelable by either party without a substantive penalty, and the m</w:t>
      </w:r>
      <w:r>
        <w:rPr>
          <w:rFonts w:ascii="Arial" w:eastAsia="Times New Roman" w:hAnsi="Arial" w:cs="Arial"/>
          <w:color w:val="000000"/>
          <w:sz w:val="20"/>
          <w:szCs w:val="20"/>
        </w:rPr>
        <w:t xml:space="preserve">ajority of our contracts have a notification period of 30 to 60 days. If a contract includes a cancellation clause, the remaining contract term is limited to the required termination notice period. </w:t>
      </w:r>
    </w:p>
    <w:p w:rsidR="00000000" w:rsidRDefault="00485CCD">
      <w:pPr>
        <w:ind w:firstLine="720"/>
        <w:jc w:val="both"/>
        <w:divId w:val="777720250"/>
        <w:rPr>
          <w:rFonts w:eastAsia="Times New Roman"/>
        </w:rPr>
      </w:pPr>
      <w:r>
        <w:rPr>
          <w:rFonts w:ascii="Arial" w:eastAsia="Times New Roman" w:hAnsi="Arial" w:cs="Arial"/>
          <w:color w:val="000000"/>
          <w:sz w:val="20"/>
          <w:szCs w:val="20"/>
        </w:rPr>
        <w:t>At contract inception, we assess the services promised to</w:t>
      </w:r>
      <w:r>
        <w:rPr>
          <w:rFonts w:ascii="Arial" w:eastAsia="Times New Roman" w:hAnsi="Arial" w:cs="Arial"/>
          <w:color w:val="000000"/>
          <w:sz w:val="20"/>
          <w:szCs w:val="20"/>
        </w:rPr>
        <w:t xml:space="preserve"> our customers and identify a performance obligation for each promise to transfer to the customer a service, or a bundle of services, that is distinct. To identify the performance obligation, we consider all of our services promised in the contract, regard</w:t>
      </w:r>
      <w:r>
        <w:rPr>
          <w:rFonts w:ascii="Arial" w:eastAsia="Times New Roman" w:hAnsi="Arial" w:cs="Arial"/>
          <w:color w:val="000000"/>
          <w:sz w:val="20"/>
          <w:szCs w:val="20"/>
        </w:rPr>
        <w:t xml:space="preserve">less of whether they are explicitly stated or are implied by customary business practices. </w:t>
      </w:r>
    </w:p>
    <w:p w:rsidR="00000000" w:rsidRDefault="00485CCD">
      <w:pPr>
        <w:ind w:firstLine="720"/>
        <w:jc w:val="both"/>
        <w:divId w:val="546917477"/>
        <w:rPr>
          <w:rFonts w:eastAsia="Times New Roman"/>
        </w:rPr>
      </w:pPr>
      <w:r>
        <w:rPr>
          <w:rFonts w:ascii="Arial" w:eastAsia="Times New Roman" w:hAnsi="Arial" w:cs="Arial"/>
          <w:color w:val="000000"/>
          <w:sz w:val="20"/>
          <w:szCs w:val="20"/>
        </w:rPr>
        <w:t>The majority of our contracts contain multiple promises that represent an integrated bundle of services comprised of activities that may vary over time; however, these activities fulfill a single integrated performance obligation since we perform a continu</w:t>
      </w:r>
      <w:r>
        <w:rPr>
          <w:rFonts w:ascii="Arial" w:eastAsia="Times New Roman" w:hAnsi="Arial" w:cs="Arial"/>
          <w:color w:val="000000"/>
          <w:sz w:val="20"/>
          <w:szCs w:val="20"/>
        </w:rPr>
        <w:t>ous service that is substantially the same and has the same pattern of transfer to the customer. Our performance obligations are primarily satisfied over time as we provide the related services. We allocate the contract transaction price to this single per</w:t>
      </w:r>
      <w:r>
        <w:rPr>
          <w:rFonts w:ascii="Arial" w:eastAsia="Times New Roman" w:hAnsi="Arial" w:cs="Arial"/>
          <w:color w:val="000000"/>
          <w:sz w:val="20"/>
          <w:szCs w:val="20"/>
        </w:rPr>
        <w:t xml:space="preserve">formance obligation and recognize revenue as the services are performed, as further described in “Contract Types” below. </w:t>
      </w:r>
    </w:p>
    <w:p w:rsidR="00000000" w:rsidRDefault="00485CCD">
      <w:pPr>
        <w:ind w:firstLine="720"/>
        <w:jc w:val="both"/>
        <w:divId w:val="1807046126"/>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royalties)</w:t>
      </w:r>
      <w:r>
        <w:rPr>
          <w:rFonts w:ascii="Arial" w:eastAsia="Times New Roman" w:hAnsi="Arial" w:cs="Arial"/>
          <w:color w:val="000000"/>
          <w:sz w:val="20"/>
          <w:szCs w:val="20"/>
        </w:rPr>
        <w:t>. We do not estimate the variable consideration for these arrangements; rather, we recognize these variable fees in the period they are earned. Some of our contracts, often related to Airline Services, may also include performance incentives based on varia</w:t>
      </w:r>
      <w:r>
        <w:rPr>
          <w:rFonts w:ascii="Arial" w:eastAsia="Times New Roman" w:hAnsi="Arial" w:cs="Arial"/>
          <w:color w:val="000000"/>
          <w:sz w:val="20"/>
          <w:szCs w:val="20"/>
        </w:rPr>
        <w:t>ble performance measures that are ascertained exclusively by future performance and therefore cannot be estimated at contract inception and are recognized as revenue once known and mutually agreed upon. We include estimated amounts in the transaction price</w:t>
      </w:r>
      <w:r>
        <w:rPr>
          <w:rFonts w:ascii="Arial" w:eastAsia="Times New Roman" w:hAnsi="Arial" w:cs="Arial"/>
          <w:color w:val="000000"/>
          <w:sz w:val="20"/>
          <w:szCs w:val="20"/>
        </w:rPr>
        <w:t xml:space="preserve"> to the extent it is probable that a significant reversal of cumulative revenue recognized will not occur when the uncertainty associated with the variable consideration is resolved. Our estimates of variable consideration and determination of whether to i</w:t>
      </w:r>
      <w:r>
        <w:rPr>
          <w:rFonts w:ascii="Arial" w:eastAsia="Times New Roman" w:hAnsi="Arial" w:cs="Arial"/>
          <w:color w:val="000000"/>
          <w:sz w:val="20"/>
          <w:szCs w:val="20"/>
        </w:rPr>
        <w:t xml:space="preserve">nclude estimated amounts in the transaction price are based largely on an assessment of our anticipated performance and all information (historical, current, and forecasted) that is reasonably available to us. </w:t>
      </w:r>
    </w:p>
    <w:p w:rsidR="00000000" w:rsidRDefault="00485CCD">
      <w:pPr>
        <w:ind w:firstLine="720"/>
        <w:jc w:val="both"/>
        <w:divId w:val="601231961"/>
        <w:rPr>
          <w:rFonts w:eastAsia="Times New Roman"/>
        </w:rPr>
      </w:pPr>
      <w:r>
        <w:rPr>
          <w:rFonts w:ascii="Arial" w:eastAsia="Times New Roman" w:hAnsi="Arial" w:cs="Arial"/>
          <w:color w:val="000000"/>
          <w:sz w:val="20"/>
          <w:szCs w:val="20"/>
        </w:rPr>
        <w:t>We primarily account for our performance obli</w:t>
      </w:r>
      <w:r>
        <w:rPr>
          <w:rFonts w:ascii="Arial" w:eastAsia="Times New Roman" w:hAnsi="Arial" w:cs="Arial"/>
          <w:color w:val="000000"/>
          <w:sz w:val="20"/>
          <w:szCs w:val="20"/>
        </w:rPr>
        <w:t>gations under the series guidance, using the as-invoiced practical expedient when applicable. We apply the as-invoiced practical expedient to record revenue as the services are provided, given the nature of the services provided and the frequency of billin</w:t>
      </w:r>
      <w:r>
        <w:rPr>
          <w:rFonts w:ascii="Arial" w:eastAsia="Times New Roman" w:hAnsi="Arial" w:cs="Arial"/>
          <w:color w:val="000000"/>
          <w:sz w:val="20"/>
          <w:szCs w:val="20"/>
        </w:rPr>
        <w:t xml:space="preserve">g under the customer contracts. Under this practical expedient, we recognize revenue in an amount that corresponds directly with the value to the customer of our performance completed to date and for which we have the right to invoice the customer. </w:t>
      </w:r>
    </w:p>
    <w:p w:rsidR="00000000" w:rsidRDefault="00485CCD">
      <w:pPr>
        <w:ind w:firstLine="720"/>
        <w:jc w:val="both"/>
        <w:divId w:val="1635676927"/>
        <w:rPr>
          <w:rFonts w:eastAsia="Times New Roman"/>
        </w:rPr>
      </w:pPr>
      <w:r>
        <w:rPr>
          <w:rFonts w:ascii="Arial" w:eastAsia="Times New Roman" w:hAnsi="Arial" w:cs="Arial"/>
          <w:color w:val="000000"/>
          <w:sz w:val="20"/>
          <w:szCs w:val="20"/>
        </w:rPr>
        <w:t>We typ</w:t>
      </w:r>
      <w:r>
        <w:rPr>
          <w:rFonts w:ascii="Arial" w:eastAsia="Times New Roman" w:hAnsi="Arial" w:cs="Arial"/>
          <w:color w:val="000000"/>
          <w:sz w:val="20"/>
          <w:szCs w:val="20"/>
        </w:rPr>
        <w:t>ically bill customers on a monthly basis and have the right to consideration from customers in an amount that corresponds directly with the performance obligation satisfied to date. The time between completion of the performance obligation and collection o</w:t>
      </w:r>
      <w:r>
        <w:rPr>
          <w:rFonts w:ascii="Arial" w:eastAsia="Times New Roman" w:hAnsi="Arial" w:cs="Arial"/>
          <w:color w:val="000000"/>
          <w:sz w:val="20"/>
          <w:szCs w:val="20"/>
        </w:rPr>
        <w:t xml:space="preserve">f cash is generally 30 to 60 days. Sales-based taxes are excluded from revenue. </w:t>
      </w:r>
    </w:p>
    <w:p w:rsidR="00000000" w:rsidRDefault="00485CCD">
      <w:pPr>
        <w:ind w:firstLine="720"/>
        <w:jc w:val="both"/>
        <w:divId w:val="1122043445"/>
        <w:rPr>
          <w:rFonts w:eastAsia="Times New Roman"/>
        </w:rPr>
      </w:pPr>
      <w:r>
        <w:rPr>
          <w:rFonts w:ascii="Arial" w:eastAsia="Times New Roman" w:hAnsi="Arial" w:cs="Arial"/>
          <w:color w:val="000000"/>
          <w:sz w:val="20"/>
          <w:szCs w:val="20"/>
        </w:rPr>
        <w:t>Contracts generally can be modified to account for changes in specifications and requirements. We consider contract modifications to exist when the modification either changes</w:t>
      </w:r>
      <w:r>
        <w:rPr>
          <w:rFonts w:ascii="Arial" w:eastAsia="Times New Roman" w:hAnsi="Arial" w:cs="Arial"/>
          <w:color w:val="000000"/>
          <w:sz w:val="20"/>
          <w:szCs w:val="20"/>
        </w:rPr>
        <w:t xml:space="preserve"> the consideration, creates new </w:t>
      </w:r>
    </w:p>
    <w:p w:rsidR="00000000" w:rsidRDefault="00485CCD">
      <w:pPr>
        <w:jc w:val="center"/>
        <w:divId w:val="638726988"/>
        <w:rPr>
          <w:rFonts w:eastAsia="Times New Roman"/>
        </w:rPr>
      </w:pPr>
      <w:r>
        <w:rPr>
          <w:rFonts w:ascii="Arial" w:eastAsia="Times New Roman" w:hAnsi="Arial" w:cs="Arial"/>
          <w:color w:val="000000"/>
          <w:sz w:val="20"/>
          <w:szCs w:val="20"/>
        </w:rPr>
        <w:t>60</w:t>
      </w:r>
    </w:p>
    <w:p w:rsidR="00000000" w:rsidRDefault="00485CCD">
      <w:pPr>
        <w:rPr>
          <w:rFonts w:eastAsia="Times New Roman"/>
        </w:rPr>
      </w:pPr>
      <w:r>
        <w:rPr>
          <w:rFonts w:eastAsia="Times New Roman"/>
        </w:rPr>
        <w:pict>
          <v:rect id="_x0000_i1097" style="width:0;height:1.5pt" o:hralign="center" o:hrstd="t" o:hr="t" fillcolor="#a0a0a0" stroked="f"/>
        </w:pict>
      </w:r>
    </w:p>
    <w:p w:rsidR="00000000" w:rsidRDefault="00485CCD">
      <w:pPr>
        <w:divId w:val="1842623391"/>
        <w:rPr>
          <w:rFonts w:eastAsia="Times New Roman"/>
        </w:rPr>
      </w:pPr>
    </w:p>
    <w:p w:rsidR="00000000" w:rsidRDefault="00485CCD">
      <w:pPr>
        <w:jc w:val="both"/>
        <w:divId w:val="1933393886"/>
        <w:rPr>
          <w:rFonts w:eastAsia="Times New Roman"/>
        </w:rPr>
      </w:pPr>
      <w:r>
        <w:rPr>
          <w:rFonts w:ascii="Arial" w:eastAsia="Times New Roman" w:hAnsi="Arial" w:cs="Arial"/>
          <w:color w:val="000000"/>
          <w:sz w:val="20"/>
          <w:szCs w:val="20"/>
        </w:rPr>
        <w:t>performance obligations, or changes the existing scope of the contract and related performance obligations. Historically, contract modifications have been for services that are not d</w:t>
      </w:r>
      <w:r>
        <w:rPr>
          <w:rFonts w:ascii="Arial" w:eastAsia="Times New Roman" w:hAnsi="Arial" w:cs="Arial"/>
          <w:color w:val="000000"/>
          <w:sz w:val="20"/>
          <w:szCs w:val="20"/>
        </w:rPr>
        <w:t xml:space="preserve">istinct from the existing contract, since we are providing a bundle of services that are highly interrelated, and are therefore treated as if they were part of that existing contract. Such modifications are generally accounted for prospectively as part of </w:t>
      </w:r>
      <w:r>
        <w:rPr>
          <w:rFonts w:ascii="Arial" w:eastAsia="Times New Roman" w:hAnsi="Arial" w:cs="Arial"/>
          <w:color w:val="000000"/>
          <w:sz w:val="20"/>
          <w:szCs w:val="20"/>
        </w:rPr>
        <w:t>the existing contract.</w:t>
      </w:r>
    </w:p>
    <w:p w:rsidR="00000000" w:rsidRDefault="00485CCD">
      <w:pPr>
        <w:divId w:val="895505136"/>
        <w:rPr>
          <w:rFonts w:eastAsia="Times New Roman"/>
        </w:rPr>
      </w:pPr>
      <w:r>
        <w:rPr>
          <w:rFonts w:ascii="Arial" w:eastAsia="Times New Roman" w:hAnsi="Arial" w:cs="Arial"/>
          <w:b/>
          <w:bCs/>
          <w:i/>
          <w:iCs/>
          <w:color w:val="0046AD"/>
          <w:sz w:val="20"/>
          <w:szCs w:val="20"/>
        </w:rPr>
        <w:t>Contract Types</w:t>
      </w:r>
    </w:p>
    <w:p w:rsidR="00000000" w:rsidRDefault="00485CCD">
      <w:pPr>
        <w:ind w:firstLine="720"/>
        <w:jc w:val="both"/>
        <w:divId w:val="1922329285"/>
        <w:rPr>
          <w:rFonts w:eastAsia="Times New Roman"/>
        </w:rPr>
      </w:pPr>
      <w:r>
        <w:rPr>
          <w:rFonts w:ascii="Arial" w:eastAsia="Times New Roman" w:hAnsi="Arial" w:cs="Arial"/>
          <w:color w:val="000000"/>
          <w:sz w:val="20"/>
          <w:szCs w:val="20"/>
        </w:rPr>
        <w:t>We have arrangements under various contract types, as described below.</w:t>
      </w:r>
    </w:p>
    <w:p w:rsidR="00000000" w:rsidRDefault="00485CCD">
      <w:pPr>
        <w:jc w:val="both"/>
        <w:divId w:val="824200625"/>
        <w:rPr>
          <w:rFonts w:eastAsia="Times New Roman"/>
        </w:rPr>
      </w:pPr>
      <w:r>
        <w:rPr>
          <w:rFonts w:ascii="Arial" w:eastAsia="Times New Roman" w:hAnsi="Arial" w:cs="Arial"/>
          <w:i/>
          <w:iCs/>
          <w:color w:val="0046AD"/>
          <w:sz w:val="20"/>
          <w:szCs w:val="20"/>
        </w:rPr>
        <w:t>Monthly Fixed-Price</w:t>
      </w:r>
      <w:r>
        <w:rPr>
          <w:rFonts w:ascii="Arial" w:eastAsia="Times New Roman" w:hAnsi="Arial" w:cs="Arial"/>
          <w:b/>
          <w:bCs/>
          <w:i/>
          <w:iCs/>
          <w:color w:val="0046AD"/>
          <w:sz w:val="20"/>
          <w:szCs w:val="20"/>
        </w:rPr>
        <w:t xml:space="preserve"> </w:t>
      </w:r>
    </w:p>
    <w:p w:rsidR="00000000" w:rsidRDefault="00485CCD">
      <w:pPr>
        <w:ind w:firstLine="720"/>
        <w:jc w:val="both"/>
        <w:divId w:val="503937461"/>
        <w:rPr>
          <w:rFonts w:eastAsia="Times New Roman"/>
        </w:rPr>
      </w:pPr>
      <w:r>
        <w:rPr>
          <w:rFonts w:ascii="Arial" w:eastAsia="Times New Roman" w:hAnsi="Arial" w:cs="Arial"/>
          <w:color w:val="000000"/>
          <w:sz w:val="20"/>
          <w:szCs w:val="20"/>
        </w:rPr>
        <w:t>Monthly fixed-price arrangements are contracts in which the client agrees to pay a fixed fee every month over a specified cont</w:t>
      </w:r>
      <w:r>
        <w:rPr>
          <w:rFonts w:ascii="Arial" w:eastAsia="Times New Roman" w:hAnsi="Arial" w:cs="Arial"/>
          <w:color w:val="000000"/>
          <w:sz w:val="20"/>
          <w:szCs w:val="20"/>
        </w:rPr>
        <w:t>ract term. We measure progress toward satisfaction of the performance obligation as the services are provided, and revenue is recognized at the agreed-upon contractual amount over time, because the customer simultaneously receives and consumes the benefits</w:t>
      </w:r>
      <w:r>
        <w:rPr>
          <w:rFonts w:ascii="Arial" w:eastAsia="Times New Roman" w:hAnsi="Arial" w:cs="Arial"/>
          <w:color w:val="000000"/>
          <w:sz w:val="20"/>
          <w:szCs w:val="20"/>
        </w:rPr>
        <w:t xml:space="preserve"> of the services as they are performed. </w:t>
      </w:r>
    </w:p>
    <w:p w:rsidR="00000000" w:rsidRDefault="00485CCD">
      <w:pPr>
        <w:jc w:val="both"/>
        <w:divId w:val="1260259673"/>
        <w:rPr>
          <w:rFonts w:eastAsia="Times New Roman"/>
        </w:rPr>
      </w:pPr>
      <w:r>
        <w:rPr>
          <w:rFonts w:ascii="Arial" w:eastAsia="Times New Roman" w:hAnsi="Arial" w:cs="Arial"/>
          <w:i/>
          <w:iCs/>
          <w:color w:val="0046AD"/>
          <w:sz w:val="20"/>
          <w:szCs w:val="20"/>
        </w:rPr>
        <w:t>Square-Foot</w:t>
      </w:r>
    </w:p>
    <w:p w:rsidR="00000000" w:rsidRDefault="00485CCD">
      <w:pPr>
        <w:ind w:firstLine="720"/>
        <w:jc w:val="both"/>
        <w:divId w:val="366107274"/>
        <w:rPr>
          <w:rFonts w:eastAsia="Times New Roman"/>
        </w:rPr>
      </w:pPr>
      <w:r>
        <w:rPr>
          <w:rFonts w:ascii="Arial" w:eastAsia="Times New Roman" w:hAnsi="Arial" w:cs="Arial"/>
          <w:color w:val="000000"/>
          <w:sz w:val="20"/>
          <w:szCs w:val="20"/>
        </w:rPr>
        <w:t>Square-foot arrangements are contracts in which the client agrees to pay a fixed fee every month based on the actual square footage serviced over a specified contract term. We measure progress toward sat</w:t>
      </w:r>
      <w:r>
        <w:rPr>
          <w:rFonts w:ascii="Arial" w:eastAsia="Times New Roman" w:hAnsi="Arial" w:cs="Arial"/>
          <w:color w:val="000000"/>
          <w:sz w:val="20"/>
          <w:szCs w:val="20"/>
        </w:rPr>
        <w:t xml:space="preserve">isfaction of the performance obligation as the services are provided, and revenue is recognized at the agreed-upon contractual amount over time, because the customer simultaneously receives and consumes the benefits of the services as they are performed. </w:t>
      </w:r>
    </w:p>
    <w:p w:rsidR="00000000" w:rsidRDefault="00485CCD">
      <w:pPr>
        <w:jc w:val="both"/>
        <w:divId w:val="187060502"/>
        <w:rPr>
          <w:rFonts w:eastAsia="Times New Roman"/>
        </w:rPr>
      </w:pPr>
      <w:r>
        <w:rPr>
          <w:rFonts w:ascii="Arial" w:eastAsia="Times New Roman" w:hAnsi="Arial" w:cs="Arial"/>
          <w:i/>
          <w:iCs/>
          <w:color w:val="0046AD"/>
          <w:sz w:val="20"/>
          <w:szCs w:val="20"/>
        </w:rPr>
        <w:t>Cost-Plus</w:t>
      </w:r>
    </w:p>
    <w:p w:rsidR="00000000" w:rsidRDefault="00485CCD">
      <w:pPr>
        <w:ind w:firstLine="720"/>
        <w:jc w:val="both"/>
        <w:divId w:val="1802335285"/>
        <w:rPr>
          <w:rFonts w:eastAsia="Times New Roman"/>
        </w:rPr>
      </w:pPr>
      <w:r>
        <w:rPr>
          <w:rFonts w:ascii="Arial" w:eastAsia="Times New Roman" w:hAnsi="Arial" w:cs="Arial"/>
          <w:color w:val="000000"/>
          <w:sz w:val="20"/>
          <w:szCs w:val="20"/>
        </w:rPr>
        <w:t>Cost-plus arrangements are contracts in which the clients reimburse us for the agreed-upon amount of wages and benefits, payroll taxes, insurance charges, and other expenses associated with the contracted work, plus a profit margin. We measure pr</w:t>
      </w:r>
      <w:r>
        <w:rPr>
          <w:rFonts w:ascii="Arial" w:eastAsia="Times New Roman" w:hAnsi="Arial" w:cs="Arial"/>
          <w:color w:val="000000"/>
          <w:sz w:val="20"/>
          <w:szCs w:val="20"/>
        </w:rPr>
        <w:t>ogress toward satisfaction of the performance obligation as the services are provided, and revenue is recognized at the agreed-upon contractual amount over time, because the customer simultaneously receives and consumes the benefits of the services as they</w:t>
      </w:r>
      <w:r>
        <w:rPr>
          <w:rFonts w:ascii="Arial" w:eastAsia="Times New Roman" w:hAnsi="Arial" w:cs="Arial"/>
          <w:color w:val="000000"/>
          <w:sz w:val="20"/>
          <w:szCs w:val="20"/>
        </w:rPr>
        <w:t xml:space="preserve"> are performed. </w:t>
      </w:r>
    </w:p>
    <w:p w:rsidR="00000000" w:rsidRDefault="00485CCD">
      <w:pPr>
        <w:jc w:val="both"/>
        <w:divId w:val="993872940"/>
        <w:rPr>
          <w:rFonts w:eastAsia="Times New Roman"/>
        </w:rPr>
      </w:pPr>
      <w:r>
        <w:rPr>
          <w:rFonts w:ascii="Arial" w:eastAsia="Times New Roman" w:hAnsi="Arial" w:cs="Arial"/>
          <w:i/>
          <w:iCs/>
          <w:color w:val="0046AD"/>
          <w:sz w:val="20"/>
          <w:szCs w:val="20"/>
        </w:rPr>
        <w:t xml:space="preserve">Work Orders </w:t>
      </w:r>
    </w:p>
    <w:p w:rsidR="00000000" w:rsidRDefault="00485CCD">
      <w:pPr>
        <w:ind w:firstLine="720"/>
        <w:jc w:val="both"/>
        <w:divId w:val="1296528281"/>
        <w:rPr>
          <w:rFonts w:eastAsia="Times New Roman"/>
        </w:rPr>
      </w:pPr>
      <w:r>
        <w:rPr>
          <w:rFonts w:ascii="Arial" w:eastAsia="Times New Roman" w:hAnsi="Arial" w:cs="Arial"/>
          <w:color w:val="000000"/>
          <w:sz w:val="20"/>
          <w:szCs w:val="20"/>
        </w:rPr>
        <w:t>Work orders generally consist of supplemental services requested by clients outside of the standard service specification and include cleanup after tenant moves, construction cleanup, flood cleanup, and snow removal. The natur</w:t>
      </w:r>
      <w:r>
        <w:rPr>
          <w:rFonts w:ascii="Arial" w:eastAsia="Times New Roman" w:hAnsi="Arial" w:cs="Arial"/>
          <w:color w:val="000000"/>
          <w:sz w:val="20"/>
          <w:szCs w:val="20"/>
        </w:rPr>
        <w:t>e of these short-term contracts involves performing one-off type services, and revenue is recognized at the agreed-upon contractual amount over time as the services are provided, because the customer simultaneously receives and consumes the benefits of the</w:t>
      </w:r>
      <w:r>
        <w:rPr>
          <w:rFonts w:ascii="Arial" w:eastAsia="Times New Roman" w:hAnsi="Arial" w:cs="Arial"/>
          <w:color w:val="000000"/>
          <w:sz w:val="20"/>
          <w:szCs w:val="20"/>
        </w:rPr>
        <w:t xml:space="preserve"> services as they are performed. </w:t>
      </w:r>
    </w:p>
    <w:p w:rsidR="00000000" w:rsidRDefault="00485CCD">
      <w:pPr>
        <w:jc w:val="both"/>
        <w:divId w:val="1656029953"/>
        <w:rPr>
          <w:rFonts w:eastAsia="Times New Roman"/>
        </w:rPr>
      </w:pPr>
      <w:r>
        <w:rPr>
          <w:rFonts w:ascii="Arial" w:eastAsia="Times New Roman" w:hAnsi="Arial" w:cs="Arial"/>
          <w:i/>
          <w:iCs/>
          <w:color w:val="0046AD"/>
          <w:sz w:val="20"/>
          <w:szCs w:val="20"/>
        </w:rPr>
        <w:t xml:space="preserve">Transaction-Price </w:t>
      </w:r>
    </w:p>
    <w:p w:rsidR="00000000" w:rsidRDefault="00485CCD">
      <w:pPr>
        <w:ind w:firstLine="720"/>
        <w:jc w:val="both"/>
        <w:divId w:val="920068642"/>
        <w:rPr>
          <w:rFonts w:eastAsia="Times New Roman"/>
        </w:rPr>
      </w:pPr>
      <w:r>
        <w:rPr>
          <w:rFonts w:ascii="Arial" w:eastAsia="Times New Roman" w:hAnsi="Arial" w:cs="Arial"/>
          <w:color w:val="000000"/>
          <w:sz w:val="20"/>
          <w:szCs w:val="20"/>
        </w:rPr>
        <w:t>Transaction-price contracts are arrangements in which customers are billed a fixed price for each transaction performed on a monthly basis (e.g., wheelchair passengers served, airplane cabins cleaned). W</w:t>
      </w:r>
      <w:r>
        <w:rPr>
          <w:rFonts w:ascii="Arial" w:eastAsia="Times New Roman" w:hAnsi="Arial" w:cs="Arial"/>
          <w:color w:val="000000"/>
          <w:sz w:val="20"/>
          <w:szCs w:val="20"/>
        </w:rPr>
        <w:t>e measure progress toward satisfaction of the performance obligation as the services are provided, and revenue is recognized at the agreed-upon contractual amount over time, because the customer simultaneously receives and consumes the benefits of the serv</w:t>
      </w:r>
      <w:r>
        <w:rPr>
          <w:rFonts w:ascii="Arial" w:eastAsia="Times New Roman" w:hAnsi="Arial" w:cs="Arial"/>
          <w:color w:val="000000"/>
          <w:sz w:val="20"/>
          <w:szCs w:val="20"/>
        </w:rPr>
        <w:t xml:space="preserve">ices as they are performed. </w:t>
      </w:r>
    </w:p>
    <w:p w:rsidR="00000000" w:rsidRDefault="00485CCD">
      <w:pPr>
        <w:jc w:val="both"/>
        <w:divId w:val="2027439422"/>
        <w:rPr>
          <w:rFonts w:eastAsia="Times New Roman"/>
        </w:rPr>
      </w:pPr>
      <w:r>
        <w:rPr>
          <w:rFonts w:ascii="Arial" w:eastAsia="Times New Roman" w:hAnsi="Arial" w:cs="Arial"/>
          <w:i/>
          <w:iCs/>
          <w:color w:val="0046AD"/>
          <w:sz w:val="20"/>
          <w:szCs w:val="20"/>
        </w:rPr>
        <w:t xml:space="preserve">Hourly </w:t>
      </w:r>
    </w:p>
    <w:p w:rsidR="00000000" w:rsidRDefault="00485CCD">
      <w:pPr>
        <w:ind w:firstLine="720"/>
        <w:jc w:val="both"/>
        <w:divId w:val="1795711202"/>
        <w:rPr>
          <w:rFonts w:eastAsia="Times New Roman"/>
        </w:rPr>
      </w:pPr>
      <w:r>
        <w:rPr>
          <w:rFonts w:ascii="Arial" w:eastAsia="Times New Roman" w:hAnsi="Arial" w:cs="Arial"/>
          <w:color w:val="000000"/>
          <w:sz w:val="20"/>
          <w:szCs w:val="20"/>
        </w:rPr>
        <w:t>Hourly arrangements are contracts in which the client is billed a fixed hourly rate for each labor hour provided. We measure progress toward satisfaction of the performance obligation as the services are provided, and r</w:t>
      </w:r>
      <w:r>
        <w:rPr>
          <w:rFonts w:ascii="Arial" w:eastAsia="Times New Roman" w:hAnsi="Arial" w:cs="Arial"/>
          <w:color w:val="000000"/>
          <w:sz w:val="20"/>
          <w:szCs w:val="20"/>
        </w:rPr>
        <w:t xml:space="preserve">evenue is recognized at the agreed-upon contractual amount over time, because the customer simultaneously receives and consumes the benefits of the services as they are performed. </w:t>
      </w:r>
    </w:p>
    <w:p w:rsidR="00000000" w:rsidRDefault="00485CCD">
      <w:pPr>
        <w:jc w:val="both"/>
        <w:divId w:val="1877159513"/>
        <w:rPr>
          <w:rFonts w:eastAsia="Times New Roman"/>
        </w:rPr>
      </w:pPr>
      <w:r>
        <w:rPr>
          <w:rFonts w:ascii="Arial" w:eastAsia="Times New Roman" w:hAnsi="Arial" w:cs="Arial"/>
          <w:i/>
          <w:iCs/>
          <w:color w:val="0046AD"/>
          <w:sz w:val="20"/>
          <w:szCs w:val="20"/>
        </w:rPr>
        <w:t xml:space="preserve">Management Reimbursement </w:t>
      </w:r>
    </w:p>
    <w:p w:rsidR="00000000" w:rsidRDefault="00485CCD">
      <w:pPr>
        <w:jc w:val="both"/>
        <w:divId w:val="743256619"/>
        <w:rPr>
          <w:rFonts w:eastAsia="Times New Roman"/>
        </w:rPr>
      </w:pPr>
      <w:r>
        <w:rPr>
          <w:rFonts w:ascii="Arial" w:eastAsia="Times New Roman" w:hAnsi="Arial" w:cs="Arial"/>
          <w:color w:val="000000"/>
          <w:sz w:val="13"/>
          <w:szCs w:val="13"/>
        </w:rPr>
        <w:t>   </w:t>
      </w:r>
      <w:r>
        <w:rPr>
          <w:rFonts w:ascii="Arial" w:eastAsia="Times New Roman" w:hAnsi="Arial" w:cs="Arial"/>
          <w:color w:val="000000"/>
          <w:sz w:val="13"/>
          <w:szCs w:val="13"/>
        </w:rPr>
        <w:t> </w:t>
      </w:r>
      <w:r>
        <w:rPr>
          <w:rFonts w:ascii="Arial" w:eastAsia="Times New Roman" w:hAnsi="Arial" w:cs="Arial"/>
          <w:color w:val="000000"/>
          <w:sz w:val="20"/>
          <w:szCs w:val="20"/>
        </w:rPr>
        <w:t xml:space="preserve">Under management reimbursement arrangements, </w:t>
      </w:r>
      <w:r>
        <w:rPr>
          <w:rFonts w:ascii="Arial" w:eastAsia="Times New Roman" w:hAnsi="Arial" w:cs="Arial"/>
          <w:color w:val="000000"/>
          <w:sz w:val="20"/>
          <w:szCs w:val="20"/>
        </w:rPr>
        <w:t>we manage a parking facility for a management fee and pass through the revenue and expenses associated with the facility to the owner. We measure progress toward satisfaction of the performance obligation over time as the services are provided. Under these</w:t>
      </w:r>
      <w:r>
        <w:rPr>
          <w:rFonts w:ascii="Arial" w:eastAsia="Times New Roman" w:hAnsi="Arial" w:cs="Arial"/>
          <w:color w:val="000000"/>
          <w:sz w:val="20"/>
          <w:szCs w:val="20"/>
        </w:rPr>
        <w:t xml:space="preserve"> contracts we recognize both revenues and expenses, in equal amounts, that are directly reimbursed from the property owner for operating expenses, as such expenses are incurred. Such revenues do not include gross customer collections at the managed locatio</w:t>
      </w:r>
      <w:r>
        <w:rPr>
          <w:rFonts w:ascii="Arial" w:eastAsia="Times New Roman" w:hAnsi="Arial" w:cs="Arial"/>
          <w:color w:val="000000"/>
          <w:sz w:val="20"/>
          <w:szCs w:val="20"/>
        </w:rPr>
        <w:t xml:space="preserve">ns, because they belong to the property owners. We have determined we are the principal in </w:t>
      </w:r>
    </w:p>
    <w:p w:rsidR="00000000" w:rsidRDefault="00485CCD">
      <w:pPr>
        <w:jc w:val="center"/>
        <w:divId w:val="797146211"/>
        <w:rPr>
          <w:rFonts w:eastAsia="Times New Roman"/>
        </w:rPr>
      </w:pPr>
      <w:r>
        <w:rPr>
          <w:rFonts w:ascii="Arial" w:eastAsia="Times New Roman" w:hAnsi="Arial" w:cs="Arial"/>
          <w:color w:val="000000"/>
          <w:sz w:val="20"/>
          <w:szCs w:val="20"/>
        </w:rPr>
        <w:t>61</w:t>
      </w:r>
    </w:p>
    <w:p w:rsidR="00000000" w:rsidRDefault="00485CCD">
      <w:pPr>
        <w:rPr>
          <w:rFonts w:eastAsia="Times New Roman"/>
        </w:rPr>
      </w:pPr>
      <w:r>
        <w:rPr>
          <w:rFonts w:eastAsia="Times New Roman"/>
        </w:rPr>
        <w:pict>
          <v:rect id="_x0000_i1098" style="width:0;height:1.5pt" o:hralign="center" o:hrstd="t" o:hr="t" fillcolor="#a0a0a0" stroked="f"/>
        </w:pict>
      </w:r>
    </w:p>
    <w:p w:rsidR="00000000" w:rsidRDefault="00485CCD">
      <w:pPr>
        <w:divId w:val="1434011887"/>
        <w:rPr>
          <w:rFonts w:eastAsia="Times New Roman"/>
        </w:rPr>
      </w:pPr>
    </w:p>
    <w:p w:rsidR="00000000" w:rsidRDefault="00485CCD">
      <w:pPr>
        <w:jc w:val="both"/>
        <w:divId w:val="1521552013"/>
        <w:rPr>
          <w:rFonts w:eastAsia="Times New Roman"/>
        </w:rPr>
      </w:pPr>
      <w:r>
        <w:rPr>
          <w:rFonts w:ascii="Arial" w:eastAsia="Times New Roman" w:hAnsi="Arial" w:cs="Arial"/>
          <w:color w:val="000000"/>
          <w:sz w:val="20"/>
          <w:szCs w:val="20"/>
        </w:rPr>
        <w:t xml:space="preserve">these transactions, because the nature of our performance obligation is for us to provide the services on behalf of the customer and we have control of the promised services before they are transferred to the customer. </w:t>
      </w:r>
    </w:p>
    <w:p w:rsidR="00000000" w:rsidRDefault="00485CCD">
      <w:pPr>
        <w:divId w:val="1311255287"/>
        <w:rPr>
          <w:rFonts w:eastAsia="Times New Roman"/>
        </w:rPr>
      </w:pPr>
      <w:r>
        <w:rPr>
          <w:rFonts w:ascii="Arial" w:eastAsia="Times New Roman" w:hAnsi="Arial" w:cs="Arial"/>
          <w:i/>
          <w:iCs/>
          <w:color w:val="0046AD"/>
          <w:sz w:val="20"/>
          <w:szCs w:val="20"/>
        </w:rPr>
        <w:t xml:space="preserve">Leased Location </w:t>
      </w:r>
    </w:p>
    <w:p w:rsidR="00000000" w:rsidRDefault="00485CCD">
      <w:pPr>
        <w:ind w:firstLine="720"/>
        <w:jc w:val="both"/>
        <w:divId w:val="1799225464"/>
        <w:rPr>
          <w:rFonts w:eastAsia="Times New Roman"/>
        </w:rPr>
      </w:pPr>
      <w:r>
        <w:rPr>
          <w:rFonts w:ascii="Arial" w:eastAsia="Times New Roman" w:hAnsi="Arial" w:cs="Arial"/>
          <w:color w:val="000000"/>
          <w:sz w:val="20"/>
          <w:szCs w:val="20"/>
        </w:rPr>
        <w:t>Under leased locati</w:t>
      </w:r>
      <w:r>
        <w:rPr>
          <w:rFonts w:ascii="Arial" w:eastAsia="Times New Roman" w:hAnsi="Arial" w:cs="Arial"/>
          <w:color w:val="000000"/>
          <w:sz w:val="20"/>
          <w:szCs w:val="20"/>
        </w:rPr>
        <w:t>on parking arrangements, we pay a fixed amount of rent, plus a percentage of revenues derived from monthly and transient parkers, to the property owner. We retain all revenues received and we are responsible for most operating expenses incurred. We measure</w:t>
      </w:r>
      <w:r>
        <w:rPr>
          <w:rFonts w:ascii="Arial" w:eastAsia="Times New Roman" w:hAnsi="Arial" w:cs="Arial"/>
          <w:color w:val="000000"/>
          <w:sz w:val="20"/>
          <w:szCs w:val="20"/>
        </w:rPr>
        <w:t xml:space="preserve"> progress toward satisfaction of the performance obligation as the services are provided, and revenue is recognized over time, because the customer simultaneously receives and consumes the benefits of the services as they are performed.</w:t>
      </w:r>
    </w:p>
    <w:p w:rsidR="00000000" w:rsidRDefault="00485CCD">
      <w:pPr>
        <w:ind w:firstLine="720"/>
        <w:jc w:val="both"/>
        <w:divId w:val="2094667962"/>
        <w:rPr>
          <w:rFonts w:eastAsia="Times New Roman"/>
        </w:rPr>
      </w:pPr>
      <w:r>
        <w:rPr>
          <w:rFonts w:ascii="Arial" w:eastAsia="Times New Roman" w:hAnsi="Arial" w:cs="Arial"/>
          <w:color w:val="000000"/>
          <w:sz w:val="20"/>
          <w:szCs w:val="20"/>
        </w:rPr>
        <w:t>Rental expense and certain other expenses under contracts that meet the definition of service concession arrangements are recorded as a reduction of revenue.</w:t>
      </w:r>
    </w:p>
    <w:p w:rsidR="00000000" w:rsidRDefault="00485CCD">
      <w:pPr>
        <w:jc w:val="both"/>
        <w:divId w:val="488249242"/>
        <w:rPr>
          <w:rFonts w:eastAsia="Times New Roman"/>
        </w:rPr>
      </w:pPr>
      <w:r>
        <w:rPr>
          <w:rFonts w:ascii="Arial" w:eastAsia="Times New Roman" w:hAnsi="Arial" w:cs="Arial"/>
          <w:i/>
          <w:iCs/>
          <w:color w:val="0046AD"/>
          <w:sz w:val="20"/>
          <w:szCs w:val="20"/>
        </w:rPr>
        <w:t>Allowance</w:t>
      </w:r>
    </w:p>
    <w:p w:rsidR="00000000" w:rsidRDefault="00485CCD">
      <w:pPr>
        <w:ind w:firstLine="720"/>
        <w:jc w:val="both"/>
        <w:divId w:val="1823740687"/>
        <w:rPr>
          <w:rFonts w:eastAsia="Times New Roman"/>
        </w:rPr>
      </w:pPr>
      <w:r>
        <w:rPr>
          <w:rFonts w:ascii="Arial" w:eastAsia="Times New Roman" w:hAnsi="Arial" w:cs="Arial"/>
          <w:color w:val="000000"/>
          <w:sz w:val="20"/>
          <w:szCs w:val="20"/>
        </w:rPr>
        <w:t>Under allowance parking arrangements, we are paid a fixed amount or hourly rate to provi</w:t>
      </w:r>
      <w:r>
        <w:rPr>
          <w:rFonts w:ascii="Arial" w:eastAsia="Times New Roman" w:hAnsi="Arial" w:cs="Arial"/>
          <w:color w:val="000000"/>
          <w:sz w:val="20"/>
          <w:szCs w:val="20"/>
        </w:rPr>
        <w:t xml:space="preserve">de parking services, and we are responsible for certain operating expenses that are specified in the contract. We measure progress toward satisfaction of the performance obligation as the services are provided, and revenue is recognized at the agreed-upon </w:t>
      </w:r>
      <w:r>
        <w:rPr>
          <w:rFonts w:ascii="Arial" w:eastAsia="Times New Roman" w:hAnsi="Arial" w:cs="Arial"/>
          <w:color w:val="000000"/>
          <w:sz w:val="20"/>
          <w:szCs w:val="20"/>
        </w:rPr>
        <w:t>contractual rate over time, because the customer simultaneously receives and consumes the benefits of the services as they are performed.</w:t>
      </w:r>
    </w:p>
    <w:p w:rsidR="00000000" w:rsidRDefault="00485CCD">
      <w:pPr>
        <w:jc w:val="both"/>
        <w:divId w:val="683554818"/>
        <w:rPr>
          <w:rFonts w:eastAsia="Times New Roman"/>
        </w:rPr>
      </w:pPr>
      <w:r>
        <w:rPr>
          <w:rFonts w:ascii="Arial" w:eastAsia="Times New Roman" w:hAnsi="Arial" w:cs="Arial"/>
          <w:i/>
          <w:iCs/>
          <w:color w:val="0046AD"/>
          <w:sz w:val="20"/>
          <w:szCs w:val="20"/>
        </w:rPr>
        <w:t>Energy Savings Contracts and Fixed-Price Repair and Refurbishment</w:t>
      </w:r>
    </w:p>
    <w:p w:rsidR="00000000" w:rsidRDefault="00485CCD">
      <w:pPr>
        <w:ind w:firstLine="720"/>
        <w:jc w:val="both"/>
        <w:divId w:val="886186753"/>
        <w:rPr>
          <w:rFonts w:eastAsia="Times New Roman"/>
        </w:rPr>
      </w:pPr>
      <w:r>
        <w:rPr>
          <w:rFonts w:ascii="Arial" w:eastAsia="Times New Roman" w:hAnsi="Arial" w:cs="Arial"/>
          <w:color w:val="000000"/>
          <w:sz w:val="20"/>
          <w:szCs w:val="20"/>
        </w:rPr>
        <w:t>Under energy savings contracts and fixed-price repai</w:t>
      </w:r>
      <w:r>
        <w:rPr>
          <w:rFonts w:ascii="Arial" w:eastAsia="Times New Roman" w:hAnsi="Arial" w:cs="Arial"/>
          <w:color w:val="000000"/>
          <w:sz w:val="20"/>
          <w:szCs w:val="20"/>
        </w:rPr>
        <w:t>r and refurbishment arrangements, we agree to develop, design, engineer, and construct a project. Additionally, as part of bundled energy solutions arrangements, we guarantee the project will satisfy agreed-upon performance standards.</w:t>
      </w:r>
    </w:p>
    <w:p w:rsidR="00000000" w:rsidRDefault="00485CCD">
      <w:pPr>
        <w:ind w:firstLine="720"/>
        <w:jc w:val="both"/>
        <w:divId w:val="1901282200"/>
        <w:rPr>
          <w:rFonts w:eastAsia="Times New Roman"/>
        </w:rPr>
      </w:pPr>
      <w:r>
        <w:rPr>
          <w:rFonts w:ascii="Arial" w:eastAsia="Times New Roman" w:hAnsi="Arial" w:cs="Arial"/>
          <w:color w:val="000000"/>
          <w:sz w:val="20"/>
          <w:szCs w:val="20"/>
        </w:rPr>
        <w:t>We use the cost-to-co</w:t>
      </w:r>
      <w:r>
        <w:rPr>
          <w:rFonts w:ascii="Arial" w:eastAsia="Times New Roman" w:hAnsi="Arial" w:cs="Arial"/>
          <w:color w:val="000000"/>
          <w:sz w:val="20"/>
          <w:szCs w:val="20"/>
        </w:rPr>
        <w:t>st method, which compares the actual costs incurred to date with the current estimate of total costs to complete, to measure the satisfaction of the performance obligation and recognize revenue as work progresses and we incur costs on our contracts; we bel</w:t>
      </w:r>
      <w:r>
        <w:rPr>
          <w:rFonts w:ascii="Arial" w:eastAsia="Times New Roman" w:hAnsi="Arial" w:cs="Arial"/>
          <w:color w:val="000000"/>
          <w:sz w:val="20"/>
          <w:szCs w:val="20"/>
        </w:rPr>
        <w:t>ieve this method best reflects the transfer of control to the customer. This measurement and comparison process requires updates to the estimate of total costs to complete the contract, and these updates may include subjective assessments and judgments. Eq</w:t>
      </w:r>
      <w:r>
        <w:rPr>
          <w:rFonts w:ascii="Arial" w:eastAsia="Times New Roman" w:hAnsi="Arial" w:cs="Arial"/>
          <w:color w:val="000000"/>
          <w:sz w:val="20"/>
          <w:szCs w:val="20"/>
        </w:rPr>
        <w:t>uipment purchased for these projects is project-specific and considered a value-added element to our work. Equipment costs are incurred when title is transferred to us, typically upon delivery to the work site. Revenue for uninstalled equipment is recogniz</w:t>
      </w:r>
      <w:r>
        <w:rPr>
          <w:rFonts w:ascii="Arial" w:eastAsia="Times New Roman" w:hAnsi="Arial" w:cs="Arial"/>
          <w:color w:val="000000"/>
          <w:sz w:val="20"/>
          <w:szCs w:val="20"/>
        </w:rPr>
        <w:t xml:space="preserve">ed at cost and the associated margin is deferred until installation is substantially complete. </w:t>
      </w:r>
    </w:p>
    <w:p w:rsidR="00000000" w:rsidRDefault="00485CCD">
      <w:pPr>
        <w:ind w:firstLine="720"/>
        <w:jc w:val="both"/>
        <w:divId w:val="859273510"/>
        <w:rPr>
          <w:rFonts w:eastAsia="Times New Roman"/>
        </w:rPr>
      </w:pPr>
      <w:r>
        <w:rPr>
          <w:rFonts w:ascii="Arial" w:eastAsia="Times New Roman" w:hAnsi="Arial" w:cs="Arial"/>
          <w:color w:val="000000"/>
          <w:sz w:val="20"/>
          <w:szCs w:val="20"/>
        </w:rPr>
        <w:t>We recognize revenue over time for all of our services as we perform them, because (i) control continuously transfers to the customer as work progresses or (ii)</w:t>
      </w:r>
      <w:r>
        <w:rPr>
          <w:rFonts w:ascii="Arial" w:eastAsia="Times New Roman" w:hAnsi="Arial" w:cs="Arial"/>
          <w:color w:val="000000"/>
          <w:sz w:val="20"/>
          <w:szCs w:val="20"/>
        </w:rPr>
        <w:t xml:space="preserve"> we have the right to bill the customer as costs are incurred. The customer typically controls the work in process, as evidenced either by contractual termination clauses or by our rights to payment for work performed to date plus a reasonable profit to de</w:t>
      </w:r>
      <w:r>
        <w:rPr>
          <w:rFonts w:ascii="Arial" w:eastAsia="Times New Roman" w:hAnsi="Arial" w:cs="Arial"/>
          <w:color w:val="000000"/>
          <w:sz w:val="20"/>
          <w:szCs w:val="20"/>
        </w:rPr>
        <w:t>liver products or services that do not have an alternative use to us.</w:t>
      </w:r>
    </w:p>
    <w:p w:rsidR="00000000" w:rsidRDefault="00485CCD">
      <w:pPr>
        <w:ind w:firstLine="720"/>
        <w:jc w:val="both"/>
        <w:divId w:val="1603948224"/>
        <w:rPr>
          <w:rFonts w:eastAsia="Times New Roman"/>
        </w:rPr>
      </w:pPr>
      <w:r>
        <w:rPr>
          <w:rFonts w:ascii="Arial" w:eastAsia="Times New Roman" w:hAnsi="Arial" w:cs="Arial"/>
          <w:color w:val="000000"/>
          <w:sz w:val="20"/>
          <w:szCs w:val="20"/>
        </w:rPr>
        <w:t>Certain project contracts include a schedule of billings or invoices to the customer based on our job-to-date percentage of completion of specific tasks inherent in the fulfillment of ou</w:t>
      </w:r>
      <w:r>
        <w:rPr>
          <w:rFonts w:ascii="Arial" w:eastAsia="Times New Roman" w:hAnsi="Arial" w:cs="Arial"/>
          <w:color w:val="000000"/>
          <w:sz w:val="20"/>
          <w:szCs w:val="20"/>
        </w:rPr>
        <w:t>r performance obligation(s) or in accordance with a fixed billing schedule. Fixed billing schedules may not precisely match the actual costs incurred. Therefore, revenue recognized may differ from amounts that can be billed or invoiced to the customer at a</w:t>
      </w:r>
      <w:r>
        <w:rPr>
          <w:rFonts w:ascii="Arial" w:eastAsia="Times New Roman" w:hAnsi="Arial" w:cs="Arial"/>
          <w:color w:val="000000"/>
          <w:sz w:val="20"/>
          <w:szCs w:val="20"/>
        </w:rPr>
        <w:t>ny point during the contract, resulting in balances that are considered revenue recognized in excess of cumulative billings or cumulative billings in excess of revenue recognized. Advanced payments from our customers generally do not represent a significan</w:t>
      </w:r>
      <w:r>
        <w:rPr>
          <w:rFonts w:ascii="Arial" w:eastAsia="Times New Roman" w:hAnsi="Arial" w:cs="Arial"/>
          <w:color w:val="000000"/>
          <w:sz w:val="20"/>
          <w:szCs w:val="20"/>
        </w:rPr>
        <w:t xml:space="preserve">t financing component as the payments are used to meet working capital demands that can be higher in the early stages of a contract, as well as to protect us from our customer failing to meet its obligations under the contract. </w:t>
      </w:r>
    </w:p>
    <w:p w:rsidR="00000000" w:rsidRDefault="00485CCD">
      <w:pPr>
        <w:ind w:firstLine="720"/>
        <w:jc w:val="both"/>
        <w:divId w:val="1315254401"/>
        <w:rPr>
          <w:rFonts w:eastAsia="Times New Roman"/>
        </w:rPr>
      </w:pPr>
      <w:r>
        <w:rPr>
          <w:rFonts w:ascii="Arial" w:eastAsia="Times New Roman" w:hAnsi="Arial" w:cs="Arial"/>
          <w:color w:val="000000"/>
          <w:sz w:val="20"/>
          <w:szCs w:val="20"/>
        </w:rPr>
        <w:t>Certain projects include se</w:t>
      </w:r>
      <w:r>
        <w:rPr>
          <w:rFonts w:ascii="Arial" w:eastAsia="Times New Roman" w:hAnsi="Arial" w:cs="Arial"/>
          <w:color w:val="000000"/>
          <w:sz w:val="20"/>
          <w:szCs w:val="20"/>
        </w:rPr>
        <w:t>rvice maintenance agreements under which existing systems are repaired and maintained for a specific period of time. We generally recognize revenue under these arrangements over time. Our service maintenance agreements are generally one-year renewable agre</w:t>
      </w:r>
      <w:r>
        <w:rPr>
          <w:rFonts w:ascii="Arial" w:eastAsia="Times New Roman" w:hAnsi="Arial" w:cs="Arial"/>
          <w:color w:val="000000"/>
          <w:sz w:val="20"/>
          <w:szCs w:val="20"/>
        </w:rPr>
        <w:t>ements.</w:t>
      </w:r>
    </w:p>
    <w:p w:rsidR="00000000" w:rsidRDefault="00485CCD">
      <w:pPr>
        <w:jc w:val="both"/>
        <w:divId w:val="1726299931"/>
        <w:rPr>
          <w:rFonts w:eastAsia="Times New Roman"/>
        </w:rPr>
      </w:pPr>
      <w:r>
        <w:rPr>
          <w:rFonts w:ascii="Arial" w:eastAsia="Times New Roman" w:hAnsi="Arial" w:cs="Arial"/>
          <w:i/>
          <w:iCs/>
          <w:color w:val="0046AD"/>
          <w:sz w:val="20"/>
          <w:szCs w:val="20"/>
        </w:rPr>
        <w:t>Franchise</w:t>
      </w:r>
    </w:p>
    <w:p w:rsidR="00000000" w:rsidRDefault="00485CCD">
      <w:pPr>
        <w:ind w:firstLine="720"/>
        <w:jc w:val="both"/>
        <w:divId w:val="27722978"/>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 Initial franchise fees result from the sale of a franchise license and inc</w:t>
      </w:r>
      <w:r>
        <w:rPr>
          <w:rFonts w:ascii="Arial" w:eastAsia="Times New Roman" w:hAnsi="Arial" w:cs="Arial"/>
          <w:color w:val="000000"/>
          <w:sz w:val="20"/>
          <w:szCs w:val="20"/>
        </w:rPr>
        <w:t xml:space="preserve">lude the use of the name, trademarks, and proprietary methods. The franchise license is </w:t>
      </w:r>
    </w:p>
    <w:p w:rsidR="00000000" w:rsidRDefault="00485CCD">
      <w:pPr>
        <w:jc w:val="center"/>
        <w:divId w:val="1848402052"/>
        <w:rPr>
          <w:rFonts w:eastAsia="Times New Roman"/>
        </w:rPr>
      </w:pPr>
      <w:r>
        <w:rPr>
          <w:rFonts w:ascii="Arial" w:eastAsia="Times New Roman" w:hAnsi="Arial" w:cs="Arial"/>
          <w:color w:val="000000"/>
          <w:sz w:val="20"/>
          <w:szCs w:val="20"/>
        </w:rPr>
        <w:t>62</w:t>
      </w:r>
    </w:p>
    <w:p w:rsidR="00000000" w:rsidRDefault="00485CCD">
      <w:pPr>
        <w:rPr>
          <w:rFonts w:eastAsia="Times New Roman"/>
        </w:rPr>
      </w:pPr>
      <w:r>
        <w:rPr>
          <w:rFonts w:eastAsia="Times New Roman"/>
        </w:rPr>
        <w:pict>
          <v:rect id="_x0000_i1099" style="width:0;height:1.5pt" o:hralign="center" o:hrstd="t" o:hr="t" fillcolor="#a0a0a0" stroked="f"/>
        </w:pict>
      </w:r>
    </w:p>
    <w:p w:rsidR="00000000" w:rsidRDefault="00485CCD">
      <w:pPr>
        <w:divId w:val="1808623550"/>
        <w:rPr>
          <w:rFonts w:eastAsia="Times New Roman"/>
        </w:rPr>
      </w:pPr>
    </w:p>
    <w:p w:rsidR="00000000" w:rsidRDefault="00485CCD">
      <w:pPr>
        <w:jc w:val="both"/>
        <w:divId w:val="146750281"/>
        <w:rPr>
          <w:rFonts w:eastAsia="Times New Roman"/>
        </w:rPr>
      </w:pPr>
      <w:r>
        <w:rPr>
          <w:rFonts w:ascii="Arial" w:eastAsia="Times New Roman" w:hAnsi="Arial" w:cs="Arial"/>
          <w:color w:val="000000"/>
          <w:sz w:val="20"/>
          <w:szCs w:val="20"/>
        </w:rPr>
        <w:t>considered symbolic intellectual property, and revenue related to the sale of this right is recognized at the agreed-upon cont</w:t>
      </w:r>
      <w:r>
        <w:rPr>
          <w:rFonts w:ascii="Arial" w:eastAsia="Times New Roman" w:hAnsi="Arial" w:cs="Arial"/>
          <w:color w:val="000000"/>
          <w:sz w:val="20"/>
          <w:szCs w:val="20"/>
        </w:rPr>
        <w:t xml:space="preserve">ractual amount over the term of the initial franchise agreement. </w:t>
      </w:r>
    </w:p>
    <w:p w:rsidR="00000000" w:rsidRDefault="00485CCD">
      <w:pPr>
        <w:ind w:firstLine="720"/>
        <w:jc w:val="both"/>
        <w:divId w:val="1776905006"/>
        <w:rPr>
          <w:rFonts w:eastAsia="Times New Roman"/>
        </w:rPr>
      </w:pPr>
      <w:r>
        <w:rPr>
          <w:rFonts w:ascii="Arial" w:eastAsia="Times New Roman" w:hAnsi="Arial" w:cs="Arial"/>
          <w:color w:val="000000"/>
          <w:sz w:val="20"/>
          <w:szCs w:val="20"/>
        </w:rPr>
        <w:t>Royalty fee revenue consists of sales-based royalties received as part of the consideration for the franchise right, which is calculated as a percentage of the franchisees’ revenue. We recog</w:t>
      </w:r>
      <w:r>
        <w:rPr>
          <w:rFonts w:ascii="Arial" w:eastAsia="Times New Roman" w:hAnsi="Arial" w:cs="Arial"/>
          <w:color w:val="000000"/>
          <w:sz w:val="20"/>
          <w:szCs w:val="20"/>
        </w:rPr>
        <w:t>nize royalty fee revenue at the agreed-upon contractual rates over time as the customer revenue is generated by the franchisees. A receivable is recognized for an estimate of the unreported royalty fees, which are reported and remitted to us in arrears.</w:t>
      </w:r>
    </w:p>
    <w:p w:rsidR="00000000" w:rsidRDefault="00485CCD">
      <w:pPr>
        <w:jc w:val="both"/>
        <w:divId w:val="1964143893"/>
        <w:rPr>
          <w:rFonts w:eastAsia="Times New Roman"/>
        </w:rPr>
      </w:pPr>
      <w:r>
        <w:rPr>
          <w:rFonts w:ascii="Arial" w:eastAsia="Times New Roman" w:hAnsi="Arial" w:cs="Arial"/>
          <w:b/>
          <w:bCs/>
          <w:i/>
          <w:iCs/>
          <w:color w:val="164FA2"/>
          <w:sz w:val="20"/>
          <w:szCs w:val="20"/>
        </w:rPr>
        <w:t>Co</w:t>
      </w:r>
      <w:r>
        <w:rPr>
          <w:rFonts w:ascii="Arial" w:eastAsia="Times New Roman" w:hAnsi="Arial" w:cs="Arial"/>
          <w:b/>
          <w:bCs/>
          <w:i/>
          <w:iCs/>
          <w:color w:val="164FA2"/>
          <w:sz w:val="20"/>
          <w:szCs w:val="20"/>
        </w:rPr>
        <w:t>sts to Obtain a Contract With a Customer</w:t>
      </w:r>
    </w:p>
    <w:p w:rsidR="00000000" w:rsidRDefault="00485CCD">
      <w:pPr>
        <w:ind w:firstLine="720"/>
        <w:jc w:val="both"/>
        <w:divId w:val="1083919646"/>
        <w:rPr>
          <w:rFonts w:eastAsia="Times New Roman"/>
        </w:rPr>
      </w:pPr>
      <w:r>
        <w:rPr>
          <w:rFonts w:ascii="Arial" w:eastAsia="Times New Roman" w:hAnsi="Arial" w:cs="Arial"/>
          <w:color w:val="000000"/>
          <w:sz w:val="20"/>
          <w:szCs w:val="20"/>
        </w:rPr>
        <w:t>We capitalize the incremental costs of obtaining a contract with a customer, primarily commissions, as contract assets and recognize the expense on a straight-line basis over a weighted average expected customer rel</w:t>
      </w:r>
      <w:r>
        <w:rPr>
          <w:rFonts w:ascii="Arial" w:eastAsia="Times New Roman" w:hAnsi="Arial" w:cs="Arial"/>
          <w:color w:val="000000"/>
          <w:sz w:val="20"/>
          <w:szCs w:val="20"/>
        </w:rPr>
        <w:t xml:space="preserve">ationship period. Capitalized commissions are classified as current or noncurrent based on the timing of when we expect to recognize the expense. </w:t>
      </w:r>
    </w:p>
    <w:p w:rsidR="00000000" w:rsidRDefault="00485CCD">
      <w:pPr>
        <w:divId w:val="320040483"/>
        <w:rPr>
          <w:rFonts w:eastAsia="Times New Roman"/>
        </w:rPr>
      </w:pPr>
      <w:r>
        <w:rPr>
          <w:rFonts w:ascii="Arial" w:eastAsia="Times New Roman" w:hAnsi="Arial" w:cs="Arial"/>
          <w:b/>
          <w:bCs/>
          <w:i/>
          <w:iCs/>
          <w:color w:val="164FA2"/>
          <w:sz w:val="20"/>
          <w:szCs w:val="20"/>
        </w:rPr>
        <w:t xml:space="preserve">Contract Balances </w:t>
      </w:r>
    </w:p>
    <w:p w:rsidR="00000000" w:rsidRDefault="00485CCD">
      <w:pPr>
        <w:ind w:firstLine="720"/>
        <w:jc w:val="both"/>
        <w:divId w:val="1269312240"/>
        <w:rPr>
          <w:rFonts w:eastAsia="Times New Roman"/>
        </w:rPr>
      </w:pPr>
      <w:r>
        <w:rPr>
          <w:rFonts w:ascii="Arial" w:eastAsia="Times New Roman" w:hAnsi="Arial" w:cs="Arial"/>
          <w:color w:val="000000"/>
          <w:sz w:val="20"/>
          <w:szCs w:val="20"/>
        </w:rPr>
        <w:t>The timing of revenue recognition, billings, and cash collections results in contract asse</w:t>
      </w:r>
      <w:r>
        <w:rPr>
          <w:rFonts w:ascii="Arial" w:eastAsia="Times New Roman" w:hAnsi="Arial" w:cs="Arial"/>
          <w:color w:val="000000"/>
          <w:sz w:val="20"/>
          <w:szCs w:val="20"/>
        </w:rPr>
        <w:t>ts and contract liabilities, as further explained below. The timing of revenue recognition may differ from the timing of invoicing to customers. If a contract includes a cancellation clause that allows for the termination of the contract by either party wi</w:t>
      </w:r>
      <w:r>
        <w:rPr>
          <w:rFonts w:ascii="Arial" w:eastAsia="Times New Roman" w:hAnsi="Arial" w:cs="Arial"/>
          <w:color w:val="000000"/>
          <w:sz w:val="20"/>
          <w:szCs w:val="20"/>
        </w:rPr>
        <w:t>thout a substantive penalty, then the contract term is limited to the termination notice period.</w:t>
      </w:r>
    </w:p>
    <w:p w:rsidR="00000000" w:rsidRDefault="00485CCD">
      <w:pPr>
        <w:ind w:firstLine="720"/>
        <w:jc w:val="both"/>
        <w:divId w:val="1331133192"/>
        <w:rPr>
          <w:rFonts w:eastAsia="Times New Roman"/>
        </w:rPr>
      </w:pPr>
      <w:r>
        <w:rPr>
          <w:rFonts w:ascii="Arial" w:eastAsia="Times New Roman" w:hAnsi="Arial" w:cs="Arial"/>
          <w:color w:val="000000"/>
          <w:sz w:val="20"/>
          <w:szCs w:val="20"/>
        </w:rPr>
        <w:t xml:space="preserve">Contract assets primarily consist of billed trade receivables, unbilled trade receivables, and costs incurred in excess of amounts billed. Billed and unbilled </w:t>
      </w:r>
      <w:r>
        <w:rPr>
          <w:rFonts w:ascii="Arial" w:eastAsia="Times New Roman" w:hAnsi="Arial" w:cs="Arial"/>
          <w:color w:val="000000"/>
          <w:sz w:val="20"/>
          <w:szCs w:val="20"/>
        </w:rPr>
        <w:t>trade receivables represent amounts from work completed in which we have an unconditional right to bill our customer. Costs incurred in excess of amounts billed typically arise when the revenue recognized on projects exceeds the amount billed to the custom</w:t>
      </w:r>
      <w:r>
        <w:rPr>
          <w:rFonts w:ascii="Arial" w:eastAsia="Times New Roman" w:hAnsi="Arial" w:cs="Arial"/>
          <w:color w:val="000000"/>
          <w:sz w:val="20"/>
          <w:szCs w:val="20"/>
        </w:rPr>
        <w:t xml:space="preserve">er. These amounts are transferred to billed trade receivables when the rights become unconditional. Contract assets also include the capitalization of incremental costs of obtaining a contract with a customer, primarily commissions. </w:t>
      </w:r>
    </w:p>
    <w:p w:rsidR="00000000" w:rsidRDefault="00485CCD">
      <w:pPr>
        <w:ind w:firstLine="720"/>
        <w:jc w:val="both"/>
        <w:divId w:val="2124959295"/>
        <w:rPr>
          <w:rFonts w:eastAsia="Times New Roman"/>
        </w:rPr>
      </w:pPr>
      <w:r>
        <w:rPr>
          <w:rFonts w:ascii="Arial" w:eastAsia="Times New Roman" w:hAnsi="Arial" w:cs="Arial"/>
          <w:color w:val="000000"/>
          <w:sz w:val="20"/>
          <w:szCs w:val="20"/>
        </w:rPr>
        <w:t>Contract liabilities c</w:t>
      </w:r>
      <w:r>
        <w:rPr>
          <w:rFonts w:ascii="Arial" w:eastAsia="Times New Roman" w:hAnsi="Arial" w:cs="Arial"/>
          <w:color w:val="000000"/>
          <w:sz w:val="20"/>
          <w:szCs w:val="20"/>
        </w:rPr>
        <w:t>onsist of deferred revenue and advance payments and billings in excess of revenue recognized. We generally classify contract liabilities as current since the related contracts are generally for a period of one year or less. Contract liabilities decrease as</w:t>
      </w:r>
      <w:r>
        <w:rPr>
          <w:rFonts w:ascii="Arial" w:eastAsia="Times New Roman" w:hAnsi="Arial" w:cs="Arial"/>
          <w:color w:val="000000"/>
          <w:sz w:val="20"/>
          <w:szCs w:val="20"/>
        </w:rPr>
        <w:t xml:space="preserve"> we recognize revenue from the satisfaction of the related performance obligation.</w:t>
      </w:r>
    </w:p>
    <w:p w:rsidR="00000000" w:rsidRDefault="00485CCD">
      <w:pPr>
        <w:jc w:val="both"/>
        <w:divId w:val="1831676013"/>
        <w:rPr>
          <w:rFonts w:eastAsia="Times New Roman"/>
        </w:rPr>
      </w:pPr>
      <w:r>
        <w:rPr>
          <w:rFonts w:ascii="Arial" w:eastAsia="Times New Roman" w:hAnsi="Arial" w:cs="Arial"/>
          <w:b/>
          <w:bCs/>
          <w:color w:val="0046AD"/>
          <w:sz w:val="20"/>
          <w:szCs w:val="20"/>
        </w:rPr>
        <w:t>Management Reimbursement Revenue by Segment</w:t>
      </w:r>
    </w:p>
    <w:tbl>
      <w:tblPr>
        <w:tblW w:w="4985" w:type="pct"/>
        <w:tblCellMar>
          <w:top w:w="15" w:type="dxa"/>
          <w:left w:w="15" w:type="dxa"/>
          <w:bottom w:w="15" w:type="dxa"/>
          <w:right w:w="15" w:type="dxa"/>
        </w:tblCellMar>
        <w:tblLook w:val="04A0" w:firstRow="1" w:lastRow="0" w:firstColumn="1" w:lastColumn="0" w:noHBand="0" w:noVBand="1"/>
      </w:tblPr>
      <w:tblGrid>
        <w:gridCol w:w="38"/>
        <w:gridCol w:w="4062"/>
        <w:gridCol w:w="36"/>
        <w:gridCol w:w="132"/>
        <w:gridCol w:w="1168"/>
        <w:gridCol w:w="36"/>
        <w:gridCol w:w="36"/>
        <w:gridCol w:w="36"/>
        <w:gridCol w:w="36"/>
        <w:gridCol w:w="132"/>
        <w:gridCol w:w="1122"/>
        <w:gridCol w:w="36"/>
        <w:gridCol w:w="36"/>
        <w:gridCol w:w="36"/>
        <w:gridCol w:w="36"/>
        <w:gridCol w:w="132"/>
        <w:gridCol w:w="1135"/>
        <w:gridCol w:w="36"/>
      </w:tblGrid>
      <w:tr w:rsidR="00000000">
        <w:trPr>
          <w:divId w:val="1799448255"/>
        </w:trPr>
        <w:tc>
          <w:tcPr>
            <w:tcW w:w="50" w:type="pct"/>
            <w:vAlign w:val="center"/>
            <w:hideMark/>
          </w:tcPr>
          <w:p w:rsidR="00000000" w:rsidRDefault="00485CCD">
            <w:pPr>
              <w:jc w:val="both"/>
              <w:rPr>
                <w:rFonts w:eastAsia="Times New Roman"/>
              </w:rPr>
            </w:pPr>
          </w:p>
        </w:tc>
        <w:tc>
          <w:tcPr>
            <w:tcW w:w="248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99448255"/>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79944825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79944825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Business &amp; </w:t>
            </w:r>
            <w:r>
              <w:rPr>
                <w:rFonts w:ascii="Arial" w:eastAsia="Times New Roman" w:hAnsi="Arial" w:cs="Arial"/>
                <w:color w:val="000000"/>
                <w:sz w:val="20"/>
                <w:szCs w:val="20"/>
              </w:rPr>
              <w:t>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99448255"/>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Aviation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9944825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295.6 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378.7 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116099397"/>
        <w:rPr>
          <w:rFonts w:eastAsia="Times New Roman"/>
        </w:rPr>
      </w:pPr>
      <w:r>
        <w:rPr>
          <w:rFonts w:ascii="Arial" w:eastAsia="Times New Roman" w:hAnsi="Arial" w:cs="Arial"/>
          <w:b/>
          <w:bCs/>
          <w:color w:val="0046AD"/>
          <w:sz w:val="20"/>
          <w:szCs w:val="20"/>
        </w:rPr>
        <w:t>Restructuring and Related Expenses</w:t>
      </w:r>
    </w:p>
    <w:p w:rsidR="00000000" w:rsidRDefault="00485CCD">
      <w:pPr>
        <w:ind w:firstLine="720"/>
        <w:jc w:val="both"/>
        <w:divId w:val="679355384"/>
        <w:rPr>
          <w:rFonts w:eastAsia="Times New Roman"/>
        </w:rPr>
      </w:pPr>
      <w:r>
        <w:rPr>
          <w:rFonts w:ascii="Arial" w:eastAsia="Times New Roman" w:hAnsi="Arial" w:cs="Arial"/>
          <w:color w:val="000000"/>
          <w:sz w:val="20"/>
          <w:szCs w:val="20"/>
        </w:rPr>
        <w:t>We may periodically engage in various restructuring activities intended to drive long-term profitable growth and increase operational efficiency, which can include streamlining and realigning our overall organizational structure and reallocating resources.</w:t>
      </w:r>
      <w:r>
        <w:rPr>
          <w:rFonts w:ascii="Arial" w:eastAsia="Times New Roman" w:hAnsi="Arial" w:cs="Arial"/>
          <w:color w:val="000000"/>
          <w:sz w:val="20"/>
          <w:szCs w:val="20"/>
        </w:rPr>
        <w:t xml:space="preserve"> Our most recent restructuring program was primarily associated with integrating our acquisition of GCA and reorganizing our healthcare business. During 2020 and 2019, restructuring expenses were $7.6 million and $11.2 million, respectively. By the end of </w:t>
      </w:r>
      <w:r>
        <w:rPr>
          <w:rFonts w:ascii="Arial" w:eastAsia="Times New Roman" w:hAnsi="Arial" w:cs="Arial"/>
          <w:color w:val="000000"/>
          <w:sz w:val="20"/>
          <w:szCs w:val="20"/>
        </w:rPr>
        <w:t xml:space="preserve">2020, we had substantially completed the restructuring program. </w:t>
      </w:r>
    </w:p>
    <w:p w:rsidR="00000000" w:rsidRDefault="00485CCD">
      <w:pPr>
        <w:ind w:firstLine="720"/>
        <w:jc w:val="both"/>
        <w:divId w:val="2046784929"/>
        <w:rPr>
          <w:rFonts w:eastAsia="Times New Roman"/>
        </w:rPr>
      </w:pPr>
      <w:r>
        <w:rPr>
          <w:rFonts w:ascii="Arial" w:eastAsia="Times New Roman" w:hAnsi="Arial" w:cs="Arial"/>
          <w:color w:val="000000"/>
          <w:sz w:val="20"/>
          <w:szCs w:val="20"/>
        </w:rPr>
        <w:t>Restructuring and related expenses include employee severance, external support fees, lease exit costs, and other costs. Our methodology to record these costs is described below.</w:t>
      </w:r>
    </w:p>
    <w:p w:rsidR="00000000" w:rsidRDefault="00485CCD">
      <w:pPr>
        <w:jc w:val="both"/>
        <w:divId w:val="1529373953"/>
        <w:rPr>
          <w:rFonts w:eastAsia="Times New Roman"/>
        </w:rPr>
      </w:pPr>
      <w:r>
        <w:rPr>
          <w:rFonts w:ascii="Arial" w:eastAsia="Times New Roman" w:hAnsi="Arial" w:cs="Arial"/>
          <w:b/>
          <w:bCs/>
          <w:i/>
          <w:iCs/>
          <w:color w:val="0046AD"/>
          <w:sz w:val="20"/>
          <w:szCs w:val="20"/>
        </w:rPr>
        <w:t xml:space="preserve">Severance </w:t>
      </w:r>
    </w:p>
    <w:p w:rsidR="00000000" w:rsidRDefault="00485CCD">
      <w:pPr>
        <w:ind w:firstLine="720"/>
        <w:jc w:val="both"/>
        <w:divId w:val="1947426465"/>
        <w:rPr>
          <w:rFonts w:eastAsia="Times New Roman"/>
        </w:rPr>
      </w:pPr>
      <w:r>
        <w:rPr>
          <w:rFonts w:ascii="Arial" w:eastAsia="Times New Roman" w:hAnsi="Arial" w:cs="Arial"/>
          <w:color w:val="000000"/>
          <w:sz w:val="20"/>
          <w:szCs w:val="20"/>
        </w:rPr>
        <w:t>As we do not have a history of consistently providing severance benefits, we recognize severance costs for employees who do not have formal employment agreements when management has committed to a restructuring plan and communicated those actions to impact</w:t>
      </w:r>
      <w:r>
        <w:rPr>
          <w:rFonts w:ascii="Arial" w:eastAsia="Times New Roman" w:hAnsi="Arial" w:cs="Arial"/>
          <w:color w:val="000000"/>
          <w:sz w:val="20"/>
          <w:szCs w:val="20"/>
        </w:rPr>
        <w:t>ed employees, such that the employee is able to determine the type and amount of benefits that they will receive upon termination. In addition, if the employees are required to render service beyond the minimum retention period until they are terminated in</w:t>
      </w:r>
      <w:r>
        <w:rPr>
          <w:rFonts w:ascii="Arial" w:eastAsia="Times New Roman" w:hAnsi="Arial" w:cs="Arial"/>
          <w:color w:val="000000"/>
          <w:sz w:val="20"/>
          <w:szCs w:val="20"/>
        </w:rPr>
        <w:t xml:space="preserve"> order to receive the benefits, then a liability </w:t>
      </w:r>
    </w:p>
    <w:p w:rsidR="00000000" w:rsidRDefault="00485CCD">
      <w:pPr>
        <w:jc w:val="center"/>
        <w:divId w:val="1964648899"/>
        <w:rPr>
          <w:rFonts w:eastAsia="Times New Roman"/>
        </w:rPr>
      </w:pPr>
      <w:r>
        <w:rPr>
          <w:rFonts w:ascii="Arial" w:eastAsia="Times New Roman" w:hAnsi="Arial" w:cs="Arial"/>
          <w:color w:val="000000"/>
          <w:sz w:val="20"/>
          <w:szCs w:val="20"/>
        </w:rPr>
        <w:t>63</w:t>
      </w:r>
    </w:p>
    <w:p w:rsidR="00000000" w:rsidRDefault="00485CCD">
      <w:pPr>
        <w:rPr>
          <w:rFonts w:eastAsia="Times New Roman"/>
        </w:rPr>
      </w:pPr>
      <w:r>
        <w:rPr>
          <w:rFonts w:eastAsia="Times New Roman"/>
        </w:rPr>
        <w:pict>
          <v:rect id="_x0000_i1100" style="width:0;height:1.5pt" o:hralign="center" o:hrstd="t" o:hr="t" fillcolor="#a0a0a0" stroked="f"/>
        </w:pict>
      </w:r>
    </w:p>
    <w:p w:rsidR="00000000" w:rsidRDefault="00485CCD">
      <w:pPr>
        <w:divId w:val="1796636080"/>
        <w:rPr>
          <w:rFonts w:eastAsia="Times New Roman"/>
        </w:rPr>
      </w:pPr>
    </w:p>
    <w:p w:rsidR="00000000" w:rsidRDefault="00485CCD">
      <w:pPr>
        <w:jc w:val="both"/>
        <w:divId w:val="1175680973"/>
        <w:rPr>
          <w:rFonts w:eastAsia="Times New Roman"/>
        </w:rPr>
      </w:pPr>
      <w:r>
        <w:rPr>
          <w:rFonts w:ascii="Arial" w:eastAsia="Times New Roman" w:hAnsi="Arial" w:cs="Arial"/>
          <w:color w:val="000000"/>
          <w:sz w:val="20"/>
          <w:szCs w:val="20"/>
        </w:rPr>
        <w:t>is recognized ratably over the future service period. For employees with employment agreements, we accrue for these severance liabilities when it is probable that t</w:t>
      </w:r>
      <w:r>
        <w:rPr>
          <w:rFonts w:ascii="Arial" w:eastAsia="Times New Roman" w:hAnsi="Arial" w:cs="Arial"/>
          <w:color w:val="000000"/>
          <w:sz w:val="20"/>
          <w:szCs w:val="20"/>
        </w:rPr>
        <w:t xml:space="preserve">he impacted employee will be entitled to the benefits and the amount can be reasonably estimated. </w:t>
      </w:r>
    </w:p>
    <w:p w:rsidR="00000000" w:rsidRDefault="00485CCD">
      <w:pPr>
        <w:jc w:val="both"/>
        <w:divId w:val="424494091"/>
        <w:rPr>
          <w:rFonts w:eastAsia="Times New Roman"/>
        </w:rPr>
      </w:pPr>
      <w:r>
        <w:rPr>
          <w:rFonts w:ascii="Arial" w:eastAsia="Times New Roman" w:hAnsi="Arial" w:cs="Arial"/>
          <w:b/>
          <w:bCs/>
          <w:color w:val="0046AD"/>
          <w:sz w:val="20"/>
          <w:szCs w:val="20"/>
        </w:rPr>
        <w:t>Advertising</w:t>
      </w:r>
    </w:p>
    <w:p w:rsidR="00000000" w:rsidRDefault="00485CCD">
      <w:pPr>
        <w:ind w:firstLine="720"/>
        <w:jc w:val="both"/>
        <w:divId w:val="1893694949"/>
        <w:rPr>
          <w:rFonts w:eastAsia="Times New Roman"/>
        </w:rPr>
      </w:pPr>
      <w:r>
        <w:rPr>
          <w:rFonts w:ascii="Arial" w:eastAsia="Times New Roman" w:hAnsi="Arial" w:cs="Arial"/>
          <w:color w:val="000000"/>
          <w:sz w:val="20"/>
          <w:szCs w:val="20"/>
        </w:rPr>
        <w:t>Advertising costs are expensed as incurred. During 2021, 2020, and 2019, advertising expense was $6.2 million, $1.8 million, and $1.7 million, re</w:t>
      </w:r>
      <w:r>
        <w:rPr>
          <w:rFonts w:ascii="Arial" w:eastAsia="Times New Roman" w:hAnsi="Arial" w:cs="Arial"/>
          <w:color w:val="000000"/>
          <w:sz w:val="20"/>
          <w:szCs w:val="20"/>
        </w:rPr>
        <w:t>spectively.</w:t>
      </w:r>
    </w:p>
    <w:p w:rsidR="00000000" w:rsidRDefault="00485CCD">
      <w:pPr>
        <w:jc w:val="both"/>
        <w:divId w:val="1652103126"/>
        <w:rPr>
          <w:rFonts w:eastAsia="Times New Roman"/>
        </w:rPr>
      </w:pPr>
      <w:r>
        <w:rPr>
          <w:rFonts w:ascii="Arial" w:eastAsia="Times New Roman" w:hAnsi="Arial" w:cs="Arial"/>
          <w:b/>
          <w:bCs/>
          <w:color w:val="0046AD"/>
          <w:sz w:val="20"/>
          <w:szCs w:val="20"/>
        </w:rPr>
        <w:t>Share-Based Compensation</w:t>
      </w:r>
    </w:p>
    <w:p w:rsidR="00000000" w:rsidRDefault="00485CCD">
      <w:pPr>
        <w:ind w:firstLine="720"/>
        <w:jc w:val="both"/>
        <w:divId w:val="1795753150"/>
        <w:rPr>
          <w:rFonts w:eastAsia="Times New Roman"/>
        </w:rPr>
      </w:pPr>
      <w:r>
        <w:rPr>
          <w:rFonts w:ascii="Arial" w:eastAsia="Times New Roman" w:hAnsi="Arial" w:cs="Arial"/>
          <w:color w:val="000000"/>
          <w:sz w:val="20"/>
          <w:szCs w:val="20"/>
        </w:rPr>
        <w:t>Our current share-based awards principally consist of restricted stock units (“RSUs”) and various performance share awards. We recognize compensation costs associated with these awards in selling, general and administra</w:t>
      </w:r>
      <w:r>
        <w:rPr>
          <w:rFonts w:ascii="Arial" w:eastAsia="Times New Roman" w:hAnsi="Arial" w:cs="Arial"/>
          <w:color w:val="000000"/>
          <w:sz w:val="20"/>
          <w:szCs w:val="20"/>
        </w:rPr>
        <w:t>tive expenses. For RSUs and certain performance share awards, the amount of compensation cost is measured based on the grant-date fair value of the equity instruments issued. Since our total shareholder return (“TSR”) performance share awards are performan</w:t>
      </w:r>
      <w:r>
        <w:rPr>
          <w:rFonts w:ascii="Arial" w:eastAsia="Times New Roman" w:hAnsi="Arial" w:cs="Arial"/>
          <w:color w:val="000000"/>
          <w:sz w:val="20"/>
          <w:szCs w:val="20"/>
        </w:rPr>
        <w:t>ce awards with a market condition, the compensation costs associated with these awards are determined using a Monte Carlo simulation valuation model. For RSUs and TSR awards, compensation cost is recognized over the period that an employee provides service</w:t>
      </w:r>
      <w:r>
        <w:rPr>
          <w:rFonts w:ascii="Arial" w:eastAsia="Times New Roman" w:hAnsi="Arial" w:cs="Arial"/>
          <w:color w:val="000000"/>
          <w:sz w:val="20"/>
          <w:szCs w:val="20"/>
        </w:rPr>
        <w:t xml:space="preserve"> in exchange for the award. We recognize compensation cost associated with other performance share awards over the requisite service period based on the probability of achievement of performance criteria. </w:t>
      </w:r>
    </w:p>
    <w:p w:rsidR="00000000" w:rsidRDefault="00485CCD">
      <w:pPr>
        <w:jc w:val="both"/>
        <w:divId w:val="1514979"/>
        <w:rPr>
          <w:rFonts w:eastAsia="Times New Roman"/>
        </w:rPr>
      </w:pPr>
      <w:r>
        <w:rPr>
          <w:rFonts w:ascii="Arial" w:eastAsia="Times New Roman" w:hAnsi="Arial" w:cs="Arial"/>
          <w:b/>
          <w:bCs/>
          <w:color w:val="0046AD"/>
          <w:sz w:val="20"/>
          <w:szCs w:val="20"/>
        </w:rPr>
        <w:t>Taxes Collected from Clients and Remitted to Gover</w:t>
      </w:r>
      <w:r>
        <w:rPr>
          <w:rFonts w:ascii="Arial" w:eastAsia="Times New Roman" w:hAnsi="Arial" w:cs="Arial"/>
          <w:b/>
          <w:bCs/>
          <w:color w:val="0046AD"/>
          <w:sz w:val="20"/>
          <w:szCs w:val="20"/>
        </w:rPr>
        <w:t>nmental Agencies</w:t>
      </w:r>
    </w:p>
    <w:p w:rsidR="00000000" w:rsidRDefault="00485CCD">
      <w:pPr>
        <w:ind w:firstLine="720"/>
        <w:jc w:val="both"/>
        <w:divId w:val="715659799"/>
        <w:rPr>
          <w:rFonts w:eastAsia="Times New Roman"/>
        </w:rPr>
      </w:pPr>
      <w:r>
        <w:rPr>
          <w:rFonts w:ascii="Arial" w:eastAsia="Times New Roman" w:hAnsi="Arial" w:cs="Arial"/>
          <w:color w:val="000000"/>
          <w:sz w:val="20"/>
          <w:szCs w:val="20"/>
        </w:rPr>
        <w:t>We record taxes on client transactions due to governmental agencies as receivables and liabilities on the Consolidated Balance Sheets.</w:t>
      </w:r>
    </w:p>
    <w:p w:rsidR="00000000" w:rsidRDefault="00485CCD">
      <w:pPr>
        <w:jc w:val="both"/>
        <w:divId w:val="54739843"/>
        <w:rPr>
          <w:rFonts w:eastAsia="Times New Roman"/>
        </w:rPr>
      </w:pPr>
      <w:r>
        <w:rPr>
          <w:rFonts w:ascii="Arial" w:eastAsia="Times New Roman" w:hAnsi="Arial" w:cs="Arial"/>
          <w:b/>
          <w:bCs/>
          <w:color w:val="0046AD"/>
          <w:sz w:val="20"/>
          <w:szCs w:val="20"/>
        </w:rPr>
        <w:t>Net Income Per Common Share</w:t>
      </w:r>
    </w:p>
    <w:p w:rsidR="00000000" w:rsidRDefault="00485CCD">
      <w:pPr>
        <w:ind w:firstLine="720"/>
        <w:jc w:val="both"/>
        <w:divId w:val="159078046"/>
        <w:rPr>
          <w:rFonts w:eastAsia="Times New Roman"/>
        </w:rPr>
      </w:pPr>
      <w:r>
        <w:rPr>
          <w:rFonts w:ascii="Arial" w:eastAsia="Times New Roman" w:hAnsi="Arial" w:cs="Arial"/>
          <w:color w:val="000000"/>
          <w:sz w:val="20"/>
          <w:szCs w:val="20"/>
        </w:rPr>
        <w:t>Basic net income per common share is net income divided by the weighted-aver</w:t>
      </w:r>
      <w:r>
        <w:rPr>
          <w:rFonts w:ascii="Arial" w:eastAsia="Times New Roman" w:hAnsi="Arial" w:cs="Arial"/>
          <w:color w:val="000000"/>
          <w:sz w:val="20"/>
          <w:szCs w:val="20"/>
        </w:rPr>
        <w:t>age number of common shares outstanding during the period. Diluted net income per common share is based on the weighted-average number of common shares outstanding during the period, adjusted to include the potential dilution from the conversion of RSUs, v</w:t>
      </w:r>
      <w:r>
        <w:rPr>
          <w:rFonts w:ascii="Arial" w:eastAsia="Times New Roman" w:hAnsi="Arial" w:cs="Arial"/>
          <w:color w:val="000000"/>
          <w:sz w:val="20"/>
          <w:szCs w:val="20"/>
        </w:rPr>
        <w:t xml:space="preserve">esting of performance shares, and exercise of stock options. </w:t>
      </w:r>
    </w:p>
    <w:p w:rsidR="00000000" w:rsidRDefault="00485CCD">
      <w:pPr>
        <w:jc w:val="both"/>
        <w:divId w:val="373238348"/>
        <w:rPr>
          <w:rFonts w:eastAsia="Times New Roman"/>
        </w:rPr>
      </w:pPr>
      <w:r>
        <w:rPr>
          <w:rFonts w:ascii="Arial" w:eastAsia="Times New Roman" w:hAnsi="Arial" w:cs="Arial"/>
          <w:b/>
          <w:bCs/>
          <w:color w:val="0046AD"/>
          <w:sz w:val="20"/>
          <w:szCs w:val="20"/>
        </w:rPr>
        <w:t>Contingencies and Litigation</w:t>
      </w:r>
    </w:p>
    <w:p w:rsidR="00000000" w:rsidRDefault="00485CCD">
      <w:pPr>
        <w:ind w:firstLine="720"/>
        <w:jc w:val="both"/>
        <w:divId w:val="992752603"/>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w:t>
      </w:r>
      <w:r>
        <w:rPr>
          <w:rFonts w:ascii="Arial" w:eastAsia="Times New Roman" w:hAnsi="Arial" w:cs="Arial"/>
          <w:color w:val="000000"/>
          <w:sz w:val="20"/>
          <w:szCs w:val="20"/>
        </w:rPr>
        <w:t>cts, personal injury, and other matters, some of which allege substantial monetary damages. Some of these actions may be brought as class actions on behalf of a class or purported class of employees. We accrue for loss contingencies when losses become prob</w:t>
      </w:r>
      <w:r>
        <w:rPr>
          <w:rFonts w:ascii="Arial" w:eastAsia="Times New Roman" w:hAnsi="Arial" w:cs="Arial"/>
          <w:color w:val="000000"/>
          <w:sz w:val="20"/>
          <w:szCs w:val="20"/>
        </w:rPr>
        <w:t xml:space="preserve">able and are reasonably estimable. If the reasonable estimate of the loss is a range and no amount within the range is a better estimate, then the minimum amount of the range is recorded as a liability. We recognize legal costs as an expense in the period </w:t>
      </w:r>
      <w:r>
        <w:rPr>
          <w:rFonts w:ascii="Arial" w:eastAsia="Times New Roman" w:hAnsi="Arial" w:cs="Arial"/>
          <w:color w:val="000000"/>
          <w:sz w:val="20"/>
          <w:szCs w:val="20"/>
        </w:rPr>
        <w:t xml:space="preserve">incurred. </w:t>
      </w:r>
    </w:p>
    <w:p w:rsidR="00000000" w:rsidRDefault="00485CCD">
      <w:pPr>
        <w:jc w:val="both"/>
        <w:divId w:val="2074353964"/>
        <w:rPr>
          <w:rFonts w:eastAsia="Times New Roman"/>
        </w:rPr>
      </w:pPr>
      <w:r>
        <w:rPr>
          <w:rFonts w:ascii="Arial" w:eastAsia="Times New Roman" w:hAnsi="Arial" w:cs="Arial"/>
          <w:b/>
          <w:bCs/>
          <w:color w:val="0046AD"/>
          <w:sz w:val="20"/>
          <w:szCs w:val="20"/>
        </w:rPr>
        <w:t>Income Taxes</w:t>
      </w:r>
    </w:p>
    <w:p w:rsidR="00000000" w:rsidRDefault="00485CCD">
      <w:pPr>
        <w:ind w:firstLine="720"/>
        <w:jc w:val="both"/>
        <w:divId w:val="839808170"/>
        <w:rPr>
          <w:rFonts w:eastAsia="Times New Roman"/>
        </w:rPr>
      </w:pPr>
      <w:r>
        <w:rPr>
          <w:rFonts w:ascii="Arial" w:eastAsia="Times New Roman" w:hAnsi="Arial" w:cs="Arial"/>
          <w:color w:val="000000"/>
          <w:sz w:val="20"/>
          <w:szCs w:val="20"/>
        </w:rPr>
        <w:t>We account for income taxes using the asset and liability method. Deferred tax assets and liabilities are recognized for the future tax consequences attributable to temporary differences between the financial statement carrying amou</w:t>
      </w:r>
      <w:r>
        <w:rPr>
          <w:rFonts w:ascii="Arial" w:eastAsia="Times New Roman" w:hAnsi="Arial" w:cs="Arial"/>
          <w:color w:val="000000"/>
          <w:sz w:val="20"/>
          <w:szCs w:val="20"/>
        </w:rPr>
        <w:t>nt of existing assets and liabilities and their respective tax bases. We measure deferred tax assets and liabilities using enacted tax rates expected to be applied to taxable income in the years in which those temporary differences are expected to be recov</w:t>
      </w:r>
      <w:r>
        <w:rPr>
          <w:rFonts w:ascii="Arial" w:eastAsia="Times New Roman" w:hAnsi="Arial" w:cs="Arial"/>
          <w:color w:val="000000"/>
          <w:sz w:val="20"/>
          <w:szCs w:val="20"/>
        </w:rPr>
        <w:t>ered. Deferred tax assets are reviewed for recoverability on a quarterly basis. A valuation allowance is recorded to reduce the carrying amount of a deferred tax asset to its realizable value unless it is more likely than not that such asset will be realiz</w:t>
      </w:r>
      <w:r>
        <w:rPr>
          <w:rFonts w:ascii="Arial" w:eastAsia="Times New Roman" w:hAnsi="Arial" w:cs="Arial"/>
          <w:color w:val="000000"/>
          <w:sz w:val="20"/>
          <w:szCs w:val="20"/>
        </w:rPr>
        <w:t>ed. We recognize accrued interest and penalties related to unrecognized tax benefits in income tax expense in our Consolidated Statements of Comprehensive Income (Loss).</w:t>
      </w:r>
    </w:p>
    <w:p w:rsidR="00000000" w:rsidRDefault="00485CCD">
      <w:pPr>
        <w:divId w:val="959340828"/>
        <w:rPr>
          <w:rFonts w:eastAsia="Times New Roman"/>
        </w:rPr>
      </w:pPr>
      <w:r>
        <w:rPr>
          <w:rFonts w:ascii="Arial" w:eastAsia="Times New Roman" w:hAnsi="Arial" w:cs="Arial"/>
          <w:b/>
          <w:bCs/>
          <w:color w:val="0046AD"/>
          <w:sz w:val="20"/>
          <w:szCs w:val="20"/>
        </w:rPr>
        <w:t>Recently Adopted Accounting Standards</w:t>
      </w:r>
    </w:p>
    <w:p w:rsidR="00000000" w:rsidRDefault="00485CCD">
      <w:pPr>
        <w:ind w:firstLine="720"/>
        <w:jc w:val="both"/>
        <w:divId w:val="267002911"/>
        <w:rPr>
          <w:rFonts w:eastAsia="Times New Roman"/>
        </w:rPr>
      </w:pPr>
      <w:r>
        <w:rPr>
          <w:rFonts w:ascii="Arial" w:eastAsia="Times New Roman" w:hAnsi="Arial" w:cs="Arial"/>
          <w:color w:val="000000"/>
          <w:sz w:val="20"/>
          <w:szCs w:val="20"/>
        </w:rPr>
        <w:t>The Financial Accounting Standards Board (“FASB”</w:t>
      </w:r>
      <w:r>
        <w:rPr>
          <w:rFonts w:ascii="Arial" w:eastAsia="Times New Roman" w:hAnsi="Arial" w:cs="Arial"/>
          <w:color w:val="000000"/>
          <w:sz w:val="20"/>
          <w:szCs w:val="20"/>
        </w:rPr>
        <w:t xml:space="preserve">) issued ASU No. 2016-13, </w:t>
      </w:r>
      <w:r>
        <w:rPr>
          <w:rFonts w:ascii="Arial" w:eastAsia="Times New Roman" w:hAnsi="Arial" w:cs="Arial"/>
          <w:i/>
          <w:iCs/>
          <w:color w:val="000000"/>
          <w:sz w:val="20"/>
          <w:szCs w:val="20"/>
        </w:rPr>
        <w:t xml:space="preserve">Financial Instruments—Credit Losses (Topic 326) </w:t>
      </w:r>
      <w:r>
        <w:rPr>
          <w:rFonts w:ascii="Arial" w:eastAsia="Times New Roman" w:hAnsi="Arial" w:cs="Arial"/>
          <w:color w:val="000000"/>
          <w:sz w:val="20"/>
          <w:szCs w:val="20"/>
        </w:rPr>
        <w:t xml:space="preserve">in June 2016 and subsequently issued these amendments to the initial guidance: ASU 2018-19, ASU 2019-04, ASU 2019-05, ASU 2019-11, and ASU 2020-03 (collectively, “Topic 326”). Topic </w:t>
      </w:r>
      <w:r>
        <w:rPr>
          <w:rFonts w:ascii="Arial" w:eastAsia="Times New Roman" w:hAnsi="Arial" w:cs="Arial"/>
          <w:color w:val="000000"/>
          <w:sz w:val="20"/>
          <w:szCs w:val="20"/>
        </w:rPr>
        <w:t xml:space="preserve">326 replaces the existing incurred loss impairment model with a methodology that incorporates all expected credit loss estimates, resulting in more timely recognition of losses. Under Topic 326, an organization is required to measure all </w:t>
      </w:r>
    </w:p>
    <w:p w:rsidR="00000000" w:rsidRDefault="00485CCD">
      <w:pPr>
        <w:jc w:val="center"/>
        <w:divId w:val="1565677259"/>
        <w:rPr>
          <w:rFonts w:eastAsia="Times New Roman"/>
        </w:rPr>
      </w:pPr>
      <w:r>
        <w:rPr>
          <w:rFonts w:ascii="Arial" w:eastAsia="Times New Roman" w:hAnsi="Arial" w:cs="Arial"/>
          <w:color w:val="000000"/>
          <w:sz w:val="20"/>
          <w:szCs w:val="20"/>
        </w:rPr>
        <w:t>64</w:t>
      </w:r>
    </w:p>
    <w:p w:rsidR="00000000" w:rsidRDefault="00485CCD">
      <w:pPr>
        <w:rPr>
          <w:rFonts w:eastAsia="Times New Roman"/>
        </w:rPr>
      </w:pPr>
      <w:r>
        <w:rPr>
          <w:rFonts w:eastAsia="Times New Roman"/>
        </w:rPr>
        <w:pict>
          <v:rect id="_x0000_i1101" style="width:0;height:1.5pt" o:hralign="center" o:hrstd="t" o:hr="t" fillcolor="#a0a0a0" stroked="f"/>
        </w:pict>
      </w:r>
    </w:p>
    <w:p w:rsidR="00000000" w:rsidRDefault="00485CCD">
      <w:pPr>
        <w:divId w:val="264775379"/>
        <w:rPr>
          <w:rFonts w:eastAsia="Times New Roman"/>
        </w:rPr>
      </w:pPr>
    </w:p>
    <w:p w:rsidR="00000000" w:rsidRDefault="00485CCD">
      <w:pPr>
        <w:jc w:val="both"/>
        <w:divId w:val="1940063380"/>
        <w:rPr>
          <w:rFonts w:eastAsia="Times New Roman"/>
        </w:rPr>
      </w:pPr>
      <w:r>
        <w:rPr>
          <w:rFonts w:ascii="Arial" w:eastAsia="Times New Roman" w:hAnsi="Arial" w:cs="Arial"/>
          <w:color w:val="000000"/>
          <w:sz w:val="20"/>
          <w:szCs w:val="20"/>
        </w:rPr>
        <w:t>expected credit losses for financial assets held at the reporting date based on historical experience, current conditions, and reasonable and supportable forecasts that affect the collectability of the reported financial assets. It also requires credit los</w:t>
      </w:r>
      <w:r>
        <w:rPr>
          <w:rFonts w:ascii="Arial" w:eastAsia="Times New Roman" w:hAnsi="Arial" w:cs="Arial"/>
          <w:color w:val="000000"/>
          <w:sz w:val="20"/>
          <w:szCs w:val="20"/>
        </w:rPr>
        <w:t>ses related to available-for-sale debt securities to be recorded through an allowance for credit losses. We adopted this standard effective November 1, 2020, on a modified retrospective basis. The asset and liability classes that we have identified to be i</w:t>
      </w:r>
      <w:r>
        <w:rPr>
          <w:rFonts w:ascii="Arial" w:eastAsia="Times New Roman" w:hAnsi="Arial" w:cs="Arial"/>
          <w:color w:val="000000"/>
          <w:sz w:val="20"/>
          <w:szCs w:val="20"/>
        </w:rPr>
        <w:t xml:space="preserve">n the scope of Topic 326 at the time of the adoption are trade accounts receivable, costs incurred in excess of amounts billed, guarantees, reinsurance recoverables, and notes receivable. The adoption of this standard did not have a material impact on our </w:t>
      </w:r>
      <w:r>
        <w:rPr>
          <w:rFonts w:ascii="Arial" w:eastAsia="Times New Roman" w:hAnsi="Arial" w:cs="Arial"/>
          <w:color w:val="000000"/>
          <w:sz w:val="20"/>
          <w:szCs w:val="20"/>
        </w:rPr>
        <w:t xml:space="preserve">consolidated financial statements. </w:t>
      </w:r>
    </w:p>
    <w:p w:rsidR="00000000" w:rsidRDefault="00485CCD">
      <w:pPr>
        <w:ind w:firstLine="720"/>
        <w:jc w:val="both"/>
        <w:divId w:val="639195168"/>
        <w:rPr>
          <w:rFonts w:eastAsia="Times New Roman"/>
        </w:rPr>
      </w:pPr>
      <w:r>
        <w:rPr>
          <w:rFonts w:ascii="Arial" w:eastAsia="Times New Roman" w:hAnsi="Arial" w:cs="Arial"/>
          <w:color w:val="000000"/>
          <w:sz w:val="20"/>
          <w:szCs w:val="20"/>
        </w:rPr>
        <w:t>In August 2018, the FASB issued ASU No. 2018-15,</w:t>
      </w:r>
      <w:r>
        <w:rPr>
          <w:rFonts w:ascii="Arial" w:eastAsia="Times New Roman" w:hAnsi="Arial" w:cs="Arial"/>
          <w:i/>
          <w:iCs/>
          <w:color w:val="000000"/>
          <w:sz w:val="20"/>
          <w:szCs w:val="20"/>
        </w:rPr>
        <w:t xml:space="preserve"> Intangibles—Goodwill and Other—Internal-Use Software (Subtopic 350-40): Customer’s Accounting for Implementation Costs Incurred in a Cloud Computing Arrangement That Is a </w:t>
      </w:r>
      <w:r>
        <w:rPr>
          <w:rFonts w:ascii="Arial" w:eastAsia="Times New Roman" w:hAnsi="Arial" w:cs="Arial"/>
          <w:i/>
          <w:iCs/>
          <w:color w:val="000000"/>
          <w:sz w:val="20"/>
          <w:szCs w:val="20"/>
        </w:rPr>
        <w:t>Service Contract.</w:t>
      </w:r>
      <w:r>
        <w:rPr>
          <w:rFonts w:ascii="Arial" w:eastAsia="Times New Roman" w:hAnsi="Arial" w:cs="Arial"/>
          <w:color w:val="000000"/>
          <w:sz w:val="20"/>
          <w:szCs w:val="20"/>
        </w:rPr>
        <w:t xml:space="preserve"> This accounting update aligns the requirements for capitalizing implementation costs incurred in a hosting arrangement that is a service contract with the requirements for capitalizing implementation costs incurred to develop or obtain in</w:t>
      </w:r>
      <w:r>
        <w:rPr>
          <w:rFonts w:ascii="Arial" w:eastAsia="Times New Roman" w:hAnsi="Arial" w:cs="Arial"/>
          <w:color w:val="000000"/>
          <w:sz w:val="20"/>
          <w:szCs w:val="20"/>
        </w:rPr>
        <w:t>ternal-use software. The guidance also specifies that the presentation of capitalized implementation costs and the related amortization on the balance sheet, income statement, and statement of cash flows should align with the presentation of the hosting (s</w:t>
      </w:r>
      <w:r>
        <w:rPr>
          <w:rFonts w:ascii="Arial" w:eastAsia="Times New Roman" w:hAnsi="Arial" w:cs="Arial"/>
          <w:color w:val="000000"/>
          <w:sz w:val="20"/>
          <w:szCs w:val="20"/>
        </w:rPr>
        <w:t xml:space="preserve">ervice) element of the arrangement. We adopted this standard effective November 1, 2020, on a prospective basis. The adoption of the standard did not have a material impact on our consolidated financial statements. </w:t>
      </w:r>
    </w:p>
    <w:p w:rsidR="00000000" w:rsidRDefault="00485CCD">
      <w:pPr>
        <w:ind w:firstLine="720"/>
        <w:jc w:val="both"/>
        <w:divId w:val="1808667919"/>
        <w:rPr>
          <w:rFonts w:eastAsia="Times New Roman"/>
        </w:rPr>
      </w:pPr>
      <w:r>
        <w:rPr>
          <w:rFonts w:ascii="Arial" w:eastAsia="Times New Roman" w:hAnsi="Arial" w:cs="Arial"/>
          <w:color w:val="000000"/>
          <w:sz w:val="20"/>
          <w:szCs w:val="20"/>
        </w:rPr>
        <w:t>No other recently adopted accounting sta</w:t>
      </w:r>
      <w:r>
        <w:rPr>
          <w:rFonts w:ascii="Arial" w:eastAsia="Times New Roman" w:hAnsi="Arial" w:cs="Arial"/>
          <w:color w:val="000000"/>
          <w:sz w:val="20"/>
          <w:szCs w:val="20"/>
        </w:rPr>
        <w:t>ndards have had a significant impact on our fiscal 2021 consolidated financial statements</w:t>
      </w:r>
    </w:p>
    <w:p w:rsidR="00000000" w:rsidRDefault="00485CCD">
      <w:pPr>
        <w:divId w:val="2126919554"/>
        <w:rPr>
          <w:rFonts w:eastAsia="Times New Roman"/>
        </w:rPr>
      </w:pPr>
      <w:r>
        <w:rPr>
          <w:rFonts w:ascii="Arial" w:eastAsia="Times New Roman" w:hAnsi="Arial" w:cs="Arial"/>
          <w:b/>
          <w:bCs/>
          <w:color w:val="0046AD"/>
          <w:sz w:val="20"/>
          <w:szCs w:val="20"/>
        </w:rPr>
        <w:t xml:space="preserve">Recently Issued Accounting Standards </w:t>
      </w:r>
    </w:p>
    <w:p w:rsidR="00000000" w:rsidRDefault="00485CCD">
      <w:pPr>
        <w:ind w:firstLine="720"/>
        <w:jc w:val="both"/>
        <w:divId w:val="492840184"/>
        <w:rPr>
          <w:rFonts w:eastAsia="Times New Roman"/>
        </w:rPr>
      </w:pPr>
      <w:r>
        <w:rPr>
          <w:rFonts w:ascii="Arial" w:eastAsia="Times New Roman" w:hAnsi="Arial" w:cs="Arial"/>
          <w:color w:val="000000"/>
          <w:sz w:val="20"/>
          <w:szCs w:val="20"/>
        </w:rPr>
        <w:t>We do not expect any recently issued accounting pronouncements to have a material impact on our consolidated financial statement</w:t>
      </w:r>
      <w:r>
        <w:rPr>
          <w:rFonts w:ascii="Arial" w:eastAsia="Times New Roman" w:hAnsi="Arial" w:cs="Arial"/>
          <w:color w:val="000000"/>
          <w:sz w:val="20"/>
          <w:szCs w:val="20"/>
        </w:rPr>
        <w:t>s and related disclosures.</w:t>
      </w:r>
    </w:p>
    <w:p w:rsidR="00000000" w:rsidRDefault="00485CCD">
      <w:pPr>
        <w:jc w:val="center"/>
        <w:divId w:val="1079641772"/>
        <w:rPr>
          <w:rFonts w:eastAsia="Times New Roman"/>
        </w:rPr>
      </w:pPr>
      <w:r>
        <w:rPr>
          <w:rFonts w:ascii="Arial" w:eastAsia="Times New Roman" w:hAnsi="Arial" w:cs="Arial"/>
          <w:color w:val="000000"/>
          <w:sz w:val="20"/>
          <w:szCs w:val="20"/>
        </w:rPr>
        <w:t>65</w:t>
      </w:r>
    </w:p>
    <w:p w:rsidR="00000000" w:rsidRDefault="00485CCD">
      <w:pPr>
        <w:rPr>
          <w:rFonts w:eastAsia="Times New Roman"/>
        </w:rPr>
      </w:pPr>
      <w:r>
        <w:rPr>
          <w:rFonts w:eastAsia="Times New Roman"/>
        </w:rPr>
        <w:pict>
          <v:rect id="_x0000_i1102" style="width:0;height:1.5pt" o:hralign="center" o:hrstd="t" o:hr="t" fillcolor="#a0a0a0" stroked="f"/>
        </w:pict>
      </w:r>
    </w:p>
    <w:p w:rsidR="00000000" w:rsidRDefault="00485CCD">
      <w:pPr>
        <w:divId w:val="1818954193"/>
        <w:rPr>
          <w:rFonts w:eastAsia="Times New Roman"/>
        </w:rPr>
      </w:pPr>
    </w:p>
    <w:p w:rsidR="00000000" w:rsidRDefault="00485CCD">
      <w:pPr>
        <w:divId w:val="1207058447"/>
        <w:rPr>
          <w:rFonts w:eastAsia="Times New Roman"/>
        </w:rPr>
      </w:pPr>
      <w:r>
        <w:rPr>
          <w:rFonts w:ascii="Arial" w:eastAsia="Times New Roman" w:hAnsi="Arial" w:cs="Arial"/>
          <w:b/>
          <w:bCs/>
          <w:color w:val="0046AD"/>
          <w:sz w:val="20"/>
          <w:szCs w:val="20"/>
        </w:rPr>
        <w:t xml:space="preserve">3. REVENUES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400562034"/>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0056203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161550195"/>
        <w:rPr>
          <w:rFonts w:eastAsia="Times New Roman"/>
        </w:rPr>
      </w:pPr>
      <w:r>
        <w:rPr>
          <w:rFonts w:ascii="Arial" w:eastAsia="Times New Roman" w:hAnsi="Arial" w:cs="Arial"/>
          <w:b/>
          <w:bCs/>
          <w:color w:val="0046AD"/>
          <w:sz w:val="20"/>
          <w:szCs w:val="20"/>
        </w:rPr>
        <w:t>Disaggregation of Revenues</w:t>
      </w:r>
    </w:p>
    <w:p w:rsidR="00000000" w:rsidRDefault="00485CCD">
      <w:pPr>
        <w:ind w:firstLine="720"/>
        <w:jc w:val="both"/>
        <w:divId w:val="1100175067"/>
        <w:rPr>
          <w:rFonts w:eastAsia="Times New Roman"/>
        </w:rPr>
      </w:pPr>
      <w:r>
        <w:rPr>
          <w:rFonts w:ascii="Arial" w:eastAsia="Times New Roman" w:hAnsi="Arial" w:cs="Arial"/>
          <w:color w:val="000000"/>
          <w:sz w:val="20"/>
          <w:szCs w:val="20"/>
        </w:rPr>
        <w:t>We generate revenues under several types of contracts, which are further described in Note 2, “Basis of Presentation and Significant Accounting Policies.” Generally, the type of contract is determined by the nature of the services provided by each of our m</w:t>
      </w:r>
      <w:r>
        <w:rPr>
          <w:rFonts w:ascii="Arial" w:eastAsia="Times New Roman" w:hAnsi="Arial" w:cs="Arial"/>
          <w:color w:val="000000"/>
          <w:sz w:val="20"/>
          <w:szCs w:val="20"/>
        </w:rPr>
        <w:t>ajor service lines throughout our reportable segments; therefore, we disaggregate revenues from contracts with customers into major service lines. We have determined that disaggregating revenues into these categories best depicts how the nature, amount, ti</w:t>
      </w:r>
      <w:r>
        <w:rPr>
          <w:rFonts w:ascii="Arial" w:eastAsia="Times New Roman" w:hAnsi="Arial" w:cs="Arial"/>
          <w:color w:val="000000"/>
          <w:sz w:val="20"/>
          <w:szCs w:val="20"/>
        </w:rPr>
        <w:t>ming, and uncertainty of revenues and cash flows are affected by economic factors. Our reportable segments are B&amp;I, T&amp;M, Education, Aviation, and Technical Solutions, as described in Note 17, “Segment and Geographic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585"/>
        <w:gridCol w:w="38"/>
        <w:gridCol w:w="36"/>
        <w:gridCol w:w="36"/>
        <w:gridCol w:w="36"/>
        <w:gridCol w:w="121"/>
        <w:gridCol w:w="651"/>
        <w:gridCol w:w="36"/>
        <w:gridCol w:w="36"/>
        <w:gridCol w:w="36"/>
        <w:gridCol w:w="36"/>
        <w:gridCol w:w="121"/>
        <w:gridCol w:w="501"/>
        <w:gridCol w:w="36"/>
        <w:gridCol w:w="36"/>
        <w:gridCol w:w="36"/>
        <w:gridCol w:w="36"/>
        <w:gridCol w:w="122"/>
        <w:gridCol w:w="808"/>
        <w:gridCol w:w="36"/>
        <w:gridCol w:w="36"/>
        <w:gridCol w:w="36"/>
        <w:gridCol w:w="36"/>
        <w:gridCol w:w="122"/>
        <w:gridCol w:w="667"/>
        <w:gridCol w:w="36"/>
        <w:gridCol w:w="36"/>
        <w:gridCol w:w="36"/>
        <w:gridCol w:w="36"/>
        <w:gridCol w:w="122"/>
        <w:gridCol w:w="773"/>
        <w:gridCol w:w="36"/>
        <w:gridCol w:w="36"/>
        <w:gridCol w:w="36"/>
        <w:gridCol w:w="36"/>
        <w:gridCol w:w="121"/>
        <w:gridCol w:w="651"/>
        <w:gridCol w:w="36"/>
      </w:tblGrid>
      <w:tr w:rsidR="00000000">
        <w:trPr>
          <w:divId w:val="247152451"/>
        </w:trPr>
        <w:tc>
          <w:tcPr>
            <w:tcW w:w="50" w:type="pct"/>
            <w:vAlign w:val="center"/>
            <w:hideMark/>
          </w:tcPr>
          <w:p w:rsidR="00000000" w:rsidRDefault="00485CCD">
            <w:pPr>
              <w:ind w:firstLine="720"/>
              <w:jc w:val="both"/>
              <w:rPr>
                <w:rFonts w:eastAsia="Times New Roman"/>
              </w:rPr>
            </w:pPr>
          </w:p>
        </w:tc>
        <w:tc>
          <w:tcPr>
            <w:tcW w:w="182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47152451"/>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Year Ended October 31, 2021</w:t>
            </w:r>
          </w:p>
        </w:tc>
      </w:tr>
      <w:tr w:rsidR="00000000">
        <w:trPr>
          <w:divId w:val="24715245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Total</w:t>
            </w:r>
          </w:p>
        </w:tc>
      </w:tr>
      <w:tr w:rsidR="00000000">
        <w:trPr>
          <w:divId w:val="24715245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47152451"/>
        </w:trPr>
        <w:tc>
          <w:tcPr>
            <w:tcW w:w="0" w:type="auto"/>
            <w:gridSpan w:val="3"/>
            <w:shd w:val="clear" w:color="auto" w:fill="FFFFFF"/>
            <w:tcMar>
              <w:top w:w="30" w:type="dxa"/>
              <w:left w:w="20" w:type="dxa"/>
              <w:bottom w:w="30" w:type="dxa"/>
              <w:right w:w="20" w:type="dxa"/>
            </w:tcMar>
            <w:vAlign w:val="bottom"/>
            <w:hideMark/>
          </w:tcPr>
          <w:p w:rsidR="00000000" w:rsidRDefault="00485CCD">
            <w:pPr>
              <w:divId w:val="691106864"/>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2,651.7 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790.5 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730.8 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117.2 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4,290.3 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DCE2EF"/>
            <w:tcMar>
              <w:top w:w="30" w:type="dxa"/>
              <w:left w:w="20" w:type="dxa"/>
              <w:bottom w:w="30" w:type="dxa"/>
              <w:right w:w="20" w:type="dxa"/>
            </w:tcMar>
            <w:vAlign w:val="bottom"/>
            <w:hideMark/>
          </w:tcPr>
          <w:p w:rsidR="00000000" w:rsidRDefault="00485CCD">
            <w:pPr>
              <w:divId w:val="1886719199"/>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296.9 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39.8 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261.8 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599.4 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FFFFFF"/>
            <w:tcMar>
              <w:top w:w="30" w:type="dxa"/>
              <w:left w:w="20" w:type="dxa"/>
              <w:bottom w:w="30" w:type="dxa"/>
              <w:right w:w="20" w:type="dxa"/>
            </w:tcMar>
            <w:vAlign w:val="bottom"/>
            <w:hideMark/>
          </w:tcPr>
          <w:p w:rsidR="00000000" w:rsidRDefault="00485CCD">
            <w:pPr>
              <w:divId w:val="1463116701"/>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397.4 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156.8 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104.7 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28.9 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687.8 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DCE2EF"/>
            <w:tcMar>
              <w:top w:w="30" w:type="dxa"/>
              <w:left w:w="20" w:type="dxa"/>
              <w:bottom w:w="30" w:type="dxa"/>
              <w:right w:w="20" w:type="dxa"/>
            </w:tcMar>
            <w:vAlign w:val="bottom"/>
            <w:hideMark/>
          </w:tcPr>
          <w:p w:rsidR="00000000" w:rsidRDefault="00485CCD">
            <w:pPr>
              <w:divId w:val="382631811"/>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534.0 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534.0 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FFFFFF"/>
            <w:tcMar>
              <w:top w:w="30" w:type="dxa"/>
              <w:left w:w="20" w:type="dxa"/>
              <w:bottom w:w="30" w:type="dxa"/>
              <w:right w:w="20" w:type="dxa"/>
            </w:tcMar>
            <w:vAlign w:val="bottom"/>
            <w:hideMark/>
          </w:tcPr>
          <w:p w:rsidR="00000000" w:rsidRDefault="00485CCD">
            <w:pPr>
              <w:divId w:val="1926958950"/>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260.9 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261.4 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3,346.5 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987.1 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836.4 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668.8 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534.0 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6,372.9 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1388795281"/>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485CCD">
            <w:pPr>
              <w:ind w:hanging="18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(144.2)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4715245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986475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586"/>
        <w:gridCol w:w="38"/>
        <w:gridCol w:w="36"/>
        <w:gridCol w:w="36"/>
        <w:gridCol w:w="36"/>
        <w:gridCol w:w="121"/>
        <w:gridCol w:w="651"/>
        <w:gridCol w:w="36"/>
        <w:gridCol w:w="36"/>
        <w:gridCol w:w="36"/>
        <w:gridCol w:w="36"/>
        <w:gridCol w:w="121"/>
        <w:gridCol w:w="501"/>
        <w:gridCol w:w="36"/>
        <w:gridCol w:w="36"/>
        <w:gridCol w:w="36"/>
        <w:gridCol w:w="36"/>
        <w:gridCol w:w="122"/>
        <w:gridCol w:w="808"/>
        <w:gridCol w:w="36"/>
        <w:gridCol w:w="36"/>
        <w:gridCol w:w="36"/>
        <w:gridCol w:w="36"/>
        <w:gridCol w:w="122"/>
        <w:gridCol w:w="666"/>
        <w:gridCol w:w="36"/>
        <w:gridCol w:w="36"/>
        <w:gridCol w:w="36"/>
        <w:gridCol w:w="36"/>
        <w:gridCol w:w="122"/>
        <w:gridCol w:w="773"/>
        <w:gridCol w:w="36"/>
        <w:gridCol w:w="36"/>
        <w:gridCol w:w="36"/>
        <w:gridCol w:w="36"/>
        <w:gridCol w:w="121"/>
        <w:gridCol w:w="651"/>
        <w:gridCol w:w="36"/>
      </w:tblGrid>
      <w:tr w:rsidR="00000000">
        <w:trPr>
          <w:divId w:val="1991710939"/>
        </w:trPr>
        <w:tc>
          <w:tcPr>
            <w:tcW w:w="50" w:type="pct"/>
            <w:vAlign w:val="center"/>
            <w:hideMark/>
          </w:tcPr>
          <w:p w:rsidR="00000000" w:rsidRDefault="00485CCD">
            <w:pPr>
              <w:rPr>
                <w:rFonts w:eastAsia="Times New Roman"/>
              </w:rPr>
            </w:pPr>
          </w:p>
        </w:tc>
        <w:tc>
          <w:tcPr>
            <w:tcW w:w="181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91710939"/>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Year Ended October 31, 2020</w:t>
            </w:r>
          </w:p>
        </w:tc>
      </w:tr>
      <w:tr w:rsidR="00000000">
        <w:trPr>
          <w:divId w:val="199171093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Total</w:t>
            </w:r>
          </w:p>
        </w:tc>
      </w:tr>
      <w:tr w:rsidR="00000000">
        <w:trPr>
          <w:divId w:val="199171093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991710939"/>
        </w:trPr>
        <w:tc>
          <w:tcPr>
            <w:tcW w:w="0" w:type="auto"/>
            <w:gridSpan w:val="3"/>
            <w:shd w:val="clear" w:color="auto" w:fill="FFFFFF"/>
            <w:tcMar>
              <w:top w:w="30" w:type="dxa"/>
              <w:left w:w="20" w:type="dxa"/>
              <w:bottom w:w="30" w:type="dxa"/>
              <w:right w:w="20" w:type="dxa"/>
            </w:tcMar>
            <w:vAlign w:val="bottom"/>
            <w:hideMark/>
          </w:tcPr>
          <w:p w:rsidR="00000000" w:rsidRDefault="00485CCD">
            <w:pPr>
              <w:divId w:val="833842951"/>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2,420.4 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770.9 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716.5 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4,029.0 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DCE2EF"/>
            <w:tcMar>
              <w:top w:w="30" w:type="dxa"/>
              <w:left w:w="20" w:type="dxa"/>
              <w:bottom w:w="30" w:type="dxa"/>
              <w:right w:w="20" w:type="dxa"/>
            </w:tcMar>
            <w:vAlign w:val="bottom"/>
            <w:hideMark/>
          </w:tcPr>
          <w:p w:rsidR="00000000" w:rsidRDefault="00485CCD">
            <w:pPr>
              <w:divId w:val="170685126"/>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362.8 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255.9 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654.0 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FFFFFF"/>
            <w:tcMar>
              <w:top w:w="30" w:type="dxa"/>
              <w:left w:w="20" w:type="dxa"/>
              <w:bottom w:w="30" w:type="dxa"/>
              <w:right w:w="20" w:type="dxa"/>
            </w:tcMar>
            <w:vAlign w:val="bottom"/>
            <w:hideMark/>
          </w:tcPr>
          <w:p w:rsidR="00000000" w:rsidRDefault="00485CCD">
            <w:pPr>
              <w:divId w:val="825515303"/>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374.1 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151.6 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647.9 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DCE2EF"/>
            <w:tcMar>
              <w:top w:w="30" w:type="dxa"/>
              <w:left w:w="20" w:type="dxa"/>
              <w:bottom w:w="30" w:type="dxa"/>
              <w:right w:w="20" w:type="dxa"/>
            </w:tcMar>
            <w:vAlign w:val="bottom"/>
            <w:hideMark/>
          </w:tcPr>
          <w:p w:rsidR="00000000" w:rsidRDefault="00485CCD">
            <w:pPr>
              <w:divId w:val="1304769831"/>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506.6 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506.6 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FFFFFF"/>
            <w:tcMar>
              <w:top w:w="30" w:type="dxa"/>
              <w:left w:w="20" w:type="dxa"/>
              <w:bottom w:w="30" w:type="dxa"/>
              <w:right w:w="20" w:type="dxa"/>
            </w:tcMar>
            <w:vAlign w:val="bottom"/>
            <w:hideMark/>
          </w:tcPr>
          <w:p w:rsidR="00000000" w:rsidRDefault="00485CCD">
            <w:pPr>
              <w:divId w:val="941761581"/>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272.2 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272.6 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3,157.8 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808.8 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680.9 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6,110.0 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1465999246"/>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485CCD">
            <w:pPr>
              <w:ind w:hanging="18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(122.4)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99171093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8490594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Janitorial arrangements provide a wide range of essential cleaning services for commercial office buildings, airports and other transportation centers, educational institutions, government buildings, health facilities, industrial buildings, retail stores, </w:t>
      </w:r>
      <w:r>
        <w:rPr>
          <w:rFonts w:ascii="Arial" w:eastAsia="Times New Roman" w:hAnsi="Arial" w:cs="Arial"/>
          <w:color w:val="000000"/>
          <w:sz w:val="18"/>
          <w:szCs w:val="18"/>
        </w:rPr>
        <w:t xml:space="preserve">and stadiums and arenas. These arrangements are often structured as monthly fixed-price, square-foot, cost-plus, and work order contracts. </w:t>
      </w:r>
    </w:p>
    <w:p w:rsidR="00000000" w:rsidRDefault="00485CCD">
      <w:pPr>
        <w:ind w:hanging="180"/>
        <w:jc w:val="both"/>
        <w:divId w:val="84929488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Parking arrangements provide parking and transportation services for clients at various locations, including airports and other transportation centers, commercial office buildings, educational institutions, health facilities, hotels, and stadiums and arena</w:t>
      </w:r>
      <w:r>
        <w:rPr>
          <w:rFonts w:ascii="Arial" w:eastAsia="Times New Roman" w:hAnsi="Arial" w:cs="Arial"/>
          <w:color w:val="000000"/>
          <w:sz w:val="18"/>
          <w:szCs w:val="18"/>
        </w:rPr>
        <w:t xml:space="preserve">s. These arrangements are structured as management reimbursement, leased location, and allowance contracts. Certain of these arrangements are considered service concession agreements and are accounted for under the guidance of Topic 853; accordingly, rent </w:t>
      </w:r>
      <w:r>
        <w:rPr>
          <w:rFonts w:ascii="Arial" w:eastAsia="Times New Roman" w:hAnsi="Arial" w:cs="Arial"/>
          <w:color w:val="000000"/>
          <w:sz w:val="18"/>
          <w:szCs w:val="18"/>
        </w:rPr>
        <w:t xml:space="preserve">expense related to these arrangements is recorded as a reduction of the related parking service revenues. </w:t>
      </w:r>
    </w:p>
    <w:p w:rsidR="00000000" w:rsidRDefault="00485CCD">
      <w:pPr>
        <w:ind w:hanging="180"/>
        <w:jc w:val="both"/>
        <w:divId w:val="1614169795"/>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w:t>
      </w:r>
      <w:r>
        <w:rPr>
          <w:rFonts w:ascii="Arial" w:eastAsia="Times New Roman" w:hAnsi="Arial" w:cs="Arial"/>
          <w:color w:val="000000"/>
          <w:sz w:val="18"/>
          <w:szCs w:val="18"/>
        </w:rPr>
        <w:t xml:space="preserve"> and infrastructure systems that are designed to extend the useful life of facility fixed assets, improve equipment operating efficiencies, reduce energy consumption, lower overall operational costs for clients, and enhance the sustainability of client loc</w:t>
      </w:r>
      <w:r>
        <w:rPr>
          <w:rFonts w:ascii="Arial" w:eastAsia="Times New Roman" w:hAnsi="Arial" w:cs="Arial"/>
          <w:color w:val="000000"/>
          <w:sz w:val="18"/>
          <w:szCs w:val="18"/>
        </w:rPr>
        <w:t>ations. These arrangements are generally structured as monthly fixed-price, cost-plus, and work order contracts.</w:t>
      </w:r>
    </w:p>
    <w:p w:rsidR="00000000" w:rsidRDefault="00485CCD">
      <w:pPr>
        <w:ind w:hanging="180"/>
        <w:jc w:val="both"/>
        <w:divId w:val="114847158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electrical, HVAC, lighting, electric vehicle charging station ins</w:t>
      </w:r>
      <w:r>
        <w:rPr>
          <w:rFonts w:ascii="Arial" w:eastAsia="Times New Roman" w:hAnsi="Arial" w:cs="Arial"/>
          <w:color w:val="000000"/>
          <w:sz w:val="18"/>
          <w:szCs w:val="18"/>
        </w:rPr>
        <w:t>tallation, and other general maintenance and repair services for clients in the public and private sectors and are generally structured as Energy Savings and Fixed-Price Repair and Refurbishment contracts. We also franchise certain operations under franchi</w:t>
      </w:r>
      <w:r>
        <w:rPr>
          <w:rFonts w:ascii="Arial" w:eastAsia="Times New Roman" w:hAnsi="Arial" w:cs="Arial"/>
          <w:color w:val="000000"/>
          <w:sz w:val="18"/>
          <w:szCs w:val="18"/>
        </w:rPr>
        <w:t>se agreements relating to our Linc Network and TEGG brands pursuant to franchise contracts.</w:t>
      </w:r>
    </w:p>
    <w:p w:rsidR="00000000" w:rsidRDefault="00485CCD">
      <w:pPr>
        <w:jc w:val="center"/>
        <w:divId w:val="243418151"/>
        <w:rPr>
          <w:rFonts w:eastAsia="Times New Roman"/>
        </w:rPr>
      </w:pPr>
      <w:r>
        <w:rPr>
          <w:rFonts w:ascii="Arial" w:eastAsia="Times New Roman" w:hAnsi="Arial" w:cs="Arial"/>
          <w:color w:val="000000"/>
          <w:sz w:val="20"/>
          <w:szCs w:val="20"/>
        </w:rPr>
        <w:t>66</w:t>
      </w:r>
    </w:p>
    <w:p w:rsidR="00000000" w:rsidRDefault="00485CCD">
      <w:pPr>
        <w:rPr>
          <w:rFonts w:eastAsia="Times New Roman"/>
        </w:rPr>
      </w:pPr>
      <w:r>
        <w:rPr>
          <w:rFonts w:eastAsia="Times New Roman"/>
        </w:rPr>
        <w:pict>
          <v:rect id="_x0000_i1103" style="width:0;height:1.5pt" o:hralign="center" o:hrstd="t" o:hr="t" fillcolor="#a0a0a0" stroked="f"/>
        </w:pict>
      </w:r>
    </w:p>
    <w:p w:rsidR="00000000" w:rsidRDefault="00485CCD">
      <w:pPr>
        <w:divId w:val="868878140"/>
        <w:rPr>
          <w:rFonts w:eastAsia="Times New Roman"/>
        </w:rPr>
      </w:pPr>
    </w:p>
    <w:p w:rsidR="00000000" w:rsidRDefault="00485CCD">
      <w:pPr>
        <w:ind w:hanging="180"/>
        <w:jc w:val="both"/>
        <w:divId w:val="1750079161"/>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assistance, catering logis</w:t>
      </w:r>
      <w:r>
        <w:rPr>
          <w:rFonts w:ascii="Arial" w:eastAsia="Times New Roman" w:hAnsi="Arial" w:cs="Arial"/>
          <w:color w:val="000000"/>
          <w:sz w:val="18"/>
          <w:szCs w:val="18"/>
        </w:rPr>
        <w:t>tics, and airplane cabin maintenance. These arrangements are often structured as monthly fixed-price, cost-plus, transaction price, and hourly contracts.</w:t>
      </w:r>
    </w:p>
    <w:p w:rsidR="00000000" w:rsidRDefault="00485CCD">
      <w:pPr>
        <w:jc w:val="both"/>
        <w:divId w:val="925962494"/>
        <w:rPr>
          <w:rFonts w:eastAsia="Times New Roman"/>
        </w:rPr>
      </w:pPr>
      <w:r>
        <w:rPr>
          <w:rFonts w:ascii="Arial" w:eastAsia="Times New Roman" w:hAnsi="Arial" w:cs="Arial"/>
          <w:b/>
          <w:bCs/>
          <w:color w:val="0046AD"/>
          <w:sz w:val="20"/>
          <w:szCs w:val="20"/>
        </w:rPr>
        <w:t>Remaining Performance Obligations</w:t>
      </w:r>
    </w:p>
    <w:p w:rsidR="00000000" w:rsidRDefault="00485CCD">
      <w:pPr>
        <w:ind w:firstLine="720"/>
        <w:jc w:val="both"/>
        <w:divId w:val="1797678797"/>
        <w:rPr>
          <w:rFonts w:eastAsia="Times New Roman"/>
        </w:rPr>
      </w:pPr>
      <w:r>
        <w:rPr>
          <w:rFonts w:ascii="Arial" w:eastAsia="Times New Roman" w:hAnsi="Arial" w:cs="Arial"/>
          <w:color w:val="000000"/>
          <w:sz w:val="20"/>
          <w:szCs w:val="20"/>
        </w:rPr>
        <w:t>At October 31, 2021, performance obligations that were unsatisfied o</w:t>
      </w:r>
      <w:r>
        <w:rPr>
          <w:rFonts w:ascii="Arial" w:eastAsia="Times New Roman" w:hAnsi="Arial" w:cs="Arial"/>
          <w:color w:val="000000"/>
          <w:sz w:val="20"/>
          <w:szCs w:val="20"/>
        </w:rPr>
        <w:t>r partially unsatisfied for which we expect to recognize revenue totaled $307.2 million. We expect to recognize revenue on approximately 79% of the remaining performance obligations over the next 12 months, with the remainder recognized thereafter, based o</w:t>
      </w:r>
      <w:r>
        <w:rPr>
          <w:rFonts w:ascii="Arial" w:eastAsia="Times New Roman" w:hAnsi="Arial" w:cs="Arial"/>
          <w:color w:val="000000"/>
          <w:sz w:val="20"/>
          <w:szCs w:val="20"/>
        </w:rPr>
        <w:t>n our estimates of project timing.</w:t>
      </w:r>
    </w:p>
    <w:p w:rsidR="00000000" w:rsidRDefault="00485CCD">
      <w:pPr>
        <w:ind w:firstLine="720"/>
        <w:jc w:val="both"/>
        <w:divId w:val="1753577687"/>
        <w:rPr>
          <w:rFonts w:eastAsia="Times New Roman"/>
        </w:rPr>
      </w:pPr>
      <w:r>
        <w:rPr>
          <w:rFonts w:ascii="Arial" w:eastAsia="Times New Roman" w:hAnsi="Arial" w:cs="Arial"/>
          <w:color w:val="000000"/>
          <w:sz w:val="20"/>
          <w:szCs w:val="20"/>
        </w:rPr>
        <w:t>These amounts exclude variable consideration primarily related to: (i) contracts where we have determined that the contract consists of a series of distinct service periods and revenues are based on future performance tha</w:t>
      </w:r>
      <w:r>
        <w:rPr>
          <w:rFonts w:ascii="Arial" w:eastAsia="Times New Roman" w:hAnsi="Arial" w:cs="Arial"/>
          <w:color w:val="000000"/>
          <w:sz w:val="20"/>
          <w:szCs w:val="20"/>
        </w:rPr>
        <w:t>t cannot be estimated at contract inception; (ii) parking contracts where we and the customer share the gross revenues or operating profit for the location; and (iii) contracts where transaction prices include performance incentives that are based on futur</w:t>
      </w:r>
      <w:r>
        <w:rPr>
          <w:rFonts w:ascii="Arial" w:eastAsia="Times New Roman" w:hAnsi="Arial" w:cs="Arial"/>
          <w:color w:val="000000"/>
          <w:sz w:val="20"/>
          <w:szCs w:val="20"/>
        </w:rPr>
        <w:t>e performance and therefore cannot be estimated at contract inception. We apply the practical expedient that permits exclusion of information about the remaining performance obligations with original expected durations of one year or less.</w:t>
      </w:r>
    </w:p>
    <w:p w:rsidR="00000000" w:rsidRDefault="00485CCD">
      <w:pPr>
        <w:divId w:val="1848788384"/>
        <w:rPr>
          <w:rFonts w:eastAsia="Times New Roman"/>
        </w:rPr>
      </w:pPr>
      <w:r>
        <w:rPr>
          <w:rFonts w:ascii="Arial" w:eastAsia="Times New Roman" w:hAnsi="Arial" w:cs="Arial"/>
          <w:b/>
          <w:bCs/>
          <w:color w:val="164FA2"/>
          <w:sz w:val="20"/>
          <w:szCs w:val="20"/>
        </w:rPr>
        <w:t>Contract Balance</w:t>
      </w:r>
      <w:r>
        <w:rPr>
          <w:rFonts w:ascii="Arial" w:eastAsia="Times New Roman" w:hAnsi="Arial" w:cs="Arial"/>
          <w:b/>
          <w:bCs/>
          <w:color w:val="164FA2"/>
          <w:sz w:val="20"/>
          <w:szCs w:val="20"/>
        </w:rPr>
        <w:t xml:space="preserve">s </w:t>
      </w:r>
    </w:p>
    <w:p w:rsidR="00000000" w:rsidRDefault="00485CCD">
      <w:pPr>
        <w:ind w:firstLine="720"/>
        <w:jc w:val="both"/>
        <w:divId w:val="377168343"/>
        <w:rPr>
          <w:rFonts w:eastAsia="Times New Roman"/>
        </w:rPr>
      </w:pPr>
      <w:r>
        <w:rPr>
          <w:rFonts w:ascii="Arial" w:eastAsia="Times New Roman" w:hAnsi="Arial" w:cs="Arial"/>
          <w:color w:val="000000"/>
          <w:sz w:val="20"/>
          <w:szCs w:val="20"/>
        </w:rPr>
        <w:t xml:space="preserve">The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18"/>
        <w:gridCol w:w="38"/>
        <w:gridCol w:w="36"/>
        <w:gridCol w:w="36"/>
        <w:gridCol w:w="36"/>
        <w:gridCol w:w="132"/>
        <w:gridCol w:w="1302"/>
        <w:gridCol w:w="36"/>
        <w:gridCol w:w="36"/>
        <w:gridCol w:w="36"/>
        <w:gridCol w:w="36"/>
        <w:gridCol w:w="133"/>
        <w:gridCol w:w="1355"/>
        <w:gridCol w:w="36"/>
      </w:tblGrid>
      <w:tr w:rsidR="00000000">
        <w:trPr>
          <w:divId w:val="96945684"/>
          <w:jc w:val="center"/>
        </w:trPr>
        <w:tc>
          <w:tcPr>
            <w:tcW w:w="50" w:type="pct"/>
            <w:vAlign w:val="center"/>
            <w:hideMark/>
          </w:tcPr>
          <w:p w:rsidR="00000000" w:rsidRDefault="00485CCD">
            <w:pPr>
              <w:ind w:firstLine="720"/>
              <w:jc w:val="both"/>
              <w:rPr>
                <w:rFonts w:eastAsia="Times New Roman"/>
              </w:rPr>
            </w:pPr>
          </w:p>
        </w:tc>
        <w:tc>
          <w:tcPr>
            <w:tcW w:w="306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6945684"/>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2020</w:t>
            </w:r>
          </w:p>
        </w:tc>
      </w:tr>
      <w:tr w:rsidR="00000000">
        <w:trPr>
          <w:divId w:val="96945684"/>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6945684"/>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1175879624"/>
              <w:rPr>
                <w:rFonts w:eastAsia="Times New Roman"/>
              </w:rPr>
            </w:pPr>
            <w:r>
              <w:rPr>
                <w:rFonts w:ascii="Arial" w:eastAsia="Times New Roman" w:hAnsi="Arial" w:cs="Arial"/>
                <w:color w:val="000000"/>
                <w:sz w:val="20"/>
                <w:szCs w:val="20"/>
              </w:rPr>
              <w:t>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1,057.6 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835.8 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6945684"/>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divId w:val="1114708719"/>
              <w:rPr>
                <w:rFonts w:eastAsia="Times New Roman"/>
              </w:rPr>
            </w:pPr>
            <w:r>
              <w:rPr>
                <w:rFonts w:ascii="Arial" w:eastAsia="Times New Roman" w:hAnsi="Arial" w:cs="Arial"/>
                <w:color w:val="000000"/>
                <w:sz w:val="20"/>
                <w:szCs w:val="20"/>
              </w:rPr>
              <w:t>Unbilled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112.1 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6945684"/>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1218399132"/>
              <w:rPr>
                <w:rFonts w:eastAsia="Times New Roman"/>
              </w:rPr>
            </w:pPr>
            <w:r>
              <w:rPr>
                <w:rFonts w:ascii="Arial" w:eastAsia="Times New Roman" w:hAnsi="Arial" w:cs="Arial"/>
                <w:color w:val="000000"/>
                <w:sz w:val="20"/>
                <w:szCs w:val="20"/>
              </w:rPr>
              <w:t>Costs incurred in excess of amounts bille</w:t>
            </w:r>
            <w:r>
              <w:rPr>
                <w:rFonts w:ascii="Arial" w:eastAsia="Times New Roman" w:hAnsi="Arial" w:cs="Arial"/>
                <w:color w:val="000000"/>
                <w:sz w:val="20"/>
                <w:szCs w:val="20"/>
              </w:rPr>
              <w:t>d</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52.2 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6945684"/>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divId w:val="1148009618"/>
              <w:rPr>
                <w:rFonts w:eastAsia="Times New Roman"/>
              </w:rPr>
            </w:pPr>
            <w:r>
              <w:rPr>
                <w:rFonts w:ascii="Arial" w:eastAsia="Times New Roman" w:hAnsi="Arial" w:cs="Arial"/>
                <w:color w:val="000000"/>
                <w:sz w:val="20"/>
                <w:szCs w:val="20"/>
              </w:rPr>
              <w:t>Capitalized commission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8561860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Consolidated Balance Sheets. The fluctuations correlate directly to the execution of new customer contracts and to invoicing and collections from customers in the normal course of business. </w:t>
      </w:r>
    </w:p>
    <w:p w:rsidR="00000000" w:rsidRDefault="00485CCD">
      <w:pPr>
        <w:ind w:hanging="180"/>
        <w:jc w:val="both"/>
        <w:divId w:val="144403340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485CCD">
      <w:pPr>
        <w:ind w:hanging="180"/>
        <w:jc w:val="both"/>
        <w:divId w:val="7887013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current assets and other noncurrent assets on the Consolidated Balance Sheets. During the year end</w:t>
      </w:r>
      <w:r>
        <w:rPr>
          <w:rFonts w:ascii="Arial" w:eastAsia="Times New Roman" w:hAnsi="Arial" w:cs="Arial"/>
          <w:color w:val="000000"/>
          <w:sz w:val="18"/>
          <w:szCs w:val="18"/>
        </w:rPr>
        <w:t>ed October 31, 2021, we capitalized</w:t>
      </w:r>
      <w:r>
        <w:rPr>
          <w:rFonts w:ascii="Arial" w:eastAsia="Times New Roman" w:hAnsi="Arial" w:cs="Arial"/>
          <w:color w:val="000000"/>
          <w:sz w:val="18"/>
          <w:szCs w:val="18"/>
          <w:shd w:val="clear" w:color="auto" w:fill="FFFFFF"/>
        </w:rPr>
        <w:t xml:space="preserve"> </w:t>
      </w:r>
      <w:r>
        <w:rPr>
          <w:rFonts w:ascii="Arial" w:eastAsia="Times New Roman" w:hAnsi="Arial" w:cs="Arial"/>
          <w:color w:val="000000"/>
          <w:sz w:val="18"/>
          <w:szCs w:val="18"/>
        </w:rPr>
        <w:t>$16.3 million of new costs and amortized $13.7 million of previously capitalized costs. There was no impairment loss recorded on the costs capitalized.</w:t>
      </w:r>
    </w:p>
    <w:tbl>
      <w:tblPr>
        <w:tblW w:w="4985" w:type="pct"/>
        <w:tblCellMar>
          <w:top w:w="15" w:type="dxa"/>
          <w:left w:w="15" w:type="dxa"/>
          <w:bottom w:w="15" w:type="dxa"/>
          <w:right w:w="15" w:type="dxa"/>
        </w:tblCellMar>
        <w:tblLook w:val="04A0" w:firstRow="1" w:lastRow="0" w:firstColumn="1" w:lastColumn="0" w:noHBand="0" w:noVBand="1"/>
      </w:tblPr>
      <w:tblGrid>
        <w:gridCol w:w="42"/>
        <w:gridCol w:w="6584"/>
        <w:gridCol w:w="37"/>
        <w:gridCol w:w="36"/>
        <w:gridCol w:w="36"/>
        <w:gridCol w:w="36"/>
        <w:gridCol w:w="133"/>
        <w:gridCol w:w="1341"/>
        <w:gridCol w:w="36"/>
      </w:tblGrid>
      <w:tr w:rsidR="00000000">
        <w:trPr>
          <w:divId w:val="1148588861"/>
        </w:trPr>
        <w:tc>
          <w:tcPr>
            <w:tcW w:w="50" w:type="pct"/>
            <w:vAlign w:val="center"/>
            <w:hideMark/>
          </w:tcPr>
          <w:p w:rsidR="00000000" w:rsidRDefault="00485CCD">
            <w:pPr>
              <w:ind w:hanging="180"/>
              <w:jc w:val="both"/>
              <w:rPr>
                <w:rFonts w:eastAsia="Times New Roman"/>
              </w:rPr>
            </w:pPr>
          </w:p>
        </w:tc>
        <w:tc>
          <w:tcPr>
            <w:tcW w:w="3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14858886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r>
            <w:r>
              <w:rPr>
                <w:rFonts w:ascii="Arial" w:eastAsia="Times New Roman" w:hAnsi="Arial" w:cs="Arial"/>
                <w:b/>
                <w:bCs/>
                <w:color w:val="000000"/>
                <w:sz w:val="20"/>
                <w:szCs w:val="20"/>
              </w:rPr>
              <w:t>October 31, 2021</w:t>
            </w:r>
          </w:p>
        </w:tc>
      </w:tr>
      <w:tr w:rsidR="00000000">
        <w:trPr>
          <w:divId w:val="1148588861"/>
        </w:trPr>
        <w:tc>
          <w:tcPr>
            <w:tcW w:w="0" w:type="auto"/>
            <w:gridSpan w:val="3"/>
            <w:shd w:val="clear" w:color="auto" w:fill="DCE2EF"/>
            <w:tcMar>
              <w:top w:w="30" w:type="dxa"/>
              <w:left w:w="20" w:type="dxa"/>
              <w:bottom w:w="30" w:type="dxa"/>
              <w:right w:w="20" w:type="dxa"/>
            </w:tcMar>
            <w:vAlign w:val="bottom"/>
            <w:hideMark/>
          </w:tcPr>
          <w:p w:rsidR="00000000" w:rsidRDefault="00485CCD">
            <w:pPr>
              <w:divId w:val="475297316"/>
              <w:rPr>
                <w:rFonts w:eastAsia="Times New Roman"/>
              </w:rPr>
            </w:pPr>
            <w:r>
              <w:rPr>
                <w:rFonts w:ascii="Arial" w:eastAsia="Times New Roman" w:hAnsi="Arial" w:cs="Arial"/>
                <w:b/>
                <w:bCs/>
                <w:color w:val="000000"/>
                <w:sz w:val="20"/>
                <w:szCs w:val="20"/>
              </w:rPr>
              <w:t>Contract liabilitie</w:t>
            </w:r>
            <w:r>
              <w:rPr>
                <w:rFonts w:ascii="Arial" w:eastAsia="Times New Roman" w:hAnsi="Arial" w:cs="Arial"/>
                <w:b/>
                <w:bCs/>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148588861"/>
        </w:trPr>
        <w:tc>
          <w:tcPr>
            <w:tcW w:w="0" w:type="auto"/>
            <w:gridSpan w:val="3"/>
            <w:shd w:val="clear" w:color="auto" w:fill="FFFFF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Balance at beginning of year</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48588861"/>
        </w:trPr>
        <w:tc>
          <w:tcPr>
            <w:tcW w:w="0" w:type="auto"/>
            <w:gridSpan w:val="3"/>
            <w:shd w:val="clear" w:color="auto" w:fill="DCE2E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248.9 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48588861"/>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17584159"/>
              <w:rPr>
                <w:rFonts w:eastAsia="Times New Roman"/>
              </w:rPr>
            </w:pPr>
            <w:r>
              <w:rPr>
                <w:rFonts w:ascii="Arial" w:eastAsia="Times New Roman" w:hAnsi="Arial" w:cs="Arial"/>
                <w:color w:val="000000"/>
                <w:sz w:val="20"/>
                <w:szCs w:val="20"/>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485CCD">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(226.8)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48588861"/>
        </w:trPr>
        <w:tc>
          <w:tcPr>
            <w:tcW w:w="0" w:type="auto"/>
            <w:gridSpan w:val="3"/>
            <w:shd w:val="clear" w:color="auto" w:fill="DCE2EF"/>
            <w:tcMar>
              <w:top w:w="30" w:type="dxa"/>
              <w:left w:w="20" w:type="dxa"/>
              <w:bottom w:w="30" w:type="dxa"/>
              <w:right w:w="20" w:type="dxa"/>
            </w:tcMar>
            <w:vAlign w:val="bottom"/>
            <w:hideMark/>
          </w:tcPr>
          <w:p w:rsidR="00000000" w:rsidRDefault="00485CCD">
            <w:pPr>
              <w:ind w:hanging="180"/>
              <w:divId w:val="1694529559"/>
              <w:rPr>
                <w:rFonts w:eastAsia="Times New Roman"/>
              </w:rPr>
            </w:pPr>
            <w:r>
              <w:rPr>
                <w:rFonts w:ascii="Arial" w:eastAsia="Times New Roman" w:hAnsi="Arial" w:cs="Arial"/>
                <w:color w:val="000000"/>
                <w:sz w:val="20"/>
                <w:szCs w:val="20"/>
              </w:rPr>
              <w:t>Balance at end of year</w:t>
            </w:r>
          </w:p>
        </w:tc>
        <w:tc>
          <w:tcPr>
            <w:tcW w:w="0" w:type="auto"/>
            <w:gridSpan w:val="3"/>
            <w:shd w:val="clear" w:color="auto" w:fill="DCE2EF"/>
            <w:tcMar>
              <w:top w:w="0" w:type="dxa"/>
              <w:left w:w="20" w:type="dxa"/>
              <w:bottom w:w="0" w:type="dxa"/>
              <w:right w:w="20" w:type="dxa"/>
            </w:tcMar>
            <w:vAlign w:val="center"/>
            <w:hideMark/>
          </w:tcPr>
          <w:p w:rsidR="00000000" w:rsidRDefault="00485CCD">
            <w:pPr>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58.5 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both"/>
        <w:divId w:val="37427778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other accrued liabilities on the Consolidated Balance Sheets. </w:t>
      </w:r>
    </w:p>
    <w:p w:rsidR="00000000" w:rsidRDefault="00485CCD">
      <w:pPr>
        <w:jc w:val="center"/>
        <w:divId w:val="369453844"/>
        <w:rPr>
          <w:rFonts w:eastAsia="Times New Roman"/>
        </w:rPr>
      </w:pPr>
      <w:r>
        <w:rPr>
          <w:rFonts w:ascii="Arial" w:eastAsia="Times New Roman" w:hAnsi="Arial" w:cs="Arial"/>
          <w:color w:val="000000"/>
          <w:sz w:val="20"/>
          <w:szCs w:val="20"/>
        </w:rPr>
        <w:t>67</w:t>
      </w:r>
    </w:p>
    <w:p w:rsidR="00000000" w:rsidRDefault="00485CCD">
      <w:pPr>
        <w:rPr>
          <w:rFonts w:eastAsia="Times New Roman"/>
        </w:rPr>
      </w:pPr>
      <w:r>
        <w:rPr>
          <w:rFonts w:eastAsia="Times New Roman"/>
        </w:rPr>
        <w:pict>
          <v:rect id="_x0000_i1104" style="width:0;height:1.5pt" o:hralign="center" o:hrstd="t" o:hr="t" fillcolor="#a0a0a0" stroked="f"/>
        </w:pict>
      </w:r>
    </w:p>
    <w:p w:rsidR="00000000" w:rsidRDefault="00485CCD">
      <w:pPr>
        <w:divId w:val="1570652478"/>
        <w:rPr>
          <w:rFonts w:eastAsia="Times New Roman"/>
        </w:rPr>
      </w:pPr>
    </w:p>
    <w:p w:rsidR="00000000" w:rsidRDefault="00485CCD">
      <w:pPr>
        <w:divId w:val="2021660082"/>
        <w:rPr>
          <w:rFonts w:eastAsia="Times New Roman"/>
        </w:rPr>
      </w:pPr>
      <w:r>
        <w:rPr>
          <w:rFonts w:ascii="Arial" w:eastAsia="Times New Roman" w:hAnsi="Arial" w:cs="Arial"/>
          <w:b/>
          <w:bCs/>
          <w:color w:val="0046AD"/>
          <w:sz w:val="20"/>
          <w:szCs w:val="20"/>
        </w:rPr>
        <w:t xml:space="preserve">4. ACQUISITIONS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056158045"/>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56158045"/>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1066077060"/>
        <w:rPr>
          <w:rFonts w:eastAsia="Times New Roman"/>
        </w:rPr>
      </w:pPr>
      <w:r>
        <w:rPr>
          <w:rFonts w:ascii="Arial" w:eastAsia="Times New Roman" w:hAnsi="Arial" w:cs="Arial"/>
          <w:b/>
          <w:bCs/>
          <w:color w:val="0046AD"/>
          <w:sz w:val="20"/>
          <w:szCs w:val="20"/>
        </w:rPr>
        <w:t>Acquisition of Able</w:t>
      </w:r>
    </w:p>
    <w:p w:rsidR="00000000" w:rsidRDefault="00485CCD">
      <w:pPr>
        <w:ind w:firstLine="720"/>
        <w:jc w:val="both"/>
        <w:divId w:val="1561164304"/>
        <w:rPr>
          <w:rFonts w:eastAsia="Times New Roman"/>
        </w:rPr>
      </w:pPr>
      <w:r>
        <w:rPr>
          <w:rFonts w:ascii="Arial" w:eastAsia="Times New Roman" w:hAnsi="Arial" w:cs="Arial"/>
          <w:color w:val="000000"/>
          <w:sz w:val="20"/>
          <w:szCs w:val="20"/>
        </w:rPr>
        <w:t>On September 30, 2021, we completed the Able Acquisition for a net cash purchase price of $741.7 million. Pursuant to the terms of the purchase agreement, approximately $12.1 million of the cash consideration was placed into escrow accounts, of which appro</w:t>
      </w:r>
      <w:r>
        <w:rPr>
          <w:rFonts w:ascii="Arial" w:eastAsia="Times New Roman" w:hAnsi="Arial" w:cs="Arial"/>
          <w:color w:val="000000"/>
          <w:sz w:val="20"/>
          <w:szCs w:val="20"/>
        </w:rPr>
        <w:t>ximately $8.2 million was placed into escrow to satisfy any applicable indemnification claims for a period of 12 months. To fund the cash purchase price, we used cash on hand and borrowed $325.0 million on September 30, 2021, at an average interest rate of</w:t>
      </w:r>
      <w:r>
        <w:rPr>
          <w:rFonts w:ascii="Arial" w:eastAsia="Times New Roman" w:hAnsi="Arial" w:cs="Arial"/>
          <w:color w:val="000000"/>
          <w:sz w:val="20"/>
          <w:szCs w:val="20"/>
        </w:rPr>
        <w:t xml:space="preserve"> 1.58% from our revolving line of credit. </w:t>
      </w:r>
    </w:p>
    <w:p w:rsidR="00000000" w:rsidRDefault="00485CCD">
      <w:pPr>
        <w:divId w:val="1526750727"/>
        <w:rPr>
          <w:rFonts w:eastAsia="Times New Roman"/>
        </w:rPr>
      </w:pPr>
      <w:r>
        <w:rPr>
          <w:rFonts w:ascii="Arial" w:eastAsia="Times New Roman" w:hAnsi="Arial" w:cs="Arial"/>
          <w:b/>
          <w:bCs/>
          <w:i/>
          <w:iCs/>
          <w:color w:val="0046AD"/>
          <w:sz w:val="20"/>
          <w:szCs w:val="20"/>
        </w:rPr>
        <w:t>Preliminary Acquisition Accounting</w:t>
      </w:r>
    </w:p>
    <w:p w:rsidR="00000000" w:rsidRDefault="00485CCD">
      <w:pPr>
        <w:ind w:firstLine="720"/>
        <w:jc w:val="both"/>
        <w:divId w:val="1559900359"/>
        <w:rPr>
          <w:rFonts w:eastAsia="Times New Roman"/>
        </w:rPr>
      </w:pPr>
      <w:r>
        <w:rPr>
          <w:rFonts w:ascii="Arial" w:eastAsia="Times New Roman" w:hAnsi="Arial" w:cs="Arial"/>
          <w:color w:val="000000"/>
          <w:sz w:val="20"/>
          <w:szCs w:val="20"/>
        </w:rPr>
        <w:t>The assets acquired and liabilities assumed were recognized at their acquisition date fair values. The acquisition accounting is subject to change as the Company obtains additional information during the measurement period about the facts and circumstances</w:t>
      </w:r>
      <w:r>
        <w:rPr>
          <w:rFonts w:ascii="Arial" w:eastAsia="Times New Roman" w:hAnsi="Arial" w:cs="Arial"/>
          <w:color w:val="000000"/>
          <w:sz w:val="20"/>
          <w:szCs w:val="20"/>
        </w:rPr>
        <w:t xml:space="preserve"> that existed as of the acquisition date. The final acquisition accounting may include changes to customer relationships, goodwill, deferred taxes, legal matters, insurance claims reserves, and other liabilities. Goodwill arising from the Able Acquisition </w:t>
      </w:r>
      <w:r>
        <w:rPr>
          <w:rFonts w:ascii="Arial" w:eastAsia="Times New Roman" w:hAnsi="Arial" w:cs="Arial"/>
          <w:color w:val="000000"/>
          <w:sz w:val="20"/>
          <w:szCs w:val="20"/>
        </w:rPr>
        <w:t>is not deductible for tax reporting purposes.</w:t>
      </w:r>
    </w:p>
    <w:p w:rsidR="00000000" w:rsidRDefault="00485CCD">
      <w:pPr>
        <w:ind w:firstLine="720"/>
        <w:jc w:val="both"/>
        <w:divId w:val="1230110868"/>
        <w:rPr>
          <w:rFonts w:eastAsia="Times New Roman"/>
        </w:rPr>
      </w:pPr>
      <w:r>
        <w:rPr>
          <w:rFonts w:ascii="Arial" w:eastAsia="Times New Roman" w:hAnsi="Arial" w:cs="Arial"/>
          <w:color w:val="000000"/>
          <w:sz w:val="20"/>
          <w:szCs w:val="20"/>
        </w:rPr>
        <w:t>The following table summarizes the preliminary acquisition accounting based on currently available information:</w:t>
      </w:r>
    </w:p>
    <w:tbl>
      <w:tblPr>
        <w:tblW w:w="4985" w:type="pct"/>
        <w:tblCellMar>
          <w:top w:w="15" w:type="dxa"/>
          <w:left w:w="15" w:type="dxa"/>
          <w:bottom w:w="15" w:type="dxa"/>
          <w:right w:w="15" w:type="dxa"/>
        </w:tblCellMar>
        <w:tblLook w:val="04A0" w:firstRow="1" w:lastRow="0" w:firstColumn="1" w:lastColumn="0" w:noHBand="0" w:noVBand="1"/>
      </w:tblPr>
      <w:tblGrid>
        <w:gridCol w:w="42"/>
        <w:gridCol w:w="6671"/>
        <w:gridCol w:w="37"/>
        <w:gridCol w:w="36"/>
        <w:gridCol w:w="36"/>
        <w:gridCol w:w="36"/>
        <w:gridCol w:w="132"/>
        <w:gridCol w:w="1255"/>
        <w:gridCol w:w="36"/>
      </w:tblGrid>
      <w:tr w:rsidR="00000000">
        <w:trPr>
          <w:divId w:val="719283413"/>
        </w:trPr>
        <w:tc>
          <w:tcPr>
            <w:tcW w:w="50" w:type="pct"/>
            <w:vAlign w:val="center"/>
            <w:hideMark/>
          </w:tcPr>
          <w:p w:rsidR="00000000" w:rsidRDefault="00485CCD">
            <w:pPr>
              <w:ind w:firstLine="720"/>
              <w:jc w:val="both"/>
              <w:rPr>
                <w:rFonts w:eastAsia="Times New Roman"/>
              </w:rPr>
            </w:pPr>
          </w:p>
        </w:tc>
        <w:tc>
          <w:tcPr>
            <w:tcW w:w="405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1928341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19283413"/>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19283413"/>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divId w:val="1168130681"/>
              <w:rPr>
                <w:rFonts w:eastAsia="Times New Roman"/>
              </w:rPr>
            </w:pPr>
            <w:r>
              <w:rPr>
                <w:rFonts w:ascii="Arial" w:eastAsia="Times New Roman" w:hAnsi="Arial" w:cs="Arial"/>
                <w:color w:val="000000"/>
                <w:sz w:val="20"/>
                <w:szCs w:val="20"/>
              </w:rPr>
              <w:t>Trade accounts receivabl</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159.3 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assets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divId w:val="989096103"/>
              <w:rPr>
                <w:rFonts w:eastAsia="Times New Roman"/>
              </w:rPr>
            </w:pPr>
            <w:r>
              <w:rPr>
                <w:rFonts w:ascii="Arial" w:eastAsia="Times New Roman" w:hAnsi="Arial" w:cs="Arial"/>
                <w:color w:val="000000"/>
                <w:sz w:val="20"/>
                <w:szCs w:val="20"/>
              </w:rPr>
              <w:t>Customer relationship</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220.0 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divId w:val="60374875"/>
              <w:rPr>
                <w:rFonts w:eastAsia="Times New Roman"/>
              </w:rPr>
            </w:pPr>
            <w:r>
              <w:rPr>
                <w:rFonts w:ascii="Arial" w:eastAsia="Times New Roman" w:hAnsi="Arial" w:cs="Arial"/>
                <w:color w:val="000000"/>
                <w:sz w:val="20"/>
                <w:szCs w:val="20"/>
              </w:rPr>
              <w:t>Trade name</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divId w:val="855770813"/>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554.0 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Trade accounts payable</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Accrued compensation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Insurance claims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(91.6)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Deferred income tax liability, net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1928341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64523184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The gross amount of trade accounts receivable was $160.6 million, of which $1.4 million was deemed uncollectible at October 31, 2021.</w:t>
      </w:r>
    </w:p>
    <w:p w:rsidR="00000000" w:rsidRDefault="00485CCD">
      <w:pPr>
        <w:ind w:hanging="180"/>
        <w:jc w:val="both"/>
        <w:divId w:val="158460450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amortization periods for the acquired intangible assets are 15 years for customer relationships and 2 years for tr</w:t>
      </w:r>
      <w:r>
        <w:rPr>
          <w:rFonts w:ascii="Arial" w:eastAsia="Times New Roman" w:hAnsi="Arial" w:cs="Arial"/>
          <w:color w:val="000000"/>
          <w:sz w:val="18"/>
          <w:szCs w:val="18"/>
        </w:rPr>
        <w:t>ade names.</w:t>
      </w:r>
    </w:p>
    <w:p w:rsidR="00000000" w:rsidRDefault="00485CCD">
      <w:pPr>
        <w:ind w:hanging="180"/>
        <w:jc w:val="both"/>
        <w:divId w:val="18581555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Goodwill is largely attributable to value we expect to obtain from long-term business growth, the established workforce, and buyer-specific synergies. This goodwill is not deductible for income tax purposes.</w:t>
      </w:r>
    </w:p>
    <w:p w:rsidR="00000000" w:rsidRDefault="00485CCD">
      <w:pPr>
        <w:ind w:hanging="180"/>
        <w:jc w:val="both"/>
        <w:divId w:val="1365011632"/>
        <w:rPr>
          <w:rFonts w:eastAsia="Times New Roman"/>
        </w:rPr>
      </w:pPr>
    </w:p>
    <w:p w:rsidR="00000000" w:rsidRDefault="00485CCD">
      <w:pPr>
        <w:ind w:hanging="180"/>
        <w:jc w:val="both"/>
        <w:divId w:val="1214661514"/>
        <w:rPr>
          <w:rFonts w:eastAsia="Times New Roman"/>
        </w:rPr>
      </w:pPr>
      <w:r>
        <w:rPr>
          <w:rFonts w:ascii="Arial" w:eastAsia="Times New Roman" w:hAnsi="Arial" w:cs="Arial"/>
          <w:b/>
          <w:bCs/>
          <w:i/>
          <w:iCs/>
          <w:color w:val="0046AD"/>
          <w:sz w:val="20"/>
          <w:szCs w:val="20"/>
        </w:rPr>
        <w:t>Financial Information</w:t>
      </w:r>
    </w:p>
    <w:p w:rsidR="00000000" w:rsidRDefault="00485CCD">
      <w:pPr>
        <w:ind w:firstLine="720"/>
        <w:jc w:val="both"/>
        <w:divId w:val="609437828"/>
        <w:rPr>
          <w:rFonts w:eastAsia="Times New Roman"/>
        </w:rPr>
      </w:pPr>
      <w:r>
        <w:rPr>
          <w:rFonts w:ascii="Arial" w:eastAsia="Times New Roman" w:hAnsi="Arial" w:cs="Arial"/>
          <w:color w:val="000000"/>
          <w:sz w:val="20"/>
          <w:szCs w:val="20"/>
        </w:rPr>
        <w:t>The Consolidated Statements of Comprehensive Income (Loss) for the fiscal year ended October 31, 2021, includes $101.1 million of revenue and $4.4 million of net income attributable to the operations of Able since the acquisition date</w:t>
      </w:r>
      <w:r>
        <w:rPr>
          <w:rFonts w:ascii="Arial" w:eastAsia="Times New Roman" w:hAnsi="Arial" w:cs="Arial"/>
          <w:color w:val="000000"/>
          <w:sz w:val="20"/>
          <w:szCs w:val="20"/>
        </w:rPr>
        <w:t xml:space="preserve">. The operations of Able are included in our B&amp;I segment. </w:t>
      </w:r>
    </w:p>
    <w:p w:rsidR="00000000" w:rsidRDefault="00485CCD">
      <w:pPr>
        <w:ind w:firstLine="720"/>
        <w:jc w:val="both"/>
        <w:divId w:val="232351394"/>
        <w:rPr>
          <w:rFonts w:eastAsia="Times New Roman"/>
        </w:rPr>
      </w:pPr>
      <w:r>
        <w:rPr>
          <w:rFonts w:ascii="Arial" w:eastAsia="Times New Roman" w:hAnsi="Arial" w:cs="Arial"/>
          <w:color w:val="000000"/>
          <w:sz w:val="20"/>
          <w:szCs w:val="20"/>
        </w:rPr>
        <w:t>The following table presents our unaudited pro forma results for 2021 and 2020 as though the Able Acquisition occurred on November 1, 2019. These results include adjustments for the estimated amort</w:t>
      </w:r>
      <w:r>
        <w:rPr>
          <w:rFonts w:ascii="Arial" w:eastAsia="Times New Roman" w:hAnsi="Arial" w:cs="Arial"/>
          <w:color w:val="000000"/>
          <w:sz w:val="20"/>
          <w:szCs w:val="20"/>
        </w:rPr>
        <w:t>ization of intangible assets, interest expense, and the income tax impact of the pro forma adjustments at the statutory rate of 28%. These unaudited pro forma results do not reflect the cost of integration activities or benefits from expected revenue enhan</w:t>
      </w:r>
      <w:r>
        <w:rPr>
          <w:rFonts w:ascii="Arial" w:eastAsia="Times New Roman" w:hAnsi="Arial" w:cs="Arial"/>
          <w:color w:val="000000"/>
          <w:sz w:val="20"/>
          <w:szCs w:val="20"/>
        </w:rPr>
        <w:t>cements and synergies.</w:t>
      </w:r>
    </w:p>
    <w:p w:rsidR="00000000" w:rsidRDefault="00485CCD">
      <w:pPr>
        <w:jc w:val="center"/>
        <w:divId w:val="1938251304"/>
        <w:rPr>
          <w:rFonts w:eastAsia="Times New Roman"/>
        </w:rPr>
      </w:pPr>
      <w:r>
        <w:rPr>
          <w:rFonts w:ascii="Arial" w:eastAsia="Times New Roman" w:hAnsi="Arial" w:cs="Arial"/>
          <w:color w:val="000000"/>
          <w:sz w:val="20"/>
          <w:szCs w:val="20"/>
        </w:rPr>
        <w:t>68</w:t>
      </w:r>
    </w:p>
    <w:p w:rsidR="00000000" w:rsidRDefault="00485CCD">
      <w:pPr>
        <w:rPr>
          <w:rFonts w:eastAsia="Times New Roman"/>
        </w:rPr>
      </w:pPr>
      <w:r>
        <w:rPr>
          <w:rFonts w:eastAsia="Times New Roman"/>
        </w:rPr>
        <w:pict>
          <v:rect id="_x0000_i1105" style="width:0;height:1.5pt" o:hralign="center" o:hrstd="t" o:hr="t" fillcolor="#a0a0a0" stroked="f"/>
        </w:pict>
      </w:r>
    </w:p>
    <w:p w:rsidR="00000000" w:rsidRDefault="00485CCD">
      <w:pPr>
        <w:divId w:val="3950081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326"/>
        <w:gridCol w:w="38"/>
        <w:gridCol w:w="132"/>
        <w:gridCol w:w="1283"/>
        <w:gridCol w:w="36"/>
        <w:gridCol w:w="132"/>
        <w:gridCol w:w="1284"/>
        <w:gridCol w:w="36"/>
      </w:tblGrid>
      <w:tr w:rsidR="00000000">
        <w:trPr>
          <w:divId w:val="734396942"/>
        </w:trPr>
        <w:tc>
          <w:tcPr>
            <w:tcW w:w="50" w:type="pct"/>
            <w:vAlign w:val="center"/>
            <w:hideMark/>
          </w:tcPr>
          <w:p w:rsidR="00000000" w:rsidRDefault="00485CCD">
            <w:pPr>
              <w:rPr>
                <w:rFonts w:eastAsia="Times New Roman"/>
              </w:rPr>
            </w:pPr>
          </w:p>
        </w:tc>
        <w:tc>
          <w:tcPr>
            <w:tcW w:w="32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34396942"/>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73439694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73439694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Pro forma revenue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7,223.2 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7,078.2 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34396942"/>
        </w:trPr>
        <w:tc>
          <w:tcPr>
            <w:tcW w:w="0" w:type="auto"/>
            <w:gridSpan w:val="3"/>
            <w:tcMar>
              <w:top w:w="30" w:type="dxa"/>
              <w:left w:w="20" w:type="dxa"/>
              <w:bottom w:w="30" w:type="dxa"/>
              <w:right w:w="20" w:type="dxa"/>
            </w:tcMar>
            <w:hideMark/>
          </w:tcPr>
          <w:p w:rsidR="00000000" w:rsidRDefault="00485CCD">
            <w:pPr>
              <w:divId w:val="1570339863"/>
              <w:rPr>
                <w:rFonts w:eastAsia="Times New Roman"/>
              </w:rPr>
            </w:pPr>
            <w:r>
              <w:rPr>
                <w:rFonts w:ascii="Arial" w:eastAsia="Times New Roman" w:hAnsi="Arial" w:cs="Arial"/>
                <w:color w:val="000000"/>
                <w:sz w:val="20"/>
                <w:szCs w:val="20"/>
              </w:rPr>
              <w:t>Pro forma income (loss) from continuing operation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139.1 </w:t>
            </w:r>
          </w:p>
        </w:tc>
        <w:tc>
          <w:tcPr>
            <w:tcW w:w="0" w:type="auto"/>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(7.9)</w:t>
            </w:r>
          </w:p>
        </w:tc>
        <w:tc>
          <w:tcPr>
            <w:tcW w:w="0" w:type="auto"/>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408066909"/>
        <w:rPr>
          <w:rFonts w:eastAsia="Times New Roman"/>
        </w:rPr>
      </w:pPr>
      <w:r>
        <w:rPr>
          <w:rFonts w:ascii="Arial" w:eastAsia="Times New Roman" w:hAnsi="Arial" w:cs="Arial"/>
          <w:color w:val="000000"/>
          <w:sz w:val="13"/>
          <w:szCs w:val="13"/>
        </w:rPr>
        <w:t>(</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These results were adjusted to exclude $17.3 </w:t>
      </w:r>
      <w:r>
        <w:rPr>
          <w:rFonts w:ascii="Arial" w:eastAsia="Times New Roman" w:hAnsi="Arial" w:cs="Arial"/>
          <w:color w:val="000000"/>
          <w:sz w:val="18"/>
          <w:szCs w:val="18"/>
        </w:rPr>
        <w:t>million of acquisition-related costs incurred during 2021, which are included in selling, general and administrative expenses in the accompanying Consolidated Statements of Comprehensive Income (Loss).</w:t>
      </w:r>
    </w:p>
    <w:p w:rsidR="00000000" w:rsidRDefault="00485CCD">
      <w:pPr>
        <w:ind w:firstLine="720"/>
        <w:jc w:val="both"/>
        <w:divId w:val="1011640207"/>
        <w:rPr>
          <w:rFonts w:eastAsia="Times New Roman"/>
        </w:rPr>
      </w:pPr>
    </w:p>
    <w:p w:rsidR="00000000" w:rsidRDefault="00485CCD">
      <w:pPr>
        <w:divId w:val="53044736"/>
        <w:rPr>
          <w:rFonts w:eastAsia="Times New Roman"/>
        </w:rPr>
      </w:pPr>
      <w:r>
        <w:rPr>
          <w:rFonts w:ascii="Arial" w:eastAsia="Times New Roman" w:hAnsi="Arial" w:cs="Arial"/>
          <w:b/>
          <w:bCs/>
          <w:color w:val="0046AD"/>
          <w:sz w:val="20"/>
          <w:szCs w:val="20"/>
        </w:rPr>
        <w:t>5. LEASES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986399304"/>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8639930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1326933873"/>
        <w:rPr>
          <w:rFonts w:eastAsia="Times New Roman"/>
        </w:rPr>
      </w:pPr>
      <w:r>
        <w:rPr>
          <w:rFonts w:ascii="Arial" w:eastAsia="Times New Roman" w:hAnsi="Arial" w:cs="Arial"/>
          <w:color w:val="000000"/>
          <w:sz w:val="20"/>
          <w:szCs w:val="20"/>
        </w:rPr>
        <w:t>The components of lease assets and liabilities and their classification on our Consolidated Balance Sheets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56"/>
        <w:gridCol w:w="1903"/>
        <w:gridCol w:w="40"/>
        <w:gridCol w:w="36"/>
        <w:gridCol w:w="36"/>
        <w:gridCol w:w="36"/>
        <w:gridCol w:w="42"/>
        <w:gridCol w:w="2540"/>
        <w:gridCol w:w="36"/>
        <w:gridCol w:w="36"/>
        <w:gridCol w:w="36"/>
        <w:gridCol w:w="36"/>
        <w:gridCol w:w="133"/>
        <w:gridCol w:w="1519"/>
        <w:gridCol w:w="36"/>
        <w:gridCol w:w="36"/>
        <w:gridCol w:w="36"/>
        <w:gridCol w:w="36"/>
        <w:gridCol w:w="133"/>
        <w:gridCol w:w="1508"/>
        <w:gridCol w:w="36"/>
      </w:tblGrid>
      <w:tr w:rsidR="00000000">
        <w:trPr>
          <w:divId w:val="986586800"/>
        </w:trPr>
        <w:tc>
          <w:tcPr>
            <w:tcW w:w="50" w:type="pct"/>
            <w:vAlign w:val="center"/>
            <w:hideMark/>
          </w:tcPr>
          <w:p w:rsidR="00000000" w:rsidRDefault="00485CCD">
            <w:pPr>
              <w:ind w:firstLine="720"/>
              <w:jc w:val="both"/>
              <w:rPr>
                <w:rFonts w:eastAsia="Times New Roman"/>
              </w:rPr>
            </w:pPr>
          </w:p>
        </w:tc>
        <w:tc>
          <w:tcPr>
            <w:tcW w:w="118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57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86586800"/>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Classification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2020</w:t>
            </w:r>
          </w:p>
        </w:tc>
      </w:tr>
      <w:tr w:rsidR="00000000">
        <w:trPr>
          <w:divId w:val="986586800"/>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Lease assets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86586800"/>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Right-of-use assets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143.1 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60072698"/>
              <w:rPr>
                <w:rFonts w:eastAsia="Times New Roman"/>
              </w:rPr>
            </w:pPr>
            <w:r>
              <w:rPr>
                <w:rFonts w:ascii="Arial" w:eastAsia="Times New Roman" w:hAnsi="Arial" w:cs="Arial"/>
                <w:color w:val="000000"/>
                <w:sz w:val="20"/>
                <w:szCs w:val="20"/>
              </w:rPr>
              <w:t>Property, plant and equipment, ne</w:t>
            </w:r>
            <w:r>
              <w:rPr>
                <w:rFonts w:ascii="Arial" w:eastAsia="Times New Roman" w:hAnsi="Arial" w:cs="Arial"/>
                <w:color w:val="000000"/>
                <w:sz w:val="20"/>
                <w:szCs w:val="20"/>
              </w:rPr>
              <w:t>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FFFFFF"/>
            <w:tcMar>
              <w:top w:w="30" w:type="dxa"/>
              <w:left w:w="50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lease assets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Height w:val="300"/>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86586800"/>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86586800"/>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86586800"/>
        </w:trPr>
        <w:tc>
          <w:tcPr>
            <w:tcW w:w="0" w:type="auto"/>
            <w:gridSpan w:val="3"/>
            <w:shd w:val="clear" w:color="auto" w:fill="FFFFF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portion of lease liabilities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DCE2E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986586800"/>
        </w:trPr>
        <w:tc>
          <w:tcPr>
            <w:tcW w:w="0" w:type="auto"/>
            <w:gridSpan w:val="3"/>
            <w:shd w:val="clear" w:color="auto" w:fill="DCE2E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Long-term lease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116.6 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131.4 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FFFFF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86586800"/>
        </w:trPr>
        <w:tc>
          <w:tcPr>
            <w:tcW w:w="0" w:type="auto"/>
            <w:gridSpan w:val="3"/>
            <w:shd w:val="clear" w:color="auto" w:fill="DCE2EF"/>
            <w:tcMar>
              <w:top w:w="30" w:type="dxa"/>
              <w:left w:w="50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lease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150.8 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171.4 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67294771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Finance lease assets are recorded net of accumulated amortization of $16.3 million and $13.6 million as of October 31, 2021 and October 31, 2020, respectively. </w:t>
      </w:r>
    </w:p>
    <w:p w:rsidR="00000000" w:rsidRDefault="00485CCD">
      <w:pPr>
        <w:ind w:firstLine="720"/>
        <w:jc w:val="both"/>
        <w:divId w:val="1691301698"/>
        <w:rPr>
          <w:rFonts w:eastAsia="Times New Roman"/>
        </w:rPr>
      </w:pPr>
      <w:r>
        <w:rPr>
          <w:rFonts w:ascii="Arial" w:eastAsia="Times New Roman" w:hAnsi="Arial" w:cs="Arial"/>
          <w:color w:val="000000"/>
          <w:sz w:val="20"/>
          <w:szCs w:val="20"/>
        </w:rPr>
        <w:t>The components of lease costs and classification within the Consolidated Statements of Comprehensive Income (Loss)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468"/>
        <w:gridCol w:w="38"/>
        <w:gridCol w:w="36"/>
        <w:gridCol w:w="36"/>
        <w:gridCol w:w="36"/>
        <w:gridCol w:w="133"/>
        <w:gridCol w:w="1603"/>
        <w:gridCol w:w="36"/>
        <w:gridCol w:w="36"/>
        <w:gridCol w:w="36"/>
        <w:gridCol w:w="36"/>
        <w:gridCol w:w="133"/>
        <w:gridCol w:w="1603"/>
        <w:gridCol w:w="36"/>
      </w:tblGrid>
      <w:tr w:rsidR="00000000">
        <w:trPr>
          <w:divId w:val="429009048"/>
        </w:trPr>
        <w:tc>
          <w:tcPr>
            <w:tcW w:w="50" w:type="pct"/>
            <w:vAlign w:val="center"/>
            <w:hideMark/>
          </w:tcPr>
          <w:p w:rsidR="00000000" w:rsidRDefault="00485CCD">
            <w:pPr>
              <w:ind w:firstLine="720"/>
              <w:jc w:val="both"/>
              <w:rPr>
                <w:rFonts w:eastAsia="Times New Roman"/>
              </w:rPr>
            </w:pPr>
          </w:p>
        </w:tc>
        <w:tc>
          <w:tcPr>
            <w:tcW w:w="27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29009048"/>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w:t>
            </w:r>
            <w:r>
              <w:rPr>
                <w:rFonts w:ascii="Arial" w:eastAsia="Times New Roman" w:hAnsi="Arial" w:cs="Arial"/>
                <w:b/>
                <w:bCs/>
                <w:color w:val="000000"/>
                <w:sz w:val="20"/>
                <w:szCs w:val="20"/>
              </w:rPr>
              <w:br/>
              <w:t>October 31, 2020</w:t>
            </w:r>
          </w:p>
        </w:tc>
      </w:tr>
      <w:tr w:rsidR="00000000">
        <w:trPr>
          <w:divId w:val="429009048"/>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 costs: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29009048"/>
        </w:trPr>
        <w:tc>
          <w:tcPr>
            <w:tcW w:w="0" w:type="auto"/>
            <w:gridSpan w:val="3"/>
            <w:shd w:val="clear" w:color="auto" w:fill="FFFFFF"/>
            <w:tcMar>
              <w:top w:w="30" w:type="dxa"/>
              <w:left w:w="20" w:type="dxa"/>
              <w:bottom w:w="30" w:type="dxa"/>
              <w:right w:w="20" w:type="dxa"/>
            </w:tcMar>
            <w:vAlign w:val="bottom"/>
            <w:hideMark/>
          </w:tcPr>
          <w:p w:rsidR="00000000" w:rsidRDefault="00485CCD">
            <w:pPr>
              <w:divId w:val="1875076173"/>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29009048"/>
        </w:trPr>
        <w:tc>
          <w:tcPr>
            <w:tcW w:w="0" w:type="auto"/>
            <w:gridSpan w:val="3"/>
            <w:shd w:val="clear" w:color="auto" w:fill="DCE2EF"/>
            <w:tcMar>
              <w:top w:w="30" w:type="dxa"/>
              <w:left w:w="20" w:type="dxa"/>
              <w:bottom w:w="30" w:type="dxa"/>
              <w:right w:w="20" w:type="dxa"/>
            </w:tcMar>
            <w:vAlign w:val="bottom"/>
            <w:hideMark/>
          </w:tcPr>
          <w:p w:rsidR="00000000" w:rsidRDefault="00485CCD">
            <w:pPr>
              <w:divId w:val="295189202"/>
              <w:rPr>
                <w:rFonts w:eastAsia="Times New Roman"/>
              </w:rPr>
            </w:pP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29009048"/>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429009048"/>
        </w:trPr>
        <w:tc>
          <w:tcPr>
            <w:tcW w:w="0" w:type="auto"/>
            <w:gridSpan w:val="3"/>
            <w:shd w:val="clear" w:color="auto" w:fill="DCE2EF"/>
            <w:tcMar>
              <w:top w:w="30" w:type="dxa"/>
              <w:left w:w="20" w:type="dxa"/>
              <w:bottom w:w="30" w:type="dxa"/>
              <w:right w:w="20" w:type="dxa"/>
            </w:tcMar>
            <w:vAlign w:val="bottom"/>
            <w:hideMark/>
          </w:tcPr>
          <w:p w:rsidR="00000000" w:rsidRDefault="00485CCD">
            <w:pPr>
              <w:divId w:val="396703975"/>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29009048"/>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429009048"/>
        </w:trPr>
        <w:tc>
          <w:tcPr>
            <w:tcW w:w="0" w:type="auto"/>
            <w:gridSpan w:val="3"/>
            <w:shd w:val="clear" w:color="auto" w:fill="FFFFFF"/>
            <w:tcMar>
              <w:top w:w="30" w:type="dxa"/>
              <w:left w:w="20" w:type="dxa"/>
              <w:bottom w:w="30" w:type="dxa"/>
              <w:right w:w="20" w:type="dxa"/>
            </w:tcMar>
            <w:vAlign w:val="bottom"/>
            <w:hideMark/>
          </w:tcPr>
          <w:p w:rsidR="00000000" w:rsidRDefault="00485CCD">
            <w:pPr>
              <w:divId w:val="156967716"/>
              <w:rPr>
                <w:rFonts w:eastAsia="Times New Roman"/>
              </w:rPr>
            </w:pPr>
            <w:r>
              <w:rPr>
                <w:rFonts w:ascii="Arial" w:eastAsia="Times New Roman" w:hAnsi="Arial" w:cs="Arial"/>
                <w:color w:val="000000"/>
                <w:sz w:val="20"/>
                <w:szCs w:val="20"/>
              </w:rPr>
              <w:t>Interest expens</w:t>
            </w:r>
            <w:r>
              <w:rPr>
                <w:rFonts w:ascii="Arial" w:eastAsia="Times New Roman" w:hAnsi="Arial" w:cs="Arial"/>
                <w:color w:val="000000"/>
                <w:sz w:val="20"/>
                <w:szCs w:val="20"/>
              </w:rPr>
              <w:t>e</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429009048"/>
        </w:trPr>
        <w:tc>
          <w:tcPr>
            <w:tcW w:w="0" w:type="auto"/>
            <w:gridSpan w:val="3"/>
            <w:shd w:val="clear" w:color="auto" w:fill="DCE2EF"/>
            <w:tcMar>
              <w:top w:w="30" w:type="dxa"/>
              <w:left w:w="50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lease costs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80.2 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100.4 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91931891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Related to certain parking arrangements.</w:t>
      </w:r>
    </w:p>
    <w:p w:rsidR="00000000" w:rsidRDefault="00485CCD">
      <w:pPr>
        <w:ind w:hanging="180"/>
        <w:jc w:val="both"/>
        <w:divId w:val="115325694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Includes short-term lease costs and variable lease costs. </w:t>
      </w:r>
    </w:p>
    <w:p w:rsidR="00000000" w:rsidRDefault="00485CCD">
      <w:pPr>
        <w:ind w:hanging="180"/>
        <w:jc w:val="both"/>
        <w:divId w:val="228657524"/>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w:t>
      </w:r>
    </w:p>
    <w:p w:rsidR="00000000" w:rsidRDefault="00485CCD">
      <w:pPr>
        <w:ind w:hanging="180"/>
        <w:jc w:val="both"/>
        <w:divId w:val="72590814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amortization of leased assets.</w:t>
      </w:r>
    </w:p>
    <w:p w:rsidR="00000000" w:rsidRDefault="00485CCD">
      <w:pPr>
        <w:ind w:hanging="180"/>
        <w:jc w:val="both"/>
        <w:divId w:val="1380058146"/>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Interest on lease liabilities.</w:t>
      </w:r>
    </w:p>
    <w:p w:rsidR="00000000" w:rsidRDefault="00485CCD">
      <w:pPr>
        <w:jc w:val="center"/>
        <w:divId w:val="475419533"/>
        <w:rPr>
          <w:rFonts w:eastAsia="Times New Roman"/>
        </w:rPr>
      </w:pPr>
      <w:r>
        <w:rPr>
          <w:rFonts w:ascii="Arial" w:eastAsia="Times New Roman" w:hAnsi="Arial" w:cs="Arial"/>
          <w:color w:val="000000"/>
          <w:sz w:val="20"/>
          <w:szCs w:val="20"/>
        </w:rPr>
        <w:t>69</w:t>
      </w:r>
    </w:p>
    <w:p w:rsidR="00000000" w:rsidRDefault="00485CCD">
      <w:pPr>
        <w:rPr>
          <w:rFonts w:eastAsia="Times New Roman"/>
        </w:rPr>
      </w:pPr>
      <w:r>
        <w:rPr>
          <w:rFonts w:eastAsia="Times New Roman"/>
        </w:rPr>
        <w:pict>
          <v:rect id="_x0000_i1106" style="width:0;height:1.5pt" o:hralign="center" o:hrstd="t" o:hr="t" fillcolor="#a0a0a0" stroked="f"/>
        </w:pict>
      </w:r>
    </w:p>
    <w:p w:rsidR="00000000" w:rsidRDefault="00485CCD">
      <w:pPr>
        <w:divId w:val="1761750115"/>
        <w:rPr>
          <w:rFonts w:eastAsia="Times New Roman"/>
        </w:rPr>
      </w:pPr>
    </w:p>
    <w:p w:rsidR="00000000" w:rsidRDefault="00485CCD">
      <w:pPr>
        <w:ind w:firstLine="720"/>
        <w:jc w:val="both"/>
        <w:divId w:val="502550870"/>
        <w:rPr>
          <w:rFonts w:eastAsia="Times New Roman"/>
        </w:rPr>
      </w:pPr>
      <w:r>
        <w:rPr>
          <w:rFonts w:ascii="Arial" w:eastAsia="Times New Roman" w:hAnsi="Arial" w:cs="Arial"/>
          <w:color w:val="000000"/>
          <w:sz w:val="20"/>
          <w:szCs w:val="20"/>
        </w:rPr>
        <w:t>The following table presents information on short-term and variable lease costs: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62"/>
        <w:gridCol w:w="37"/>
        <w:gridCol w:w="36"/>
        <w:gridCol w:w="36"/>
        <w:gridCol w:w="36"/>
        <w:gridCol w:w="133"/>
        <w:gridCol w:w="1581"/>
        <w:gridCol w:w="36"/>
        <w:gridCol w:w="36"/>
        <w:gridCol w:w="36"/>
        <w:gridCol w:w="36"/>
        <w:gridCol w:w="133"/>
        <w:gridCol w:w="1634"/>
        <w:gridCol w:w="36"/>
      </w:tblGrid>
      <w:tr w:rsidR="00000000">
        <w:trPr>
          <w:divId w:val="1690566976"/>
        </w:trPr>
        <w:tc>
          <w:tcPr>
            <w:tcW w:w="50" w:type="pct"/>
            <w:vAlign w:val="center"/>
            <w:hideMark/>
          </w:tcPr>
          <w:p w:rsidR="00000000" w:rsidRDefault="00485CCD">
            <w:pPr>
              <w:ind w:firstLine="720"/>
              <w:jc w:val="both"/>
              <w:rPr>
                <w:rFonts w:eastAsia="Times New Roman"/>
              </w:rPr>
            </w:pPr>
          </w:p>
        </w:tc>
        <w:tc>
          <w:tcPr>
            <w:tcW w:w="27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90566976"/>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trPr>
          <w:divId w:val="169056697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Short-term lease costs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90566976"/>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Variable lease costs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9056697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short-term and variable lease costs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38.5 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50.5 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jc w:val="both"/>
        <w:divId w:val="126582301"/>
        <w:rPr>
          <w:rFonts w:eastAsia="Times New Roman"/>
        </w:rPr>
      </w:pPr>
      <w:r>
        <w:rPr>
          <w:rFonts w:ascii="Arial" w:eastAsia="Times New Roman" w:hAnsi="Arial" w:cs="Arial"/>
          <w:color w:val="000000"/>
          <w:sz w:val="20"/>
          <w:szCs w:val="20"/>
        </w:rPr>
        <w:t>Sublease income generated during the year ended October 31, 2021, was immaterial. We continue to monitor the impact of the Pandemic on our subleases; however, we do not expect a significant impact.</w:t>
      </w:r>
    </w:p>
    <w:p w:rsidR="00000000" w:rsidRDefault="00485CCD">
      <w:pPr>
        <w:ind w:firstLine="720"/>
        <w:jc w:val="both"/>
        <w:divId w:val="1547909193"/>
        <w:rPr>
          <w:rFonts w:eastAsia="Times New Roman"/>
        </w:rPr>
      </w:pPr>
      <w:r>
        <w:rPr>
          <w:rFonts w:ascii="Arial" w:eastAsia="Times New Roman" w:hAnsi="Arial" w:cs="Arial"/>
          <w:color w:val="000000"/>
          <w:sz w:val="20"/>
          <w:szCs w:val="20"/>
        </w:rPr>
        <w:t>The amounts of future undiscounted cash flows related to the lease payments over the lease terms and the reconciliation to the present value of the lease liabilities as recorded on our Consolidated Balance Sheets as of October 31,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583"/>
        <w:gridCol w:w="37"/>
        <w:gridCol w:w="36"/>
        <w:gridCol w:w="36"/>
        <w:gridCol w:w="36"/>
        <w:gridCol w:w="133"/>
        <w:gridCol w:w="1606"/>
        <w:gridCol w:w="36"/>
        <w:gridCol w:w="36"/>
        <w:gridCol w:w="36"/>
        <w:gridCol w:w="36"/>
        <w:gridCol w:w="133"/>
        <w:gridCol w:w="1606"/>
        <w:gridCol w:w="36"/>
        <w:gridCol w:w="36"/>
        <w:gridCol w:w="36"/>
        <w:gridCol w:w="36"/>
        <w:gridCol w:w="132"/>
        <w:gridCol w:w="1606"/>
        <w:gridCol w:w="36"/>
      </w:tblGrid>
      <w:tr w:rsidR="00000000">
        <w:trPr>
          <w:divId w:val="1675451529"/>
        </w:trPr>
        <w:tc>
          <w:tcPr>
            <w:tcW w:w="50" w:type="pct"/>
            <w:vAlign w:val="center"/>
            <w:hideMark/>
          </w:tcPr>
          <w:p w:rsidR="00000000" w:rsidRDefault="00485CCD">
            <w:pPr>
              <w:ind w:firstLine="720"/>
              <w:jc w:val="both"/>
              <w:rPr>
                <w:rFonts w:eastAsia="Times New Roman"/>
              </w:rPr>
            </w:pPr>
          </w:p>
        </w:tc>
        <w:tc>
          <w:tcPr>
            <w:tcW w:w="163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0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7545152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 xml:space="preserve">Operating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 xml:space="preserve">Finance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Total</w:t>
            </w:r>
          </w:p>
        </w:tc>
      </w:tr>
      <w:tr w:rsidR="00000000">
        <w:trPr>
          <w:divId w:val="167545152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Fiscal 2022</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Fiscal 2023</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85CCD">
            <w:pPr>
              <w:jc w:val="right"/>
              <w:rPr>
                <w:rFonts w:eastAsia="Times New Roman"/>
              </w:rPr>
            </w:pPr>
            <w:r>
              <w:rPr>
                <w:rFonts w:ascii="Arial" w:eastAsia="Times New Roman" w:hAnsi="Arial" w:cs="Arial"/>
                <w:color w:val="000000"/>
                <w:sz w:val="20"/>
                <w:szCs w:val="20"/>
              </w:rPr>
              <w:t>32.1 </w:t>
            </w:r>
          </w:p>
        </w:tc>
        <w:tc>
          <w:tcPr>
            <w:tcW w:w="0" w:type="auto"/>
            <w:shd w:val="clear" w:color="auto" w:fill="FFFFFF"/>
            <w:tcMar>
              <w:top w:w="30" w:type="dxa"/>
              <w:left w:w="0" w:type="dxa"/>
              <w:bottom w:w="30" w:type="dxa"/>
              <w:right w:w="20" w:type="dxa"/>
            </w:tcMa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Fiscal 2024</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hideMark/>
          </w:tcPr>
          <w:p w:rsidR="00000000" w:rsidRDefault="00485CCD">
            <w:pPr>
              <w:jc w:val="right"/>
              <w:rPr>
                <w:rFonts w:eastAsia="Times New Roman"/>
              </w:rPr>
            </w:pPr>
            <w:r>
              <w:rPr>
                <w:rFonts w:ascii="Arial" w:eastAsia="Times New Roman" w:hAnsi="Arial" w:cs="Arial"/>
                <w:color w:val="000000"/>
                <w:sz w:val="20"/>
                <w:szCs w:val="20"/>
              </w:rPr>
              <w:t>27.2 </w:t>
            </w:r>
          </w:p>
        </w:tc>
        <w:tc>
          <w:tcPr>
            <w:tcW w:w="0" w:type="auto"/>
            <w:shd w:val="clear" w:color="auto" w:fill="DCE2EF"/>
            <w:tcMar>
              <w:top w:w="30" w:type="dxa"/>
              <w:left w:w="0" w:type="dxa"/>
              <w:bottom w:w="30" w:type="dxa"/>
              <w:right w:w="20" w:type="dxa"/>
            </w:tcMa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Fiscal 2026</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lease payments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67545152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Present value of lease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148.4 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150.8 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jc w:val="both"/>
        <w:divId w:val="304895971"/>
        <w:rPr>
          <w:rFonts w:eastAsia="Times New Roman"/>
        </w:rPr>
      </w:pPr>
      <w:r>
        <w:rPr>
          <w:rFonts w:ascii="Arial" w:eastAsia="Times New Roman" w:hAnsi="Arial" w:cs="Arial"/>
          <w:color w:val="000000"/>
          <w:sz w:val="20"/>
          <w:szCs w:val="20"/>
        </w:rPr>
        <w:t>Future sublease rental income was excluded for the periods shown above as the amounts are immaterial.</w:t>
      </w:r>
    </w:p>
    <w:p w:rsidR="00000000" w:rsidRDefault="00485CCD">
      <w:pPr>
        <w:ind w:firstLine="720"/>
        <w:jc w:val="both"/>
        <w:divId w:val="1303998230"/>
        <w:rPr>
          <w:rFonts w:eastAsia="Times New Roman"/>
        </w:rPr>
      </w:pPr>
      <w:r>
        <w:rPr>
          <w:rFonts w:ascii="Arial" w:eastAsia="Times New Roman" w:hAnsi="Arial" w:cs="Arial"/>
          <w:color w:val="000000"/>
          <w:sz w:val="20"/>
          <w:szCs w:val="20"/>
        </w:rPr>
        <w:t>We have entered into operating lease arrangements as of Octo</w:t>
      </w:r>
      <w:r>
        <w:rPr>
          <w:rFonts w:ascii="Arial" w:eastAsia="Times New Roman" w:hAnsi="Arial" w:cs="Arial"/>
          <w:color w:val="000000"/>
          <w:sz w:val="20"/>
          <w:szCs w:val="20"/>
        </w:rPr>
        <w:t>ber 31, 2021, that are effective for future periods. The total amount of ROU assets and lease liabilities related to these arrangements is immaterial.</w:t>
      </w:r>
    </w:p>
    <w:p w:rsidR="00000000" w:rsidRDefault="00485CCD">
      <w:pPr>
        <w:ind w:firstLine="720"/>
        <w:jc w:val="both"/>
        <w:divId w:val="1052265763"/>
        <w:rPr>
          <w:rFonts w:eastAsia="Times New Roman"/>
        </w:rPr>
      </w:pPr>
      <w:r>
        <w:rPr>
          <w:rFonts w:ascii="Arial" w:eastAsia="Times New Roman" w:hAnsi="Arial" w:cs="Arial"/>
          <w:color w:val="000000"/>
          <w:sz w:val="20"/>
          <w:szCs w:val="20"/>
        </w:rPr>
        <w:t>The following table includes the weighted-average remaining lease terms, in years, and the weighted-avera</w:t>
      </w:r>
      <w:r>
        <w:rPr>
          <w:rFonts w:ascii="Arial" w:eastAsia="Times New Roman" w:hAnsi="Arial" w:cs="Arial"/>
          <w:color w:val="000000"/>
          <w:sz w:val="20"/>
          <w:szCs w:val="20"/>
        </w:rPr>
        <w:t>ge discount rate used to calculate the present value of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086"/>
        <w:gridCol w:w="37"/>
        <w:gridCol w:w="36"/>
        <w:gridCol w:w="36"/>
        <w:gridCol w:w="36"/>
        <w:gridCol w:w="47"/>
        <w:gridCol w:w="1185"/>
        <w:gridCol w:w="198"/>
        <w:gridCol w:w="36"/>
        <w:gridCol w:w="36"/>
        <w:gridCol w:w="36"/>
        <w:gridCol w:w="47"/>
        <w:gridCol w:w="1254"/>
        <w:gridCol w:w="198"/>
      </w:tblGrid>
      <w:tr w:rsidR="00000000">
        <w:trPr>
          <w:divId w:val="332998605"/>
        </w:trPr>
        <w:tc>
          <w:tcPr>
            <w:tcW w:w="50" w:type="pct"/>
            <w:vAlign w:val="center"/>
            <w:hideMark/>
          </w:tcPr>
          <w:p w:rsidR="00000000" w:rsidRDefault="00485CCD">
            <w:pPr>
              <w:ind w:firstLine="720"/>
              <w:jc w:val="both"/>
              <w:rPr>
                <w:rFonts w:eastAsia="Times New Roman"/>
              </w:rPr>
            </w:pPr>
          </w:p>
        </w:tc>
        <w:tc>
          <w:tcPr>
            <w:tcW w:w="31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32998605"/>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trPr>
          <w:divId w:val="33299860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Weighted-average remaining lease term (years)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332998605"/>
        </w:trPr>
        <w:tc>
          <w:tcPr>
            <w:tcW w:w="0" w:type="auto"/>
            <w:gridSpan w:val="3"/>
            <w:shd w:val="clear" w:color="auto" w:fill="FFFFF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6.1</w:t>
            </w:r>
          </w:p>
        </w:tc>
      </w:tr>
      <w:tr w:rsidR="00000000">
        <w:trPr>
          <w:divId w:val="332998605"/>
        </w:trPr>
        <w:tc>
          <w:tcPr>
            <w:tcW w:w="0" w:type="auto"/>
            <w:gridSpan w:val="3"/>
            <w:shd w:val="clear" w:color="auto" w:fill="DCE2E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w:t>
            </w:r>
          </w:p>
        </w:tc>
      </w:tr>
      <w:tr w:rsidR="00000000">
        <w:trPr>
          <w:divId w:val="33299860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332998605"/>
        </w:trPr>
        <w:tc>
          <w:tcPr>
            <w:tcW w:w="0" w:type="auto"/>
            <w:gridSpan w:val="3"/>
            <w:shd w:val="clear" w:color="auto" w:fill="DCE2E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r>
      <w:tr w:rsidR="00000000">
        <w:trPr>
          <w:divId w:val="332998605"/>
        </w:trPr>
        <w:tc>
          <w:tcPr>
            <w:tcW w:w="0" w:type="auto"/>
            <w:gridSpan w:val="3"/>
            <w:shd w:val="clear" w:color="auto" w:fill="FFFFF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r>
    </w:tbl>
    <w:p w:rsidR="00000000" w:rsidRDefault="00485CCD">
      <w:pPr>
        <w:jc w:val="center"/>
        <w:divId w:val="1832060373"/>
        <w:rPr>
          <w:rFonts w:eastAsia="Times New Roman"/>
        </w:rPr>
      </w:pPr>
      <w:r>
        <w:rPr>
          <w:rFonts w:ascii="Arial" w:eastAsia="Times New Roman" w:hAnsi="Arial" w:cs="Arial"/>
          <w:color w:val="000000"/>
          <w:sz w:val="20"/>
          <w:szCs w:val="20"/>
        </w:rPr>
        <w:t>70</w:t>
      </w:r>
    </w:p>
    <w:p w:rsidR="00000000" w:rsidRDefault="00485CCD">
      <w:pPr>
        <w:rPr>
          <w:rFonts w:eastAsia="Times New Roman"/>
        </w:rPr>
      </w:pPr>
      <w:r>
        <w:rPr>
          <w:rFonts w:eastAsia="Times New Roman"/>
        </w:rPr>
        <w:pict>
          <v:rect id="_x0000_i1107" style="width:0;height:1.5pt" o:hralign="center" o:hrstd="t" o:hr="t" fillcolor="#a0a0a0" stroked="f"/>
        </w:pict>
      </w:r>
    </w:p>
    <w:p w:rsidR="00000000" w:rsidRDefault="00485CCD">
      <w:pPr>
        <w:divId w:val="2069985885"/>
        <w:rPr>
          <w:rFonts w:eastAsia="Times New Roman"/>
        </w:rPr>
      </w:pPr>
    </w:p>
    <w:p w:rsidR="00000000" w:rsidRDefault="00485CCD">
      <w:pPr>
        <w:ind w:firstLine="720"/>
        <w:jc w:val="both"/>
        <w:divId w:val="1958366140"/>
        <w:rPr>
          <w:rFonts w:eastAsia="Times New Roman"/>
        </w:rPr>
      </w:pPr>
      <w:r>
        <w:rPr>
          <w:rFonts w:ascii="Arial" w:eastAsia="Times New Roman" w:hAnsi="Arial" w:cs="Arial"/>
          <w:color w:val="000000"/>
          <w:sz w:val="20"/>
          <w:szCs w:val="20"/>
        </w:rPr>
        <w:t>The following table includes supplemental cash and non-cash information related to operating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051"/>
        <w:gridCol w:w="36"/>
        <w:gridCol w:w="36"/>
        <w:gridCol w:w="36"/>
        <w:gridCol w:w="36"/>
        <w:gridCol w:w="36"/>
        <w:gridCol w:w="36"/>
        <w:gridCol w:w="133"/>
        <w:gridCol w:w="1277"/>
        <w:gridCol w:w="36"/>
        <w:gridCol w:w="36"/>
        <w:gridCol w:w="36"/>
        <w:gridCol w:w="36"/>
        <w:gridCol w:w="133"/>
        <w:gridCol w:w="1278"/>
        <w:gridCol w:w="36"/>
      </w:tblGrid>
      <w:tr w:rsidR="00000000">
        <w:trPr>
          <w:divId w:val="2038700512"/>
        </w:trPr>
        <w:tc>
          <w:tcPr>
            <w:tcW w:w="50" w:type="pct"/>
            <w:vAlign w:val="center"/>
            <w:hideMark/>
          </w:tcPr>
          <w:p w:rsidR="00000000" w:rsidRDefault="00485CCD">
            <w:pPr>
              <w:ind w:firstLine="720"/>
              <w:jc w:val="both"/>
              <w:rPr>
                <w:rFonts w:eastAsia="Times New Roman"/>
              </w:rPr>
            </w:pPr>
          </w:p>
        </w:tc>
        <w:tc>
          <w:tcPr>
            <w:tcW w:w="31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3870051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r>
            <w:r>
              <w:rPr>
                <w:rFonts w:ascii="Arial" w:eastAsia="Times New Roman" w:hAnsi="Arial" w:cs="Arial"/>
                <w:b/>
                <w:bCs/>
                <w:color w:val="000000"/>
                <w:sz w:val="20"/>
                <w:szCs w:val="20"/>
              </w:rPr>
              <w:t>October 31, 2020</w:t>
            </w:r>
          </w:p>
        </w:tc>
      </w:tr>
      <w:tr w:rsidR="00000000">
        <w:trPr>
          <w:divId w:val="203870051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Cash paid for amounts included in the measurement of lease liabilities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038700512"/>
        </w:trPr>
        <w:tc>
          <w:tcPr>
            <w:tcW w:w="0" w:type="auto"/>
            <w:gridSpan w:val="3"/>
            <w:shd w:val="clear" w:color="auto" w:fill="FFFFF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38700512"/>
        </w:trPr>
        <w:tc>
          <w:tcPr>
            <w:tcW w:w="0" w:type="auto"/>
            <w:gridSpan w:val="3"/>
            <w:shd w:val="clear" w:color="auto" w:fill="DCE2EF"/>
            <w:tcMar>
              <w:top w:w="30" w:type="dxa"/>
              <w:left w:w="26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cash flows from finance leases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38700512"/>
        </w:trPr>
        <w:tc>
          <w:tcPr>
            <w:tcW w:w="0" w:type="auto"/>
            <w:gridSpan w:val="3"/>
            <w:shd w:val="clear" w:color="auto" w:fill="FFFFFF"/>
            <w:tcMar>
              <w:top w:w="30" w:type="dxa"/>
              <w:left w:w="26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38700512"/>
        </w:trPr>
        <w:tc>
          <w:tcPr>
            <w:tcW w:w="0" w:type="auto"/>
            <w:gridSpan w:val="3"/>
            <w:shd w:val="clear" w:color="auto" w:fill="DCE2EF"/>
            <w:tcMar>
              <w:top w:w="30" w:type="dxa"/>
              <w:left w:w="20" w:type="dxa"/>
              <w:bottom w:w="30" w:type="dxa"/>
              <w:right w:w="20" w:type="dxa"/>
            </w:tcMar>
            <w:vAlign w:val="bottom"/>
            <w:hideMark/>
          </w:tcPr>
          <w:p w:rsidR="00000000" w:rsidRDefault="00485CCD">
            <w:pPr>
              <w:ind w:hanging="180"/>
              <w:divId w:val="309021854"/>
              <w:rPr>
                <w:rFonts w:eastAsia="Times New Roman"/>
              </w:rPr>
            </w:pPr>
            <w:r>
              <w:rPr>
                <w:rFonts w:ascii="Arial" w:eastAsia="Times New Roman" w:hAnsi="Arial" w:cs="Arial"/>
                <w:color w:val="000000"/>
                <w:sz w:val="20"/>
                <w:szCs w:val="20"/>
              </w:rPr>
              <w:t>Lease assets obtained in exchange for new operating lease liabilitie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ind w:hanging="180"/>
              <w:rPr>
                <w:rFonts w:eastAsia="Times New Roman"/>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38700512"/>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hanging="180"/>
        <w:jc w:val="both"/>
        <w:divId w:val="100512914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Excludes the amount initially capitalized in 2020 in conjunction with the adoption of Topic 842. </w:t>
      </w:r>
    </w:p>
    <w:p w:rsidR="00000000" w:rsidRDefault="00485CCD">
      <w:pPr>
        <w:divId w:val="1303079360"/>
        <w:rPr>
          <w:rFonts w:eastAsia="Times New Roman"/>
        </w:rPr>
      </w:pPr>
    </w:p>
    <w:p w:rsidR="00000000" w:rsidRDefault="00485CCD">
      <w:pPr>
        <w:divId w:val="213201078"/>
        <w:rPr>
          <w:rFonts w:eastAsia="Times New Roman"/>
        </w:rPr>
      </w:pPr>
      <w:r>
        <w:rPr>
          <w:rFonts w:ascii="Arial" w:eastAsia="Times New Roman" w:hAnsi="Arial" w:cs="Arial"/>
          <w:b/>
          <w:bCs/>
          <w:color w:val="0046AD"/>
          <w:sz w:val="20"/>
          <w:szCs w:val="20"/>
        </w:rPr>
        <w:t>6. NET INCOME PER COMMON SHARE</w:t>
      </w:r>
      <w:r>
        <w:rPr>
          <w:rFonts w:ascii="Arial" w:eastAsia="Times New Roman" w:hAnsi="Arial" w:cs="Arial"/>
          <w:color w:val="0046AD"/>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088645100"/>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88645100"/>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926500110"/>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jc w:val="right"/>
        <w:tblCellMar>
          <w:top w:w="15" w:type="dxa"/>
          <w:left w:w="15" w:type="dxa"/>
          <w:bottom w:w="15" w:type="dxa"/>
          <w:right w:w="15" w:type="dxa"/>
        </w:tblCellMar>
        <w:tblLook w:val="04A0" w:firstRow="1" w:lastRow="0" w:firstColumn="1" w:lastColumn="0" w:noHBand="0" w:noVBand="1"/>
      </w:tblPr>
      <w:tblGrid>
        <w:gridCol w:w="41"/>
        <w:gridCol w:w="4132"/>
        <w:gridCol w:w="40"/>
        <w:gridCol w:w="132"/>
        <w:gridCol w:w="1155"/>
        <w:gridCol w:w="36"/>
        <w:gridCol w:w="36"/>
        <w:gridCol w:w="36"/>
        <w:gridCol w:w="36"/>
        <w:gridCol w:w="132"/>
        <w:gridCol w:w="1109"/>
        <w:gridCol w:w="36"/>
        <w:gridCol w:w="36"/>
        <w:gridCol w:w="36"/>
        <w:gridCol w:w="36"/>
        <w:gridCol w:w="132"/>
        <w:gridCol w:w="1109"/>
        <w:gridCol w:w="36"/>
      </w:tblGrid>
      <w:tr w:rsidR="00000000">
        <w:trPr>
          <w:divId w:val="125785418"/>
          <w:jc w:val="right"/>
        </w:trPr>
        <w:tc>
          <w:tcPr>
            <w:tcW w:w="50" w:type="pct"/>
            <w:vAlign w:val="center"/>
            <w:hideMark/>
          </w:tcPr>
          <w:p w:rsidR="00000000" w:rsidRDefault="00485CCD">
            <w:pPr>
              <w:jc w:val="both"/>
              <w:rPr>
                <w:rFonts w:eastAsia="Times New Roman"/>
              </w:rPr>
            </w:pPr>
          </w:p>
        </w:tc>
        <w:tc>
          <w:tcPr>
            <w:tcW w:w="252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25785418"/>
          <w:jc w:val="right"/>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25785418"/>
          <w:jc w:val="right"/>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25785418"/>
          <w:jc w:val="right"/>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(loss)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trHeight w:val="280"/>
          <w:jc w:val="right"/>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DCE2EF"/>
            <w:tcMar>
              <w:top w:w="30" w:type="dxa"/>
              <w:left w:w="8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RSUs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Performance shares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8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trHeight w:val="280"/>
          <w:jc w:val="right"/>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FFFFFF"/>
            <w:tcMar>
              <w:top w:w="30" w:type="dxa"/>
              <w:left w:w="20" w:type="dxa"/>
              <w:bottom w:w="30" w:type="dxa"/>
              <w:right w:w="20" w:type="dxa"/>
            </w:tcMar>
            <w:vAlign w:val="bottom"/>
            <w:hideMark/>
          </w:tcPr>
          <w:p w:rsidR="00000000" w:rsidRDefault="00485CCD">
            <w:pPr>
              <w:divId w:val="1475414775"/>
              <w:rPr>
                <w:rFonts w:eastAsia="Times New Roman"/>
              </w:rPr>
            </w:pPr>
            <w:r>
              <w:rPr>
                <w:rFonts w:ascii="Arial" w:eastAsia="Times New Roman" w:hAnsi="Arial" w:cs="Arial"/>
                <w:b/>
                <w:bCs/>
                <w:color w:val="000000"/>
                <w:sz w:val="20"/>
                <w:szCs w:val="20"/>
              </w:rPr>
              <w:t>Net income per common share — Basic</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trHeight w:val="280"/>
          <w:jc w:val="right"/>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DCE2EF"/>
            <w:tcMar>
              <w:top w:w="30" w:type="dxa"/>
              <w:left w:w="20" w:type="dxa"/>
              <w:bottom w:w="30" w:type="dxa"/>
              <w:right w:w="20" w:type="dxa"/>
            </w:tcMar>
            <w:vAlign w:val="bottom"/>
            <w:hideMark/>
          </w:tcPr>
          <w:p w:rsidR="00000000" w:rsidRDefault="00485CCD">
            <w:pPr>
              <w:divId w:val="1042167308"/>
              <w:rPr>
                <w:rFonts w:eastAsia="Times New Roman"/>
              </w:rPr>
            </w:pPr>
            <w:r>
              <w:rPr>
                <w:rFonts w:ascii="Arial" w:eastAsia="Times New Roman" w:hAnsi="Arial" w:cs="Arial"/>
                <w:b/>
                <w:bCs/>
                <w:color w:val="000000"/>
                <w:sz w:val="20"/>
                <w:szCs w:val="20"/>
              </w:rPr>
              <w:t>Net income per common share — Diluted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25785418"/>
          <w:jc w:val="right"/>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DCE2E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5785418"/>
          <w:jc w:val="right"/>
        </w:trPr>
        <w:tc>
          <w:tcPr>
            <w:tcW w:w="0" w:type="auto"/>
            <w:gridSpan w:val="3"/>
            <w:shd w:val="clear" w:color="auto" w:fill="FFFFFF"/>
            <w:tcMar>
              <w:top w:w="30" w:type="dxa"/>
              <w:left w:w="38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245309538"/>
        <w:rPr>
          <w:rFonts w:eastAsia="Times New Roman"/>
        </w:rPr>
      </w:pPr>
      <w:r>
        <w:rPr>
          <w:rFonts w:ascii="Arial" w:eastAsia="Times New Roman" w:hAnsi="Arial" w:cs="Arial"/>
          <w:b/>
          <w:bCs/>
          <w:color w:val="0046AD"/>
          <w:sz w:val="20"/>
          <w:szCs w:val="20"/>
        </w:rPr>
        <w:t>Anti-Dilutive Outstanding Stock Awards Issued Under Share-Based Compensation Plans</w:t>
      </w:r>
      <w:r>
        <w:rPr>
          <w:rFonts w:ascii="Arial" w:eastAsia="Times New Roman" w:hAnsi="Arial" w:cs="Arial"/>
          <w:b/>
          <w:bCs/>
          <w:i/>
          <w:iCs/>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173"/>
        <w:gridCol w:w="36"/>
        <w:gridCol w:w="60"/>
        <w:gridCol w:w="1185"/>
        <w:gridCol w:w="38"/>
        <w:gridCol w:w="37"/>
        <w:gridCol w:w="37"/>
        <w:gridCol w:w="37"/>
        <w:gridCol w:w="43"/>
        <w:gridCol w:w="1185"/>
        <w:gridCol w:w="38"/>
        <w:gridCol w:w="37"/>
        <w:gridCol w:w="36"/>
        <w:gridCol w:w="36"/>
        <w:gridCol w:w="45"/>
        <w:gridCol w:w="1186"/>
        <w:gridCol w:w="37"/>
      </w:tblGrid>
      <w:tr w:rsidR="00000000">
        <w:trPr>
          <w:divId w:val="392894678"/>
          <w:jc w:val="center"/>
        </w:trPr>
        <w:tc>
          <w:tcPr>
            <w:tcW w:w="50" w:type="pct"/>
            <w:vAlign w:val="center"/>
            <w:hideMark/>
          </w:tcPr>
          <w:p w:rsidR="00000000" w:rsidRDefault="00485CCD">
            <w:pPr>
              <w:rPr>
                <w:rFonts w:eastAsia="Times New Roman"/>
              </w:rPr>
            </w:pPr>
          </w:p>
        </w:tc>
        <w:tc>
          <w:tcPr>
            <w:tcW w:w="252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92894678"/>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392894678"/>
          <w:jc w:val="center"/>
        </w:trPr>
        <w:tc>
          <w:tcPr>
            <w:tcW w:w="0" w:type="auto"/>
            <w:gridSpan w:val="3"/>
            <w:tcMar>
              <w:top w:w="30" w:type="dxa"/>
              <w:left w:w="29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392894678"/>
          <w:jc w:val="center"/>
        </w:trPr>
        <w:tc>
          <w:tcPr>
            <w:tcW w:w="0" w:type="auto"/>
            <w:gridSpan w:val="3"/>
            <w:shd w:val="clear" w:color="auto" w:fill="DCE2EF"/>
            <w:tcMar>
              <w:top w:w="30" w:type="dxa"/>
              <w:left w:w="11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divId w:val="1234315954"/>
        <w:rPr>
          <w:rFonts w:eastAsia="Times New Roman"/>
        </w:rPr>
      </w:pPr>
    </w:p>
    <w:p w:rsidR="00000000" w:rsidRDefault="00485CCD">
      <w:pPr>
        <w:jc w:val="center"/>
        <w:divId w:val="373623759"/>
        <w:rPr>
          <w:rFonts w:eastAsia="Times New Roman"/>
        </w:rPr>
      </w:pPr>
      <w:r>
        <w:rPr>
          <w:rFonts w:ascii="Arial" w:eastAsia="Times New Roman" w:hAnsi="Arial" w:cs="Arial"/>
          <w:color w:val="000000"/>
          <w:sz w:val="20"/>
          <w:szCs w:val="20"/>
        </w:rPr>
        <w:t>71</w:t>
      </w:r>
    </w:p>
    <w:p w:rsidR="00000000" w:rsidRDefault="00485CCD">
      <w:pPr>
        <w:rPr>
          <w:rFonts w:eastAsia="Times New Roman"/>
        </w:rPr>
      </w:pPr>
      <w:r>
        <w:rPr>
          <w:rFonts w:eastAsia="Times New Roman"/>
        </w:rPr>
        <w:pict>
          <v:rect id="_x0000_i1108" style="width:0;height:1.5pt" o:hralign="center" o:hrstd="t" o:hr="t" fillcolor="#a0a0a0" stroked="f"/>
        </w:pict>
      </w:r>
    </w:p>
    <w:p w:rsidR="00000000" w:rsidRDefault="00485CCD">
      <w:pPr>
        <w:divId w:val="674307179"/>
        <w:rPr>
          <w:rFonts w:eastAsia="Times New Roman"/>
        </w:rPr>
      </w:pPr>
    </w:p>
    <w:p w:rsidR="00000000" w:rsidRDefault="00485CCD">
      <w:pPr>
        <w:divId w:val="1282879725"/>
        <w:rPr>
          <w:rFonts w:eastAsia="Times New Roman"/>
        </w:rPr>
      </w:pPr>
      <w:r>
        <w:rPr>
          <w:rFonts w:ascii="Arial" w:eastAsia="Times New Roman" w:hAnsi="Arial" w:cs="Arial"/>
          <w:b/>
          <w:bCs/>
          <w:color w:val="0046AD"/>
          <w:sz w:val="20"/>
          <w:szCs w:val="20"/>
        </w:rPr>
        <w:t>7. FAIR VALUE OF FINANCIAL INSTRUMENTS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6347134"/>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34713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457990278"/>
        <w:rPr>
          <w:rFonts w:eastAsia="Times New Roman"/>
        </w:rPr>
      </w:pPr>
      <w:r>
        <w:rPr>
          <w:rFonts w:ascii="Arial" w:eastAsia="Times New Roman" w:hAnsi="Arial" w:cs="Arial"/>
          <w:b/>
          <w:bCs/>
          <w:color w:val="0046AD"/>
          <w:sz w:val="20"/>
          <w:szCs w:val="20"/>
        </w:rPr>
        <w:t>Fair Value Hierarchy of Our Financial Instruments</w:t>
      </w:r>
    </w:p>
    <w:p w:rsidR="00000000" w:rsidRDefault="00485CCD">
      <w:pPr>
        <w:divId w:val="168839839"/>
        <w:rPr>
          <w:rFonts w:eastAsia="Times New Roman"/>
        </w:rPr>
      </w:pPr>
      <w:r>
        <w:rPr>
          <w:rFonts w:ascii="Arial" w:eastAsia="Times New Roman" w:hAnsi="Arial" w:cs="Arial"/>
          <w:b/>
          <w:bCs/>
          <w:i/>
          <w:iCs/>
          <w:color w:val="0046AD"/>
          <w:sz w:val="20"/>
          <w:szCs w:val="20"/>
        </w:rPr>
        <w:t>Financial Assets and Liabilities Measured at Fair Value on a Recurring Basis</w:t>
      </w:r>
    </w:p>
    <w:tbl>
      <w:tblPr>
        <w:tblW w:w="4992" w:type="pct"/>
        <w:tblCellMar>
          <w:top w:w="15" w:type="dxa"/>
          <w:left w:w="15" w:type="dxa"/>
          <w:bottom w:w="15" w:type="dxa"/>
          <w:right w:w="15" w:type="dxa"/>
        </w:tblCellMar>
        <w:tblLook w:val="04A0" w:firstRow="1" w:lastRow="0" w:firstColumn="1" w:lastColumn="0" w:noHBand="0" w:noVBand="1"/>
      </w:tblPr>
      <w:tblGrid>
        <w:gridCol w:w="43"/>
        <w:gridCol w:w="4874"/>
        <w:gridCol w:w="37"/>
        <w:gridCol w:w="76"/>
        <w:gridCol w:w="891"/>
        <w:gridCol w:w="36"/>
        <w:gridCol w:w="36"/>
        <w:gridCol w:w="36"/>
        <w:gridCol w:w="36"/>
        <w:gridCol w:w="132"/>
        <w:gridCol w:w="891"/>
        <w:gridCol w:w="36"/>
        <w:gridCol w:w="36"/>
        <w:gridCol w:w="36"/>
        <w:gridCol w:w="36"/>
        <w:gridCol w:w="132"/>
        <w:gridCol w:w="893"/>
        <w:gridCol w:w="36"/>
      </w:tblGrid>
      <w:tr w:rsidR="00000000">
        <w:trPr>
          <w:divId w:val="13653704"/>
        </w:trPr>
        <w:tc>
          <w:tcPr>
            <w:tcW w:w="50" w:type="pct"/>
            <w:vAlign w:val="center"/>
            <w:hideMark/>
          </w:tcPr>
          <w:p w:rsidR="00000000" w:rsidRDefault="00485CCD">
            <w:pPr>
              <w:rPr>
                <w:rFonts w:eastAsia="Times New Roman"/>
              </w:rPr>
            </w:pPr>
          </w:p>
        </w:tc>
        <w:tc>
          <w:tcPr>
            <w:tcW w:w="29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8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8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8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365370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13653704"/>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13653704"/>
        </w:trPr>
        <w:tc>
          <w:tcPr>
            <w:tcW w:w="0" w:type="auto"/>
            <w:gridSpan w:val="3"/>
            <w:shd w:val="clear" w:color="auto" w:fill="DCE2EF"/>
            <w:tcMar>
              <w:top w:w="30" w:type="dxa"/>
              <w:left w:w="20" w:type="dxa"/>
              <w:bottom w:w="30" w:type="dxa"/>
              <w:right w:w="20" w:type="dxa"/>
            </w:tcMar>
            <w:vAlign w:val="bottom"/>
            <w:hideMark/>
          </w:tcPr>
          <w:p w:rsidR="00000000" w:rsidRDefault="00485CCD">
            <w:pPr>
              <w:divId w:val="1271014044"/>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3653704"/>
        </w:trPr>
        <w:tc>
          <w:tcPr>
            <w:tcW w:w="0" w:type="auto"/>
            <w:gridSpan w:val="3"/>
            <w:shd w:val="clear" w:color="auto" w:fill="FFFFFF"/>
            <w:tcMar>
              <w:top w:w="30" w:type="dxa"/>
              <w:left w:w="20" w:type="dxa"/>
              <w:bottom w:w="30" w:type="dxa"/>
              <w:right w:w="20" w:type="dxa"/>
            </w:tcMar>
            <w:vAlign w:val="bottom"/>
            <w:hideMark/>
          </w:tcPr>
          <w:p w:rsidR="00000000" w:rsidRDefault="00485CCD">
            <w:pPr>
              <w:divId w:val="1433428064"/>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3653704"/>
        </w:trPr>
        <w:tc>
          <w:tcPr>
            <w:tcW w:w="0" w:type="auto"/>
            <w:gridSpan w:val="3"/>
            <w:shd w:val="clear" w:color="auto" w:fill="DCE2EF"/>
            <w:tcMar>
              <w:top w:w="30" w:type="dxa"/>
              <w:left w:w="20" w:type="dxa"/>
              <w:bottom w:w="30" w:type="dxa"/>
              <w:right w:w="20" w:type="dxa"/>
            </w:tcMar>
            <w:vAlign w:val="bottom"/>
            <w:hideMark/>
          </w:tcPr>
          <w:p w:rsidR="00000000" w:rsidRDefault="00485CCD">
            <w:pPr>
              <w:divId w:val="1892424299"/>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3653704"/>
        </w:trPr>
        <w:tc>
          <w:tcPr>
            <w:tcW w:w="0" w:type="auto"/>
            <w:gridSpan w:val="3"/>
            <w:shd w:val="clear" w:color="auto" w:fill="FFFFFF"/>
            <w:tcMar>
              <w:top w:w="30" w:type="dxa"/>
              <w:left w:w="20" w:type="dxa"/>
              <w:bottom w:w="30" w:type="dxa"/>
              <w:right w:w="20" w:type="dxa"/>
            </w:tcMar>
            <w:vAlign w:val="bottom"/>
            <w:hideMark/>
          </w:tcPr>
          <w:p w:rsidR="00000000" w:rsidRDefault="00485CCD">
            <w:pPr>
              <w:divId w:val="12848559"/>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888.8 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725.3 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3653704"/>
        </w:trPr>
        <w:tc>
          <w:tcPr>
            <w:tcW w:w="0" w:type="auto"/>
            <w:gridSpan w:val="3"/>
            <w:shd w:val="clear" w:color="auto" w:fill="DCE2EF"/>
            <w:tcMar>
              <w:top w:w="30" w:type="dxa"/>
              <w:left w:w="20" w:type="dxa"/>
              <w:bottom w:w="30" w:type="dxa"/>
              <w:right w:w="20" w:type="dxa"/>
            </w:tcMar>
            <w:vAlign w:val="bottom"/>
            <w:hideMark/>
          </w:tcPr>
          <w:p w:rsidR="00000000" w:rsidRDefault="00485CCD">
            <w:pPr>
              <w:divId w:val="1880118774"/>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3653704"/>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hanging="180"/>
        <w:jc w:val="both"/>
        <w:divId w:val="162858853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Cash and cash equivalents are stated at nominal value, which equals fair value.</w:t>
      </w:r>
    </w:p>
    <w:p w:rsidR="00000000" w:rsidRDefault="00485CCD">
      <w:pPr>
        <w:ind w:hanging="270"/>
        <w:jc w:val="both"/>
        <w:divId w:val="160021624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Represents restricted deposits that are used to collateralize our insurance obligations and are stated at nominal value, which equals fair value. These insurance deposits are included in “Other noncurrent assets” on the accompanying Consolidated Balance Sh</w:t>
      </w:r>
      <w:r>
        <w:rPr>
          <w:rFonts w:ascii="Arial" w:eastAsia="Times New Roman" w:hAnsi="Arial" w:cs="Arial"/>
          <w:color w:val="000000"/>
          <w:sz w:val="18"/>
          <w:szCs w:val="18"/>
        </w:rPr>
        <w:t>eets. See Note 10, “Insurance,” for further information.</w:t>
      </w:r>
    </w:p>
    <w:p w:rsidR="00000000" w:rsidRDefault="00485CCD">
      <w:pPr>
        <w:ind w:hanging="270"/>
        <w:jc w:val="both"/>
        <w:divId w:val="86058570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Rabbi trusts associated with two of our deferred compensation plans, which we include in “Other noncurrent assets” on the accompanying Consolidated Balance Sheets. </w:t>
      </w:r>
      <w:r>
        <w:rPr>
          <w:rFonts w:ascii="Arial" w:eastAsia="Times New Roman" w:hAnsi="Arial" w:cs="Arial"/>
          <w:color w:val="000000"/>
          <w:sz w:val="18"/>
          <w:szCs w:val="18"/>
        </w:rPr>
        <w:t>The fair value of the assets held in the funded deferred compensation plan is based on quoted market prices. See Note 12, “Employee Benefit Plans,” for further information.</w:t>
      </w:r>
    </w:p>
    <w:p w:rsidR="00000000" w:rsidRDefault="00485CCD">
      <w:pPr>
        <w:ind w:hanging="270"/>
        <w:jc w:val="both"/>
        <w:divId w:val="163036125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Represents gross outstanding borrowings under our syndicated line of credit and term loan. Due to variable interest rates, the carrying value of outstanding borrowings under our line of credit and term loan approximates the fair value. See Note 11, “Credit</w:t>
      </w:r>
      <w:r>
        <w:rPr>
          <w:rFonts w:ascii="Arial" w:eastAsia="Times New Roman" w:hAnsi="Arial" w:cs="Arial"/>
          <w:color w:val="000000"/>
          <w:sz w:val="18"/>
          <w:szCs w:val="18"/>
        </w:rPr>
        <w:t xml:space="preserve"> Facility,” for further information.</w:t>
      </w:r>
    </w:p>
    <w:p w:rsidR="00000000" w:rsidRDefault="00485CCD">
      <w:pPr>
        <w:ind w:hanging="270"/>
        <w:jc w:val="both"/>
        <w:divId w:val="1775251249"/>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 values of the interest rate swaps are estimated based on the present value of the difference between expected cash flows calculated </w:t>
      </w:r>
      <w:r>
        <w:rPr>
          <w:rFonts w:ascii="Arial" w:eastAsia="Times New Roman" w:hAnsi="Arial" w:cs="Arial"/>
          <w:color w:val="000000"/>
          <w:sz w:val="18"/>
          <w:szCs w:val="18"/>
        </w:rPr>
        <w:t>at the contracted interest rates and the expected cash flows at current market interest rates using observable benchmarks for the London Interbank Offered Rate (“LIBOR”) forward rates at the end of the period. At October 31, 2021 and 2020, our interest rat</w:t>
      </w:r>
      <w:r>
        <w:rPr>
          <w:rFonts w:ascii="Arial" w:eastAsia="Times New Roman" w:hAnsi="Arial" w:cs="Arial"/>
          <w:color w:val="000000"/>
          <w:sz w:val="18"/>
          <w:szCs w:val="18"/>
        </w:rPr>
        <w:t xml:space="preserve">e swaps are included in “Other accrued liabilities” and “Other noncurrent liabilities,” respectively, on the accompanying Consolidated Balance Sheets. See Note 11, “Credit Facility,” for further information. </w:t>
      </w:r>
    </w:p>
    <w:p w:rsidR="00000000" w:rsidRDefault="00485CCD">
      <w:pPr>
        <w:ind w:firstLine="720"/>
        <w:jc w:val="both"/>
        <w:divId w:val="2068992484"/>
        <w:rPr>
          <w:rFonts w:eastAsia="Times New Roman"/>
        </w:rPr>
      </w:pPr>
      <w:r>
        <w:rPr>
          <w:rFonts w:ascii="Arial" w:eastAsia="Times New Roman" w:hAnsi="Arial" w:cs="Arial"/>
          <w:color w:val="000000"/>
          <w:sz w:val="20"/>
          <w:szCs w:val="20"/>
        </w:rPr>
        <w:t>At October 31, 2021 and 2020, the Company had n</w:t>
      </w:r>
      <w:r>
        <w:rPr>
          <w:rFonts w:ascii="Arial" w:eastAsia="Times New Roman" w:hAnsi="Arial" w:cs="Arial"/>
          <w:color w:val="000000"/>
          <w:sz w:val="20"/>
          <w:szCs w:val="20"/>
        </w:rPr>
        <w:t>o financial assets or liabilities recorded at fair value using Level 3 inputs, and there were no transfers to or from Level 3 financial assets or liabilities during 2021 and one such transfer during 2020.</w:t>
      </w:r>
    </w:p>
    <w:p w:rsidR="00000000" w:rsidRDefault="00485CCD">
      <w:pPr>
        <w:divId w:val="840394223"/>
        <w:rPr>
          <w:rFonts w:eastAsia="Times New Roman"/>
        </w:rPr>
      </w:pPr>
      <w:r>
        <w:rPr>
          <w:rFonts w:ascii="Arial" w:eastAsia="Times New Roman" w:hAnsi="Arial" w:cs="Arial"/>
          <w:b/>
          <w:bCs/>
          <w:color w:val="0046AD"/>
          <w:sz w:val="20"/>
          <w:szCs w:val="20"/>
        </w:rPr>
        <w:t>Non-Financial Assets Measured at Fair Value on a No</w:t>
      </w:r>
      <w:r>
        <w:rPr>
          <w:rFonts w:ascii="Arial" w:eastAsia="Times New Roman" w:hAnsi="Arial" w:cs="Arial"/>
          <w:b/>
          <w:bCs/>
          <w:color w:val="0046AD"/>
          <w:sz w:val="20"/>
          <w:szCs w:val="20"/>
        </w:rPr>
        <w:t>n-Recurring Basis</w:t>
      </w:r>
    </w:p>
    <w:p w:rsidR="00000000" w:rsidRDefault="00485CCD">
      <w:pPr>
        <w:ind w:firstLine="720"/>
        <w:jc w:val="both"/>
        <w:divId w:val="915943485"/>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 goodwill; intangible assets; prope</w:t>
      </w:r>
      <w:r>
        <w:rPr>
          <w:rFonts w:ascii="Arial" w:eastAsia="Times New Roman" w:hAnsi="Arial" w:cs="Arial"/>
          <w:color w:val="000000"/>
          <w:sz w:val="20"/>
          <w:szCs w:val="20"/>
        </w:rPr>
        <w:t>rty, plant and equipment; lease-related ROU assets; and long-lived assets that have been reduced to fair value when they are held for sale. If certain triggering events occur or if an annual impairment test is required, we would evaluate these non-financia</w:t>
      </w:r>
      <w:r>
        <w:rPr>
          <w:rFonts w:ascii="Arial" w:eastAsia="Times New Roman" w:hAnsi="Arial" w:cs="Arial"/>
          <w:color w:val="000000"/>
          <w:sz w:val="20"/>
          <w:szCs w:val="20"/>
        </w:rPr>
        <w:t xml:space="preserve">l assets for impairment. If an impairment were to occur, the asset would be recorded at the estimated fair value, using primarily unobservable Level 3 inputs. </w:t>
      </w:r>
    </w:p>
    <w:p w:rsidR="00000000" w:rsidRDefault="00485CCD">
      <w:pPr>
        <w:ind w:firstLine="720"/>
        <w:jc w:val="both"/>
        <w:divId w:val="632175076"/>
        <w:rPr>
          <w:rFonts w:eastAsia="Times New Roman"/>
        </w:rPr>
      </w:pPr>
      <w:r>
        <w:rPr>
          <w:rFonts w:ascii="Arial" w:eastAsia="Times New Roman" w:hAnsi="Arial" w:cs="Arial"/>
          <w:color w:val="000000"/>
          <w:sz w:val="20"/>
          <w:szCs w:val="20"/>
        </w:rPr>
        <w:t>During the third quarter of 2021, we recognized a non-cash impairment charge totaling $9.1 milli</w:t>
      </w:r>
      <w:r>
        <w:rPr>
          <w:rFonts w:ascii="Arial" w:eastAsia="Times New Roman" w:hAnsi="Arial" w:cs="Arial"/>
          <w:color w:val="000000"/>
          <w:sz w:val="20"/>
          <w:szCs w:val="20"/>
        </w:rPr>
        <w:t>on in our Corporate segment for previously capitalized internal-use software related to our Enterprise Resource Planning (“ERP”) system implementation. The Company determined that certain components that were previously developed would no longer be impleme</w:t>
      </w:r>
      <w:r>
        <w:rPr>
          <w:rFonts w:ascii="Arial" w:eastAsia="Times New Roman" w:hAnsi="Arial" w:cs="Arial"/>
          <w:color w:val="000000"/>
          <w:sz w:val="20"/>
          <w:szCs w:val="20"/>
        </w:rPr>
        <w:t xml:space="preserve">nted. The impairment charge reduced the carrying value to zero for those components and is recorded in “Selling, general and administrative expenses” on our Consolidated Statements of Comprehensive Income (Loss) for the year ended October 31, 2021. </w:t>
      </w:r>
    </w:p>
    <w:p w:rsidR="00000000" w:rsidRDefault="00485CCD">
      <w:pPr>
        <w:ind w:firstLine="720"/>
        <w:jc w:val="both"/>
        <w:divId w:val="1960720725"/>
        <w:rPr>
          <w:rFonts w:eastAsia="Times New Roman"/>
        </w:rPr>
      </w:pPr>
      <w:r>
        <w:rPr>
          <w:rFonts w:ascii="Arial" w:eastAsia="Times New Roman" w:hAnsi="Arial" w:cs="Arial"/>
          <w:color w:val="000000"/>
          <w:sz w:val="20"/>
          <w:szCs w:val="20"/>
        </w:rPr>
        <w:t>During</w:t>
      </w:r>
      <w:r>
        <w:rPr>
          <w:rFonts w:ascii="Arial" w:eastAsia="Times New Roman" w:hAnsi="Arial" w:cs="Arial"/>
          <w:color w:val="000000"/>
          <w:sz w:val="20"/>
          <w:szCs w:val="20"/>
        </w:rPr>
        <w:t xml:space="preserve"> the second quarter of 2020, given the general deterioration in economic and market conditions arising from the Pandemic, we identified a triggering event indicating possible impairment of goodwill and intangible assets, and we recorded impairment charges </w:t>
      </w:r>
      <w:r>
        <w:rPr>
          <w:rFonts w:ascii="Arial" w:eastAsia="Times New Roman" w:hAnsi="Arial" w:cs="Arial"/>
          <w:color w:val="000000"/>
          <w:sz w:val="20"/>
          <w:szCs w:val="20"/>
        </w:rPr>
        <w:t>on goodwill and customer relationships. The fair value of these items was determined based on unobservable Level 3 inputs. The fair value of goodwill was determined using a weighting of fair values derived from an income approach and a market approach. The</w:t>
      </w:r>
      <w:r>
        <w:rPr>
          <w:rFonts w:ascii="Arial" w:eastAsia="Times New Roman" w:hAnsi="Arial" w:cs="Arial"/>
          <w:color w:val="000000"/>
          <w:sz w:val="20"/>
          <w:szCs w:val="20"/>
        </w:rPr>
        <w:t xml:space="preserve"> fair value of customer relationships </w:t>
      </w:r>
    </w:p>
    <w:p w:rsidR="00000000" w:rsidRDefault="00485CCD">
      <w:pPr>
        <w:jc w:val="center"/>
        <w:divId w:val="382098718"/>
        <w:rPr>
          <w:rFonts w:eastAsia="Times New Roman"/>
        </w:rPr>
      </w:pPr>
      <w:r>
        <w:rPr>
          <w:rFonts w:ascii="Arial" w:eastAsia="Times New Roman" w:hAnsi="Arial" w:cs="Arial"/>
          <w:color w:val="000000"/>
          <w:sz w:val="20"/>
          <w:szCs w:val="20"/>
        </w:rPr>
        <w:t>72</w:t>
      </w:r>
    </w:p>
    <w:p w:rsidR="00000000" w:rsidRDefault="00485CCD">
      <w:pPr>
        <w:rPr>
          <w:rFonts w:eastAsia="Times New Roman"/>
        </w:rPr>
      </w:pPr>
      <w:r>
        <w:rPr>
          <w:rFonts w:eastAsia="Times New Roman"/>
        </w:rPr>
        <w:pict>
          <v:rect id="_x0000_i1109" style="width:0;height:1.5pt" o:hralign="center" o:hrstd="t" o:hr="t" fillcolor="#a0a0a0" stroked="f"/>
        </w:pict>
      </w:r>
    </w:p>
    <w:p w:rsidR="00000000" w:rsidRDefault="00485CCD">
      <w:pPr>
        <w:divId w:val="1810243469"/>
        <w:rPr>
          <w:rFonts w:eastAsia="Times New Roman"/>
        </w:rPr>
      </w:pPr>
    </w:p>
    <w:p w:rsidR="00000000" w:rsidRDefault="00485CCD">
      <w:pPr>
        <w:jc w:val="both"/>
        <w:divId w:val="1846094639"/>
        <w:rPr>
          <w:rFonts w:eastAsia="Times New Roman"/>
        </w:rPr>
      </w:pPr>
      <w:r>
        <w:rPr>
          <w:rFonts w:ascii="Arial" w:eastAsia="Times New Roman" w:hAnsi="Arial" w:cs="Arial"/>
          <w:color w:val="000000"/>
          <w:sz w:val="20"/>
          <w:szCs w:val="20"/>
        </w:rPr>
        <w:t xml:space="preserve">was determined based on discounted cash flows associated with the customer relationships that include significant management assumptions, including expected proceeds. See Note </w:t>
      </w:r>
      <w:r>
        <w:rPr>
          <w:rFonts w:ascii="Arial" w:eastAsia="Times New Roman" w:hAnsi="Arial" w:cs="Arial"/>
          <w:color w:val="000000"/>
          <w:sz w:val="20"/>
          <w:szCs w:val="20"/>
        </w:rPr>
        <w:t>9, “Goodwill and Other Intangible Assets,” for further information.</w:t>
      </w:r>
    </w:p>
    <w:p w:rsidR="00000000" w:rsidRDefault="00485CCD">
      <w:pPr>
        <w:divId w:val="1099563740"/>
        <w:rPr>
          <w:rFonts w:eastAsia="Times New Roman"/>
        </w:rPr>
      </w:pPr>
      <w:r>
        <w:rPr>
          <w:rFonts w:ascii="Arial" w:eastAsia="Times New Roman" w:hAnsi="Arial" w:cs="Arial"/>
          <w:b/>
          <w:bCs/>
          <w:color w:val="0046AD"/>
          <w:sz w:val="20"/>
          <w:szCs w:val="20"/>
        </w:rPr>
        <w:t>8.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620768736"/>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2076873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1892838021"/>
        <w:rPr>
          <w:rFonts w:eastAsia="Times New Roman"/>
        </w:rPr>
      </w:pPr>
      <w:r>
        <w:rPr>
          <w:rFonts w:ascii="Arial" w:eastAsia="Times New Roman" w:hAnsi="Arial" w:cs="Arial"/>
          <w:b/>
          <w:bCs/>
          <w:color w:val="0046AD"/>
          <w:sz w:val="20"/>
          <w:szCs w:val="20"/>
        </w:rPr>
        <w:t>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5103"/>
        <w:gridCol w:w="37"/>
        <w:gridCol w:w="132"/>
        <w:gridCol w:w="1355"/>
        <w:gridCol w:w="36"/>
        <w:gridCol w:w="36"/>
        <w:gridCol w:w="36"/>
        <w:gridCol w:w="36"/>
        <w:gridCol w:w="132"/>
        <w:gridCol w:w="1315"/>
        <w:gridCol w:w="36"/>
      </w:tblGrid>
      <w:tr w:rsidR="00000000">
        <w:trPr>
          <w:divId w:val="1263222829"/>
        </w:trPr>
        <w:tc>
          <w:tcPr>
            <w:tcW w:w="50" w:type="pct"/>
            <w:vAlign w:val="center"/>
            <w:hideMark/>
          </w:tcPr>
          <w:p w:rsidR="00000000" w:rsidRDefault="00485CCD">
            <w:pPr>
              <w:rPr>
                <w:rFonts w:eastAsia="Times New Roman"/>
              </w:rPr>
            </w:pPr>
          </w:p>
        </w:tc>
        <w:tc>
          <w:tcPr>
            <w:tcW w:w="31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263222829"/>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126322282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12632228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Machinery and other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Computer equipment and software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97.2 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Transportation equipment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Buildings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Land</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DCE2EF"/>
            <w:tcMar>
              <w:top w:w="30" w:type="dxa"/>
              <w:left w:w="20" w:type="dxa"/>
              <w:bottom w:w="30" w:type="dxa"/>
              <w:right w:w="20" w:type="dxa"/>
            </w:tcMar>
            <w:hideMark/>
          </w:tcPr>
          <w:p w:rsidR="00000000" w:rsidRDefault="00485CCD">
            <w:pPr>
              <w:divId w:val="496652870"/>
              <w:rPr>
                <w:rFonts w:eastAsia="Times New Roman"/>
              </w:rPr>
            </w:pPr>
            <w:r>
              <w:rPr>
                <w:rFonts w:ascii="Arial" w:eastAsia="Times New Roman" w:hAnsi="Arial" w:cs="Arial"/>
                <w:color w:val="000000"/>
                <w:sz w:val="20"/>
                <w:szCs w:val="20"/>
              </w:rPr>
              <w:t>Less: Accumulated depreciatio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274.7 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241.3 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2632228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0809230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For 2021, 2020, and 2019, depreciation expense was $45.0 million, $48.0 million, and $48.9 million, respectively.</w:t>
      </w:r>
    </w:p>
    <w:p w:rsidR="00000000" w:rsidRDefault="00485CCD">
      <w:pPr>
        <w:divId w:val="763497748"/>
        <w:rPr>
          <w:rFonts w:eastAsia="Times New Roman"/>
        </w:rPr>
      </w:pPr>
      <w:r>
        <w:rPr>
          <w:rFonts w:ascii="Arial" w:eastAsia="Times New Roman" w:hAnsi="Arial" w:cs="Arial"/>
          <w:b/>
          <w:bCs/>
          <w:color w:val="0046AD"/>
          <w:sz w:val="20"/>
          <w:szCs w:val="20"/>
        </w:rPr>
        <w:t>Finance Leases Included in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8"/>
        <w:gridCol w:w="5105"/>
        <w:gridCol w:w="36"/>
        <w:gridCol w:w="132"/>
        <w:gridCol w:w="1355"/>
        <w:gridCol w:w="36"/>
        <w:gridCol w:w="36"/>
        <w:gridCol w:w="36"/>
        <w:gridCol w:w="36"/>
        <w:gridCol w:w="132"/>
        <w:gridCol w:w="1315"/>
        <w:gridCol w:w="36"/>
      </w:tblGrid>
      <w:tr w:rsidR="00000000">
        <w:trPr>
          <w:divId w:val="111435629"/>
        </w:trPr>
        <w:tc>
          <w:tcPr>
            <w:tcW w:w="50" w:type="pct"/>
            <w:vAlign w:val="center"/>
            <w:hideMark/>
          </w:tcPr>
          <w:p w:rsidR="00000000" w:rsidRDefault="00485CCD">
            <w:pPr>
              <w:rPr>
                <w:rFonts w:eastAsia="Times New Roman"/>
              </w:rPr>
            </w:pPr>
          </w:p>
        </w:tc>
        <w:tc>
          <w:tcPr>
            <w:tcW w:w="31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11435629"/>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11143562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1114356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Transportation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14356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1435629"/>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11435629"/>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11435629"/>
        </w:trPr>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1435629"/>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11435629"/>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04661965"/>
        <w:rPr>
          <w:rFonts w:eastAsia="Times New Roman"/>
        </w:rPr>
      </w:pPr>
    </w:p>
    <w:p w:rsidR="00000000" w:rsidRDefault="00485CCD">
      <w:pPr>
        <w:divId w:val="1359114193"/>
        <w:rPr>
          <w:rFonts w:eastAsia="Times New Roman"/>
        </w:rPr>
      </w:pPr>
    </w:p>
    <w:p w:rsidR="00000000" w:rsidRDefault="00485CCD">
      <w:pPr>
        <w:divId w:val="1136220781"/>
        <w:rPr>
          <w:rFonts w:eastAsia="Times New Roman"/>
        </w:rPr>
      </w:pPr>
    </w:p>
    <w:p w:rsidR="00000000" w:rsidRDefault="00485CCD">
      <w:pPr>
        <w:divId w:val="910431090"/>
        <w:rPr>
          <w:rFonts w:eastAsia="Times New Roman"/>
        </w:rPr>
      </w:pPr>
    </w:p>
    <w:p w:rsidR="00000000" w:rsidRDefault="00485CCD">
      <w:pPr>
        <w:divId w:val="2002922580"/>
        <w:rPr>
          <w:rFonts w:eastAsia="Times New Roman"/>
        </w:rPr>
      </w:pPr>
    </w:p>
    <w:p w:rsidR="00000000" w:rsidRDefault="00485CCD">
      <w:pPr>
        <w:divId w:val="505362602"/>
        <w:rPr>
          <w:rFonts w:eastAsia="Times New Roman"/>
        </w:rPr>
      </w:pPr>
    </w:p>
    <w:p w:rsidR="00000000" w:rsidRDefault="00485CCD">
      <w:pPr>
        <w:jc w:val="center"/>
        <w:divId w:val="1904439789"/>
        <w:rPr>
          <w:rFonts w:eastAsia="Times New Roman"/>
        </w:rPr>
      </w:pPr>
      <w:r>
        <w:rPr>
          <w:rFonts w:ascii="Arial" w:eastAsia="Times New Roman" w:hAnsi="Arial" w:cs="Arial"/>
          <w:color w:val="000000"/>
          <w:sz w:val="20"/>
          <w:szCs w:val="20"/>
        </w:rPr>
        <w:t>73</w:t>
      </w:r>
    </w:p>
    <w:p w:rsidR="00000000" w:rsidRDefault="00485CCD">
      <w:pPr>
        <w:rPr>
          <w:rFonts w:eastAsia="Times New Roman"/>
        </w:rPr>
      </w:pPr>
      <w:r>
        <w:rPr>
          <w:rFonts w:eastAsia="Times New Roman"/>
        </w:rPr>
        <w:pict>
          <v:rect id="_x0000_i1110" style="width:0;height:1.5pt" o:hralign="center" o:hrstd="t" o:hr="t" fillcolor="#a0a0a0" stroked="f"/>
        </w:pict>
      </w:r>
    </w:p>
    <w:p w:rsidR="00000000" w:rsidRDefault="00485CCD">
      <w:pPr>
        <w:divId w:val="831533444"/>
        <w:rPr>
          <w:rFonts w:eastAsia="Times New Roman"/>
        </w:rPr>
      </w:pPr>
    </w:p>
    <w:p w:rsidR="00000000" w:rsidRDefault="00485CCD">
      <w:pPr>
        <w:divId w:val="2128814414"/>
        <w:rPr>
          <w:rFonts w:eastAsia="Times New Roman"/>
        </w:rPr>
      </w:pPr>
      <w:r>
        <w:rPr>
          <w:rFonts w:ascii="Arial" w:eastAsia="Times New Roman" w:hAnsi="Arial" w:cs="Arial"/>
          <w:b/>
          <w:bCs/>
          <w:color w:val="0046AD"/>
          <w:sz w:val="20"/>
          <w:szCs w:val="20"/>
        </w:rPr>
        <w:t>9. GOODWILL AND OTHER INTANGIBLE ASSETS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678381263"/>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7838126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1743406288"/>
        <w:rPr>
          <w:rFonts w:eastAsia="Times New Roman"/>
        </w:rPr>
      </w:pPr>
      <w:r>
        <w:rPr>
          <w:rFonts w:ascii="Arial" w:eastAsia="Times New Roman" w:hAnsi="Arial" w:cs="Arial"/>
          <w:b/>
          <w:bCs/>
          <w:color w:val="0046AD"/>
          <w:sz w:val="20"/>
          <w:szCs w:val="20"/>
        </w:rPr>
        <w:t>Goodwill</w:t>
      </w:r>
    </w:p>
    <w:tbl>
      <w:tblPr>
        <w:tblW w:w="5000" w:type="pct"/>
        <w:tblCellMar>
          <w:top w:w="15" w:type="dxa"/>
          <w:left w:w="15" w:type="dxa"/>
          <w:bottom w:w="15" w:type="dxa"/>
          <w:right w:w="15" w:type="dxa"/>
        </w:tblCellMar>
        <w:tblLook w:val="04A0" w:firstRow="1" w:lastRow="0" w:firstColumn="1" w:lastColumn="0" w:noHBand="0" w:noVBand="1"/>
      </w:tblPr>
      <w:tblGrid>
        <w:gridCol w:w="40"/>
        <w:gridCol w:w="1929"/>
        <w:gridCol w:w="39"/>
        <w:gridCol w:w="122"/>
        <w:gridCol w:w="754"/>
        <w:gridCol w:w="36"/>
        <w:gridCol w:w="36"/>
        <w:gridCol w:w="36"/>
        <w:gridCol w:w="36"/>
        <w:gridCol w:w="122"/>
        <w:gridCol w:w="1172"/>
        <w:gridCol w:w="36"/>
        <w:gridCol w:w="36"/>
        <w:gridCol w:w="36"/>
        <w:gridCol w:w="36"/>
        <w:gridCol w:w="122"/>
        <w:gridCol w:w="806"/>
        <w:gridCol w:w="36"/>
        <w:gridCol w:w="36"/>
        <w:gridCol w:w="36"/>
        <w:gridCol w:w="36"/>
        <w:gridCol w:w="122"/>
        <w:gridCol w:w="658"/>
        <w:gridCol w:w="36"/>
        <w:gridCol w:w="36"/>
        <w:gridCol w:w="36"/>
        <w:gridCol w:w="36"/>
        <w:gridCol w:w="122"/>
        <w:gridCol w:w="770"/>
        <w:gridCol w:w="36"/>
        <w:gridCol w:w="36"/>
        <w:gridCol w:w="36"/>
        <w:gridCol w:w="36"/>
        <w:gridCol w:w="121"/>
        <w:gridCol w:w="651"/>
        <w:gridCol w:w="36"/>
      </w:tblGrid>
      <w:tr w:rsidR="00000000">
        <w:trPr>
          <w:divId w:val="1749185239"/>
        </w:trPr>
        <w:tc>
          <w:tcPr>
            <w:tcW w:w="50" w:type="pct"/>
            <w:vAlign w:val="center"/>
            <w:hideMark/>
          </w:tcPr>
          <w:p w:rsidR="00000000" w:rsidRDefault="00485CCD">
            <w:pPr>
              <w:rPr>
                <w:rFonts w:eastAsia="Times New Roman"/>
              </w:rPr>
            </w:pPr>
          </w:p>
        </w:tc>
        <w:tc>
          <w:tcPr>
            <w:tcW w:w="174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7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9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2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9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2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9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4918523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Business &amp; Industry</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Education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Total</w:t>
            </w:r>
          </w:p>
        </w:tc>
      </w:tr>
      <w:tr w:rsidR="00000000">
        <w:trPr>
          <w:divId w:val="174918523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Balance at October 31, 2019</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573.9 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558.6 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170.7 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1,835.4 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749185239"/>
        </w:trPr>
        <w:tc>
          <w:tcPr>
            <w:tcW w:w="0" w:type="auto"/>
            <w:gridSpan w:val="3"/>
            <w:shd w:val="clear" w:color="auto" w:fill="FFFFFF"/>
            <w:tcMar>
              <w:top w:w="30" w:type="dxa"/>
              <w:left w:w="20" w:type="dxa"/>
              <w:bottom w:w="30" w:type="dxa"/>
              <w:right w:w="20" w:type="dxa"/>
            </w:tcMar>
            <w:vAlign w:val="bottom"/>
            <w:hideMark/>
          </w:tcPr>
          <w:p w:rsidR="00000000" w:rsidRDefault="00485CCD">
            <w:pPr>
              <w:ind w:hanging="180"/>
              <w:divId w:val="2027052933"/>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shd w:val="clear" w:color="auto" w:fill="DCE2EF"/>
            <w:tcMar>
              <w:top w:w="30" w:type="dxa"/>
              <w:left w:w="20" w:type="dxa"/>
              <w:bottom w:w="30" w:type="dxa"/>
              <w:right w:w="20" w:type="dxa"/>
            </w:tcMar>
            <w:vAlign w:val="bottom"/>
            <w:hideMark/>
          </w:tcPr>
          <w:p w:rsidR="00000000" w:rsidRDefault="00485CCD">
            <w:pPr>
              <w:divId w:val="446899570"/>
              <w:rPr>
                <w:rFonts w:eastAsia="Times New Roman"/>
              </w:rPr>
            </w:pPr>
            <w:r>
              <w:rPr>
                <w:rFonts w:ascii="Arial" w:eastAsia="Times New Roman" w:hAnsi="Arial" w:cs="Arial"/>
                <w:color w:val="000000"/>
                <w:sz w:val="18"/>
                <w:szCs w:val="18"/>
              </w:rPr>
              <w:t>Impairmen</w:t>
            </w:r>
            <w:r>
              <w:rPr>
                <w:rFonts w:ascii="Arial" w:eastAsia="Times New Roman" w:hAnsi="Arial" w:cs="Arial"/>
                <w:color w:val="000000"/>
                <w:sz w:val="18"/>
                <w:szCs w:val="18"/>
              </w:rPr>
              <w:t>t</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(99.3)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(55.5)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(163.8)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Balance at October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574.0 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shd w:val="clear" w:color="auto" w:fill="DCE2EF"/>
            <w:tcMar>
              <w:top w:w="30" w:type="dxa"/>
              <w:left w:w="20" w:type="dxa"/>
              <w:bottom w:w="30" w:type="dxa"/>
              <w:right w:w="20" w:type="dxa"/>
            </w:tcMar>
            <w:vAlign w:val="bottom"/>
            <w:hideMark/>
          </w:tcPr>
          <w:p w:rsidR="00000000" w:rsidRDefault="00485CCD">
            <w:pPr>
              <w:divId w:val="631785552"/>
              <w:rPr>
                <w:rFonts w:eastAsia="Times New Roman"/>
              </w:rPr>
            </w:pPr>
            <w:r>
              <w:rPr>
                <w:rFonts w:ascii="Arial" w:eastAsia="Times New Roman" w:hAnsi="Arial" w:cs="Arial"/>
                <w:color w:val="000000"/>
                <w:sz w:val="18"/>
                <w:szCs w:val="18"/>
              </w:rPr>
              <w:t>Acquisitio</w:t>
            </w:r>
            <w:r>
              <w:rPr>
                <w:rFonts w:ascii="Arial" w:eastAsia="Times New Roman" w:hAnsi="Arial" w:cs="Arial"/>
                <w:color w:val="000000"/>
                <w:sz w:val="18"/>
                <w:szCs w:val="18"/>
              </w:rPr>
              <w:t>n</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554.0 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554.0 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4918523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18"/>
                <w:szCs w:val="18"/>
              </w:rPr>
              <w:t>Balance at October 31, 2021</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1,129.8 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69.9 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162.7 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2,228.9 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51769053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impairment charge is included in “Impairment loss” on our Consolidated Statements of Comprehe</w:t>
      </w:r>
      <w:r>
        <w:rPr>
          <w:rFonts w:ascii="Arial" w:eastAsia="Times New Roman" w:hAnsi="Arial" w:cs="Arial"/>
          <w:color w:val="000000"/>
          <w:sz w:val="18"/>
          <w:szCs w:val="18"/>
        </w:rPr>
        <w:t>nsive Income (Loss) for the year ended October 31, 2020, and is not tax deductible.</w:t>
      </w:r>
    </w:p>
    <w:p w:rsidR="00000000" w:rsidRDefault="00485CCD">
      <w:pPr>
        <w:ind w:hanging="180"/>
        <w:jc w:val="both"/>
        <w:divId w:val="642006375"/>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During 2021, goodwill increased as a result of the Able Acquisition. See Note 4, “Acquisitions,” for additional information. </w:t>
      </w:r>
    </w:p>
    <w:p w:rsidR="00000000" w:rsidRDefault="00485CCD">
      <w:pPr>
        <w:ind w:firstLine="720"/>
        <w:jc w:val="both"/>
        <w:divId w:val="822356325"/>
        <w:rPr>
          <w:rFonts w:eastAsia="Times New Roman"/>
        </w:rPr>
      </w:pPr>
      <w:r>
        <w:rPr>
          <w:rFonts w:ascii="Arial" w:eastAsia="Times New Roman" w:hAnsi="Arial" w:cs="Arial"/>
          <w:color w:val="000000"/>
          <w:sz w:val="20"/>
          <w:szCs w:val="20"/>
        </w:rPr>
        <w:t>During the second quarter of 2020, we reco</w:t>
      </w:r>
      <w:r>
        <w:rPr>
          <w:rFonts w:ascii="Arial" w:eastAsia="Times New Roman" w:hAnsi="Arial" w:cs="Arial"/>
          <w:color w:val="000000"/>
          <w:sz w:val="20"/>
          <w:szCs w:val="20"/>
        </w:rPr>
        <w:t>gnized a non-cash impairment charge totaling $163.8 million in three goodwill reporting units ($99.3 million related to Education, $55.5 million related to Aviation, and $9.0 million related to our U.K. Technical Solutions business) as part of an interim i</w:t>
      </w:r>
      <w:r>
        <w:rPr>
          <w:rFonts w:ascii="Arial" w:eastAsia="Times New Roman" w:hAnsi="Arial" w:cs="Arial"/>
          <w:color w:val="000000"/>
          <w:sz w:val="20"/>
          <w:szCs w:val="20"/>
        </w:rPr>
        <w:t>mpairment test performed as a result of a triggering event arising from the Pandemic. The fair values of the goodwill reporting units were determined using a combination of the market approach and income approach. The market approach estimates the fair val</w:t>
      </w:r>
      <w:r>
        <w:rPr>
          <w:rFonts w:ascii="Arial" w:eastAsia="Times New Roman" w:hAnsi="Arial" w:cs="Arial"/>
          <w:color w:val="000000"/>
          <w:sz w:val="20"/>
          <w:szCs w:val="20"/>
        </w:rPr>
        <w:t>ue of a reporting unit by using market comparables for reasonably similar public companies and a control premium. The income approach estimates fair value of a reporting unit by using discounted cash flows that include significant management assumptions, s</w:t>
      </w:r>
      <w:r>
        <w:rPr>
          <w:rFonts w:ascii="Arial" w:eastAsia="Times New Roman" w:hAnsi="Arial" w:cs="Arial"/>
          <w:color w:val="000000"/>
          <w:sz w:val="20"/>
          <w:szCs w:val="20"/>
        </w:rPr>
        <w:t xml:space="preserve">uch as revenue growth rates, operating margins, weighted average cost of capital, and future economic and operating conditions. We did not record goodwill impairment charges during fiscal year 2021. </w:t>
      </w:r>
    </w:p>
    <w:p w:rsidR="00000000" w:rsidRDefault="00485CCD">
      <w:pPr>
        <w:divId w:val="658926478"/>
        <w:rPr>
          <w:rFonts w:eastAsia="Times New Roman"/>
        </w:rPr>
      </w:pPr>
      <w:r>
        <w:rPr>
          <w:rFonts w:ascii="Arial" w:eastAsia="Times New Roman" w:hAnsi="Arial" w:cs="Arial"/>
          <w:b/>
          <w:bCs/>
          <w:color w:val="0046AD"/>
          <w:sz w:val="20"/>
          <w:szCs w:val="20"/>
        </w:rPr>
        <w:t>Other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221"/>
        <w:gridCol w:w="36"/>
        <w:gridCol w:w="122"/>
        <w:gridCol w:w="694"/>
        <w:gridCol w:w="36"/>
        <w:gridCol w:w="36"/>
        <w:gridCol w:w="36"/>
        <w:gridCol w:w="36"/>
        <w:gridCol w:w="122"/>
        <w:gridCol w:w="1066"/>
        <w:gridCol w:w="36"/>
        <w:gridCol w:w="36"/>
        <w:gridCol w:w="36"/>
        <w:gridCol w:w="36"/>
        <w:gridCol w:w="121"/>
        <w:gridCol w:w="501"/>
        <w:gridCol w:w="36"/>
        <w:gridCol w:w="36"/>
        <w:gridCol w:w="36"/>
        <w:gridCol w:w="36"/>
        <w:gridCol w:w="122"/>
        <w:gridCol w:w="694"/>
        <w:gridCol w:w="36"/>
        <w:gridCol w:w="36"/>
        <w:gridCol w:w="36"/>
        <w:gridCol w:w="36"/>
        <w:gridCol w:w="122"/>
        <w:gridCol w:w="1066"/>
        <w:gridCol w:w="36"/>
        <w:gridCol w:w="36"/>
        <w:gridCol w:w="36"/>
        <w:gridCol w:w="36"/>
        <w:gridCol w:w="121"/>
        <w:gridCol w:w="501"/>
        <w:gridCol w:w="36"/>
      </w:tblGrid>
      <w:tr w:rsidR="00000000">
        <w:trPr>
          <w:divId w:val="551696027"/>
          <w:jc w:val="center"/>
        </w:trPr>
        <w:tc>
          <w:tcPr>
            <w:tcW w:w="50" w:type="pct"/>
            <w:vAlign w:val="center"/>
            <w:hideMark/>
          </w:tcPr>
          <w:p w:rsidR="00000000" w:rsidRDefault="00485CCD">
            <w:pPr>
              <w:rPr>
                <w:rFonts w:eastAsia="Times New Roman"/>
              </w:rPr>
            </w:pPr>
          </w:p>
        </w:tc>
        <w:tc>
          <w:tcPr>
            <w:tcW w:w="161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1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1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551696027"/>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October 31, 2020</w:t>
            </w:r>
          </w:p>
        </w:tc>
      </w:tr>
      <w:tr w:rsidR="00000000">
        <w:trPr>
          <w:divId w:val="55169602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8"/>
                <w:szCs w:val="18"/>
              </w:rPr>
              <w:t>Total</w:t>
            </w:r>
          </w:p>
        </w:tc>
      </w:tr>
      <w:tr w:rsidR="00000000">
        <w:trPr>
          <w:divId w:val="55169602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divId w:val="1603300626"/>
              <w:rPr>
                <w:rFonts w:eastAsia="Times New Roman"/>
              </w:rPr>
            </w:pPr>
            <w:r>
              <w:rPr>
                <w:rFonts w:ascii="Arial" w:eastAsia="Times New Roman" w:hAnsi="Arial" w:cs="Arial"/>
                <w:color w:val="000000"/>
                <w:sz w:val="18"/>
                <w:szCs w:val="18"/>
              </w:rPr>
              <w:t>Customer contracts and relationship</w:t>
            </w:r>
            <w:r>
              <w:rPr>
                <w:rFonts w:ascii="Arial" w:eastAsia="Times New Roman" w:hAnsi="Arial" w:cs="Arial"/>
                <w:color w:val="000000"/>
                <w:sz w:val="18"/>
                <w:szCs w:val="18"/>
              </w:rPr>
              <w:t>s</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793.8 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(378.5)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415.3 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573.1 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(333.6)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239.6 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551696027"/>
          <w:jc w:val="center"/>
        </w:trPr>
        <w:tc>
          <w:tcPr>
            <w:tcW w:w="0" w:type="auto"/>
            <w:gridSpan w:val="3"/>
            <w:tcMar>
              <w:top w:w="30" w:type="dxa"/>
              <w:left w:w="20" w:type="dxa"/>
              <w:bottom w:w="30" w:type="dxa"/>
              <w:right w:w="20" w:type="dxa"/>
            </w:tcMar>
            <w:vAlign w:val="bottom"/>
            <w:hideMark/>
          </w:tcPr>
          <w:p w:rsidR="00000000" w:rsidRDefault="00485CCD">
            <w:pPr>
              <w:divId w:val="1718821777"/>
              <w:rPr>
                <w:rFonts w:eastAsia="Times New Roman"/>
              </w:rPr>
            </w:pPr>
            <w:r>
              <w:rPr>
                <w:rFonts w:ascii="Arial" w:eastAsia="Times New Roman" w:hAnsi="Arial" w:cs="Arial"/>
                <w:color w:val="000000"/>
                <w:sz w:val="18"/>
                <w:szCs w:val="18"/>
              </w:rPr>
              <w:t>Trademarks and trade name</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(10.4)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(9.8)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551696027"/>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8"/>
                <w:szCs w:val="18"/>
              </w:rPr>
              <w:t>Contract rights and other</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551696027"/>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divId w:val="2072387333"/>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814.1 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(389.3)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424.8 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583.5 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(343.8)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8"/>
                <w:szCs w:val="18"/>
              </w:rPr>
              <w:t>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93385201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a net impairment charge of $9.0 million recorded in 2020 as a result of the triggering event described above. We recognized net impairment charges of $5.6 million related to Aviation (consisti</w:t>
      </w:r>
      <w:r>
        <w:rPr>
          <w:rFonts w:ascii="Arial" w:eastAsia="Times New Roman" w:hAnsi="Arial" w:cs="Arial"/>
          <w:color w:val="000000"/>
          <w:sz w:val="18"/>
          <w:szCs w:val="18"/>
        </w:rPr>
        <w:t xml:space="preserve">ng of a $13.8 million reduction in the gross carrying amount of the underlying customer relationships less $8.2 million of accumulated amortization) and $3.4 million related to our U.K. Technical Solutions business (consisting of an $8.7 million reduction </w:t>
      </w:r>
      <w:r>
        <w:rPr>
          <w:rFonts w:ascii="Arial" w:eastAsia="Times New Roman" w:hAnsi="Arial" w:cs="Arial"/>
          <w:color w:val="000000"/>
          <w:sz w:val="18"/>
          <w:szCs w:val="18"/>
        </w:rPr>
        <w:t>in the gross carrying amount of the underlying customer relationships less $5.3 million of accumulated amortization). These impairment charges are included in “Impairment loss” on our Consolidated Statements of Comprehensive Income (Loss) for the year ende</w:t>
      </w:r>
      <w:r>
        <w:rPr>
          <w:rFonts w:ascii="Arial" w:eastAsia="Times New Roman" w:hAnsi="Arial" w:cs="Arial"/>
          <w:color w:val="000000"/>
          <w:sz w:val="18"/>
          <w:szCs w:val="18"/>
        </w:rPr>
        <w:t>d October 31, 2020. We did not record impairment charges on other intangible assets during fiscal year 2021.</w:t>
      </w:r>
    </w:p>
    <w:p w:rsidR="00000000" w:rsidRDefault="00485CCD">
      <w:pPr>
        <w:ind w:hanging="180"/>
        <w:jc w:val="both"/>
        <w:divId w:val="208988348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Reflects additions from the Able Acquisition in 2021. See Note 4, “Acquisitions,” for additional information. </w:t>
      </w:r>
    </w:p>
    <w:p w:rsidR="00000000" w:rsidRDefault="00485CCD">
      <w:pPr>
        <w:ind w:hanging="180"/>
        <w:jc w:val="both"/>
        <w:divId w:val="2125268551"/>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These intangible assets are </w:t>
      </w:r>
      <w:r>
        <w:rPr>
          <w:rFonts w:ascii="Arial" w:eastAsia="Times New Roman" w:hAnsi="Arial" w:cs="Arial"/>
          <w:color w:val="000000"/>
          <w:sz w:val="18"/>
          <w:szCs w:val="18"/>
        </w:rPr>
        <w:t xml:space="preserve">being amortized over the expected period of benefit, with a weighted average life of approximately 12 years. </w:t>
      </w:r>
    </w:p>
    <w:p w:rsidR="00000000" w:rsidRDefault="00485CCD">
      <w:pPr>
        <w:jc w:val="both"/>
        <w:divId w:val="1541358474"/>
        <w:rPr>
          <w:rFonts w:eastAsia="Times New Roman"/>
        </w:rPr>
      </w:pPr>
      <w:r>
        <w:rPr>
          <w:rFonts w:ascii="Arial" w:eastAsia="Times New Roman" w:hAnsi="Arial" w:cs="Arial"/>
          <w:b/>
          <w:bCs/>
          <w:i/>
          <w:iCs/>
          <w:color w:val="0046AD"/>
          <w:sz w:val="20"/>
          <w:szCs w:val="20"/>
        </w:rPr>
        <w:t>Estimated Annual Amortization Expense for Each of the Next Five Years</w:t>
      </w:r>
    </w:p>
    <w:tbl>
      <w:tblPr>
        <w:tblW w:w="5000" w:type="pct"/>
        <w:tblCellMar>
          <w:top w:w="15" w:type="dxa"/>
          <w:left w:w="15" w:type="dxa"/>
          <w:bottom w:w="15" w:type="dxa"/>
          <w:right w:w="15" w:type="dxa"/>
        </w:tblCellMar>
        <w:tblLook w:val="04A0" w:firstRow="1" w:lastRow="0" w:firstColumn="1" w:lastColumn="0" w:noHBand="0" w:noVBand="1"/>
      </w:tblPr>
      <w:tblGrid>
        <w:gridCol w:w="38"/>
        <w:gridCol w:w="3045"/>
        <w:gridCol w:w="36"/>
        <w:gridCol w:w="132"/>
        <w:gridCol w:w="822"/>
        <w:gridCol w:w="36"/>
        <w:gridCol w:w="36"/>
        <w:gridCol w:w="36"/>
        <w:gridCol w:w="36"/>
        <w:gridCol w:w="132"/>
        <w:gridCol w:w="772"/>
        <w:gridCol w:w="36"/>
        <w:gridCol w:w="36"/>
        <w:gridCol w:w="36"/>
        <w:gridCol w:w="36"/>
        <w:gridCol w:w="132"/>
        <w:gridCol w:w="773"/>
        <w:gridCol w:w="36"/>
        <w:gridCol w:w="36"/>
        <w:gridCol w:w="36"/>
        <w:gridCol w:w="36"/>
        <w:gridCol w:w="132"/>
        <w:gridCol w:w="773"/>
        <w:gridCol w:w="36"/>
        <w:gridCol w:w="36"/>
        <w:gridCol w:w="36"/>
        <w:gridCol w:w="36"/>
        <w:gridCol w:w="132"/>
        <w:gridCol w:w="775"/>
        <w:gridCol w:w="36"/>
      </w:tblGrid>
      <w:tr w:rsidR="00000000">
        <w:trPr>
          <w:divId w:val="968785865"/>
        </w:trPr>
        <w:tc>
          <w:tcPr>
            <w:tcW w:w="50" w:type="pct"/>
            <w:vAlign w:val="center"/>
            <w:hideMark/>
          </w:tcPr>
          <w:p w:rsidR="00000000" w:rsidRDefault="00485CCD">
            <w:pPr>
              <w:jc w:val="both"/>
              <w:rPr>
                <w:rFonts w:eastAsia="Times New Roman"/>
              </w:rPr>
            </w:pPr>
          </w:p>
        </w:tc>
        <w:tc>
          <w:tcPr>
            <w:tcW w:w="187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6878586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2025</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2026</w:t>
            </w:r>
          </w:p>
        </w:tc>
      </w:tr>
      <w:tr w:rsidR="00000000">
        <w:trPr>
          <w:divId w:val="968785865"/>
        </w:trPr>
        <w:tc>
          <w:tcPr>
            <w:tcW w:w="0" w:type="auto"/>
            <w:gridSpan w:val="3"/>
            <w:shd w:val="clear" w:color="auto" w:fill="DCE2EF"/>
            <w:tcMar>
              <w:top w:w="30" w:type="dxa"/>
              <w:left w:w="20" w:type="dxa"/>
              <w:bottom w:w="30" w:type="dxa"/>
              <w:right w:w="20" w:type="dxa"/>
            </w:tcMar>
            <w:vAlign w:val="bottom"/>
            <w:hideMark/>
          </w:tcPr>
          <w:p w:rsidR="00000000" w:rsidRDefault="00485CCD">
            <w:pPr>
              <w:divId w:val="521625485"/>
              <w:rPr>
                <w:rFonts w:eastAsia="Times New Roman"/>
              </w:rPr>
            </w:pPr>
            <w:r>
              <w:rPr>
                <w:rFonts w:ascii="Arial" w:eastAsia="Times New Roman" w:hAnsi="Arial" w:cs="Arial"/>
                <w:color w:val="000000"/>
                <w:sz w:val="20"/>
                <w:szCs w:val="20"/>
              </w:rPr>
              <w:t>Estimated amortization expens</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80273021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These amounts could va</w:t>
      </w:r>
      <w:r>
        <w:rPr>
          <w:rFonts w:ascii="Arial" w:eastAsia="Times New Roman" w:hAnsi="Arial" w:cs="Arial"/>
          <w:color w:val="000000"/>
          <w:sz w:val="18"/>
          <w:szCs w:val="18"/>
        </w:rPr>
        <w:t>ry as acquisitions of additional intangible assets occur in the future and as purchase price allocations are finalized for existing acquisitions.</w:t>
      </w:r>
    </w:p>
    <w:p w:rsidR="00000000" w:rsidRDefault="00485CCD">
      <w:pPr>
        <w:jc w:val="center"/>
        <w:divId w:val="636884187"/>
        <w:rPr>
          <w:rFonts w:eastAsia="Times New Roman"/>
        </w:rPr>
      </w:pPr>
      <w:r>
        <w:rPr>
          <w:rFonts w:ascii="Arial" w:eastAsia="Times New Roman" w:hAnsi="Arial" w:cs="Arial"/>
          <w:color w:val="000000"/>
          <w:sz w:val="20"/>
          <w:szCs w:val="20"/>
        </w:rPr>
        <w:t>74</w:t>
      </w:r>
    </w:p>
    <w:p w:rsidR="00000000" w:rsidRDefault="00485CCD">
      <w:pPr>
        <w:rPr>
          <w:rFonts w:eastAsia="Times New Roman"/>
        </w:rPr>
      </w:pPr>
      <w:r>
        <w:rPr>
          <w:rFonts w:eastAsia="Times New Roman"/>
        </w:rPr>
        <w:pict>
          <v:rect id="_x0000_i1111" style="width:0;height:1.5pt" o:hralign="center" o:hrstd="t" o:hr="t" fillcolor="#a0a0a0" stroked="f"/>
        </w:pict>
      </w:r>
    </w:p>
    <w:p w:rsidR="00000000" w:rsidRDefault="00485CCD">
      <w:pPr>
        <w:divId w:val="1588929416"/>
        <w:rPr>
          <w:rFonts w:eastAsia="Times New Roman"/>
        </w:rPr>
      </w:pPr>
    </w:p>
    <w:p w:rsidR="00000000" w:rsidRDefault="00485CCD">
      <w:pPr>
        <w:ind w:firstLine="720"/>
        <w:jc w:val="both"/>
        <w:divId w:val="626935502"/>
        <w:rPr>
          <w:rFonts w:eastAsia="Times New Roman"/>
        </w:rPr>
      </w:pPr>
      <w:r>
        <w:rPr>
          <w:rFonts w:ascii="Arial" w:eastAsia="Times New Roman" w:hAnsi="Arial" w:cs="Arial"/>
          <w:color w:val="000000"/>
          <w:sz w:val="20"/>
          <w:szCs w:val="20"/>
        </w:rPr>
        <w:t>The estimates of future cash flows used in determining the fair value of goodwill and other intangible assets involve significant management judgment and are based upon assumptions about expected future operating performance, economic conditions, market co</w:t>
      </w:r>
      <w:r>
        <w:rPr>
          <w:rFonts w:ascii="Arial" w:eastAsia="Times New Roman" w:hAnsi="Arial" w:cs="Arial"/>
          <w:color w:val="000000"/>
          <w:sz w:val="20"/>
          <w:szCs w:val="20"/>
        </w:rPr>
        <w:t>nditions, and cost of capital. Inherent in estimating the future cash flows are uncertainties beyond our control, such as changes in capital markets. The actual cash flows could differ materially from management’s estimates due to changes in business condi</w:t>
      </w:r>
      <w:r>
        <w:rPr>
          <w:rFonts w:ascii="Arial" w:eastAsia="Times New Roman" w:hAnsi="Arial" w:cs="Arial"/>
          <w:color w:val="000000"/>
          <w:sz w:val="20"/>
          <w:szCs w:val="20"/>
        </w:rPr>
        <w:t>tions, operating performance, and economic conditions.</w:t>
      </w:r>
    </w:p>
    <w:p w:rsidR="00000000" w:rsidRDefault="00485CCD">
      <w:pPr>
        <w:divId w:val="1987928248"/>
        <w:rPr>
          <w:rFonts w:eastAsia="Times New Roman"/>
        </w:rPr>
      </w:pPr>
    </w:p>
    <w:p w:rsidR="00000000" w:rsidRDefault="00485CCD">
      <w:pPr>
        <w:divId w:val="217785014"/>
        <w:rPr>
          <w:rFonts w:eastAsia="Times New Roman"/>
        </w:rPr>
      </w:pPr>
      <w:r>
        <w:rPr>
          <w:rFonts w:ascii="Arial" w:eastAsia="Times New Roman" w:hAnsi="Arial" w:cs="Arial"/>
          <w:b/>
          <w:bCs/>
          <w:color w:val="0046AD"/>
          <w:sz w:val="20"/>
          <w:szCs w:val="20"/>
        </w:rPr>
        <w:t>10. INSURANCE</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50819788"/>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5081978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423575059"/>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 xml:space="preserve">ain up to $0.5 million of exposure on a per-participant, per-year basis with respect to claims. </w:t>
      </w:r>
    </w:p>
    <w:p w:rsidR="00000000" w:rsidRDefault="00485CCD">
      <w:pPr>
        <w:ind w:firstLine="720"/>
        <w:jc w:val="both"/>
        <w:divId w:val="2121030546"/>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w:t>
      </w:r>
      <w:r>
        <w:rPr>
          <w:rFonts w:ascii="Arial" w:eastAsia="Times New Roman" w:hAnsi="Arial" w:cs="Arial"/>
          <w:color w:val="000000"/>
          <w:sz w:val="20"/>
          <w:szCs w:val="20"/>
        </w:rPr>
        <w:t>vents and the actuarial estimates of required reserves considering the most recently completed actuarial reports. We use all available information to develop our best estimate of insurance claims reserves as information is obtained. The results of actuaria</w:t>
      </w:r>
      <w:r>
        <w:rPr>
          <w:rFonts w:ascii="Arial" w:eastAsia="Times New Roman" w:hAnsi="Arial" w:cs="Arial"/>
          <w:color w:val="000000"/>
          <w:sz w:val="20"/>
          <w:szCs w:val="20"/>
        </w:rPr>
        <w:t xml:space="preserve">l reviews are used to estimate our insurance rates and insurance reserves for future periods and to adjust reserves, if appropriate, for prior years. </w:t>
      </w:r>
    </w:p>
    <w:p w:rsidR="00000000" w:rsidRDefault="00485CCD">
      <w:pPr>
        <w:jc w:val="both"/>
        <w:divId w:val="225997339"/>
        <w:rPr>
          <w:rFonts w:eastAsia="Times New Roman"/>
        </w:rPr>
      </w:pPr>
      <w:r>
        <w:rPr>
          <w:rFonts w:ascii="Arial" w:eastAsia="Times New Roman" w:hAnsi="Arial" w:cs="Arial"/>
          <w:b/>
          <w:bCs/>
          <w:color w:val="0046AD"/>
          <w:sz w:val="20"/>
          <w:szCs w:val="20"/>
        </w:rPr>
        <w:t>Insurance Reserve Adjustments</w:t>
      </w:r>
    </w:p>
    <w:p w:rsidR="00000000" w:rsidRDefault="00485CCD">
      <w:pPr>
        <w:jc w:val="both"/>
        <w:divId w:val="238638019"/>
        <w:rPr>
          <w:rFonts w:eastAsia="Times New Roman"/>
        </w:rPr>
      </w:pPr>
      <w:r>
        <w:rPr>
          <w:rFonts w:ascii="Arial" w:eastAsia="Times New Roman" w:hAnsi="Arial" w:cs="Arial"/>
          <w:b/>
          <w:bCs/>
          <w:i/>
          <w:iCs/>
          <w:color w:val="0046AD"/>
          <w:sz w:val="20"/>
          <w:szCs w:val="20"/>
        </w:rPr>
        <w:t>Actuarial Reviews and Updates Performed During 2021</w:t>
      </w:r>
    </w:p>
    <w:p w:rsidR="00000000" w:rsidRDefault="00485CCD">
      <w:pPr>
        <w:ind w:firstLine="720"/>
        <w:jc w:val="both"/>
        <w:divId w:val="126634309"/>
        <w:rPr>
          <w:rFonts w:eastAsia="Times New Roman"/>
        </w:rPr>
      </w:pPr>
      <w:r>
        <w:rPr>
          <w:rFonts w:ascii="Arial" w:eastAsia="Times New Roman" w:hAnsi="Arial" w:cs="Arial"/>
          <w:color w:val="000000"/>
          <w:sz w:val="20"/>
          <w:szCs w:val="20"/>
        </w:rPr>
        <w:t>We review our self-insu</w:t>
      </w:r>
      <w:r>
        <w:rPr>
          <w:rFonts w:ascii="Arial" w:eastAsia="Times New Roman" w:hAnsi="Arial" w:cs="Arial"/>
          <w:color w:val="000000"/>
          <w:sz w:val="20"/>
          <w:szCs w:val="20"/>
        </w:rPr>
        <w:t>rance liabilities on a quarterly basis and adjust our accruals accordingly. Actual claims activity or development may vary from our assumptions and estimates, which may result in material losses or gains. As we obtain additional information that affects th</w:t>
      </w:r>
      <w:r>
        <w:rPr>
          <w:rFonts w:ascii="Arial" w:eastAsia="Times New Roman" w:hAnsi="Arial" w:cs="Arial"/>
          <w:color w:val="000000"/>
          <w:sz w:val="20"/>
          <w:szCs w:val="20"/>
        </w:rPr>
        <w:t>e assumptions and estimates used in our reserve liability calculations, we adjust our self-insurance rates and reserves for future periods and, if appropriate, adjust our reserves for claims incurred in prior accounting periods.</w:t>
      </w:r>
    </w:p>
    <w:p w:rsidR="00000000" w:rsidRDefault="00485CCD">
      <w:pPr>
        <w:ind w:firstLine="720"/>
        <w:jc w:val="both"/>
        <w:divId w:val="138771202"/>
        <w:rPr>
          <w:rFonts w:eastAsia="Times New Roman"/>
        </w:rPr>
      </w:pPr>
      <w:r>
        <w:rPr>
          <w:rFonts w:ascii="Arial" w:eastAsia="Times New Roman" w:hAnsi="Arial" w:cs="Arial"/>
          <w:color w:val="000000"/>
          <w:sz w:val="20"/>
          <w:szCs w:val="20"/>
        </w:rPr>
        <w:t xml:space="preserve">During the first and third </w:t>
      </w:r>
      <w:r>
        <w:rPr>
          <w:rFonts w:ascii="Arial" w:eastAsia="Times New Roman" w:hAnsi="Arial" w:cs="Arial"/>
          <w:color w:val="000000"/>
          <w:sz w:val="20"/>
          <w:szCs w:val="20"/>
        </w:rPr>
        <w:t>quarters of 2021, we performed comprehensive actuarial reviews of the majority of our casualty insurance programs to evaluate changes made to claims reserves and claims payment activity for the periods of May 1, 2020, through October 31, 2020, and November</w:t>
      </w:r>
      <w:r>
        <w:rPr>
          <w:rFonts w:ascii="Arial" w:eastAsia="Times New Roman" w:hAnsi="Arial" w:cs="Arial"/>
          <w:color w:val="000000"/>
          <w:sz w:val="20"/>
          <w:szCs w:val="20"/>
        </w:rPr>
        <w:t xml:space="preserve"> 1, 2020, through April 30, 2021, respectively (the “Actuarial Reviews”). The Actuarial Reviews were comprehensive in nature and were based on loss development patterns, trend assumptions, and underlying expected loss costs during the periods analyzed. </w:t>
      </w:r>
    </w:p>
    <w:p w:rsidR="00000000" w:rsidRDefault="00485CCD">
      <w:pPr>
        <w:ind w:firstLine="720"/>
        <w:jc w:val="both"/>
        <w:divId w:val="969436035"/>
        <w:rPr>
          <w:rFonts w:eastAsia="Times New Roman"/>
        </w:rPr>
      </w:pPr>
      <w:r>
        <w:rPr>
          <w:rFonts w:ascii="Arial" w:eastAsia="Times New Roman" w:hAnsi="Arial" w:cs="Arial"/>
          <w:color w:val="000000"/>
          <w:sz w:val="20"/>
          <w:szCs w:val="20"/>
        </w:rPr>
        <w:t>Du</w:t>
      </w:r>
      <w:r>
        <w:rPr>
          <w:rFonts w:ascii="Arial" w:eastAsia="Times New Roman" w:hAnsi="Arial" w:cs="Arial"/>
          <w:color w:val="000000"/>
          <w:sz w:val="20"/>
          <w:szCs w:val="20"/>
        </w:rPr>
        <w:t>ring the second and fourth quarters of 2021, we performed interim actuarial updates of the majority of our casualty insurance programs that considered changes in claims development and claims payment activity for the respective periods analyzed (the “Inter</w:t>
      </w:r>
      <w:r>
        <w:rPr>
          <w:rFonts w:ascii="Arial" w:eastAsia="Times New Roman" w:hAnsi="Arial" w:cs="Arial"/>
          <w:color w:val="000000"/>
          <w:sz w:val="20"/>
          <w:szCs w:val="20"/>
        </w:rPr>
        <w:t>im Updates”). These Interim Updates were abbreviated in nature based on actual versus expected development during the periods analyzed and relied on the key assumptions in the Actuarial Reviews (most notably loss development patterns, trend assumptions, an</w:t>
      </w:r>
      <w:r>
        <w:rPr>
          <w:rFonts w:ascii="Arial" w:eastAsia="Times New Roman" w:hAnsi="Arial" w:cs="Arial"/>
          <w:color w:val="000000"/>
          <w:sz w:val="20"/>
          <w:szCs w:val="20"/>
        </w:rPr>
        <w:t>d underlying expected loss costs).</w:t>
      </w:r>
    </w:p>
    <w:p w:rsidR="00000000" w:rsidRDefault="00485CCD">
      <w:pPr>
        <w:ind w:firstLine="720"/>
        <w:jc w:val="both"/>
        <w:divId w:val="964314258"/>
        <w:rPr>
          <w:rFonts w:eastAsia="Times New Roman"/>
        </w:rPr>
      </w:pPr>
      <w:r>
        <w:rPr>
          <w:rFonts w:ascii="Arial" w:eastAsia="Times New Roman" w:hAnsi="Arial" w:cs="Arial"/>
          <w:color w:val="000000"/>
          <w:sz w:val="20"/>
          <w:szCs w:val="20"/>
        </w:rPr>
        <w:t xml:space="preserve">Based on the results of the Actuarial Reviews and Interim Updates, </w:t>
      </w:r>
      <w:r>
        <w:rPr>
          <w:rFonts w:ascii="Arial" w:eastAsia="Times New Roman" w:hAnsi="Arial" w:cs="Arial"/>
          <w:color w:val="000000"/>
          <w:sz w:val="20"/>
          <w:szCs w:val="20"/>
          <w:shd w:val="clear" w:color="auto" w:fill="FFFFFF"/>
        </w:rPr>
        <w:t>w</w:t>
      </w:r>
      <w:r>
        <w:rPr>
          <w:rFonts w:ascii="Arial" w:eastAsia="Times New Roman" w:hAnsi="Arial" w:cs="Arial"/>
          <w:color w:val="000000"/>
          <w:sz w:val="20"/>
          <w:szCs w:val="20"/>
        </w:rPr>
        <w:t>e decreased</w:t>
      </w:r>
      <w:r>
        <w:rPr>
          <w:rFonts w:ascii="Arial" w:eastAsia="Times New Roman" w:hAnsi="Arial" w:cs="Arial"/>
          <w:color w:val="000000"/>
          <w:sz w:val="20"/>
          <w:szCs w:val="20"/>
          <w:shd w:val="clear" w:color="auto" w:fill="FFFFFF"/>
        </w:rPr>
        <w:t xml:space="preserve"> our total reserves related to prior years for known claims as well as our estimate of the loss amounts associated with IBNR claims during 202</w:t>
      </w:r>
      <w:r>
        <w:rPr>
          <w:rFonts w:ascii="Arial" w:eastAsia="Times New Roman" w:hAnsi="Arial" w:cs="Arial"/>
          <w:color w:val="000000"/>
          <w:sz w:val="20"/>
          <w:szCs w:val="20"/>
          <w:shd w:val="clear" w:color="auto" w:fill="FFFFFF"/>
        </w:rPr>
        <w:t>1 by</w:t>
      </w:r>
      <w:r>
        <w:rPr>
          <w:rFonts w:ascii="Arial" w:eastAsia="Times New Roman" w:hAnsi="Arial" w:cs="Arial"/>
          <w:color w:val="000000"/>
          <w:sz w:val="20"/>
          <w:szCs w:val="20"/>
        </w:rPr>
        <w:t xml:space="preserve"> $36.0 million. In 2020, we decreased our total reserves related to prior year claims by $30.2 million. </w:t>
      </w:r>
    </w:p>
    <w:p w:rsidR="00000000" w:rsidRDefault="00485CCD">
      <w:pPr>
        <w:jc w:val="both"/>
        <w:divId w:val="547881419"/>
        <w:rPr>
          <w:rFonts w:eastAsia="Times New Roman"/>
        </w:rPr>
      </w:pPr>
    </w:p>
    <w:p w:rsidR="00000000" w:rsidRDefault="00485CCD">
      <w:pPr>
        <w:jc w:val="both"/>
        <w:divId w:val="1345203280"/>
        <w:rPr>
          <w:rFonts w:eastAsia="Times New Roman"/>
        </w:rPr>
      </w:pPr>
    </w:p>
    <w:p w:rsidR="00000000" w:rsidRDefault="00485CCD">
      <w:pPr>
        <w:jc w:val="both"/>
        <w:divId w:val="113405658"/>
        <w:rPr>
          <w:rFonts w:eastAsia="Times New Roman"/>
        </w:rPr>
      </w:pPr>
    </w:p>
    <w:p w:rsidR="00000000" w:rsidRDefault="00485CCD">
      <w:pPr>
        <w:jc w:val="center"/>
        <w:divId w:val="1442801081"/>
        <w:rPr>
          <w:rFonts w:eastAsia="Times New Roman"/>
        </w:rPr>
      </w:pPr>
      <w:r>
        <w:rPr>
          <w:rFonts w:ascii="Arial" w:eastAsia="Times New Roman" w:hAnsi="Arial" w:cs="Arial"/>
          <w:color w:val="000000"/>
          <w:sz w:val="20"/>
          <w:szCs w:val="20"/>
        </w:rPr>
        <w:t>75</w:t>
      </w:r>
    </w:p>
    <w:p w:rsidR="00000000" w:rsidRDefault="00485CCD">
      <w:pPr>
        <w:rPr>
          <w:rFonts w:eastAsia="Times New Roman"/>
        </w:rPr>
      </w:pPr>
      <w:r>
        <w:rPr>
          <w:rFonts w:eastAsia="Times New Roman"/>
        </w:rPr>
        <w:pict>
          <v:rect id="_x0000_i1112" style="width:0;height:1.5pt" o:hralign="center" o:hrstd="t" o:hr="t" fillcolor="#a0a0a0" stroked="f"/>
        </w:pict>
      </w:r>
    </w:p>
    <w:p w:rsidR="00000000" w:rsidRDefault="00485CCD">
      <w:pPr>
        <w:divId w:val="790366304"/>
        <w:rPr>
          <w:rFonts w:eastAsia="Times New Roman"/>
        </w:rPr>
      </w:pPr>
    </w:p>
    <w:p w:rsidR="00000000" w:rsidRDefault="00485CCD">
      <w:pPr>
        <w:jc w:val="both"/>
        <w:divId w:val="133455596"/>
        <w:rPr>
          <w:rFonts w:eastAsia="Times New Roman"/>
        </w:rPr>
      </w:pPr>
      <w:r>
        <w:rPr>
          <w:rFonts w:ascii="Arial" w:eastAsia="Times New Roman" w:hAnsi="Arial" w:cs="Arial"/>
          <w:b/>
          <w:bCs/>
          <w:color w:val="0046AD"/>
          <w:sz w:val="20"/>
          <w:szCs w:val="20"/>
        </w:rPr>
        <w:t xml:space="preserve">Insurance-Related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274"/>
        <w:gridCol w:w="37"/>
        <w:gridCol w:w="133"/>
        <w:gridCol w:w="1281"/>
        <w:gridCol w:w="36"/>
        <w:gridCol w:w="36"/>
        <w:gridCol w:w="36"/>
        <w:gridCol w:w="36"/>
        <w:gridCol w:w="133"/>
        <w:gridCol w:w="1229"/>
        <w:gridCol w:w="36"/>
      </w:tblGrid>
      <w:tr w:rsidR="00000000">
        <w:trPr>
          <w:divId w:val="1821191512"/>
        </w:trPr>
        <w:tc>
          <w:tcPr>
            <w:tcW w:w="50" w:type="pct"/>
            <w:vAlign w:val="center"/>
            <w:hideMark/>
          </w:tcPr>
          <w:p w:rsidR="00000000" w:rsidRDefault="00485CCD">
            <w:pPr>
              <w:jc w:val="both"/>
              <w:rPr>
                <w:rFonts w:eastAsia="Times New Roman"/>
              </w:rPr>
            </w:pPr>
          </w:p>
        </w:tc>
        <w:tc>
          <w:tcPr>
            <w:tcW w:w="32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9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82119151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2020</w:t>
            </w:r>
          </w:p>
        </w:tc>
      </w:tr>
      <w:tr w:rsidR="00000000">
        <w:trPr>
          <w:divId w:val="182119151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2119151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2119151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firstLine="720"/>
        <w:jc w:val="both"/>
        <w:divId w:val="646133231"/>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2021 and 2020, insurance recoverables are included in both “Other current assets” and “Other noncurrent assets” on the accompanying Consolidated Balance Sheets.</w:t>
      </w:r>
    </w:p>
    <w:p w:rsidR="00000000" w:rsidRDefault="00485CCD">
      <w:pPr>
        <w:jc w:val="both"/>
        <w:divId w:val="740056817"/>
        <w:rPr>
          <w:rFonts w:eastAsia="Times New Roman"/>
        </w:rPr>
      </w:pPr>
      <w:r>
        <w:rPr>
          <w:rFonts w:ascii="Arial" w:eastAsia="Times New Roman" w:hAnsi="Arial" w:cs="Arial"/>
          <w:b/>
          <w:bCs/>
          <w:i/>
          <w:iCs/>
          <w:color w:val="0046AD"/>
          <w:sz w:val="20"/>
          <w:szCs w:val="20"/>
        </w:rPr>
        <w:t>Casualty Program Insurance Reserves Rollforward</w:t>
      </w:r>
    </w:p>
    <w:tbl>
      <w:tblPr>
        <w:tblW w:w="5000" w:type="pct"/>
        <w:tblCellMar>
          <w:top w:w="15" w:type="dxa"/>
          <w:left w:w="15" w:type="dxa"/>
          <w:bottom w:w="15" w:type="dxa"/>
          <w:right w:w="15" w:type="dxa"/>
        </w:tblCellMar>
        <w:tblLook w:val="04A0" w:firstRow="1" w:lastRow="0" w:firstColumn="1" w:lastColumn="0" w:noHBand="0" w:noVBand="1"/>
      </w:tblPr>
      <w:tblGrid>
        <w:gridCol w:w="40"/>
        <w:gridCol w:w="4487"/>
        <w:gridCol w:w="38"/>
        <w:gridCol w:w="36"/>
        <w:gridCol w:w="36"/>
        <w:gridCol w:w="36"/>
        <w:gridCol w:w="132"/>
        <w:gridCol w:w="963"/>
        <w:gridCol w:w="36"/>
        <w:gridCol w:w="36"/>
        <w:gridCol w:w="36"/>
        <w:gridCol w:w="36"/>
        <w:gridCol w:w="132"/>
        <w:gridCol w:w="974"/>
        <w:gridCol w:w="36"/>
        <w:gridCol w:w="36"/>
        <w:gridCol w:w="36"/>
        <w:gridCol w:w="36"/>
        <w:gridCol w:w="132"/>
        <w:gridCol w:w="976"/>
        <w:gridCol w:w="36"/>
      </w:tblGrid>
      <w:tr w:rsidR="00000000">
        <w:trPr>
          <w:divId w:val="1757821753"/>
        </w:trPr>
        <w:tc>
          <w:tcPr>
            <w:tcW w:w="50" w:type="pct"/>
            <w:vAlign w:val="center"/>
            <w:hideMark/>
          </w:tcPr>
          <w:p w:rsidR="00000000" w:rsidRDefault="00485CCD">
            <w:pPr>
              <w:jc w:val="both"/>
              <w:rPr>
                <w:rFonts w:eastAsia="Times New Roman"/>
              </w:rPr>
            </w:pPr>
          </w:p>
        </w:tc>
        <w:tc>
          <w:tcPr>
            <w:tcW w:w="27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3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4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4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57821753"/>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757821753"/>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75782175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Net balance at beginning of year</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427.7 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FFFFFF"/>
            <w:tcMar>
              <w:top w:w="30" w:type="dxa"/>
              <w:left w:w="20" w:type="dxa"/>
              <w:bottom w:w="30" w:type="dxa"/>
              <w:right w:w="20" w:type="dxa"/>
            </w:tcMar>
            <w:vAlign w:val="bottom"/>
            <w:hideMark/>
          </w:tcPr>
          <w:p w:rsidR="00000000" w:rsidRDefault="00485CCD">
            <w:pPr>
              <w:divId w:val="1703439474"/>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current year</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117.9 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128.5 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137.9 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DCE2EF"/>
            <w:tcMar>
              <w:top w:w="30" w:type="dxa"/>
              <w:left w:w="20" w:type="dxa"/>
              <w:bottom w:w="30" w:type="dxa"/>
              <w:right w:w="20" w:type="dxa"/>
            </w:tcMar>
            <w:vAlign w:val="bottom"/>
            <w:hideMark/>
          </w:tcPr>
          <w:p w:rsidR="00000000" w:rsidRDefault="00485CCD">
            <w:pPr>
              <w:divId w:val="1731660047"/>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prior years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Claims paid</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(99.8)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(106.8)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(119.1)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DCE2EF"/>
            <w:tcMar>
              <w:top w:w="30" w:type="dxa"/>
              <w:left w:w="20" w:type="dxa"/>
              <w:bottom w:w="30" w:type="dxa"/>
              <w:right w:w="20" w:type="dxa"/>
            </w:tcMar>
            <w:vAlign w:val="bottom"/>
            <w:hideMark/>
          </w:tcPr>
          <w:p w:rsidR="00000000" w:rsidRDefault="00485CCD">
            <w:pPr>
              <w:divId w:val="525410423"/>
              <w:rPr>
                <w:rFonts w:eastAsia="Times New Roman"/>
              </w:rPr>
            </w:pPr>
            <w:r>
              <w:rPr>
                <w:rFonts w:ascii="Arial" w:eastAsia="Times New Roman" w:hAnsi="Arial" w:cs="Arial"/>
                <w:color w:val="000000"/>
                <w:sz w:val="20"/>
                <w:szCs w:val="20"/>
              </w:rPr>
              <w:t>Acquisitio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91.6 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FFFFFF"/>
            <w:tcMar>
              <w:top w:w="30" w:type="dxa"/>
              <w:left w:w="20" w:type="dxa"/>
              <w:bottom w:w="30" w:type="dxa"/>
              <w:right w:w="20" w:type="dxa"/>
            </w:tcMar>
            <w:vAlign w:val="bottom"/>
            <w:hideMark/>
          </w:tcPr>
          <w:p w:rsidR="00000000" w:rsidRDefault="00485CCD">
            <w:pPr>
              <w:divId w:val="411781849"/>
              <w:rPr>
                <w:rFonts w:eastAsia="Times New Roman"/>
              </w:rPr>
            </w:pPr>
            <w:r>
              <w:rPr>
                <w:rFonts w:ascii="Arial" w:eastAsia="Times New Roman" w:hAnsi="Arial" w:cs="Arial"/>
                <w:b/>
                <w:bCs/>
                <w:color w:val="000000"/>
                <w:sz w:val="20"/>
                <w:szCs w:val="20"/>
              </w:rPr>
              <w:t>Net balance, October 3</w:t>
            </w:r>
            <w:r>
              <w:rPr>
                <w:rFonts w:ascii="Arial" w:eastAsia="Times New Roman" w:hAnsi="Arial" w:cs="Arial"/>
                <w:b/>
                <w:bCs/>
                <w:color w:val="000000"/>
                <w:sz w:val="20"/>
                <w:szCs w:val="20"/>
              </w:rPr>
              <w:t>1</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Recoverables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70.1 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64.5 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57821753"/>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Gross balance, October 31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593403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During 2021, insurance reserves increased as a result of the Able Acquisition. See Note 4, “Acquisitions,” for additional information.</w:t>
      </w:r>
    </w:p>
    <w:p w:rsidR="00000000" w:rsidRDefault="00485CCD">
      <w:pPr>
        <w:ind w:hanging="180"/>
        <w:jc w:val="both"/>
        <w:divId w:val="72838439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reserves related to discontinued operations of approximately $0.3 million for 2021, $0.5 million for 2020, a</w:t>
      </w:r>
      <w:r>
        <w:rPr>
          <w:rFonts w:ascii="Arial" w:eastAsia="Times New Roman" w:hAnsi="Arial" w:cs="Arial"/>
          <w:color w:val="000000"/>
          <w:sz w:val="18"/>
          <w:szCs w:val="18"/>
        </w:rPr>
        <w:t xml:space="preserve">nd $1.0 million for 2019. </w:t>
      </w:r>
    </w:p>
    <w:p w:rsidR="00000000" w:rsidRDefault="00485CCD">
      <w:pPr>
        <w:divId w:val="2012559774"/>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1"/>
        <w:gridCol w:w="38"/>
        <w:gridCol w:w="132"/>
        <w:gridCol w:w="1282"/>
        <w:gridCol w:w="36"/>
        <w:gridCol w:w="36"/>
        <w:gridCol w:w="36"/>
        <w:gridCol w:w="36"/>
        <w:gridCol w:w="132"/>
        <w:gridCol w:w="1242"/>
        <w:gridCol w:w="36"/>
      </w:tblGrid>
      <w:tr w:rsidR="00000000">
        <w:trPr>
          <w:divId w:val="372848196"/>
        </w:trPr>
        <w:tc>
          <w:tcPr>
            <w:tcW w:w="50" w:type="pct"/>
            <w:vAlign w:val="center"/>
            <w:hideMark/>
          </w:tcPr>
          <w:p w:rsidR="00000000" w:rsidRDefault="00485CCD">
            <w:pPr>
              <w:rPr>
                <w:rFonts w:eastAsia="Times New Roman"/>
              </w:rPr>
            </w:pPr>
          </w:p>
        </w:tc>
        <w:tc>
          <w:tcPr>
            <w:tcW w:w="319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372848196"/>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372848196"/>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37284819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Standby letters of credit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372848196"/>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Surety bonds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37284819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372848196"/>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855993457"/>
        <w:rPr>
          <w:rFonts w:eastAsia="Times New Roman"/>
        </w:rPr>
      </w:pPr>
    </w:p>
    <w:p w:rsidR="00000000" w:rsidRDefault="00485CCD">
      <w:pPr>
        <w:divId w:val="335037665"/>
        <w:rPr>
          <w:rFonts w:eastAsia="Times New Roman"/>
        </w:rPr>
      </w:pPr>
      <w:r>
        <w:rPr>
          <w:rFonts w:ascii="Arial" w:eastAsia="Times New Roman" w:hAnsi="Arial" w:cs="Arial"/>
          <w:b/>
          <w:bCs/>
          <w:color w:val="0046AD"/>
          <w:sz w:val="20"/>
          <w:szCs w:val="20"/>
        </w:rPr>
        <w:t>11. 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67836050"/>
        </w:trPr>
        <w:tc>
          <w:tcPr>
            <w:tcW w:w="5" w:type="pct"/>
            <w:vAlign w:val="center"/>
            <w:hideMark/>
          </w:tcPr>
          <w:p w:rsidR="00000000" w:rsidRDefault="00485CCD">
            <w:pPr>
              <w:rPr>
                <w:rFonts w:eastAsia="Times New Roman"/>
              </w:rPr>
            </w:pPr>
          </w:p>
        </w:tc>
        <w:tc>
          <w:tcPr>
            <w:tcW w:w="12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67836050"/>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985935470"/>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revolving line of credit and an $800.0 million amortizing term</w:t>
      </w:r>
      <w:r>
        <w:rPr>
          <w:rFonts w:ascii="Arial" w:eastAsia="Times New Roman" w:hAnsi="Arial" w:cs="Arial"/>
          <w:color w:val="000000"/>
          <w:sz w:val="20"/>
          <w:szCs w:val="20"/>
        </w:rPr>
        <w:t xml:space="preserve"> loan, both of which are scheduled to mature on September 1, 2022. In accordance with the terms of the Credit Facility, the revolving line of credit was reduced to $800.0 million on September 1, 2018. In late March 2020, we borrowed approximately $300 mill</w:t>
      </w:r>
      <w:r>
        <w:rPr>
          <w:rFonts w:ascii="Arial" w:eastAsia="Times New Roman" w:hAnsi="Arial" w:cs="Arial"/>
          <w:color w:val="000000"/>
          <w:sz w:val="20"/>
          <w:szCs w:val="20"/>
        </w:rPr>
        <w:t>ion as a precautionary measure to provide increased liquidity and preserve financial flexibility in response to uncertainty resulting from the Pandemic. This represented all remaining amounts then available under the revolving line of credit. During the qu</w:t>
      </w:r>
      <w:r>
        <w:rPr>
          <w:rFonts w:ascii="Arial" w:eastAsia="Times New Roman" w:hAnsi="Arial" w:cs="Arial"/>
          <w:color w:val="000000"/>
          <w:sz w:val="20"/>
          <w:szCs w:val="20"/>
        </w:rPr>
        <w:t xml:space="preserve">arter ended July 31, 2020, the Company repaid substantially all of these amounts borrowed under the revolving line of credit without penalty. </w:t>
      </w:r>
    </w:p>
    <w:p w:rsidR="00000000" w:rsidRDefault="00485CCD">
      <w:pPr>
        <w:ind w:firstLine="720"/>
        <w:jc w:val="both"/>
        <w:divId w:val="1430661566"/>
        <w:rPr>
          <w:rFonts w:eastAsia="Times New Roman"/>
        </w:rPr>
      </w:pPr>
      <w:r>
        <w:rPr>
          <w:rFonts w:ascii="Arial" w:eastAsia="Times New Roman" w:hAnsi="Arial" w:cs="Arial"/>
          <w:color w:val="000000"/>
          <w:sz w:val="20"/>
          <w:szCs w:val="20"/>
        </w:rPr>
        <w:t>On May 28, 2020, we amended our Credit Facility with the First Amendment to further enhance our financial flexibi</w:t>
      </w:r>
      <w:r>
        <w:rPr>
          <w:rFonts w:ascii="Arial" w:eastAsia="Times New Roman" w:hAnsi="Arial" w:cs="Arial"/>
          <w:color w:val="000000"/>
          <w:sz w:val="20"/>
          <w:szCs w:val="20"/>
        </w:rPr>
        <w:t xml:space="preserve">lity as a precautionary measure in response to uncertainty arising from the Pandemic. The First Amendment modified the financial covenants under the Credit Facility, including: (i) replacing a maximum total leverage ratio with a maximum total net leverage </w:t>
      </w:r>
      <w:r>
        <w:rPr>
          <w:rFonts w:ascii="Arial" w:eastAsia="Times New Roman" w:hAnsi="Arial" w:cs="Arial"/>
          <w:color w:val="000000"/>
          <w:sz w:val="20"/>
          <w:szCs w:val="20"/>
        </w:rPr>
        <w:t xml:space="preserve">ratio that varies on a quarterly basis and adjusted to 6.50 to 1.00 by the quarter ending October 31, 2020, and back to 4.00 to 1.00 by the quarter ending October 31, 2022; (ii) modifying the minimum fixed charge coverage ratio on a quarterly basis, which </w:t>
      </w:r>
      <w:r>
        <w:rPr>
          <w:rFonts w:ascii="Arial" w:eastAsia="Times New Roman" w:hAnsi="Arial" w:cs="Arial"/>
          <w:color w:val="000000"/>
          <w:sz w:val="20"/>
          <w:szCs w:val="20"/>
        </w:rPr>
        <w:t xml:space="preserve">adjusts to 1.25 to 1.00 as of the quarter ending </w:t>
      </w:r>
    </w:p>
    <w:p w:rsidR="00000000" w:rsidRDefault="00485CCD">
      <w:pPr>
        <w:jc w:val="center"/>
        <w:divId w:val="1604192330"/>
        <w:rPr>
          <w:rFonts w:eastAsia="Times New Roman"/>
        </w:rPr>
      </w:pPr>
      <w:r>
        <w:rPr>
          <w:rFonts w:ascii="Arial" w:eastAsia="Times New Roman" w:hAnsi="Arial" w:cs="Arial"/>
          <w:color w:val="000000"/>
          <w:sz w:val="20"/>
          <w:szCs w:val="20"/>
        </w:rPr>
        <w:t>76</w:t>
      </w:r>
    </w:p>
    <w:p w:rsidR="00000000" w:rsidRDefault="00485CCD">
      <w:pPr>
        <w:rPr>
          <w:rFonts w:eastAsia="Times New Roman"/>
        </w:rPr>
      </w:pPr>
      <w:r>
        <w:rPr>
          <w:rFonts w:eastAsia="Times New Roman"/>
        </w:rPr>
        <w:pict>
          <v:rect id="_x0000_i1113" style="width:0;height:1.5pt" o:hralign="center" o:hrstd="t" o:hr="t" fillcolor="#a0a0a0" stroked="f"/>
        </w:pict>
      </w:r>
    </w:p>
    <w:p w:rsidR="00000000" w:rsidRDefault="00485CCD">
      <w:pPr>
        <w:divId w:val="1295255800"/>
        <w:rPr>
          <w:rFonts w:eastAsia="Times New Roman"/>
        </w:rPr>
      </w:pPr>
    </w:p>
    <w:p w:rsidR="00000000" w:rsidRDefault="00485CCD">
      <w:pPr>
        <w:jc w:val="both"/>
        <w:divId w:val="170993612"/>
        <w:rPr>
          <w:rFonts w:eastAsia="Times New Roman"/>
        </w:rPr>
      </w:pPr>
      <w:r>
        <w:rPr>
          <w:rFonts w:ascii="Arial" w:eastAsia="Times New Roman" w:hAnsi="Arial" w:cs="Arial"/>
          <w:color w:val="000000"/>
          <w:sz w:val="20"/>
          <w:szCs w:val="20"/>
        </w:rPr>
        <w:t>April 30, 2022; and (iii) adding a minimum liquidity (defined in the Amendment as domestic cash plus available revolving loans) of $250.0 million. These financial c</w:t>
      </w:r>
      <w:r>
        <w:rPr>
          <w:rFonts w:ascii="Arial" w:eastAsia="Times New Roman" w:hAnsi="Arial" w:cs="Arial"/>
          <w:color w:val="000000"/>
          <w:sz w:val="20"/>
          <w:szCs w:val="20"/>
        </w:rPr>
        <w:t xml:space="preserve">ovenants were effective with the quarter ended April 30, 2020. </w:t>
      </w:r>
    </w:p>
    <w:p w:rsidR="00000000" w:rsidRDefault="00485CCD">
      <w:pPr>
        <w:ind w:firstLine="720"/>
        <w:jc w:val="both"/>
        <w:divId w:val="1188174806"/>
        <w:rPr>
          <w:rFonts w:eastAsia="Times New Roman"/>
        </w:rPr>
      </w:pPr>
      <w:r>
        <w:rPr>
          <w:rFonts w:ascii="Arial" w:eastAsia="Times New Roman" w:hAnsi="Arial" w:cs="Arial"/>
          <w:color w:val="000000"/>
          <w:sz w:val="20"/>
          <w:szCs w:val="20"/>
        </w:rPr>
        <w:t>The First Amendment changed the interest rate, interest margins, and commitment fees applicable to loans and commitments under the Credit Facility. It also added a new anti-cash hoarding manda</w:t>
      </w:r>
      <w:r>
        <w:rPr>
          <w:rFonts w:ascii="Arial" w:eastAsia="Times New Roman" w:hAnsi="Arial" w:cs="Arial"/>
          <w:color w:val="000000"/>
          <w:sz w:val="20"/>
          <w:szCs w:val="20"/>
        </w:rPr>
        <w:t>tory prepayment that required us to repay outstanding revolving loans or swingline loans if at any time we have in excess of $250 million of cash and cash equivalents on our balance sheet. The First Amendment made certain additional changes to the negative</w:t>
      </w:r>
      <w:r>
        <w:rPr>
          <w:rFonts w:ascii="Arial" w:eastAsia="Times New Roman" w:hAnsi="Arial" w:cs="Arial"/>
          <w:color w:val="000000"/>
          <w:sz w:val="20"/>
          <w:szCs w:val="20"/>
        </w:rPr>
        <w:t xml:space="preserve"> covenants restrictions under the Credit Facility, including, subject to certain exceptions, restrictions on our ability to make acquisitions, share repurchases, and other defined restricted payments, depending on our total net leverage ratio.</w:t>
      </w:r>
    </w:p>
    <w:p w:rsidR="00000000" w:rsidRDefault="00485CCD">
      <w:pPr>
        <w:ind w:firstLine="720"/>
        <w:jc w:val="both"/>
        <w:divId w:val="1828470811"/>
        <w:rPr>
          <w:rFonts w:eastAsia="Times New Roman"/>
        </w:rPr>
      </w:pPr>
      <w:r>
        <w:rPr>
          <w:rFonts w:ascii="Arial" w:eastAsia="Times New Roman" w:hAnsi="Arial" w:cs="Arial"/>
          <w:color w:val="000000"/>
          <w:sz w:val="20"/>
          <w:szCs w:val="20"/>
        </w:rPr>
        <w:t>Prior to the</w:t>
      </w:r>
      <w:r>
        <w:rPr>
          <w:rFonts w:ascii="Arial" w:eastAsia="Times New Roman" w:hAnsi="Arial" w:cs="Arial"/>
          <w:color w:val="000000"/>
          <w:sz w:val="20"/>
          <w:szCs w:val="20"/>
        </w:rPr>
        <w:t xml:space="preserve"> First Amendment, borrowings under the Credit Facility bore interest at a rate equal to one-month LIBOR plus a spread that was based upon our leverage ratio. The spread ranged from 1.00% to 2.25% for Eurocurrency loans and 0.00% to 1.25% for base rate loan</w:t>
      </w:r>
      <w:r>
        <w:rPr>
          <w:rFonts w:ascii="Arial" w:eastAsia="Times New Roman" w:hAnsi="Arial" w:cs="Arial"/>
          <w:color w:val="000000"/>
          <w:sz w:val="20"/>
          <w:szCs w:val="20"/>
        </w:rPr>
        <w:t>s. We were also charged a commitment fee, which was paid quarterly in arrears and was based on our leverage ratio, that ranged from 0.200% to 0.350% on the average daily unused portion of the revolving line of credit. For purposes of this calculation, irre</w:t>
      </w:r>
      <w:r>
        <w:rPr>
          <w:rFonts w:ascii="Arial" w:eastAsia="Times New Roman" w:hAnsi="Arial" w:cs="Arial"/>
          <w:color w:val="000000"/>
          <w:sz w:val="20"/>
          <w:szCs w:val="20"/>
        </w:rPr>
        <w:t>vocable standby letters of credit, which are issued primarily in conjunction with our insurance programs, and cash borrowings were included as outstanding under the line of credit.</w:t>
      </w:r>
    </w:p>
    <w:p w:rsidR="00000000" w:rsidRDefault="00485CCD">
      <w:pPr>
        <w:ind w:firstLine="720"/>
        <w:jc w:val="both"/>
        <w:divId w:val="1998225055"/>
        <w:rPr>
          <w:rFonts w:eastAsia="Times New Roman"/>
        </w:rPr>
      </w:pPr>
      <w:r>
        <w:rPr>
          <w:rFonts w:ascii="Arial" w:eastAsia="Times New Roman" w:hAnsi="Arial" w:cs="Arial"/>
          <w:color w:val="000000"/>
          <w:sz w:val="20"/>
          <w:szCs w:val="20"/>
        </w:rPr>
        <w:t>Subsequent to the First Amendment, borrowings under the Credit Facility bor</w:t>
      </w:r>
      <w:r>
        <w:rPr>
          <w:rFonts w:ascii="Arial" w:eastAsia="Times New Roman" w:hAnsi="Arial" w:cs="Arial"/>
          <w:color w:val="000000"/>
          <w:sz w:val="20"/>
          <w:szCs w:val="20"/>
        </w:rPr>
        <w:t>e interest at a rate equal to one-month LIBOR plus a spread that is based upon our total leverage ratio. The spread ranged from 1.00% to 2.75% for revolving Eurocurrency loans and 0.00% to 1.75% for revolving base rate loans. We were also charged a commitm</w:t>
      </w:r>
      <w:r>
        <w:rPr>
          <w:rFonts w:ascii="Arial" w:eastAsia="Times New Roman" w:hAnsi="Arial" w:cs="Arial"/>
          <w:color w:val="000000"/>
          <w:sz w:val="20"/>
          <w:szCs w:val="20"/>
        </w:rPr>
        <w:t>ent fee, which was paid quarterly in arrears and was based on our total leverage ratio, that ranges from 0.200% to 0.450% on the average daily unused portion of the revolving line of credit.</w:t>
      </w:r>
    </w:p>
    <w:p w:rsidR="00000000" w:rsidRDefault="00485CCD">
      <w:pPr>
        <w:ind w:firstLine="720"/>
        <w:jc w:val="both"/>
        <w:divId w:val="1467968317"/>
        <w:rPr>
          <w:rFonts w:eastAsia="Times New Roman"/>
        </w:rPr>
      </w:pPr>
      <w:r>
        <w:rPr>
          <w:rFonts w:ascii="Arial" w:eastAsia="Times New Roman" w:hAnsi="Arial" w:cs="Arial"/>
          <w:color w:val="000000"/>
          <w:sz w:val="20"/>
          <w:szCs w:val="20"/>
        </w:rPr>
        <w:t>On June 28, 2021, the Company amended and restated the Credit Fac</w:t>
      </w:r>
      <w:r>
        <w:rPr>
          <w:rFonts w:ascii="Arial" w:eastAsia="Times New Roman" w:hAnsi="Arial" w:cs="Arial"/>
          <w:color w:val="000000"/>
          <w:sz w:val="20"/>
          <w:szCs w:val="20"/>
        </w:rPr>
        <w:t>ility with the Second Amendment, extending the maturity date to June 28, 2026, and increasing the capacity of the revolving credit facility from $800.0 million to $1.3 billion and the-then remaining term loan outstanding from $620.0 million to $650.0 milli</w:t>
      </w:r>
      <w:r>
        <w:rPr>
          <w:rFonts w:ascii="Arial" w:eastAsia="Times New Roman" w:hAnsi="Arial" w:cs="Arial"/>
          <w:color w:val="000000"/>
          <w:sz w:val="20"/>
          <w:szCs w:val="20"/>
        </w:rPr>
        <w:t>on. The Second Amendment also removed the anti-cash hoarding mandatory prepayment requirement under the First Amendment as well as other restrictions that limited our ability to make acquisitions, share repurchases, and other defined restricted payments. A</w:t>
      </w:r>
      <w:r>
        <w:rPr>
          <w:rFonts w:ascii="Arial" w:eastAsia="Times New Roman" w:hAnsi="Arial" w:cs="Arial"/>
          <w:color w:val="000000"/>
          <w:sz w:val="20"/>
          <w:szCs w:val="20"/>
        </w:rPr>
        <w:t xml:space="preserve">dditionally, the Second Amendment modified certain financial covenants, terms, interest rates, interest margins, and commitment fees applicable to loans and commitments under the prior Credit Facility. The Amended Credit Facility provides for the issuance </w:t>
      </w:r>
      <w:r>
        <w:rPr>
          <w:rFonts w:ascii="Arial" w:eastAsia="Times New Roman" w:hAnsi="Arial" w:cs="Arial"/>
          <w:color w:val="000000"/>
          <w:sz w:val="20"/>
          <w:szCs w:val="20"/>
        </w:rPr>
        <w:t>of up to $350.0 million for standby letters of credit and the issuance of up to $75.0 million in swingline advances. The obligations under the Amended Credit Facility are secured on a first-priority basis by a lien on substantially all of our assets and pr</w:t>
      </w:r>
      <w:r>
        <w:rPr>
          <w:rFonts w:ascii="Arial" w:eastAsia="Times New Roman" w:hAnsi="Arial" w:cs="Arial"/>
          <w:color w:val="000000"/>
          <w:sz w:val="20"/>
          <w:szCs w:val="20"/>
        </w:rPr>
        <w:t xml:space="preserve">operties, subject to certain exceptions. Additionally, we may repay amounts borrowed under the Amended Credit Facility at any time without penalty. </w:t>
      </w:r>
    </w:p>
    <w:p w:rsidR="00000000" w:rsidRDefault="00485CCD">
      <w:pPr>
        <w:ind w:firstLine="720"/>
        <w:jc w:val="both"/>
        <w:divId w:val="490025531"/>
        <w:rPr>
          <w:rFonts w:eastAsia="Times New Roman"/>
        </w:rPr>
      </w:pPr>
      <w:r>
        <w:rPr>
          <w:rFonts w:ascii="Arial" w:eastAsia="Times New Roman" w:hAnsi="Arial" w:cs="Arial"/>
          <w:color w:val="000000"/>
          <w:sz w:val="20"/>
          <w:szCs w:val="20"/>
        </w:rPr>
        <w:t xml:space="preserve">Under the Amended Credit Facility, the term loan and U.S.-dollar-denominated borrowings under the revolver </w:t>
      </w:r>
      <w:r>
        <w:rPr>
          <w:rFonts w:ascii="Arial" w:eastAsia="Times New Roman" w:hAnsi="Arial" w:cs="Arial"/>
          <w:color w:val="000000"/>
          <w:sz w:val="20"/>
          <w:szCs w:val="20"/>
        </w:rPr>
        <w:t>bear interest at a rate equal to one-month LIBOR plus a spread based upon our leverage ratio. Euro- and sterling-denominated borrowings under the revolver bear at a rate equal to the EURIBOR and the SONIA reference rates, respectively, plus a spread that i</w:t>
      </w:r>
      <w:r>
        <w:rPr>
          <w:rFonts w:ascii="Arial" w:eastAsia="Times New Roman" w:hAnsi="Arial" w:cs="Arial"/>
          <w:color w:val="000000"/>
          <w:sz w:val="20"/>
          <w:szCs w:val="20"/>
        </w:rPr>
        <w:t>s based upon our leverage ratio. The spread ranges from 1.375% to 2.250% for Eurocurrency loans and 0.375% to 1.250% for base rate loans. At October 31, 2021, the weighted average interest rate on our outstanding borrowings was 1.59%. We also pay a commitm</w:t>
      </w:r>
      <w:r>
        <w:rPr>
          <w:rFonts w:ascii="Arial" w:eastAsia="Times New Roman" w:hAnsi="Arial" w:cs="Arial"/>
          <w:color w:val="000000"/>
          <w:sz w:val="20"/>
          <w:szCs w:val="20"/>
        </w:rPr>
        <w:t>ent fee, based on our leverage ratio and payable quarterly in arrears, ranging from 0.20% to 0.40% on the average daily unused portion of the line of credit. For purposes of this calculation, irrevocable standby letters of credit, which are issued primaril</w:t>
      </w:r>
      <w:r>
        <w:rPr>
          <w:rFonts w:ascii="Arial" w:eastAsia="Times New Roman" w:hAnsi="Arial" w:cs="Arial"/>
          <w:color w:val="000000"/>
          <w:sz w:val="20"/>
          <w:szCs w:val="20"/>
        </w:rPr>
        <w:t>y in conjunction with our insurance programs, and cash borrowings are included as outstanding under the line of credit.</w:t>
      </w:r>
    </w:p>
    <w:p w:rsidR="00000000" w:rsidRDefault="00485CCD">
      <w:pPr>
        <w:ind w:firstLine="720"/>
        <w:jc w:val="both"/>
        <w:divId w:val="167603811"/>
        <w:rPr>
          <w:rFonts w:eastAsia="Times New Roman"/>
        </w:rPr>
      </w:pPr>
      <w:r>
        <w:rPr>
          <w:rFonts w:ascii="Arial" w:eastAsia="Times New Roman" w:hAnsi="Arial" w:cs="Arial"/>
          <w:color w:val="000000"/>
          <w:sz w:val="20"/>
          <w:szCs w:val="20"/>
        </w:rPr>
        <w:t xml:space="preserve">The Amended Credit Facility contains certain covenants, including a maximum total net leverage ratio of 5.00 to 1.00, a maximum secured </w:t>
      </w:r>
      <w:r>
        <w:rPr>
          <w:rFonts w:ascii="Arial" w:eastAsia="Times New Roman" w:hAnsi="Arial" w:cs="Arial"/>
          <w:color w:val="000000"/>
          <w:sz w:val="20"/>
          <w:szCs w:val="20"/>
        </w:rPr>
        <w:t>net leverage ratio of 4.00 to 1.00, and a minimum interest coverage ratio of 1.50 to 1.00, as well as other financial and non-financial covenants. In the event of a material acquisition, as defined in the Amended Credit Facility, we may elect to increase t</w:t>
      </w:r>
      <w:r>
        <w:rPr>
          <w:rFonts w:ascii="Arial" w:eastAsia="Times New Roman" w:hAnsi="Arial" w:cs="Arial"/>
          <w:color w:val="000000"/>
          <w:sz w:val="20"/>
          <w:szCs w:val="20"/>
        </w:rPr>
        <w:t>he maximum total net leverage ratio to 5.50 to 1.00 for a total of four fiscal quarters and increase the maximum secured net leverage ratio to 4.50 to 1.00 for a total of four fiscal quarters. We did not make this election for the Able Acquisition. Our bor</w:t>
      </w:r>
      <w:r>
        <w:rPr>
          <w:rFonts w:ascii="Arial" w:eastAsia="Times New Roman" w:hAnsi="Arial" w:cs="Arial"/>
          <w:color w:val="000000"/>
          <w:sz w:val="20"/>
          <w:szCs w:val="20"/>
        </w:rPr>
        <w:t xml:space="preserve">rowing capacity is subject to, and limited by, compliance with the covenants described above. At October 31, 2021, we were in compliance with these covenants. </w:t>
      </w:r>
    </w:p>
    <w:p w:rsidR="00000000" w:rsidRDefault="00485CCD">
      <w:pPr>
        <w:ind w:firstLine="720"/>
        <w:jc w:val="both"/>
        <w:divId w:val="22830863"/>
        <w:rPr>
          <w:rFonts w:eastAsia="Times New Roman"/>
        </w:rPr>
      </w:pPr>
      <w:r>
        <w:rPr>
          <w:rFonts w:ascii="Arial" w:eastAsia="Times New Roman" w:hAnsi="Arial" w:cs="Arial"/>
          <w:color w:val="000000"/>
          <w:sz w:val="20"/>
          <w:szCs w:val="20"/>
        </w:rPr>
        <w:t>The Amended Credit Facility also includes customary events of default, including: failure to pay</w:t>
      </w:r>
      <w:r>
        <w:rPr>
          <w:rFonts w:ascii="Arial" w:eastAsia="Times New Roman" w:hAnsi="Arial" w:cs="Arial"/>
          <w:color w:val="000000"/>
          <w:sz w:val="20"/>
          <w:szCs w:val="20"/>
        </w:rPr>
        <w:t xml:space="preserve"> principal, interest, or fees when due, failure to comply with covenants; the occurrence of certain material judgments; and a change in control of the Company. If certain events of default occur, including certain cross-defaults, insolvency, change in cont</w:t>
      </w:r>
      <w:r>
        <w:rPr>
          <w:rFonts w:ascii="Arial" w:eastAsia="Times New Roman" w:hAnsi="Arial" w:cs="Arial"/>
          <w:color w:val="000000"/>
          <w:sz w:val="20"/>
          <w:szCs w:val="20"/>
        </w:rPr>
        <w:t xml:space="preserve">rol, or violation of specific covenants, then the lenders can terminate or suspend our access to the </w:t>
      </w:r>
    </w:p>
    <w:p w:rsidR="00000000" w:rsidRDefault="00485CCD">
      <w:pPr>
        <w:jc w:val="center"/>
        <w:divId w:val="1597203226"/>
        <w:rPr>
          <w:rFonts w:eastAsia="Times New Roman"/>
        </w:rPr>
      </w:pPr>
      <w:r>
        <w:rPr>
          <w:rFonts w:ascii="Arial" w:eastAsia="Times New Roman" w:hAnsi="Arial" w:cs="Arial"/>
          <w:color w:val="000000"/>
          <w:sz w:val="20"/>
          <w:szCs w:val="20"/>
        </w:rPr>
        <w:t>77</w:t>
      </w:r>
    </w:p>
    <w:p w:rsidR="00000000" w:rsidRDefault="00485CCD">
      <w:pPr>
        <w:rPr>
          <w:rFonts w:eastAsia="Times New Roman"/>
        </w:rPr>
      </w:pPr>
      <w:r>
        <w:rPr>
          <w:rFonts w:eastAsia="Times New Roman"/>
        </w:rPr>
        <w:pict>
          <v:rect id="_x0000_i1114" style="width:0;height:1.5pt" o:hralign="center" o:hrstd="t" o:hr="t" fillcolor="#a0a0a0" stroked="f"/>
        </w:pict>
      </w:r>
    </w:p>
    <w:p w:rsidR="00000000" w:rsidRDefault="00485CCD">
      <w:pPr>
        <w:divId w:val="1440831977"/>
        <w:rPr>
          <w:rFonts w:eastAsia="Times New Roman"/>
        </w:rPr>
      </w:pPr>
    </w:p>
    <w:p w:rsidR="00000000" w:rsidRDefault="00485CCD">
      <w:pPr>
        <w:jc w:val="both"/>
        <w:divId w:val="110787532"/>
        <w:rPr>
          <w:rFonts w:eastAsia="Times New Roman"/>
        </w:rPr>
      </w:pPr>
      <w:r>
        <w:rPr>
          <w:rFonts w:ascii="Arial" w:eastAsia="Times New Roman" w:hAnsi="Arial" w:cs="Arial"/>
          <w:color w:val="000000"/>
          <w:sz w:val="20"/>
          <w:szCs w:val="20"/>
        </w:rPr>
        <w:t>Amended Credit Facility, declare all amounts outstanding (including all accrued interest and unpaid fees) to be immediately due and payable, and require that we cash collateralize the outstanding standby letters of credit.</w:t>
      </w:r>
    </w:p>
    <w:p w:rsidR="00000000" w:rsidRDefault="00485CCD">
      <w:pPr>
        <w:ind w:firstLine="720"/>
        <w:jc w:val="both"/>
        <w:divId w:val="1679114525"/>
        <w:rPr>
          <w:rFonts w:eastAsia="Times New Roman"/>
        </w:rPr>
      </w:pPr>
      <w:r>
        <w:rPr>
          <w:rFonts w:ascii="Arial" w:eastAsia="Times New Roman" w:hAnsi="Arial" w:cs="Arial"/>
          <w:color w:val="000000"/>
          <w:sz w:val="20"/>
          <w:szCs w:val="20"/>
        </w:rPr>
        <w:t>We incurred deferred financing co</w:t>
      </w:r>
      <w:r>
        <w:rPr>
          <w:rFonts w:ascii="Arial" w:eastAsia="Times New Roman" w:hAnsi="Arial" w:cs="Arial"/>
          <w:color w:val="000000"/>
          <w:sz w:val="20"/>
          <w:szCs w:val="20"/>
        </w:rPr>
        <w:t>sts of $6.4 million in conjunction with the Second Amendment and carried over $6.2 million of unamortized deferred financing from the initial execution, First Amendment, and previous amendments of the Credit Facility. Total deferred financing costs of $12.</w:t>
      </w:r>
      <w:r>
        <w:rPr>
          <w:rFonts w:ascii="Arial" w:eastAsia="Times New Roman" w:hAnsi="Arial" w:cs="Arial"/>
          <w:color w:val="000000"/>
          <w:sz w:val="20"/>
          <w:szCs w:val="20"/>
        </w:rPr>
        <w:t>6 million, consisting of $4.9 million related to the term loan and $7.7 million related to the revolver, are being amortized to interest expense over the term of the Amended Credit Facility.</w:t>
      </w:r>
    </w:p>
    <w:p w:rsidR="00000000" w:rsidRDefault="00485CCD">
      <w:pPr>
        <w:jc w:val="both"/>
        <w:divId w:val="146676115"/>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1"/>
        <w:gridCol w:w="5185"/>
        <w:gridCol w:w="40"/>
        <w:gridCol w:w="133"/>
        <w:gridCol w:w="1317"/>
        <w:gridCol w:w="36"/>
        <w:gridCol w:w="36"/>
        <w:gridCol w:w="36"/>
        <w:gridCol w:w="36"/>
        <w:gridCol w:w="133"/>
        <w:gridCol w:w="1277"/>
        <w:gridCol w:w="36"/>
      </w:tblGrid>
      <w:tr w:rsidR="00000000">
        <w:trPr>
          <w:divId w:val="633760126"/>
        </w:trPr>
        <w:tc>
          <w:tcPr>
            <w:tcW w:w="50" w:type="pct"/>
            <w:vAlign w:val="center"/>
            <w:hideMark/>
          </w:tcPr>
          <w:p w:rsidR="00000000" w:rsidRDefault="00485CCD">
            <w:pPr>
              <w:jc w:val="both"/>
              <w:rPr>
                <w:rFonts w:eastAsia="Times New Roman"/>
              </w:rPr>
            </w:pPr>
          </w:p>
        </w:tc>
        <w:tc>
          <w:tcPr>
            <w:tcW w:w="31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33760126"/>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October 31, 2020</w:t>
            </w:r>
          </w:p>
        </w:tc>
      </w:tr>
      <w:tr w:rsidR="00000000">
        <w:trPr>
          <w:divId w:val="63376012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portion of long-term debt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633760126"/>
        </w:trPr>
        <w:tc>
          <w:tcPr>
            <w:tcW w:w="0" w:type="auto"/>
            <w:gridSpan w:val="3"/>
            <w:shd w:val="clear" w:color="auto" w:fill="FFFFF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Gross term loan</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DCE2E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FFFFFF"/>
            <w:tcMar>
              <w:top w:w="30" w:type="dxa"/>
              <w:left w:w="51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Current portion of term loan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Height w:val="300"/>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633760126"/>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633760126"/>
        </w:trPr>
        <w:tc>
          <w:tcPr>
            <w:tcW w:w="0" w:type="auto"/>
            <w:gridSpan w:val="3"/>
            <w:shd w:val="clear" w:color="auto" w:fill="DCE2E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Gross term loan</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601.3 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560.0 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FFFFF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DCE2EF"/>
            <w:tcMar>
              <w:top w:w="30" w:type="dxa"/>
              <w:left w:w="51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noncurrent portion of term loan</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557.7 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FFFFFF"/>
            <w:tcMar>
              <w:top w:w="30" w:type="dxa"/>
              <w:left w:w="20" w:type="dxa"/>
              <w:bottom w:w="30" w:type="dxa"/>
              <w:right w:w="20" w:type="dxa"/>
            </w:tcMar>
            <w:vAlign w:val="bottom"/>
            <w:hideMark/>
          </w:tcPr>
          <w:p w:rsidR="00000000" w:rsidRDefault="00485CCD">
            <w:pPr>
              <w:divId w:val="743188148"/>
              <w:rPr>
                <w:rFonts w:eastAsia="Times New Roman"/>
              </w:rPr>
            </w:pPr>
            <w:r>
              <w:rPr>
                <w:rFonts w:ascii="Arial" w:eastAsia="Times New Roman" w:hAnsi="Arial" w:cs="Arial"/>
                <w:color w:val="000000"/>
                <w:sz w:val="20"/>
                <w:szCs w:val="20"/>
              </w:rPr>
              <w:t>Revolving line of credi</w:t>
            </w:r>
            <w:r>
              <w:rPr>
                <w:rFonts w:ascii="Arial" w:eastAsia="Times New Roman" w:hAnsi="Arial" w:cs="Arial"/>
                <w:color w:val="000000"/>
                <w:sz w:val="20"/>
                <w:szCs w:val="20"/>
              </w:rPr>
              <w:t>t</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33760126"/>
        </w:trPr>
        <w:tc>
          <w:tcPr>
            <w:tcW w:w="0" w:type="auto"/>
            <w:gridSpan w:val="3"/>
            <w:shd w:val="clear" w:color="auto" w:fill="DCE2EF"/>
            <w:tcMar>
              <w:top w:w="30" w:type="dxa"/>
              <w:left w:w="24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53754819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$167.7 million at October 31, 2021. </w:t>
      </w:r>
    </w:p>
    <w:p w:rsidR="00000000" w:rsidRDefault="00485CCD">
      <w:pPr>
        <w:ind w:hanging="180"/>
        <w:jc w:val="both"/>
        <w:divId w:val="99707662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At October 31, 2021, we had borrowing capacity of $875.0 million.</w:t>
      </w:r>
    </w:p>
    <w:p w:rsidR="00000000" w:rsidRDefault="00485CCD">
      <w:pPr>
        <w:divId w:val="835269101"/>
        <w:rPr>
          <w:rFonts w:eastAsia="Times New Roman"/>
        </w:rPr>
      </w:pPr>
      <w:r>
        <w:rPr>
          <w:rFonts w:ascii="Arial" w:eastAsia="Times New Roman" w:hAnsi="Arial" w:cs="Arial"/>
          <w:b/>
          <w:bCs/>
          <w:color w:val="0046AD"/>
          <w:sz w:val="20"/>
          <w:szCs w:val="20"/>
        </w:rPr>
        <w:t>Term Loan Maturities</w:t>
      </w:r>
    </w:p>
    <w:p w:rsidR="00000000" w:rsidRDefault="00485CCD">
      <w:pPr>
        <w:ind w:firstLine="720"/>
        <w:jc w:val="both"/>
        <w:divId w:val="1452357569"/>
        <w:rPr>
          <w:rFonts w:eastAsia="Times New Roman"/>
        </w:rPr>
      </w:pPr>
      <w:r>
        <w:rPr>
          <w:rFonts w:ascii="Arial" w:eastAsia="Times New Roman" w:hAnsi="Arial" w:cs="Arial"/>
          <w:color w:val="000000"/>
          <w:sz w:val="20"/>
          <w:szCs w:val="20"/>
        </w:rPr>
        <w:t>During 2021, we made principal payments under the term loan of $76.3 million. As of October 31, 2021,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2014"/>
        <w:gridCol w:w="36"/>
        <w:gridCol w:w="36"/>
        <w:gridCol w:w="36"/>
        <w:gridCol w:w="36"/>
        <w:gridCol w:w="132"/>
        <w:gridCol w:w="1003"/>
        <w:gridCol w:w="36"/>
        <w:gridCol w:w="36"/>
        <w:gridCol w:w="36"/>
        <w:gridCol w:w="36"/>
        <w:gridCol w:w="132"/>
        <w:gridCol w:w="1004"/>
        <w:gridCol w:w="36"/>
        <w:gridCol w:w="36"/>
        <w:gridCol w:w="36"/>
        <w:gridCol w:w="36"/>
        <w:gridCol w:w="132"/>
        <w:gridCol w:w="1004"/>
        <w:gridCol w:w="36"/>
        <w:gridCol w:w="36"/>
        <w:gridCol w:w="36"/>
        <w:gridCol w:w="36"/>
        <w:gridCol w:w="132"/>
        <w:gridCol w:w="1004"/>
        <w:gridCol w:w="36"/>
        <w:gridCol w:w="36"/>
        <w:gridCol w:w="36"/>
        <w:gridCol w:w="36"/>
        <w:gridCol w:w="132"/>
        <w:gridCol w:w="823"/>
        <w:gridCol w:w="36"/>
      </w:tblGrid>
      <w:tr w:rsidR="00000000">
        <w:trPr>
          <w:divId w:val="1563254252"/>
        </w:trPr>
        <w:tc>
          <w:tcPr>
            <w:tcW w:w="50" w:type="pct"/>
            <w:vAlign w:val="center"/>
            <w:hideMark/>
          </w:tcPr>
          <w:p w:rsidR="00000000" w:rsidRDefault="00485CCD">
            <w:pPr>
              <w:ind w:firstLine="720"/>
              <w:jc w:val="both"/>
              <w:rPr>
                <w:rFonts w:eastAsia="Times New Roman"/>
              </w:rPr>
            </w:pPr>
          </w:p>
        </w:tc>
        <w:tc>
          <w:tcPr>
            <w:tcW w:w="125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5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6325425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2025</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2026</w:t>
            </w:r>
          </w:p>
        </w:tc>
      </w:tr>
      <w:tr w:rsidR="00000000">
        <w:trPr>
          <w:divId w:val="156325425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053622542"/>
        <w:rPr>
          <w:rFonts w:eastAsia="Times New Roman"/>
        </w:rPr>
      </w:pPr>
      <w:r>
        <w:rPr>
          <w:rFonts w:ascii="Arial" w:eastAsia="Times New Roman" w:hAnsi="Arial" w:cs="Arial"/>
          <w:b/>
          <w:bCs/>
          <w:color w:val="0046AD"/>
          <w:sz w:val="20"/>
          <w:szCs w:val="20"/>
        </w:rPr>
        <w:t>Int</w:t>
      </w:r>
      <w:r>
        <w:rPr>
          <w:rFonts w:ascii="Arial" w:eastAsia="Times New Roman" w:hAnsi="Arial" w:cs="Arial"/>
          <w:b/>
          <w:bCs/>
          <w:color w:val="0046AD"/>
          <w:sz w:val="20"/>
          <w:szCs w:val="20"/>
        </w:rPr>
        <w:t>erest Rate Swaps</w:t>
      </w:r>
    </w:p>
    <w:p w:rsidR="00000000" w:rsidRDefault="00485CCD">
      <w:pPr>
        <w:ind w:firstLine="720"/>
        <w:jc w:val="both"/>
        <w:divId w:val="1868450204"/>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 th</w:t>
      </w:r>
      <w:r>
        <w:rPr>
          <w:rFonts w:ascii="Arial" w:eastAsia="Times New Roman" w:hAnsi="Arial" w:cs="Arial"/>
          <w:color w:val="000000"/>
          <w:sz w:val="20"/>
          <w:szCs w:val="20"/>
        </w:rPr>
        <w:t>roughout the life of the agreement. We initially report the mark-to-market gain or loss on a derivative as a component of AOCL and subsequently reclassify the gain or loss into earnings when the hedged transactions occur and affect earnings. Interest payab</w:t>
      </w:r>
      <w:r>
        <w:rPr>
          <w:rFonts w:ascii="Arial" w:eastAsia="Times New Roman" w:hAnsi="Arial" w:cs="Arial"/>
          <w:color w:val="000000"/>
          <w:sz w:val="20"/>
          <w:szCs w:val="20"/>
        </w:rPr>
        <w:t>les and receivables under the swap agreements are accrued and recorded as adjustments to interest expense. All of our interest rate swaps have been designated and accounted for as cash flow hedges from inception. See Note 7, “Fair Value of Financial Instru</w:t>
      </w:r>
      <w:r>
        <w:rPr>
          <w:rFonts w:ascii="Arial" w:eastAsia="Times New Roman" w:hAnsi="Arial" w:cs="Arial"/>
          <w:color w:val="000000"/>
          <w:sz w:val="20"/>
          <w:szCs w:val="20"/>
        </w:rPr>
        <w:t xml:space="preserve">ments,” regarding the valuation of our interest rate swaps. </w:t>
      </w:r>
    </w:p>
    <w:tbl>
      <w:tblPr>
        <w:tblW w:w="5000" w:type="pct"/>
        <w:tblCellMar>
          <w:top w:w="15" w:type="dxa"/>
          <w:left w:w="15" w:type="dxa"/>
          <w:bottom w:w="15" w:type="dxa"/>
          <w:right w:w="15" w:type="dxa"/>
        </w:tblCellMar>
        <w:tblLook w:val="04A0" w:firstRow="1" w:lastRow="0" w:firstColumn="1" w:lastColumn="0" w:noHBand="0" w:noVBand="1"/>
      </w:tblPr>
      <w:tblGrid>
        <w:gridCol w:w="57"/>
        <w:gridCol w:w="1996"/>
        <w:gridCol w:w="36"/>
        <w:gridCol w:w="36"/>
        <w:gridCol w:w="36"/>
        <w:gridCol w:w="36"/>
        <w:gridCol w:w="38"/>
        <w:gridCol w:w="1888"/>
        <w:gridCol w:w="36"/>
        <w:gridCol w:w="36"/>
        <w:gridCol w:w="36"/>
        <w:gridCol w:w="36"/>
        <w:gridCol w:w="40"/>
        <w:gridCol w:w="1888"/>
        <w:gridCol w:w="37"/>
        <w:gridCol w:w="36"/>
        <w:gridCol w:w="36"/>
        <w:gridCol w:w="36"/>
        <w:gridCol w:w="43"/>
        <w:gridCol w:w="1886"/>
        <w:gridCol w:w="37"/>
      </w:tblGrid>
      <w:tr w:rsidR="00000000">
        <w:trPr>
          <w:divId w:val="1239169416"/>
        </w:trPr>
        <w:tc>
          <w:tcPr>
            <w:tcW w:w="50" w:type="pct"/>
            <w:vAlign w:val="center"/>
            <w:hideMark/>
          </w:tcPr>
          <w:p w:rsidR="00000000" w:rsidRDefault="00485CCD">
            <w:pPr>
              <w:ind w:firstLine="720"/>
              <w:jc w:val="both"/>
              <w:rPr>
                <w:rFonts w:eastAsia="Times New Roman"/>
              </w:rPr>
            </w:pPr>
          </w:p>
        </w:tc>
        <w:tc>
          <w:tcPr>
            <w:tcW w:w="121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1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1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15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239169416"/>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Notional Amount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Fixed Interest Rate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Effective Date</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Maturity Date</w:t>
            </w:r>
          </w:p>
        </w:tc>
      </w:tr>
      <w:tr w:rsidR="00000000">
        <w:trPr>
          <w:divId w:val="1239169416"/>
        </w:trPr>
        <w:tc>
          <w:tcPr>
            <w:tcW w:w="0" w:type="auto"/>
            <w:gridSpan w:val="3"/>
            <w:vAlign w:val="center"/>
            <w:hideMark/>
          </w:tcPr>
          <w:p w:rsidR="00000000" w:rsidRDefault="00485CCD">
            <w:pPr>
              <w:jc w:val="center"/>
              <w:rPr>
                <w:rFonts w:eastAsia="Times New Roman"/>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239169416"/>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239169416"/>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$ 130.0 million</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2.86%</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April 30, 2022</w:t>
            </w:r>
          </w:p>
        </w:tc>
      </w:tr>
      <w:tr w:rsidR="00000000">
        <w:trPr>
          <w:divId w:val="1239169416"/>
        </w:trPr>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$ 130.0 million</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2.84%</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September 1, 2022</w:t>
            </w:r>
          </w:p>
        </w:tc>
      </w:tr>
    </w:tbl>
    <w:p w:rsidR="00000000" w:rsidRDefault="00485CCD">
      <w:pPr>
        <w:ind w:firstLine="720"/>
        <w:jc w:val="both"/>
        <w:divId w:val="1112476556"/>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2021 and 2020, amounts recorded in AOCL for interest rate swaps were a loss of $0.2 million, net of taxes of $0.3 million, and a loss of $3.3 million, net of taxes of $0.9 million, respectively. These amounts included the gain associated with the inter</w:t>
      </w:r>
      <w:r>
        <w:rPr>
          <w:rFonts w:ascii="Arial" w:eastAsia="Times New Roman" w:hAnsi="Arial" w:cs="Arial"/>
          <w:color w:val="000000"/>
          <w:sz w:val="20"/>
          <w:szCs w:val="20"/>
        </w:rPr>
        <w:t>est rate swaps we terminated in 2018, which is being amortized to interest expense as interest payments are made over the original term of our Credit Facility. During 2021, we amortized $4.7 million, net of taxes of $1.7 million, of that gain and we amorti</w:t>
      </w:r>
      <w:r>
        <w:rPr>
          <w:rFonts w:ascii="Arial" w:eastAsia="Times New Roman" w:hAnsi="Arial" w:cs="Arial"/>
          <w:color w:val="000000"/>
          <w:sz w:val="20"/>
          <w:szCs w:val="20"/>
        </w:rPr>
        <w:t>zed $4.9 million, net of taxes of $1.8 million, during 2020. At October 31, 2021, the total amount expected to be reclassified from AOCL to earnings during the next 12 months was $0.1 million, net of a taxes of $0.1 million.</w:t>
      </w:r>
    </w:p>
    <w:p w:rsidR="00000000" w:rsidRDefault="00485CCD">
      <w:pPr>
        <w:jc w:val="center"/>
        <w:divId w:val="262961859"/>
        <w:rPr>
          <w:rFonts w:eastAsia="Times New Roman"/>
        </w:rPr>
      </w:pPr>
      <w:r>
        <w:rPr>
          <w:rFonts w:ascii="Arial" w:eastAsia="Times New Roman" w:hAnsi="Arial" w:cs="Arial"/>
          <w:color w:val="000000"/>
          <w:sz w:val="20"/>
          <w:szCs w:val="20"/>
        </w:rPr>
        <w:t>78</w:t>
      </w:r>
    </w:p>
    <w:p w:rsidR="00000000" w:rsidRDefault="00485CCD">
      <w:pPr>
        <w:rPr>
          <w:rFonts w:eastAsia="Times New Roman"/>
        </w:rPr>
      </w:pPr>
      <w:r>
        <w:rPr>
          <w:rFonts w:eastAsia="Times New Roman"/>
        </w:rPr>
        <w:pict>
          <v:rect id="_x0000_i1115" style="width:0;height:1.5pt" o:hralign="center" o:hrstd="t" o:hr="t" fillcolor="#a0a0a0" stroked="f"/>
        </w:pict>
      </w:r>
    </w:p>
    <w:p w:rsidR="00000000" w:rsidRDefault="00485CCD">
      <w:pPr>
        <w:divId w:val="456528084"/>
        <w:rPr>
          <w:rFonts w:eastAsia="Times New Roman"/>
        </w:rPr>
      </w:pPr>
    </w:p>
    <w:p w:rsidR="00000000" w:rsidRDefault="00485CCD">
      <w:pPr>
        <w:divId w:val="1115753527"/>
        <w:rPr>
          <w:rFonts w:eastAsia="Times New Roman"/>
        </w:rPr>
      </w:pPr>
      <w:r>
        <w:rPr>
          <w:rFonts w:ascii="Arial" w:eastAsia="Times New Roman" w:hAnsi="Arial" w:cs="Arial"/>
          <w:b/>
          <w:bCs/>
          <w:color w:val="0046AD"/>
          <w:sz w:val="20"/>
          <w:szCs w:val="20"/>
        </w:rPr>
        <w:t>12. EMPLOYEE BENEFIT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717387931"/>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17387931"/>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1587416929"/>
        <w:rPr>
          <w:rFonts w:eastAsia="Times New Roman"/>
        </w:rPr>
      </w:pPr>
      <w:r>
        <w:rPr>
          <w:rFonts w:ascii="Arial" w:eastAsia="Times New Roman" w:hAnsi="Arial" w:cs="Arial"/>
          <w:b/>
          <w:bCs/>
          <w:color w:val="0046AD"/>
          <w:sz w:val="20"/>
          <w:szCs w:val="20"/>
        </w:rPr>
        <w:t>Defined Benefit Plans</w:t>
      </w:r>
    </w:p>
    <w:p w:rsidR="00000000" w:rsidRDefault="00485CCD">
      <w:pPr>
        <w:ind w:firstLine="720"/>
        <w:jc w:val="both"/>
        <w:divId w:val="402718902"/>
        <w:rPr>
          <w:rFonts w:eastAsia="Times New Roman"/>
        </w:rPr>
      </w:pPr>
      <w:r>
        <w:rPr>
          <w:rFonts w:ascii="Arial" w:eastAsia="Times New Roman" w:hAnsi="Arial" w:cs="Arial"/>
          <w:color w:val="000000"/>
          <w:sz w:val="20"/>
          <w:szCs w:val="20"/>
        </w:rPr>
        <w:t xml:space="preserve">We provide benefits to certain employees under various defined benefit and postretirement benefit plans (collectively, the “Plans”). The Plans were previously amended to preclude new participants. </w:t>
      </w:r>
      <w:r>
        <w:rPr>
          <w:rFonts w:ascii="Arial" w:eastAsia="Times New Roman" w:hAnsi="Arial" w:cs="Arial"/>
          <w:color w:val="000000"/>
          <w:sz w:val="20"/>
          <w:szCs w:val="20"/>
          <w:shd w:val="clear" w:color="auto" w:fill="FFFFFF"/>
        </w:rPr>
        <w:t xml:space="preserve">All but one of the Plans are unfunded. </w:t>
      </w:r>
    </w:p>
    <w:p w:rsidR="00000000" w:rsidRDefault="00485CCD">
      <w:pPr>
        <w:divId w:val="1503009845"/>
        <w:rPr>
          <w:rFonts w:eastAsia="Times New Roman"/>
        </w:rPr>
      </w:pPr>
      <w:r>
        <w:rPr>
          <w:rFonts w:ascii="Arial" w:eastAsia="Times New Roman" w:hAnsi="Arial" w:cs="Arial"/>
          <w:b/>
          <w:bCs/>
          <w:i/>
          <w:iCs/>
          <w:color w:val="0046AD"/>
          <w:sz w:val="20"/>
          <w:szCs w:val="20"/>
        </w:rPr>
        <w:t>Information for the</w:t>
      </w:r>
      <w:r>
        <w:rPr>
          <w:rFonts w:ascii="Arial" w:eastAsia="Times New Roman" w:hAnsi="Arial" w:cs="Arial"/>
          <w:b/>
          <w:bCs/>
          <w:i/>
          <w:iCs/>
          <w:color w:val="0046AD"/>
          <w:sz w:val="20"/>
          <w:szCs w:val="20"/>
        </w:rPr>
        <w:t xml:space="preserve"> Plans</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5067"/>
        <w:gridCol w:w="37"/>
        <w:gridCol w:w="132"/>
        <w:gridCol w:w="1354"/>
        <w:gridCol w:w="36"/>
        <w:gridCol w:w="36"/>
        <w:gridCol w:w="36"/>
        <w:gridCol w:w="36"/>
        <w:gridCol w:w="132"/>
        <w:gridCol w:w="1315"/>
        <w:gridCol w:w="36"/>
      </w:tblGrid>
      <w:tr w:rsidR="00000000">
        <w:trPr>
          <w:divId w:val="109328019"/>
          <w:jc w:val="center"/>
        </w:trPr>
        <w:tc>
          <w:tcPr>
            <w:tcW w:w="50" w:type="pct"/>
            <w:vAlign w:val="center"/>
            <w:hideMark/>
          </w:tcPr>
          <w:p w:rsidR="00000000" w:rsidRDefault="00485CCD">
            <w:pPr>
              <w:rPr>
                <w:rFonts w:eastAsia="Times New Roman"/>
              </w:rPr>
            </w:pPr>
          </w:p>
        </w:tc>
        <w:tc>
          <w:tcPr>
            <w:tcW w:w="30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9328019"/>
          <w:jc w:val="center"/>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109328019"/>
          <w:jc w:val="center"/>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109328019"/>
          <w:jc w:val="center"/>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Net obligations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9328019"/>
          <w:jc w:val="center"/>
        </w:trPr>
        <w:tc>
          <w:tcPr>
            <w:tcW w:w="0" w:type="auto"/>
            <w:gridSpan w:val="3"/>
            <w:shd w:val="clear" w:color="auto" w:fill="FFFFFF"/>
            <w:tcMar>
              <w:top w:w="30" w:type="dxa"/>
              <w:left w:w="20" w:type="dxa"/>
              <w:bottom w:w="30" w:type="dxa"/>
              <w:right w:w="20" w:type="dxa"/>
            </w:tcMar>
            <w:hideMark/>
          </w:tcPr>
          <w:p w:rsidR="00000000" w:rsidRDefault="00485CCD">
            <w:pPr>
              <w:divId w:val="726033691"/>
              <w:rPr>
                <w:rFonts w:eastAsia="Times New Roman"/>
              </w:rPr>
            </w:pPr>
            <w:r>
              <w:rPr>
                <w:rFonts w:ascii="Arial" w:eastAsia="Times New Roman" w:hAnsi="Arial" w:cs="Arial"/>
                <w:color w:val="000000"/>
                <w:sz w:val="20"/>
                <w:szCs w:val="20"/>
              </w:rPr>
              <w:t>Projected benefit obligation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17.0 </w:t>
            </w:r>
          </w:p>
        </w:tc>
        <w:tc>
          <w:tcPr>
            <w:tcW w:w="0" w:type="auto"/>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9328019"/>
          <w:jc w:val="center"/>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Fair value of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88155251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At October 31, 2021, total projected benefit obligations related to unfunded plans was $8.2 million. At October 31, 2020, all plans were either unfunded or underfunded.</w:t>
      </w:r>
    </w:p>
    <w:p w:rsidR="00000000" w:rsidRDefault="00485CCD">
      <w:pPr>
        <w:ind w:firstLine="720"/>
        <w:jc w:val="both"/>
        <w:divId w:val="1573151815"/>
        <w:rPr>
          <w:rFonts w:eastAsia="Times New Roman"/>
        </w:rPr>
      </w:pPr>
      <w:r>
        <w:rPr>
          <w:rFonts w:ascii="Arial" w:eastAsia="Times New Roman" w:hAnsi="Arial" w:cs="Arial"/>
          <w:color w:val="000000"/>
          <w:sz w:val="20"/>
          <w:szCs w:val="20"/>
        </w:rPr>
        <w:t>At October 31, 2021, assets of the Plans were invested 30% in equities and 70% in fixed</w:t>
      </w:r>
      <w:r>
        <w:rPr>
          <w:rFonts w:ascii="Arial" w:eastAsia="Times New Roman" w:hAnsi="Arial" w:cs="Arial"/>
          <w:color w:val="000000"/>
          <w:sz w:val="20"/>
          <w:szCs w:val="20"/>
        </w:rPr>
        <w:t xml:space="preserve"> income. The expected return on assets was $0.3 million in 2021 and $0.4 million in 2020 and 2019. The aggregate net periodic benefit cost for all Plans was $0.3 million, $0.2 million, and $0.6 million for 2021, 2020, and 2019, respectively. Future benefit</w:t>
      </w:r>
      <w:r>
        <w:rPr>
          <w:rFonts w:ascii="Arial" w:eastAsia="Times New Roman" w:hAnsi="Arial" w:cs="Arial"/>
          <w:color w:val="000000"/>
          <w:sz w:val="20"/>
          <w:szCs w:val="20"/>
        </w:rPr>
        <w:t xml:space="preserve"> payments in the aggregate are expected to be $13.5 million. </w:t>
      </w:r>
    </w:p>
    <w:p w:rsidR="00000000" w:rsidRDefault="00485CCD">
      <w:pPr>
        <w:jc w:val="both"/>
        <w:divId w:val="300157328"/>
        <w:rPr>
          <w:rFonts w:eastAsia="Times New Roman"/>
        </w:rPr>
      </w:pPr>
      <w:r>
        <w:rPr>
          <w:rFonts w:ascii="Arial" w:eastAsia="Times New Roman" w:hAnsi="Arial" w:cs="Arial"/>
          <w:b/>
          <w:bCs/>
          <w:color w:val="0046AD"/>
          <w:sz w:val="20"/>
          <w:szCs w:val="20"/>
        </w:rPr>
        <w:t>Deferred Compensation Plans</w:t>
      </w:r>
    </w:p>
    <w:p w:rsidR="00000000" w:rsidRDefault="00485CCD">
      <w:pPr>
        <w:ind w:firstLine="720"/>
        <w:jc w:val="both"/>
        <w:divId w:val="1862236061"/>
        <w:rPr>
          <w:rFonts w:eastAsia="Times New Roman"/>
        </w:rPr>
      </w:pPr>
      <w:r>
        <w:rPr>
          <w:rFonts w:ascii="Arial" w:eastAsia="Times New Roman" w:hAnsi="Arial" w:cs="Arial"/>
          <w:color w:val="000000"/>
          <w:sz w:val="20"/>
          <w:szCs w:val="20"/>
        </w:rPr>
        <w:t>We maintain deferred compensation plans that permit eligible employees and directors to defer a portion of their compensation. At October 31, 2021 and 2020, the total</w:t>
      </w:r>
      <w:r>
        <w:rPr>
          <w:rFonts w:ascii="Arial" w:eastAsia="Times New Roman" w:hAnsi="Arial" w:cs="Arial"/>
          <w:color w:val="000000"/>
          <w:sz w:val="20"/>
          <w:szCs w:val="20"/>
        </w:rPr>
        <w:t xml:space="preserve"> liability of all deferred compensation was $32.1 million (including $18.0 million assumed from the Able Acquisition) and $13.6 million, respectively, and these amounts are included in “Other accrued liabilities” and “Other noncurrent liabilities” on the a</w:t>
      </w:r>
      <w:r>
        <w:rPr>
          <w:rFonts w:ascii="Arial" w:eastAsia="Times New Roman" w:hAnsi="Arial" w:cs="Arial"/>
          <w:color w:val="000000"/>
          <w:sz w:val="20"/>
          <w:szCs w:val="20"/>
        </w:rPr>
        <w:t xml:space="preserve">ccompanying Consolidated Balance Sheets. Under one of our deferred compensation plans, a Rabbi trust was created to fund the obligations, and we are required to contribute a portion of the deferred compensation contributions for eligible participants. The </w:t>
      </w:r>
      <w:r>
        <w:rPr>
          <w:rFonts w:ascii="Arial" w:eastAsia="Times New Roman" w:hAnsi="Arial" w:cs="Arial"/>
          <w:color w:val="000000"/>
          <w:sz w:val="20"/>
          <w:szCs w:val="20"/>
        </w:rPr>
        <w:t>assets held in the Rabbi trust are not available for general corporate purposes. At October 31, 2021 and 2020, the fair value of these assets was $4.9 million and $2.6 million, respectively, and these amounts are included in “Other noncurrent assets” on th</w:t>
      </w:r>
      <w:r>
        <w:rPr>
          <w:rFonts w:ascii="Arial" w:eastAsia="Times New Roman" w:hAnsi="Arial" w:cs="Arial"/>
          <w:color w:val="000000"/>
          <w:sz w:val="20"/>
          <w:szCs w:val="20"/>
        </w:rPr>
        <w:t>e accompanying Consolidated Balance Sheets. Aggregate expense recognized under these deferred compensation plans was $0.2 million, $0.2 million, and $0.3 million for 2021, 2020, and 2019, respectively.</w:t>
      </w:r>
    </w:p>
    <w:p w:rsidR="00000000" w:rsidRDefault="00485CCD">
      <w:pPr>
        <w:jc w:val="both"/>
        <w:divId w:val="2108118025"/>
        <w:rPr>
          <w:rFonts w:eastAsia="Times New Roman"/>
        </w:rPr>
      </w:pPr>
      <w:r>
        <w:rPr>
          <w:rFonts w:ascii="Arial" w:eastAsia="Times New Roman" w:hAnsi="Arial" w:cs="Arial"/>
          <w:b/>
          <w:bCs/>
          <w:color w:val="0046AD"/>
          <w:sz w:val="20"/>
          <w:szCs w:val="20"/>
        </w:rPr>
        <w:t>Defined Contribution Plans</w:t>
      </w:r>
    </w:p>
    <w:p w:rsidR="00000000" w:rsidRDefault="00485CCD">
      <w:pPr>
        <w:ind w:firstLine="720"/>
        <w:jc w:val="both"/>
        <w:divId w:val="2141914999"/>
        <w:rPr>
          <w:rFonts w:eastAsia="Times New Roman"/>
        </w:rPr>
      </w:pPr>
      <w:r>
        <w:rPr>
          <w:rFonts w:ascii="Arial" w:eastAsia="Times New Roman" w:hAnsi="Arial" w:cs="Arial"/>
          <w:color w:val="000000"/>
          <w:sz w:val="20"/>
          <w:szCs w:val="20"/>
        </w:rPr>
        <w:t>We sponsor four defined con</w:t>
      </w:r>
      <w:r>
        <w:rPr>
          <w:rFonts w:ascii="Arial" w:eastAsia="Times New Roman" w:hAnsi="Arial" w:cs="Arial"/>
          <w:color w:val="000000"/>
          <w:sz w:val="20"/>
          <w:szCs w:val="20"/>
        </w:rPr>
        <w:t>tribution plans covering certain employees that are subject to the applicable provisions of the Employee Retirement Income Security Act of 1974 and the Internal Revenue Code (“IRC”). Certain plans permit a company match of a portion of the participant’s co</w:t>
      </w:r>
      <w:r>
        <w:rPr>
          <w:rFonts w:ascii="Arial" w:eastAsia="Times New Roman" w:hAnsi="Arial" w:cs="Arial"/>
          <w:color w:val="000000"/>
          <w:sz w:val="20"/>
          <w:szCs w:val="20"/>
        </w:rPr>
        <w:t>ntributions or a discretionary contribution after the participant has met the eligibility requirements set forth in the plan. During 2021, 2020, and 2019, we made matching contributions required by the plans</w:t>
      </w:r>
      <w:r>
        <w:rPr>
          <w:rFonts w:ascii="Arial" w:eastAsia="Times New Roman" w:hAnsi="Arial" w:cs="Arial"/>
          <w:color w:val="000000"/>
          <w:sz w:val="20"/>
          <w:szCs w:val="20"/>
          <w:shd w:val="clear" w:color="auto" w:fill="FFFFFF"/>
        </w:rPr>
        <w:t xml:space="preserve"> of </w:t>
      </w:r>
      <w:r>
        <w:rPr>
          <w:rFonts w:ascii="Arial" w:eastAsia="Times New Roman" w:hAnsi="Arial" w:cs="Arial"/>
          <w:color w:val="000000"/>
          <w:sz w:val="20"/>
          <w:szCs w:val="20"/>
        </w:rPr>
        <w:t>$21.6 million</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 $18.2 million, and $24.3 milli</w:t>
      </w:r>
      <w:r>
        <w:rPr>
          <w:rFonts w:ascii="Arial" w:eastAsia="Times New Roman" w:hAnsi="Arial" w:cs="Arial"/>
          <w:color w:val="000000"/>
          <w:sz w:val="20"/>
          <w:szCs w:val="20"/>
        </w:rPr>
        <w:t xml:space="preserve">on, respectively. </w:t>
      </w:r>
    </w:p>
    <w:p w:rsidR="00000000" w:rsidRDefault="00485CCD">
      <w:pPr>
        <w:jc w:val="both"/>
        <w:divId w:val="1848061828"/>
        <w:rPr>
          <w:rFonts w:eastAsia="Times New Roman"/>
        </w:rPr>
      </w:pPr>
    </w:p>
    <w:p w:rsidR="00000000" w:rsidRDefault="00485CCD">
      <w:pPr>
        <w:jc w:val="center"/>
        <w:divId w:val="1671132366"/>
        <w:rPr>
          <w:rFonts w:eastAsia="Times New Roman"/>
        </w:rPr>
      </w:pPr>
      <w:r>
        <w:rPr>
          <w:rFonts w:ascii="Arial" w:eastAsia="Times New Roman" w:hAnsi="Arial" w:cs="Arial"/>
          <w:color w:val="000000"/>
          <w:sz w:val="20"/>
          <w:szCs w:val="20"/>
        </w:rPr>
        <w:t>79</w:t>
      </w:r>
    </w:p>
    <w:p w:rsidR="00000000" w:rsidRDefault="00485CCD">
      <w:pPr>
        <w:rPr>
          <w:rFonts w:eastAsia="Times New Roman"/>
        </w:rPr>
      </w:pPr>
      <w:r>
        <w:rPr>
          <w:rFonts w:eastAsia="Times New Roman"/>
        </w:rPr>
        <w:pict>
          <v:rect id="_x0000_i1116" style="width:0;height:1.5pt" o:hralign="center" o:hrstd="t" o:hr="t" fillcolor="#a0a0a0" stroked="f"/>
        </w:pict>
      </w:r>
    </w:p>
    <w:p w:rsidR="00000000" w:rsidRDefault="00485CCD">
      <w:pPr>
        <w:divId w:val="788664757"/>
        <w:rPr>
          <w:rFonts w:eastAsia="Times New Roman"/>
        </w:rPr>
      </w:pPr>
    </w:p>
    <w:p w:rsidR="00000000" w:rsidRDefault="00485CCD">
      <w:pPr>
        <w:jc w:val="both"/>
        <w:divId w:val="24447618"/>
        <w:rPr>
          <w:rFonts w:eastAsia="Times New Roman"/>
        </w:rPr>
      </w:pPr>
      <w:r>
        <w:rPr>
          <w:rFonts w:ascii="Arial" w:eastAsia="Times New Roman" w:hAnsi="Arial" w:cs="Arial"/>
          <w:b/>
          <w:bCs/>
          <w:color w:val="0046AD"/>
          <w:sz w:val="20"/>
          <w:szCs w:val="20"/>
        </w:rPr>
        <w:t>Multiemployer Pension and Postretirement Plans</w:t>
      </w:r>
    </w:p>
    <w:p w:rsidR="00000000" w:rsidRDefault="00485CCD">
      <w:pPr>
        <w:ind w:firstLine="720"/>
        <w:jc w:val="both"/>
        <w:divId w:val="623728950"/>
        <w:rPr>
          <w:rFonts w:eastAsia="Times New Roman"/>
        </w:rPr>
      </w:pPr>
      <w:r>
        <w:rPr>
          <w:rFonts w:ascii="Arial" w:eastAsia="Times New Roman" w:hAnsi="Arial" w:cs="Arial"/>
          <w:color w:val="000000"/>
          <w:sz w:val="20"/>
          <w:szCs w:val="20"/>
        </w:rPr>
        <w:t>We participate in various multiemployer pension plans under union and industry-wide agreements that provide defined pension benefits to employees covered by collective bargaining agreements. Because of the nature of multiemployer plans, there are risks ass</w:t>
      </w:r>
      <w:r>
        <w:rPr>
          <w:rFonts w:ascii="Arial" w:eastAsia="Times New Roman" w:hAnsi="Arial" w:cs="Arial"/>
          <w:color w:val="000000"/>
          <w:sz w:val="20"/>
          <w:szCs w:val="20"/>
        </w:rPr>
        <w:t>ociated with participation in these plans that differ from single-employer plans. Assets contributed by an employer to a multiemployer plan are not segregated into a separate account and are not restricted to provide benefits only to employees of that cont</w:t>
      </w:r>
      <w:r>
        <w:rPr>
          <w:rFonts w:ascii="Arial" w:eastAsia="Times New Roman" w:hAnsi="Arial" w:cs="Arial"/>
          <w:color w:val="000000"/>
          <w:sz w:val="20"/>
          <w:szCs w:val="20"/>
        </w:rPr>
        <w:t>ributing employer. In the event another participating employer in a multiemployer plan no longer contributes to the plan, the unfunded obligations of the plan may be borne by the remaining participating employers, including us. In the event of the terminat</w:t>
      </w:r>
      <w:r>
        <w:rPr>
          <w:rFonts w:ascii="Arial" w:eastAsia="Times New Roman" w:hAnsi="Arial" w:cs="Arial"/>
          <w:color w:val="000000"/>
          <w:sz w:val="20"/>
          <w:szCs w:val="20"/>
        </w:rPr>
        <w:t>ion of a multiemployer pension plan or a withdrawal from a multiemployer pension plan, we could incur material liabilities under applicable law.</w:t>
      </w:r>
    </w:p>
    <w:p w:rsidR="00000000" w:rsidRDefault="00485CCD">
      <w:pPr>
        <w:jc w:val="both"/>
        <w:divId w:val="439762004"/>
        <w:rPr>
          <w:rFonts w:eastAsia="Times New Roman"/>
        </w:rPr>
      </w:pPr>
      <w:r>
        <w:rPr>
          <w:rFonts w:ascii="Arial" w:eastAsia="Times New Roman" w:hAnsi="Arial" w:cs="Arial"/>
          <w:b/>
          <w:bCs/>
          <w:i/>
          <w:iCs/>
          <w:color w:val="0046AD"/>
          <w:sz w:val="20"/>
          <w:szCs w:val="20"/>
        </w:rPr>
        <w:t>Key Information for Individually Significant Multiemployer Defined Benefit Pension Plan</w:t>
      </w:r>
      <w:r>
        <w:rPr>
          <w:rFonts w:ascii="Arial" w:eastAsia="Times New Roman" w:hAnsi="Arial" w:cs="Arial"/>
          <w:b/>
          <w:bCs/>
          <w:i/>
          <w:iCs/>
          <w:color w:val="0046AD"/>
          <w:sz w:val="20"/>
          <w:szCs w:val="20"/>
        </w:rPr>
        <w:t>s</w:t>
      </w:r>
      <w:r>
        <w:rPr>
          <w:rFonts w:ascii="Arial" w:eastAsia="Times New Roman" w:hAnsi="Arial" w:cs="Arial"/>
          <w:b/>
          <w:bCs/>
          <w:i/>
          <w:iCs/>
          <w:color w:val="0046AD"/>
          <w:sz w:val="13"/>
          <w:szCs w:val="13"/>
        </w:rPr>
        <w:t>(1</w:t>
      </w:r>
      <w:r>
        <w:rPr>
          <w:rFonts w:ascii="Arial" w:eastAsia="Times New Roman" w:hAnsi="Arial" w:cs="Arial"/>
          <w:b/>
          <w:bCs/>
          <w:i/>
          <w:iCs/>
          <w:color w:val="0046AD"/>
          <w:sz w:val="13"/>
          <w:szCs w:val="13"/>
        </w:rPr>
        <w:t>)</w:t>
      </w:r>
      <w:r>
        <w:rPr>
          <w:rFonts w:ascii="Arial" w:eastAsia="Times New Roman" w:hAnsi="Arial" w:cs="Arial"/>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53"/>
        <w:gridCol w:w="1011"/>
        <w:gridCol w:w="40"/>
        <w:gridCol w:w="36"/>
        <w:gridCol w:w="36"/>
        <w:gridCol w:w="36"/>
        <w:gridCol w:w="70"/>
        <w:gridCol w:w="587"/>
        <w:gridCol w:w="36"/>
        <w:gridCol w:w="36"/>
        <w:gridCol w:w="36"/>
        <w:gridCol w:w="36"/>
        <w:gridCol w:w="85"/>
        <w:gridCol w:w="646"/>
        <w:gridCol w:w="40"/>
        <w:gridCol w:w="37"/>
        <w:gridCol w:w="36"/>
        <w:gridCol w:w="36"/>
        <w:gridCol w:w="86"/>
        <w:gridCol w:w="647"/>
        <w:gridCol w:w="38"/>
        <w:gridCol w:w="36"/>
        <w:gridCol w:w="36"/>
        <w:gridCol w:w="36"/>
        <w:gridCol w:w="94"/>
        <w:gridCol w:w="863"/>
        <w:gridCol w:w="36"/>
        <w:gridCol w:w="36"/>
        <w:gridCol w:w="36"/>
        <w:gridCol w:w="36"/>
        <w:gridCol w:w="98"/>
        <w:gridCol w:w="312"/>
        <w:gridCol w:w="36"/>
        <w:gridCol w:w="36"/>
        <w:gridCol w:w="36"/>
        <w:gridCol w:w="36"/>
        <w:gridCol w:w="98"/>
        <w:gridCol w:w="312"/>
        <w:gridCol w:w="36"/>
        <w:gridCol w:w="36"/>
        <w:gridCol w:w="36"/>
        <w:gridCol w:w="36"/>
        <w:gridCol w:w="98"/>
        <w:gridCol w:w="312"/>
        <w:gridCol w:w="36"/>
        <w:gridCol w:w="36"/>
        <w:gridCol w:w="36"/>
        <w:gridCol w:w="36"/>
        <w:gridCol w:w="90"/>
        <w:gridCol w:w="684"/>
        <w:gridCol w:w="36"/>
        <w:gridCol w:w="36"/>
        <w:gridCol w:w="36"/>
        <w:gridCol w:w="36"/>
        <w:gridCol w:w="96"/>
        <w:gridCol w:w="802"/>
        <w:gridCol w:w="36"/>
      </w:tblGrid>
      <w:tr w:rsidR="00000000">
        <w:trPr>
          <w:divId w:val="1056313994"/>
        </w:trPr>
        <w:tc>
          <w:tcPr>
            <w:tcW w:w="50" w:type="pct"/>
            <w:vAlign w:val="center"/>
            <w:hideMark/>
          </w:tcPr>
          <w:p w:rsidR="00000000" w:rsidRDefault="00485CCD">
            <w:pPr>
              <w:jc w:val="both"/>
              <w:rPr>
                <w:rFonts w:eastAsia="Times New Roman"/>
              </w:rPr>
            </w:pPr>
          </w:p>
        </w:tc>
        <w:tc>
          <w:tcPr>
            <w:tcW w:w="96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2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7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7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8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2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56313994"/>
          <w:trHeight w:val="480"/>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3"/>
                <w:szCs w:val="13"/>
                <w:u w:val="single"/>
              </w:rPr>
              <w:t>($ in millions)</w:t>
            </w:r>
          </w:p>
        </w:tc>
        <w:tc>
          <w:tcPr>
            <w:tcW w:w="0" w:type="auto"/>
            <w:gridSpan w:val="3"/>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divId w:val="239750398"/>
              <w:rPr>
                <w:rFonts w:eastAsia="Times New Roman"/>
              </w:rPr>
            </w:pPr>
            <w:r>
              <w:rPr>
                <w:rFonts w:ascii="Arial" w:eastAsia="Times New Roman" w:hAnsi="Arial" w:cs="Arial"/>
                <w:b/>
                <w:bCs/>
                <w:color w:val="000000"/>
                <w:sz w:val="15"/>
                <w:szCs w:val="15"/>
              </w:rPr>
              <w:t xml:space="preserve">Pension Protection Act </w:t>
            </w:r>
          </w:p>
          <w:p w:rsidR="00000000" w:rsidRDefault="00485CCD">
            <w:pPr>
              <w:jc w:val="center"/>
              <w:divId w:val="1292639359"/>
              <w:rPr>
                <w:rFonts w:eastAsia="Times New Roman"/>
              </w:rPr>
            </w:pPr>
            <w:r>
              <w:rPr>
                <w:rFonts w:ascii="Arial" w:eastAsia="Times New Roman" w:hAnsi="Arial" w:cs="Arial"/>
                <w:b/>
                <w:bCs/>
                <w:color w:val="000000"/>
                <w:sz w:val="15"/>
                <w:szCs w:val="15"/>
              </w:rPr>
              <w:t>Zone 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(3</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divId w:val="1216814060"/>
              <w:rPr>
                <w:rFonts w:eastAsia="Times New Roman"/>
              </w:rPr>
            </w:pPr>
            <w:r>
              <w:rPr>
                <w:rFonts w:ascii="Arial" w:eastAsia="Times New Roman" w:hAnsi="Arial" w:cs="Arial"/>
                <w:b/>
                <w:bCs/>
                <w:color w:val="000000"/>
                <w:sz w:val="15"/>
                <w:szCs w:val="15"/>
              </w:rPr>
              <w:t xml:space="preserve">FIP/RP </w:t>
            </w:r>
          </w:p>
          <w:p w:rsidR="00000000" w:rsidRDefault="00485CCD">
            <w:pPr>
              <w:jc w:val="center"/>
              <w:divId w:val="781460012"/>
              <w:rPr>
                <w:rFonts w:eastAsia="Times New Roman"/>
              </w:rPr>
            </w:pPr>
            <w:r>
              <w:rPr>
                <w:rFonts w:ascii="Arial" w:eastAsia="Times New Roman" w:hAnsi="Arial" w:cs="Arial"/>
                <w:b/>
                <w:bCs/>
                <w:color w:val="000000"/>
                <w:sz w:val="15"/>
                <w:szCs w:val="15"/>
              </w:rPr>
              <w:t>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(4</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Contributions by ABM</w:t>
            </w:r>
          </w:p>
        </w:tc>
        <w:tc>
          <w:tcPr>
            <w:tcW w:w="0" w:type="auto"/>
            <w:gridSpan w:val="3"/>
            <w:vMerge w:val="restart"/>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5CCD">
            <w:pPr>
              <w:jc w:val="center"/>
              <w:divId w:val="135029189"/>
              <w:rPr>
                <w:rFonts w:eastAsia="Times New Roman"/>
              </w:rPr>
            </w:pPr>
            <w:r>
              <w:rPr>
                <w:rFonts w:ascii="Arial" w:eastAsia="Times New Roman" w:hAnsi="Arial" w:cs="Arial"/>
                <w:b/>
                <w:bCs/>
                <w:color w:val="000000"/>
                <w:sz w:val="15"/>
                <w:szCs w:val="15"/>
              </w:rPr>
              <w:t xml:space="preserve">Surcharge </w:t>
            </w:r>
          </w:p>
          <w:p w:rsidR="00000000" w:rsidRDefault="00485CCD">
            <w:pPr>
              <w:jc w:val="center"/>
              <w:divId w:val="1977836137"/>
              <w:rPr>
                <w:rFonts w:eastAsia="Times New Roman"/>
              </w:rPr>
            </w:pPr>
            <w:r>
              <w:rPr>
                <w:rFonts w:ascii="Arial" w:eastAsia="Times New Roman" w:hAnsi="Arial" w:cs="Arial"/>
                <w:b/>
                <w:bCs/>
                <w:color w:val="000000"/>
                <w:sz w:val="15"/>
                <w:szCs w:val="15"/>
              </w:rPr>
              <w:t>Impose</w:t>
            </w:r>
            <w:r>
              <w:rPr>
                <w:rFonts w:ascii="Arial" w:eastAsia="Times New Roman" w:hAnsi="Arial" w:cs="Arial"/>
                <w:b/>
                <w:bCs/>
                <w:color w:val="000000"/>
                <w:sz w:val="15"/>
                <w:szCs w:val="15"/>
              </w:rPr>
              <w:t>d</w:t>
            </w:r>
            <w:r>
              <w:rPr>
                <w:rFonts w:ascii="Arial" w:eastAsia="Times New Roman" w:hAnsi="Arial" w:cs="Arial"/>
                <w:b/>
                <w:bCs/>
                <w:color w:val="000000"/>
                <w:sz w:val="10"/>
                <w:szCs w:val="10"/>
              </w:rPr>
              <w:t>(5</w:t>
            </w:r>
            <w:r>
              <w:rPr>
                <w:rFonts w:ascii="Arial" w:eastAsia="Times New Roman" w:hAnsi="Arial" w:cs="Arial"/>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Expiration Dates of Collective Bargaining Agreements</w:t>
            </w:r>
          </w:p>
        </w:tc>
      </w:tr>
      <w:tr w:rsidR="00000000">
        <w:trPr>
          <w:divId w:val="1056313994"/>
          <w:trHeight w:val="360"/>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Pension Fund</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EIN/P</w:t>
            </w:r>
            <w:r>
              <w:rPr>
                <w:rFonts w:ascii="Arial" w:eastAsia="Times New Roman" w:hAnsi="Arial" w:cs="Arial"/>
                <w:b/>
                <w:bCs/>
                <w:color w:val="000000"/>
                <w:sz w:val="15"/>
                <w:szCs w:val="15"/>
              </w:rPr>
              <w:t>N</w:t>
            </w:r>
            <w:r>
              <w:rPr>
                <w:rFonts w:ascii="Arial" w:eastAsia="Times New Roman" w:hAnsi="Arial" w:cs="Arial"/>
                <w:b/>
                <w:bCs/>
                <w:color w:val="000000"/>
                <w:sz w:val="10"/>
                <w:szCs w:val="10"/>
              </w:rPr>
              <w:t>(2)</w:t>
            </w:r>
            <w:r>
              <w:rPr>
                <w:rFonts w:ascii="Arial" w:eastAsia="Times New Roman" w:hAnsi="Arial" w:cs="Arial"/>
                <w:b/>
                <w:bCs/>
                <w:color w:val="000000"/>
                <w:sz w:val="10"/>
                <w:szCs w:val="10"/>
              </w:rPr>
              <w:t xml:space="preserve"> </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Pending/</w:t>
            </w:r>
            <w:r>
              <w:rPr>
                <w:rFonts w:ascii="Arial" w:eastAsia="Times New Roman" w:hAnsi="Arial" w:cs="Arial"/>
                <w:b/>
                <w:bCs/>
                <w:color w:val="000000"/>
                <w:sz w:val="15"/>
                <w:szCs w:val="15"/>
              </w:rPr>
              <w:br/>
              <w:t>Implemented</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5"/>
                <w:szCs w:val="15"/>
              </w:rPr>
              <w:t>2019</w:t>
            </w:r>
          </w:p>
        </w:tc>
        <w:tc>
          <w:tcPr>
            <w:tcW w:w="0" w:type="auto"/>
            <w:gridSpan w:val="3"/>
            <w:vMerge/>
            <w:vAlign w:val="center"/>
            <w:hideMark/>
          </w:tcPr>
          <w:p w:rsidR="00000000" w:rsidRDefault="00485CCD">
            <w:pPr>
              <w:rPr>
                <w:rFonts w:eastAsia="Times New Roman"/>
              </w:rPr>
            </w:pPr>
          </w:p>
        </w:tc>
        <w:tc>
          <w:tcPr>
            <w:tcW w:w="0" w:type="auto"/>
            <w:gridSpan w:val="3"/>
            <w:vMerge/>
            <w:vAlign w:val="center"/>
            <w:hideMark/>
          </w:tcPr>
          <w:p w:rsidR="00000000" w:rsidRDefault="00485CCD">
            <w:pPr>
              <w:rPr>
                <w:rFonts w:eastAsia="Times New Roman"/>
              </w:rPr>
            </w:pPr>
          </w:p>
        </w:tc>
        <w:tc>
          <w:tcPr>
            <w:tcW w:w="0" w:type="auto"/>
            <w:gridSpan w:val="3"/>
            <w:vMerge/>
            <w:vAlign w:val="center"/>
            <w:hideMark/>
          </w:tcPr>
          <w:p w:rsidR="00000000" w:rsidRDefault="00485CCD">
            <w:pPr>
              <w:rPr>
                <w:rFonts w:eastAsia="Times New Roman"/>
              </w:rPr>
            </w:pPr>
          </w:p>
        </w:tc>
        <w:tc>
          <w:tcPr>
            <w:tcW w:w="0" w:type="auto"/>
            <w:gridSpan w:val="3"/>
            <w:vMerge/>
            <w:vAlign w:val="center"/>
            <w:hideMark/>
          </w:tcPr>
          <w:p w:rsidR="00000000" w:rsidRDefault="00485CCD">
            <w:pPr>
              <w:rPr>
                <w:rFonts w:eastAsia="Times New Roman"/>
              </w:rPr>
            </w:pPr>
          </w:p>
        </w:tc>
      </w:tr>
      <w:tr w:rsidR="00000000">
        <w:trPr>
          <w:divId w:val="1056313994"/>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Building Service 32BJ Pension Fund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13-1879376 / 001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Red</w:t>
            </w:r>
          </w:p>
          <w:p w:rsidR="00000000" w:rsidRDefault="00485CCD">
            <w:pPr>
              <w:jc w:val="center"/>
              <w:rPr>
                <w:rFonts w:eastAsia="Times New Roman"/>
              </w:rPr>
            </w:pPr>
            <w:r>
              <w:rPr>
                <w:rFonts w:ascii="Arial" w:eastAsia="Times New Roman" w:hAnsi="Arial" w:cs="Arial"/>
                <w:color w:val="000000"/>
                <w:sz w:val="14"/>
                <w:szCs w:val="14"/>
              </w:rPr>
              <w:t>6/30/2020</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Red 6/30/2019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18.8 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16.8 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19.3 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No</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10/15/2023 – 12/31/2023</w:t>
            </w:r>
          </w:p>
        </w:tc>
      </w:tr>
      <w:tr w:rsidR="00000000">
        <w:trPr>
          <w:divId w:val="1056313994"/>
        </w:trPr>
        <w:tc>
          <w:tcPr>
            <w:tcW w:w="0" w:type="auto"/>
            <w:gridSpan w:val="3"/>
            <w:shd w:val="clear" w:color="auto" w:fill="FFFFF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S.E.I.U. National Industry Pension Fund</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 xml:space="preserve">52-6148540 / </w:t>
            </w:r>
          </w:p>
          <w:p w:rsidR="00000000" w:rsidRDefault="00485CCD">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Red</w:t>
            </w:r>
          </w:p>
          <w:p w:rsidR="00000000" w:rsidRDefault="00485CCD">
            <w:pPr>
              <w:jc w:val="center"/>
              <w:rPr>
                <w:rFonts w:eastAsia="Times New Roman"/>
              </w:rPr>
            </w:pPr>
            <w:r>
              <w:rPr>
                <w:rFonts w:ascii="Arial" w:eastAsia="Times New Roman" w:hAnsi="Arial" w:cs="Arial"/>
                <w:color w:val="000000"/>
                <w:sz w:val="14"/>
                <w:szCs w:val="14"/>
              </w:rPr>
              <w:t>12/31/2020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Red 12/31/2019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10.9 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11.1 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10.6 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Yes</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7/31/2022 –</w:t>
            </w:r>
            <w:r>
              <w:rPr>
                <w:rFonts w:ascii="Arial" w:eastAsia="Times New Roman" w:hAnsi="Arial" w:cs="Arial"/>
                <w:color w:val="000000"/>
                <w:sz w:val="14"/>
                <w:szCs w:val="14"/>
              </w:rPr>
              <w:br/>
              <w:t>10/31/2023</w:t>
            </w:r>
          </w:p>
        </w:tc>
      </w:tr>
      <w:tr w:rsidR="00000000">
        <w:trPr>
          <w:divId w:val="1056313994"/>
        </w:trPr>
        <w:tc>
          <w:tcPr>
            <w:tcW w:w="0" w:type="auto"/>
            <w:gridSpan w:val="3"/>
            <w:shd w:val="clear" w:color="auto" w:fill="DCE2E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IUOE Stationary Engineers Local 39 Pension Plan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 xml:space="preserve">94-6118939 / </w:t>
            </w:r>
          </w:p>
          <w:p w:rsidR="00000000" w:rsidRDefault="00485CCD">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w:t>
            </w:r>
          </w:p>
          <w:p w:rsidR="00000000" w:rsidRDefault="00485CCD">
            <w:pPr>
              <w:jc w:val="center"/>
              <w:rPr>
                <w:rFonts w:eastAsia="Times New Roman"/>
              </w:rPr>
            </w:pPr>
            <w:r>
              <w:rPr>
                <w:rFonts w:ascii="Arial" w:eastAsia="Times New Roman" w:hAnsi="Arial" w:cs="Arial"/>
                <w:color w:val="000000"/>
                <w:sz w:val="14"/>
                <w:szCs w:val="14"/>
              </w:rPr>
              <w:t>12/31/2020</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 12/31/2019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6.6 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4.3 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4.6 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8/31/2023 –</w:t>
            </w:r>
          </w:p>
          <w:p w:rsidR="00000000" w:rsidRDefault="00485CCD">
            <w:pPr>
              <w:jc w:val="center"/>
              <w:rPr>
                <w:rFonts w:eastAsia="Times New Roman"/>
              </w:rPr>
            </w:pPr>
            <w:r>
              <w:rPr>
                <w:rFonts w:ascii="Arial" w:eastAsia="Times New Roman" w:hAnsi="Arial" w:cs="Arial"/>
                <w:color w:val="000000"/>
                <w:sz w:val="14"/>
                <w:szCs w:val="14"/>
              </w:rPr>
              <w:t>10/31/2024</w:t>
            </w:r>
          </w:p>
        </w:tc>
      </w:tr>
      <w:tr w:rsidR="00000000">
        <w:trPr>
          <w:divId w:val="1056313994"/>
        </w:trPr>
        <w:tc>
          <w:tcPr>
            <w:tcW w:w="0" w:type="auto"/>
            <w:gridSpan w:val="3"/>
            <w:shd w:val="clear" w:color="auto" w:fill="FFFFF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Central Pension Fund of the IUOE &amp; Participating Employers</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 xml:space="preserve">36-6052390 / </w:t>
            </w:r>
          </w:p>
          <w:p w:rsidR="00000000" w:rsidRDefault="00485CCD">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w:t>
            </w:r>
          </w:p>
          <w:p w:rsidR="00000000" w:rsidRDefault="00485CCD">
            <w:pPr>
              <w:jc w:val="center"/>
              <w:rPr>
                <w:rFonts w:eastAsia="Times New Roman"/>
              </w:rPr>
            </w:pPr>
            <w:r>
              <w:rPr>
                <w:rFonts w:ascii="Arial" w:eastAsia="Times New Roman" w:hAnsi="Arial" w:cs="Arial"/>
                <w:color w:val="000000"/>
                <w:sz w:val="14"/>
                <w:szCs w:val="14"/>
              </w:rPr>
              <w:t>1/31/2021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 1/31/2020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5.3 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7.1 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11.7 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p>
          <w:p w:rsidR="00000000" w:rsidRDefault="00485CCD">
            <w:pPr>
              <w:jc w:val="center"/>
              <w:rPr>
                <w:rFonts w:eastAsia="Times New Roman"/>
              </w:rPr>
            </w:pPr>
            <w:r>
              <w:rPr>
                <w:rFonts w:ascii="Arial" w:eastAsia="Times New Roman" w:hAnsi="Arial" w:cs="Arial"/>
                <w:color w:val="000000"/>
                <w:sz w:val="14"/>
                <w:szCs w:val="14"/>
              </w:rPr>
              <w:t>12/31/2022</w:t>
            </w:r>
          </w:p>
        </w:tc>
      </w:tr>
      <w:tr w:rsidR="00000000">
        <w:trPr>
          <w:divId w:val="1056313994"/>
        </w:trPr>
        <w:tc>
          <w:tcPr>
            <w:tcW w:w="0" w:type="auto"/>
            <w:gridSpan w:val="3"/>
            <w:shd w:val="clear" w:color="auto" w:fill="DCE2E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 xml:space="preserve">SEIU Local 1 &amp; </w:t>
            </w:r>
            <w:r>
              <w:rPr>
                <w:rFonts w:ascii="Arial" w:eastAsia="Times New Roman" w:hAnsi="Arial" w:cs="Arial"/>
                <w:color w:val="000000"/>
                <w:sz w:val="14"/>
                <w:szCs w:val="14"/>
              </w:rPr>
              <w:t>Participating Employers Pension Trust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 xml:space="preserve">36-6486542 / </w:t>
            </w:r>
          </w:p>
          <w:p w:rsidR="00000000" w:rsidRDefault="00485CCD">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w:t>
            </w:r>
          </w:p>
          <w:p w:rsidR="00000000" w:rsidRDefault="00485CCD">
            <w:pPr>
              <w:jc w:val="center"/>
              <w:rPr>
                <w:rFonts w:eastAsia="Times New Roman"/>
              </w:rPr>
            </w:pPr>
            <w:r>
              <w:rPr>
                <w:rFonts w:ascii="Arial" w:eastAsia="Times New Roman" w:hAnsi="Arial" w:cs="Arial"/>
                <w:color w:val="000000"/>
                <w:sz w:val="14"/>
                <w:szCs w:val="14"/>
              </w:rPr>
              <w:t>9/30/2020</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 9/30/2019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3.9 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4.3 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5.1 </w:t>
            </w:r>
          </w:p>
        </w:tc>
        <w:tc>
          <w:tcPr>
            <w:tcW w:w="0" w:type="auto"/>
            <w:shd w:val="clear" w:color="auto" w:fill="DCE2E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4/7/2024</w:t>
            </w:r>
          </w:p>
        </w:tc>
      </w:tr>
      <w:tr w:rsidR="00000000">
        <w:trPr>
          <w:divId w:val="1056313994"/>
        </w:trPr>
        <w:tc>
          <w:tcPr>
            <w:tcW w:w="0" w:type="auto"/>
            <w:gridSpan w:val="3"/>
            <w:shd w:val="clear" w:color="auto" w:fill="FFFFFF"/>
            <w:tcMar>
              <w:top w:w="30" w:type="dxa"/>
              <w:left w:w="20" w:type="dxa"/>
              <w:bottom w:w="30" w:type="dxa"/>
              <w:right w:w="20" w:type="dxa"/>
            </w:tcMar>
            <w:vAlign w:val="center"/>
            <w:hideMark/>
          </w:tcPr>
          <w:p w:rsidR="00000000" w:rsidRDefault="00485CCD">
            <w:pPr>
              <w:rPr>
                <w:rFonts w:eastAsia="Times New Roman"/>
              </w:rPr>
            </w:pPr>
            <w:r>
              <w:rPr>
                <w:rFonts w:ascii="Arial" w:eastAsia="Times New Roman" w:hAnsi="Arial" w:cs="Arial"/>
                <w:color w:val="000000"/>
                <w:sz w:val="14"/>
                <w:szCs w:val="14"/>
              </w:rPr>
              <w:t>Western Conference of Teamsters Pension Plan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 xml:space="preserve">91-6145047 / </w:t>
            </w:r>
          </w:p>
          <w:p w:rsidR="00000000" w:rsidRDefault="00485CCD">
            <w:pPr>
              <w:jc w:val="center"/>
              <w:rPr>
                <w:rFonts w:eastAsia="Times New Roman"/>
              </w:rPr>
            </w:pPr>
            <w:r>
              <w:rPr>
                <w:rFonts w:ascii="Arial" w:eastAsia="Times New Roman" w:hAnsi="Arial" w:cs="Arial"/>
                <w:color w:val="000000"/>
                <w:sz w:val="14"/>
                <w:szCs w:val="14"/>
              </w:rPr>
              <w:t xml:space="preserve">001 </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w:t>
            </w:r>
          </w:p>
          <w:p w:rsidR="00000000" w:rsidRDefault="00485CCD">
            <w:pPr>
              <w:jc w:val="center"/>
              <w:rPr>
                <w:rFonts w:eastAsia="Times New Roman"/>
              </w:rPr>
            </w:pPr>
            <w:r>
              <w:rPr>
                <w:rFonts w:ascii="Arial" w:eastAsia="Times New Roman" w:hAnsi="Arial" w:cs="Arial"/>
                <w:color w:val="000000"/>
                <w:sz w:val="14"/>
                <w:szCs w:val="14"/>
              </w:rPr>
              <w:t>12/31/2020</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Green 12/31/2019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2.0 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2.5 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5CCD">
            <w:pPr>
              <w:jc w:val="right"/>
              <w:rPr>
                <w:rFonts w:eastAsia="Times New Roman"/>
              </w:rPr>
            </w:pPr>
            <w:r>
              <w:rPr>
                <w:rFonts w:ascii="Arial" w:eastAsia="Times New Roman" w:hAnsi="Arial" w:cs="Arial"/>
                <w:color w:val="000000"/>
                <w:sz w:val="14"/>
                <w:szCs w:val="14"/>
              </w:rPr>
              <w:t>3.1 </w:t>
            </w:r>
          </w:p>
        </w:tc>
        <w:tc>
          <w:tcPr>
            <w:tcW w:w="0" w:type="auto"/>
            <w:shd w:val="clear" w:color="auto" w:fill="FFFFFF"/>
            <w:tcMar>
              <w:top w:w="30" w:type="dxa"/>
              <w:left w:w="0" w:type="dxa"/>
              <w:bottom w:w="3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4"/>
                <w:szCs w:val="14"/>
              </w:rPr>
              <w:t>12/31/2021 –</w:t>
            </w:r>
            <w:r>
              <w:rPr>
                <w:rFonts w:ascii="Arial" w:eastAsia="Times New Roman" w:hAnsi="Arial" w:cs="Arial"/>
                <w:color w:val="000000"/>
                <w:sz w:val="14"/>
                <w:szCs w:val="14"/>
              </w:rPr>
              <w:br/>
              <w:t>11/30/2022</w:t>
            </w:r>
          </w:p>
        </w:tc>
      </w:tr>
      <w:tr w:rsidR="00000000">
        <w:trPr>
          <w:divId w:val="1056313994"/>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i/>
                <w:iCs/>
                <w:color w:val="000000"/>
                <w:sz w:val="14"/>
                <w:szCs w:val="14"/>
              </w:rPr>
              <w:t>All Other Plans: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9.3 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9.5 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12.2 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056313994"/>
        </w:trPr>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b/>
                <w:bCs/>
                <w:color w:val="000000"/>
                <w:sz w:val="14"/>
                <w:szCs w:val="14"/>
              </w:rPr>
              <w:t>Total Contribution</w:t>
            </w:r>
            <w:r>
              <w:rPr>
                <w:rFonts w:ascii="Arial" w:eastAsia="Times New Roman" w:hAnsi="Arial" w:cs="Arial"/>
                <w:b/>
                <w:bCs/>
                <w:color w:val="000000"/>
                <w:sz w:val="14"/>
                <w:szCs w:val="14"/>
              </w:rPr>
              <w:t>s</w:t>
            </w:r>
            <w:r>
              <w:rPr>
                <w:rFonts w:ascii="Arial" w:eastAsia="Times New Roman" w:hAnsi="Arial" w:cs="Arial"/>
                <w:b/>
                <w:bCs/>
                <w:color w:val="000000"/>
                <w:sz w:val="9"/>
                <w:szCs w:val="9"/>
              </w:rPr>
              <w:t>(6</w:t>
            </w:r>
            <w:r>
              <w:rPr>
                <w:rFonts w:ascii="Arial" w:eastAsia="Times New Roman" w:hAnsi="Arial" w:cs="Arial"/>
                <w:b/>
                <w:bCs/>
                <w:color w:val="000000"/>
                <w:sz w:val="9"/>
                <w:szCs w:val="9"/>
              </w:rPr>
              <w:t>)</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56.8 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55.5 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14"/>
                <w:szCs w:val="14"/>
              </w:rPr>
              <w:t>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rPr>
          <w:rFonts w:eastAsia="Times New Roman"/>
        </w:rPr>
      </w:pPr>
      <w:r>
        <w:rPr>
          <w:rFonts w:ascii="Arial" w:eastAsia="Times New Roman" w:hAnsi="Arial" w:cs="Arial"/>
          <w:color w:val="000000"/>
          <w:sz w:val="14"/>
          <w:szCs w:val="14"/>
        </w:rPr>
        <w:t>*Not applicable</w:t>
      </w:r>
    </w:p>
    <w:p w:rsidR="00000000" w:rsidRDefault="00485CCD">
      <w:pPr>
        <w:ind w:hanging="180"/>
        <w:jc w:val="both"/>
        <w:divId w:val="113202163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To dete</w:t>
      </w:r>
      <w:r>
        <w:rPr>
          <w:rFonts w:ascii="Arial" w:eastAsia="Times New Roman" w:hAnsi="Arial" w:cs="Arial"/>
          <w:color w:val="000000"/>
          <w:sz w:val="18"/>
          <w:szCs w:val="18"/>
        </w:rPr>
        <w:t>rmine individually significant plans, we evaluated several factors, including our total contributions to the plan, our significance to the plan in terms of participating employees and contributions, and the funded status of the plan.</w:t>
      </w:r>
    </w:p>
    <w:p w:rsidR="00000000" w:rsidRDefault="00485CCD">
      <w:pPr>
        <w:ind w:hanging="180"/>
        <w:jc w:val="both"/>
        <w:divId w:val="77090132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“EIN/PN” colum</w:t>
      </w:r>
      <w:r>
        <w:rPr>
          <w:rFonts w:ascii="Arial" w:eastAsia="Times New Roman" w:hAnsi="Arial" w:cs="Arial"/>
          <w:color w:val="000000"/>
          <w:sz w:val="18"/>
          <w:szCs w:val="18"/>
        </w:rPr>
        <w:t>n provides the Employer Identification Number and the three-digit plan number assigned to the plan by the IRS.</w:t>
      </w:r>
    </w:p>
    <w:p w:rsidR="00000000" w:rsidRDefault="00485CCD">
      <w:pPr>
        <w:ind w:hanging="180"/>
        <w:jc w:val="both"/>
        <w:divId w:val="169415260"/>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Pension Protection Act Zone Status columns provide the two most recently available Pension Protection Act zone statuses from each plan. T</w:t>
      </w:r>
      <w:r>
        <w:rPr>
          <w:rFonts w:ascii="Arial" w:eastAsia="Times New Roman" w:hAnsi="Arial" w:cs="Arial"/>
          <w:color w:val="000000"/>
          <w:sz w:val="18"/>
          <w:szCs w:val="18"/>
        </w:rPr>
        <w:t>he zone status is based on information provided to us and other participating employers and is certified by each plan’s actuary. Among other factors, plans in the red zone are generally less than 65% funded, plans in the yellow zone are less than 80% funde</w:t>
      </w:r>
      <w:r>
        <w:rPr>
          <w:rFonts w:ascii="Arial" w:eastAsia="Times New Roman" w:hAnsi="Arial" w:cs="Arial"/>
          <w:color w:val="000000"/>
          <w:sz w:val="18"/>
          <w:szCs w:val="18"/>
        </w:rPr>
        <w:t>d, and plans in the green zone are at least 80% funded.</w:t>
      </w:r>
    </w:p>
    <w:p w:rsidR="00000000" w:rsidRDefault="00485CCD">
      <w:pPr>
        <w:ind w:hanging="180"/>
        <w:jc w:val="both"/>
        <w:divId w:val="1835953716"/>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a Financial Improvement Plan (“FIP”) for yellow zone plans or a Rehabilitation Plan (“RP”) for red zone plans is pending or implemented.</w:t>
      </w:r>
    </w:p>
    <w:p w:rsidR="00000000" w:rsidRDefault="00485CCD">
      <w:pPr>
        <w:ind w:hanging="180"/>
        <w:jc w:val="both"/>
        <w:divId w:val="1964342423"/>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our contribution in</w:t>
      </w:r>
      <w:r>
        <w:rPr>
          <w:rFonts w:ascii="Arial" w:eastAsia="Times New Roman" w:hAnsi="Arial" w:cs="Arial"/>
          <w:color w:val="000000"/>
          <w:sz w:val="18"/>
          <w:szCs w:val="18"/>
        </w:rPr>
        <w:t xml:space="preserve"> 2021 included an amount as imposed by a plan in the red zone in addition to the contribution rate specified in the applicable collective bargaining agreement. </w:t>
      </w:r>
    </w:p>
    <w:p w:rsidR="00000000" w:rsidRDefault="00485CCD">
      <w:pPr>
        <w:ind w:hanging="180"/>
        <w:jc w:val="both"/>
        <w:divId w:val="1822113897"/>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total contributions for fiscal year 2021 includes $4.6 million contributed by Able sinc</w:t>
      </w:r>
      <w:r>
        <w:rPr>
          <w:rFonts w:ascii="Arial" w:eastAsia="Times New Roman" w:hAnsi="Arial" w:cs="Arial"/>
          <w:color w:val="000000"/>
          <w:sz w:val="18"/>
          <w:szCs w:val="18"/>
        </w:rPr>
        <w:t>e the acquisition</w:t>
      </w:r>
      <w:r>
        <w:rPr>
          <w:rFonts w:ascii="Arial" w:eastAsia="Times New Roman" w:hAnsi="Arial" w:cs="Arial"/>
          <w:color w:val="000000"/>
          <w:sz w:val="20"/>
          <w:szCs w:val="20"/>
        </w:rPr>
        <w:t>.</w:t>
      </w:r>
    </w:p>
    <w:p w:rsidR="00000000" w:rsidRDefault="00485CCD">
      <w:pPr>
        <w:ind w:hanging="180"/>
        <w:jc w:val="both"/>
        <w:divId w:val="563101904"/>
        <w:rPr>
          <w:rFonts w:eastAsia="Times New Roman"/>
        </w:rPr>
      </w:pPr>
    </w:p>
    <w:p w:rsidR="00000000" w:rsidRDefault="00485CCD">
      <w:pPr>
        <w:jc w:val="center"/>
        <w:divId w:val="369185039"/>
        <w:rPr>
          <w:rFonts w:eastAsia="Times New Roman"/>
        </w:rPr>
      </w:pPr>
      <w:r>
        <w:rPr>
          <w:rFonts w:ascii="Arial" w:eastAsia="Times New Roman" w:hAnsi="Arial" w:cs="Arial"/>
          <w:color w:val="000000"/>
          <w:sz w:val="20"/>
          <w:szCs w:val="20"/>
        </w:rPr>
        <w:t>80</w:t>
      </w:r>
    </w:p>
    <w:p w:rsidR="00000000" w:rsidRDefault="00485CCD">
      <w:pPr>
        <w:rPr>
          <w:rFonts w:eastAsia="Times New Roman"/>
        </w:rPr>
      </w:pPr>
      <w:r>
        <w:rPr>
          <w:rFonts w:eastAsia="Times New Roman"/>
        </w:rPr>
        <w:pict>
          <v:rect id="_x0000_i1117" style="width:0;height:1.5pt" o:hralign="center" o:hrstd="t" o:hr="t" fillcolor="#a0a0a0" stroked="f"/>
        </w:pict>
      </w:r>
    </w:p>
    <w:p w:rsidR="00000000" w:rsidRDefault="00485CCD">
      <w:pPr>
        <w:divId w:val="2067145057"/>
        <w:rPr>
          <w:rFonts w:eastAsia="Times New Roman"/>
        </w:rPr>
      </w:pPr>
    </w:p>
    <w:p w:rsidR="00000000" w:rsidRDefault="00485CCD">
      <w:pPr>
        <w:jc w:val="both"/>
        <w:divId w:val="300962461"/>
        <w:rPr>
          <w:rFonts w:eastAsia="Times New Roman"/>
        </w:rPr>
      </w:pPr>
      <w:r>
        <w:rPr>
          <w:rFonts w:ascii="Arial" w:eastAsia="Times New Roman" w:hAnsi="Arial" w:cs="Arial"/>
          <w:i/>
          <w:iCs/>
          <w:color w:val="0046AD"/>
          <w:sz w:val="20"/>
          <w:szCs w:val="20"/>
        </w:rPr>
        <w:t>Multiemployer Pension Plans for which ABM is a Significant Contributor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233"/>
        <w:gridCol w:w="38"/>
        <w:gridCol w:w="36"/>
        <w:gridCol w:w="36"/>
        <w:gridCol w:w="36"/>
        <w:gridCol w:w="46"/>
        <w:gridCol w:w="3785"/>
        <w:gridCol w:w="36"/>
      </w:tblGrid>
      <w:tr w:rsidR="00000000">
        <w:trPr>
          <w:divId w:val="1695688743"/>
          <w:jc w:val="center"/>
        </w:trPr>
        <w:tc>
          <w:tcPr>
            <w:tcW w:w="50" w:type="pct"/>
            <w:vAlign w:val="center"/>
            <w:hideMark/>
          </w:tcPr>
          <w:p w:rsidR="00000000" w:rsidRDefault="00485CCD">
            <w:pPr>
              <w:jc w:val="both"/>
              <w:rPr>
                <w:rFonts w:eastAsia="Times New Roman"/>
              </w:rPr>
            </w:pPr>
          </w:p>
        </w:tc>
        <w:tc>
          <w:tcPr>
            <w:tcW w:w="25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29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95688743"/>
          <w:jc w:val="center"/>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Pension Fund</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16"/>
                <w:szCs w:val="16"/>
              </w:rPr>
              <w:t>Contributions to the plan exceeded more than 5% of total contributions per most currently available Forms 5500</w:t>
            </w:r>
            <w:r>
              <w:rPr>
                <w:rFonts w:ascii="Arial" w:eastAsia="Times New Roman" w:hAnsi="Arial" w:cs="Arial"/>
                <w:b/>
                <w:bCs/>
                <w:color w:val="000000"/>
                <w:sz w:val="16"/>
                <w:szCs w:val="16"/>
              </w:rPr>
              <w:br/>
              <w:t>(as of the plan’s year end)</w:t>
            </w:r>
          </w:p>
        </w:tc>
      </w:tr>
      <w:tr w:rsidR="00000000">
        <w:trPr>
          <w:divId w:val="1695688743"/>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Arizona Sheet Metal Pension Trust Fund*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6/30/2020, 6/30/2019 and 6/30/2018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Building Service 32BJ Pension Fund</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6/30/2020, 6/30/2019, and 6/30/2018</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Building Service Pension Plan*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4/30/2020, 4/30/2019, and 4/30/2018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Contract Cleaners Service Employees’ Pension Plan*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12/31/20, 12/31/2019, and 12/31/2018</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Firemen &amp; Oilers Pension Plan of SEIU Local 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7/31/2020, 7/31/2019, and 7/31/2018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 xml:space="preserve">IUOE Stationary Engineers Local 39 Pension Trust Fund </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6"/>
                <w:szCs w:val="16"/>
              </w:rPr>
              <w:t>12/31/2020, 12/13/2019, and 12/31/2018</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Massachusetts Service Employees Pension Plan*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12/31/2020, 12/31/2019, and 12/31/2018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SEIU Local 1 &amp; Participating Employers Pension Trust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9/30/2020, 9/30/2019, and 9/30/2018</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S.E.I.U. National Industry Pension Fund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12/31/2020, 12/31/2019, and 12/31/2018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Service Employees International Union Local 1 Cleveland Pension Plan*</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12/31/2020, 12/31/2019, and 12/31/2018</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Service Employees International Union Local 32BJ, Di</w:t>
            </w:r>
            <w:r>
              <w:rPr>
                <w:rFonts w:ascii="Arial" w:eastAsia="Times New Roman" w:hAnsi="Arial" w:cs="Arial"/>
                <w:color w:val="000000"/>
                <w:sz w:val="16"/>
                <w:szCs w:val="16"/>
              </w:rPr>
              <w:t>strict 36 Building Operators Pension Trust Fund*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6"/>
                <w:szCs w:val="16"/>
              </w:rPr>
              <w:t>12/31/2020, 12/31/2019, and 12/31/2018</w:t>
            </w:r>
          </w:p>
        </w:tc>
      </w:tr>
      <w:tr w:rsidR="00000000">
        <w:trPr>
          <w:divId w:val="1695688743"/>
          <w:jc w:val="center"/>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Teamsters Local 617 Pension Fund*</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16"/>
                <w:szCs w:val="16"/>
              </w:rPr>
              <w:t>2/28/2021, 2/29/2020, and 2/28/2019</w:t>
            </w:r>
          </w:p>
        </w:tc>
      </w:tr>
      <w:tr w:rsidR="00000000">
        <w:trPr>
          <w:divId w:val="1695688743"/>
          <w:jc w:val="center"/>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16"/>
                <w:szCs w:val="16"/>
              </w:rPr>
              <w:t>Teamsters Local Union No. 727 Pension Plan*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16"/>
                <w:szCs w:val="16"/>
              </w:rPr>
              <w:t>2/28/2021, 2/29/2020, and 2/28/2019</w:t>
            </w:r>
          </w:p>
        </w:tc>
      </w:tr>
    </w:tbl>
    <w:p w:rsidR="00000000" w:rsidRDefault="00485CCD">
      <w:pPr>
        <w:divId w:val="2013071753"/>
        <w:rPr>
          <w:rFonts w:eastAsia="Times New Roman"/>
        </w:rPr>
      </w:pPr>
      <w:r>
        <w:rPr>
          <w:rFonts w:ascii="Arial" w:eastAsia="Times New Roman" w:hAnsi="Arial" w:cs="Arial"/>
          <w:color w:val="000000"/>
          <w:sz w:val="14"/>
          <w:szCs w:val="14"/>
        </w:rPr>
        <w:t>* These plans are not separately listed in our multiemployer table as they represent an insignificant portion of our total multiemployer pension plan contributions.</w:t>
      </w:r>
    </w:p>
    <w:p w:rsidR="00000000" w:rsidRDefault="00485CCD">
      <w:pPr>
        <w:jc w:val="both"/>
        <w:divId w:val="1147085325"/>
        <w:rPr>
          <w:rFonts w:eastAsia="Times New Roman"/>
        </w:rPr>
      </w:pPr>
      <w:r>
        <w:rPr>
          <w:rFonts w:ascii="Arial" w:eastAsia="Times New Roman" w:hAnsi="Arial" w:cs="Arial"/>
          <w:b/>
          <w:bCs/>
          <w:i/>
          <w:iCs/>
          <w:color w:val="0046AD"/>
          <w:sz w:val="20"/>
          <w:szCs w:val="20"/>
        </w:rPr>
        <w:t>Multiemployer Defined Contribution Plans</w:t>
      </w:r>
    </w:p>
    <w:p w:rsidR="00000000" w:rsidRDefault="00485CCD">
      <w:pPr>
        <w:ind w:firstLine="720"/>
        <w:jc w:val="both"/>
        <w:divId w:val="1746493983"/>
        <w:rPr>
          <w:rFonts w:eastAsia="Times New Roman"/>
        </w:rPr>
      </w:pPr>
      <w:r>
        <w:rPr>
          <w:rFonts w:ascii="Arial" w:eastAsia="Times New Roman" w:hAnsi="Arial" w:cs="Arial"/>
          <w:color w:val="000000"/>
          <w:sz w:val="20"/>
          <w:szCs w:val="20"/>
        </w:rPr>
        <w:t xml:space="preserve">In addition to contributions noted above, we also </w:t>
      </w:r>
      <w:r>
        <w:rPr>
          <w:rFonts w:ascii="Arial" w:eastAsia="Times New Roman" w:hAnsi="Arial" w:cs="Arial"/>
          <w:color w:val="000000"/>
          <w:sz w:val="20"/>
          <w:szCs w:val="20"/>
        </w:rPr>
        <w:t xml:space="preserve">make contributions to multiemployer defined contribution plans. During 2021, 2020, and 2019, our contributions to the defined contribution plans were $21.2 million, $15.5 million, and $9.0 million, respectively. </w:t>
      </w:r>
    </w:p>
    <w:p w:rsidR="00000000" w:rsidRDefault="00485CCD">
      <w:pPr>
        <w:jc w:val="both"/>
        <w:divId w:val="1660841547"/>
        <w:rPr>
          <w:rFonts w:eastAsia="Times New Roman"/>
        </w:rPr>
      </w:pPr>
      <w:r>
        <w:rPr>
          <w:rFonts w:ascii="Arial" w:eastAsia="Times New Roman" w:hAnsi="Arial" w:cs="Arial"/>
          <w:b/>
          <w:bCs/>
          <w:i/>
          <w:iCs/>
          <w:color w:val="0046AD"/>
          <w:sz w:val="20"/>
          <w:szCs w:val="20"/>
        </w:rPr>
        <w:t>Other Multiemployer Benefit Plans</w:t>
      </w:r>
    </w:p>
    <w:p w:rsidR="00000000" w:rsidRDefault="00485CCD">
      <w:pPr>
        <w:ind w:firstLine="720"/>
        <w:jc w:val="both"/>
        <w:divId w:val="1383096343"/>
        <w:rPr>
          <w:rFonts w:eastAsia="Times New Roman"/>
        </w:rPr>
      </w:pPr>
      <w:r>
        <w:rPr>
          <w:rFonts w:ascii="Arial" w:eastAsia="Times New Roman" w:hAnsi="Arial" w:cs="Arial"/>
          <w:color w:val="000000"/>
          <w:sz w:val="20"/>
          <w:szCs w:val="20"/>
        </w:rPr>
        <w:t>We also contribute to several multiemployer postretirement health and welfare plans based on obligations arising under collective bargaining agreements covering union-represented employees. These plans may provide medical,</w:t>
      </w:r>
      <w:r>
        <w:rPr>
          <w:rFonts w:ascii="Arial" w:eastAsia="Times New Roman" w:hAnsi="Arial" w:cs="Arial"/>
          <w:color w:val="000000"/>
          <w:sz w:val="20"/>
          <w:szCs w:val="20"/>
        </w:rPr>
        <w:t xml:space="preserve"> pharmacy, dental, vision, mental health, and other benefits to employees as determined by the trustees of each plan. The majority of our contributions benefit active employees and, as such, may not constitute contributions to a postretirement benefit plan</w:t>
      </w:r>
      <w:r>
        <w:rPr>
          <w:rFonts w:ascii="Arial" w:eastAsia="Times New Roman" w:hAnsi="Arial" w:cs="Arial"/>
          <w:color w:val="000000"/>
          <w:sz w:val="20"/>
          <w:szCs w:val="20"/>
        </w:rPr>
        <w:t xml:space="preserve">. However, since we are unable to separate contribution amounts to postretirement benefit plans from contribution amounts paid to benefit active employees, we categorize all such amounts as contributions to postretirement benefit plans. During 2021, 2020, </w:t>
      </w:r>
      <w:r>
        <w:rPr>
          <w:rFonts w:ascii="Arial" w:eastAsia="Times New Roman" w:hAnsi="Arial" w:cs="Arial"/>
          <w:color w:val="000000"/>
          <w:sz w:val="20"/>
          <w:szCs w:val="20"/>
        </w:rPr>
        <w:t>and 2019, our contributions to such plans wer</w:t>
      </w:r>
      <w:r>
        <w:rPr>
          <w:rFonts w:ascii="Arial" w:eastAsia="Times New Roman" w:hAnsi="Arial" w:cs="Arial"/>
          <w:color w:val="000000"/>
          <w:sz w:val="20"/>
          <w:szCs w:val="20"/>
          <w:shd w:val="clear" w:color="auto" w:fill="FFFFFF"/>
        </w:rPr>
        <w:t xml:space="preserve">e </w:t>
      </w:r>
      <w:r>
        <w:rPr>
          <w:rFonts w:ascii="Arial" w:eastAsia="Times New Roman" w:hAnsi="Arial" w:cs="Arial"/>
          <w:color w:val="000000"/>
          <w:sz w:val="20"/>
          <w:szCs w:val="20"/>
        </w:rPr>
        <w:t>$270.8 million, $264.8 million, and $269.8 million, respectively. There have been no significant changes that affect the comparability of total contributions for any of the periods presented.</w:t>
      </w:r>
    </w:p>
    <w:p w:rsidR="00000000" w:rsidRDefault="00485CCD">
      <w:pPr>
        <w:jc w:val="center"/>
        <w:divId w:val="1863008882"/>
        <w:rPr>
          <w:rFonts w:eastAsia="Times New Roman"/>
        </w:rPr>
      </w:pPr>
      <w:r>
        <w:rPr>
          <w:rFonts w:ascii="Arial" w:eastAsia="Times New Roman" w:hAnsi="Arial" w:cs="Arial"/>
          <w:color w:val="000000"/>
          <w:sz w:val="20"/>
          <w:szCs w:val="20"/>
        </w:rPr>
        <w:t>81</w:t>
      </w:r>
    </w:p>
    <w:p w:rsidR="00000000" w:rsidRDefault="00485CCD">
      <w:pPr>
        <w:rPr>
          <w:rFonts w:eastAsia="Times New Roman"/>
        </w:rPr>
      </w:pPr>
      <w:r>
        <w:rPr>
          <w:rFonts w:eastAsia="Times New Roman"/>
        </w:rPr>
        <w:pict>
          <v:rect id="_x0000_i1118" style="width:0;height:1.5pt" o:hralign="center" o:hrstd="t" o:hr="t" fillcolor="#a0a0a0" stroked="f"/>
        </w:pict>
      </w:r>
    </w:p>
    <w:p w:rsidR="00000000" w:rsidRDefault="00485CCD">
      <w:pPr>
        <w:divId w:val="1210801995"/>
        <w:rPr>
          <w:rFonts w:eastAsia="Times New Roman"/>
        </w:rPr>
      </w:pPr>
    </w:p>
    <w:p w:rsidR="00000000" w:rsidRDefault="00485CCD">
      <w:pPr>
        <w:divId w:val="375398253"/>
        <w:rPr>
          <w:rFonts w:eastAsia="Times New Roman"/>
        </w:rPr>
      </w:pPr>
      <w:r>
        <w:rPr>
          <w:rFonts w:ascii="Arial" w:eastAsia="Times New Roman" w:hAnsi="Arial" w:cs="Arial"/>
          <w:b/>
          <w:bCs/>
          <w:color w:val="0046AD"/>
          <w:sz w:val="20"/>
          <w:szCs w:val="20"/>
        </w:rPr>
        <w:t xml:space="preserve">13. COMMITMENTS AND CONTINGENCIES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023895828"/>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2389582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986979897"/>
        <w:rPr>
          <w:rFonts w:eastAsia="Times New Roman"/>
        </w:rPr>
      </w:pPr>
      <w:r>
        <w:rPr>
          <w:rFonts w:ascii="Arial" w:eastAsia="Times New Roman" w:hAnsi="Arial" w:cs="Arial"/>
          <w:b/>
          <w:bCs/>
          <w:color w:val="0046AD"/>
          <w:sz w:val="20"/>
          <w:szCs w:val="20"/>
        </w:rPr>
        <w:t>Letters of Credit and Surety Bonds</w:t>
      </w:r>
    </w:p>
    <w:p w:rsidR="00000000" w:rsidRDefault="00485CCD">
      <w:pPr>
        <w:ind w:firstLine="720"/>
        <w:jc w:val="both"/>
        <w:divId w:val="65231515"/>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October 31, 2021, these letters of credit and surety bonds totaled $167.7 million and $687.3 million, respectively. </w:t>
      </w:r>
    </w:p>
    <w:p w:rsidR="00000000" w:rsidRDefault="00485CCD">
      <w:pPr>
        <w:divId w:val="522281270"/>
        <w:rPr>
          <w:rFonts w:eastAsia="Times New Roman"/>
        </w:rPr>
      </w:pPr>
      <w:r>
        <w:rPr>
          <w:rFonts w:ascii="Arial" w:eastAsia="Times New Roman" w:hAnsi="Arial" w:cs="Arial"/>
          <w:b/>
          <w:bCs/>
          <w:color w:val="0046AD"/>
          <w:sz w:val="20"/>
          <w:szCs w:val="20"/>
        </w:rPr>
        <w:t>Guarant</w:t>
      </w:r>
      <w:r>
        <w:rPr>
          <w:rFonts w:ascii="Arial" w:eastAsia="Times New Roman" w:hAnsi="Arial" w:cs="Arial"/>
          <w:b/>
          <w:bCs/>
          <w:color w:val="0046AD"/>
          <w:sz w:val="20"/>
          <w:szCs w:val="20"/>
        </w:rPr>
        <w:t>ees</w:t>
      </w:r>
    </w:p>
    <w:p w:rsidR="00000000" w:rsidRDefault="00485CCD">
      <w:pPr>
        <w:ind w:firstLine="720"/>
        <w:jc w:val="both"/>
        <w:divId w:val="149978894"/>
        <w:rPr>
          <w:rFonts w:eastAsia="Times New Roman"/>
        </w:rPr>
      </w:pPr>
      <w:r>
        <w:rPr>
          <w:rFonts w:ascii="Arial" w:eastAsia="Times New Roman" w:hAnsi="Arial" w:cs="Arial"/>
          <w:color w:val="000000"/>
          <w:sz w:val="20"/>
          <w:szCs w:val="20"/>
        </w:rPr>
        <w:t>In some instances, we offer clients guaranteed energy savings under certain energy savings contracts. At October 31, 2021 and 2020, total guarantees were $254.3 million and $182.8 million, respectively, and these guarantees extend through 2041 and 2039</w:t>
      </w:r>
      <w:r>
        <w:rPr>
          <w:rFonts w:ascii="Arial" w:eastAsia="Times New Roman" w:hAnsi="Arial" w:cs="Arial"/>
          <w:color w:val="000000"/>
          <w:sz w:val="20"/>
          <w:szCs w:val="20"/>
        </w:rPr>
        <w:t>, respectively. We accrue for the estimated cost of guarantees when it is probable that a liability has been incurred and the amount can be reasonably estimated. Historically, we have not incurred any material losses in connection with these guarantees.</w:t>
      </w:r>
    </w:p>
    <w:p w:rsidR="00000000" w:rsidRDefault="00485CCD">
      <w:pPr>
        <w:divId w:val="1579286672"/>
        <w:rPr>
          <w:rFonts w:eastAsia="Times New Roman"/>
        </w:rPr>
      </w:pPr>
      <w:r>
        <w:rPr>
          <w:rFonts w:ascii="Arial" w:eastAsia="Times New Roman" w:hAnsi="Arial" w:cs="Arial"/>
          <w:b/>
          <w:bCs/>
          <w:color w:val="0046AD"/>
          <w:sz w:val="20"/>
          <w:szCs w:val="20"/>
        </w:rPr>
        <w:t>In</w:t>
      </w:r>
      <w:r>
        <w:rPr>
          <w:rFonts w:ascii="Arial" w:eastAsia="Times New Roman" w:hAnsi="Arial" w:cs="Arial"/>
          <w:b/>
          <w:bCs/>
          <w:color w:val="0046AD"/>
          <w:sz w:val="20"/>
          <w:szCs w:val="20"/>
        </w:rPr>
        <w:t>demnifications</w:t>
      </w:r>
    </w:p>
    <w:p w:rsidR="00000000" w:rsidRDefault="00485CCD">
      <w:pPr>
        <w:ind w:firstLine="720"/>
        <w:jc w:val="both"/>
        <w:divId w:val="533154718"/>
        <w:rPr>
          <w:rFonts w:eastAsia="Times New Roman"/>
        </w:rPr>
      </w:pPr>
      <w:r>
        <w:rPr>
          <w:rFonts w:ascii="Arial" w:eastAsia="Times New Roman" w:hAnsi="Arial" w:cs="Arial"/>
          <w:color w:val="000000"/>
          <w:sz w:val="20"/>
          <w:szCs w:val="20"/>
        </w:rPr>
        <w:t>We are party to a variety of agreements under which we may be obligated to indemnify the other party for certain matters. These agreements are primarily standard indemnification arrangements entered into in our ordinary course of business. P</w:t>
      </w:r>
      <w:r>
        <w:rPr>
          <w:rFonts w:ascii="Arial" w:eastAsia="Times New Roman" w:hAnsi="Arial" w:cs="Arial"/>
          <w:color w:val="000000"/>
          <w:sz w:val="20"/>
          <w:szCs w:val="20"/>
        </w:rPr>
        <w:t>ursuant to these arrangements, we may agree to indemnify, hold harmless, and reimburse the indemnified parties for losses suffered or incurred by the indemnified party, generally our clients, in connection with any claims arising out of the services that w</w:t>
      </w:r>
      <w:r>
        <w:rPr>
          <w:rFonts w:ascii="Arial" w:eastAsia="Times New Roman" w:hAnsi="Arial" w:cs="Arial"/>
          <w:color w:val="000000"/>
          <w:sz w:val="20"/>
          <w:szCs w:val="20"/>
        </w:rPr>
        <w:t>e provide. We also incur costs to defend lawsuits or settle claims related to these indemnification arrangements, and in most cases these costs are paid from our insurance program. Although we attempt to place limits on such indemnification arrangements re</w:t>
      </w:r>
      <w:r>
        <w:rPr>
          <w:rFonts w:ascii="Arial" w:eastAsia="Times New Roman" w:hAnsi="Arial" w:cs="Arial"/>
          <w:color w:val="000000"/>
          <w:sz w:val="20"/>
          <w:szCs w:val="20"/>
        </w:rPr>
        <w:t>lated to the size of the contract, the maximum obligation may not be explicitly stated and, as a result, we are unable to determine the maximum potential amount of future payments we could be required to make under these arrangements.</w:t>
      </w:r>
    </w:p>
    <w:p w:rsidR="00000000" w:rsidRDefault="00485CCD">
      <w:pPr>
        <w:ind w:firstLine="720"/>
        <w:jc w:val="both"/>
        <w:divId w:val="274366225"/>
        <w:rPr>
          <w:rFonts w:eastAsia="Times New Roman"/>
        </w:rPr>
      </w:pPr>
      <w:r>
        <w:rPr>
          <w:rFonts w:ascii="Arial" w:eastAsia="Times New Roman" w:hAnsi="Arial" w:cs="Arial"/>
          <w:color w:val="000000"/>
          <w:sz w:val="20"/>
          <w:szCs w:val="20"/>
        </w:rPr>
        <w:t>Our certificate of in</w:t>
      </w:r>
      <w:r>
        <w:rPr>
          <w:rFonts w:ascii="Arial" w:eastAsia="Times New Roman" w:hAnsi="Arial" w:cs="Arial"/>
          <w:color w:val="000000"/>
          <w:sz w:val="20"/>
          <w:szCs w:val="20"/>
        </w:rPr>
        <w:t>corporation and bylaws may require us to indemnify our directors and officers for certain liabilities that were incurred as a result of their status or service to ABM as a director or officer. The amount of these obligations cannot be reasonably estimated.</w:t>
      </w:r>
      <w:r>
        <w:rPr>
          <w:rFonts w:ascii="Arial" w:eastAsia="Times New Roman" w:hAnsi="Arial" w:cs="Arial"/>
          <w:color w:val="000000"/>
          <w:sz w:val="20"/>
          <w:szCs w:val="20"/>
        </w:rPr>
        <w:t xml:space="preserve"> </w:t>
      </w:r>
    </w:p>
    <w:p w:rsidR="00000000" w:rsidRDefault="00485CCD">
      <w:pPr>
        <w:divId w:val="1378965305"/>
        <w:rPr>
          <w:rFonts w:eastAsia="Times New Roman"/>
        </w:rPr>
      </w:pPr>
      <w:r>
        <w:rPr>
          <w:rFonts w:ascii="Arial" w:eastAsia="Times New Roman" w:hAnsi="Arial" w:cs="Arial"/>
          <w:b/>
          <w:bCs/>
          <w:color w:val="0046AD"/>
          <w:sz w:val="20"/>
          <w:szCs w:val="20"/>
        </w:rPr>
        <w:t>Unclaimed Property Audits</w:t>
      </w:r>
    </w:p>
    <w:p w:rsidR="00000000" w:rsidRDefault="00485CCD">
      <w:pPr>
        <w:ind w:firstLine="720"/>
        <w:jc w:val="both"/>
        <w:divId w:val="1004240310"/>
        <w:rPr>
          <w:rFonts w:eastAsia="Times New Roman"/>
        </w:rPr>
      </w:pPr>
      <w:r>
        <w:rPr>
          <w:rFonts w:ascii="Arial" w:eastAsia="Times New Roman" w:hAnsi="Arial" w:cs="Arial"/>
          <w:color w:val="000000"/>
          <w:sz w:val="20"/>
          <w:szCs w:val="20"/>
        </w:rPr>
        <w:t>We routinely remit escheat payments to states in compliance with applicable escheat laws, and we are subject to unclaimed property audits by states in the ordinary course of business. The property subject to review in the audit process may include unclaime</w:t>
      </w:r>
      <w:r>
        <w:rPr>
          <w:rFonts w:ascii="Arial" w:eastAsia="Times New Roman" w:hAnsi="Arial" w:cs="Arial"/>
          <w:color w:val="000000"/>
          <w:sz w:val="20"/>
          <w:szCs w:val="20"/>
        </w:rPr>
        <w:t>d wages, vendor payments, or customer refunds. State escheat laws generally require entities to report and remit abandoned or unclaimed property to the state, and failure to do so can result in assessments that could include interest and penalties in addit</w:t>
      </w:r>
      <w:r>
        <w:rPr>
          <w:rFonts w:ascii="Arial" w:eastAsia="Times New Roman" w:hAnsi="Arial" w:cs="Arial"/>
          <w:color w:val="000000"/>
          <w:sz w:val="20"/>
          <w:szCs w:val="20"/>
        </w:rPr>
        <w:t xml:space="preserve">ion to the payment of the escheat liability. </w:t>
      </w:r>
    </w:p>
    <w:p w:rsidR="00000000" w:rsidRDefault="00485CCD">
      <w:pPr>
        <w:divId w:val="1294293646"/>
        <w:rPr>
          <w:rFonts w:eastAsia="Times New Roman"/>
        </w:rPr>
      </w:pPr>
      <w:r>
        <w:rPr>
          <w:rFonts w:ascii="Arial" w:eastAsia="Times New Roman" w:hAnsi="Arial" w:cs="Arial"/>
          <w:b/>
          <w:bCs/>
          <w:color w:val="0046AD"/>
          <w:sz w:val="20"/>
          <w:szCs w:val="20"/>
        </w:rPr>
        <w:t>Legal Matters</w:t>
      </w:r>
    </w:p>
    <w:p w:rsidR="00000000" w:rsidRDefault="00485CCD">
      <w:pPr>
        <w:ind w:firstLine="720"/>
        <w:jc w:val="both"/>
        <w:divId w:val="586110465"/>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w:t>
      </w:r>
      <w:r>
        <w:rPr>
          <w:rFonts w:ascii="Arial" w:eastAsia="Times New Roman" w:hAnsi="Arial" w:cs="Arial"/>
          <w:color w:val="000000"/>
          <w:sz w:val="20"/>
          <w:szCs w:val="20"/>
        </w:rPr>
        <w:t xml:space="preserve"> matters, some of which allege substantial monetary damages. Some of these actions may be brought as class actions on behalf of a class or purported class of employees. </w:t>
      </w:r>
    </w:p>
    <w:p w:rsidR="00000000" w:rsidRDefault="00485CCD">
      <w:pPr>
        <w:ind w:firstLine="720"/>
        <w:jc w:val="both"/>
        <w:divId w:val="2053533151"/>
        <w:rPr>
          <w:rFonts w:eastAsia="Times New Roman"/>
        </w:rPr>
      </w:pPr>
      <w:r>
        <w:rPr>
          <w:rFonts w:ascii="Arial" w:eastAsia="Times New Roman" w:hAnsi="Arial" w:cs="Arial"/>
          <w:color w:val="000000"/>
          <w:sz w:val="20"/>
          <w:szCs w:val="20"/>
        </w:rPr>
        <w:t>At October 31, 2021, the total amount accrued for probable litigation losses where a r</w:t>
      </w:r>
      <w:r>
        <w:rPr>
          <w:rFonts w:ascii="Arial" w:eastAsia="Times New Roman" w:hAnsi="Arial" w:cs="Arial"/>
          <w:color w:val="000000"/>
          <w:sz w:val="20"/>
          <w:szCs w:val="20"/>
        </w:rPr>
        <w:t>easonable estimate of the loss could be made was $18.5 million. We do not accrue for contingent losses that, in our judgment, are considered to be reasonably possible but not probable. The estimation of reasonably possible losses also requires the analysis</w:t>
      </w:r>
      <w:r>
        <w:rPr>
          <w:rFonts w:ascii="Arial" w:eastAsia="Times New Roman" w:hAnsi="Arial" w:cs="Arial"/>
          <w:color w:val="000000"/>
          <w:sz w:val="20"/>
          <w:szCs w:val="20"/>
        </w:rPr>
        <w:t xml:space="preserve"> of multiple possible outcomes that often depend on judgments about potential actions by third parties. Our management currently estimates the range of loss for reasonably possible losses for which a reasonable estimate of the loss can be made is between z</w:t>
      </w:r>
      <w:r>
        <w:rPr>
          <w:rFonts w:ascii="Arial" w:eastAsia="Times New Roman" w:hAnsi="Arial" w:cs="Arial"/>
          <w:color w:val="000000"/>
          <w:sz w:val="20"/>
          <w:szCs w:val="20"/>
        </w:rPr>
        <w:t xml:space="preserve">ero and $6 million. Factors underlying this estimated range of loss may change from time to time, and actual results may vary significantly from this estimate. The amounts above do not include any accrual or loss estimates with respect to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de</w:t>
      </w:r>
      <w:r>
        <w:rPr>
          <w:rFonts w:ascii="Arial" w:eastAsia="Times New Roman" w:hAnsi="Arial" w:cs="Arial"/>
          <w:color w:val="000000"/>
          <w:sz w:val="20"/>
          <w:szCs w:val="20"/>
        </w:rPr>
        <w:t>scribed below.</w:t>
      </w:r>
    </w:p>
    <w:p w:rsidR="00000000" w:rsidRDefault="00485CCD">
      <w:pPr>
        <w:ind w:firstLine="720"/>
        <w:jc w:val="both"/>
        <w:divId w:val="622080756"/>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multiple possible outcomes that often depend on judgments about potential actions by third parties. If one or more matters are resolv</w:t>
      </w:r>
      <w:r>
        <w:rPr>
          <w:rFonts w:ascii="Arial" w:eastAsia="Times New Roman" w:hAnsi="Arial" w:cs="Arial"/>
          <w:color w:val="000000"/>
          <w:sz w:val="20"/>
          <w:szCs w:val="20"/>
        </w:rPr>
        <w:t xml:space="preserve">ed in a particular period in an amount in excess of, or in a manner different than, what we anticipated, this could have a material adverse effect on our financial position, results of operations, or cash flows. </w:t>
      </w:r>
    </w:p>
    <w:p w:rsidR="00000000" w:rsidRDefault="00485CCD">
      <w:pPr>
        <w:jc w:val="center"/>
        <w:divId w:val="1628779616"/>
        <w:rPr>
          <w:rFonts w:eastAsia="Times New Roman"/>
        </w:rPr>
      </w:pPr>
      <w:r>
        <w:rPr>
          <w:rFonts w:ascii="Arial" w:eastAsia="Times New Roman" w:hAnsi="Arial" w:cs="Arial"/>
          <w:color w:val="000000"/>
          <w:sz w:val="20"/>
          <w:szCs w:val="20"/>
        </w:rPr>
        <w:t>82</w:t>
      </w:r>
    </w:p>
    <w:p w:rsidR="00000000" w:rsidRDefault="00485CCD">
      <w:pPr>
        <w:rPr>
          <w:rFonts w:eastAsia="Times New Roman"/>
        </w:rPr>
      </w:pPr>
      <w:r>
        <w:rPr>
          <w:rFonts w:eastAsia="Times New Roman"/>
        </w:rPr>
        <w:pict>
          <v:rect id="_x0000_i1119" style="width:0;height:1.5pt" o:hralign="center" o:hrstd="t" o:hr="t" fillcolor="#a0a0a0" stroked="f"/>
        </w:pict>
      </w:r>
    </w:p>
    <w:p w:rsidR="00000000" w:rsidRDefault="00485CCD">
      <w:pPr>
        <w:divId w:val="1284848693"/>
        <w:rPr>
          <w:rFonts w:eastAsia="Times New Roman"/>
        </w:rPr>
      </w:pPr>
    </w:p>
    <w:p w:rsidR="00000000" w:rsidRDefault="00485CCD">
      <w:pPr>
        <w:ind w:firstLine="720"/>
        <w:jc w:val="both"/>
        <w:divId w:val="322321484"/>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reasonably possible matters. Therefore, our accrual for probable losses and our es</w:t>
      </w:r>
      <w:r>
        <w:rPr>
          <w:rFonts w:ascii="Arial" w:eastAsia="Times New Roman" w:hAnsi="Arial" w:cs="Arial"/>
          <w:color w:val="000000"/>
          <w:sz w:val="20"/>
          <w:szCs w:val="20"/>
        </w:rPr>
        <w:t xml:space="preserve">timated range of loss for reasonably possible losses do not represent our maximum possible exposure. </w:t>
      </w:r>
    </w:p>
    <w:p w:rsidR="00000000" w:rsidRDefault="00485CCD">
      <w:pPr>
        <w:jc w:val="both"/>
        <w:divId w:val="1006664977"/>
        <w:rPr>
          <w:rFonts w:eastAsia="Times New Roman"/>
        </w:rPr>
      </w:pPr>
      <w:r>
        <w:rPr>
          <w:rFonts w:ascii="Arial" w:eastAsia="Times New Roman" w:hAnsi="Arial" w:cs="Arial"/>
          <w:b/>
          <w:bCs/>
          <w:i/>
          <w:iCs/>
          <w:color w:val="0046AD"/>
          <w:sz w:val="20"/>
          <w:szCs w:val="20"/>
        </w:rPr>
        <w:t>Certain Legal Proceedings</w:t>
      </w:r>
    </w:p>
    <w:p w:rsidR="00000000" w:rsidRDefault="00485CCD">
      <w:pPr>
        <w:ind w:firstLine="720"/>
        <w:jc w:val="both"/>
        <w:divId w:val="373773580"/>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w:t>
      </w:r>
      <w:r>
        <w:rPr>
          <w:rFonts w:ascii="Arial" w:eastAsia="Times New Roman" w:hAnsi="Arial" w:cs="Arial"/>
          <w:color w:val="000000"/>
          <w:sz w:val="20"/>
          <w:szCs w:val="20"/>
        </w:rPr>
        <w:t>ive and qualitative factors. These factors include, but are not limited to: the amount of damages and the nature of any other relief sought in the proceeding; if such damages and other relief are specified, our view of the merits of the claims; whether the</w:t>
      </w:r>
      <w:r>
        <w:rPr>
          <w:rFonts w:ascii="Arial" w:eastAsia="Times New Roman" w:hAnsi="Arial" w:cs="Arial"/>
          <w:color w:val="000000"/>
          <w:sz w:val="20"/>
          <w:szCs w:val="20"/>
        </w:rPr>
        <w:t xml:space="preserve"> action is or purports to be a class action, and our view of the likelihood that a class will be certified by the court; the jurisdiction in which the proceeding is pending; and the potential impact of the proceeding on our reputation.</w:t>
      </w:r>
    </w:p>
    <w:p w:rsidR="00000000" w:rsidRDefault="00485CCD">
      <w:pPr>
        <w:jc w:val="both"/>
        <w:divId w:val="1589844511"/>
        <w:rPr>
          <w:rFonts w:eastAsia="Times New Roman"/>
        </w:rPr>
      </w:pPr>
      <w:r>
        <w:rPr>
          <w:rFonts w:ascii="Arial" w:eastAsia="Times New Roman" w:hAnsi="Arial" w:cs="Arial"/>
          <w:i/>
          <w:iCs/>
          <w:color w:val="000000"/>
          <w:sz w:val="20"/>
          <w:szCs w:val="20"/>
        </w:rPr>
        <w:t>The Consolidated Cas</w:t>
      </w:r>
      <w:r>
        <w:rPr>
          <w:rFonts w:ascii="Arial" w:eastAsia="Times New Roman" w:hAnsi="Arial" w:cs="Arial"/>
          <w:i/>
          <w:iCs/>
          <w:color w:val="000000"/>
          <w:sz w:val="20"/>
          <w:szCs w:val="20"/>
        </w:rPr>
        <w:t xml:space="preserve">es of Bucio and Martinez v. ABM Janitorial Services filed on April 7, 2006, pending in the Superior Court of California, County of San Francisco (the “Bucio case”) </w:t>
      </w:r>
    </w:p>
    <w:p w:rsidR="00000000" w:rsidRDefault="00485CCD">
      <w:pPr>
        <w:ind w:firstLine="720"/>
        <w:jc w:val="both"/>
        <w:divId w:val="935796527"/>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is a class action pending in San Francisco Superior Court that alleges we fa</w:t>
      </w:r>
      <w:r>
        <w:rPr>
          <w:rFonts w:ascii="Arial" w:eastAsia="Times New Roman" w:hAnsi="Arial" w:cs="Arial"/>
          <w:color w:val="000000"/>
          <w:sz w:val="20"/>
          <w:szCs w:val="20"/>
        </w:rPr>
        <w:t>iled to provide legally required meal periods and make additional premium payments for such meal periods, pay split shift premiums when owed, and reimburse janitors for travel expenses. There is also a claim for penalties under the California Labor Code Pr</w:t>
      </w:r>
      <w:r>
        <w:rPr>
          <w:rFonts w:ascii="Arial" w:eastAsia="Times New Roman" w:hAnsi="Arial" w:cs="Arial"/>
          <w:color w:val="000000"/>
          <w:sz w:val="20"/>
          <w:szCs w:val="20"/>
        </w:rPr>
        <w:t>ivate Attorneys General Act (“PAGA”). On April 19, 2011, the trial court held a hearing on plaintiffs’ motion to certify the class. At the conclusion of that hearing, the trial court denied plaintiffs’ motion to certify the class. On May 11, 2011, the plai</w:t>
      </w:r>
      <w:r>
        <w:rPr>
          <w:rFonts w:ascii="Arial" w:eastAsia="Times New Roman" w:hAnsi="Arial" w:cs="Arial"/>
          <w:color w:val="000000"/>
          <w:sz w:val="20"/>
          <w:szCs w:val="20"/>
        </w:rPr>
        <w:t>ntiffs filed a motion to reconsider, which was denied. The plaintiffs appealed the class certification issues. The trial court stayed the underlying lawsuit pending the decision in the appeal. The Court of Appeal of the State of California, First Appellate</w:t>
      </w:r>
      <w:r>
        <w:rPr>
          <w:rFonts w:ascii="Arial" w:eastAsia="Times New Roman" w:hAnsi="Arial" w:cs="Arial"/>
          <w:color w:val="000000"/>
          <w:sz w:val="20"/>
          <w:szCs w:val="20"/>
        </w:rPr>
        <w:t xml:space="preserve"> District (the “Court of Appeal”), heard oral arguments on November 7, 2017. On December 11, 2017, the Court of Appeal reversed the trial court’s order denying class certification and remanded the matter for certification of a meal period, travel expense r</w:t>
      </w:r>
      <w:r>
        <w:rPr>
          <w:rFonts w:ascii="Arial" w:eastAsia="Times New Roman" w:hAnsi="Arial" w:cs="Arial"/>
          <w:color w:val="000000"/>
          <w:sz w:val="20"/>
          <w:szCs w:val="20"/>
        </w:rPr>
        <w:t xml:space="preserve">eimbursement, and split shift class. The case was remitted to the trial court for further proceedings on class certification, discovery, dispositive motions, and trial. </w:t>
      </w:r>
    </w:p>
    <w:p w:rsidR="00000000" w:rsidRDefault="00485CCD">
      <w:pPr>
        <w:ind w:firstLine="720"/>
        <w:jc w:val="both"/>
        <w:divId w:val="1347369616"/>
        <w:rPr>
          <w:rFonts w:eastAsia="Times New Roman"/>
        </w:rPr>
      </w:pPr>
      <w:r>
        <w:rPr>
          <w:rFonts w:ascii="Arial" w:eastAsia="Times New Roman" w:hAnsi="Arial" w:cs="Arial"/>
          <w:color w:val="000000"/>
          <w:sz w:val="20"/>
          <w:szCs w:val="20"/>
        </w:rPr>
        <w:t>On September 20, 2018, the trial court entered an order defining four certified subcla</w:t>
      </w:r>
      <w:r>
        <w:rPr>
          <w:rFonts w:ascii="Arial" w:eastAsia="Times New Roman" w:hAnsi="Arial" w:cs="Arial"/>
          <w:color w:val="000000"/>
          <w:sz w:val="20"/>
          <w:szCs w:val="20"/>
        </w:rPr>
        <w:t>sses of janitors who were employed by the legacy ABM janitorial companies in California at any time between April 7, 2002, and April 30, 2013, on claims based on alleged previous automatic deduction practices for meal breaks, unpaid meal premiums, unpaid s</w:t>
      </w:r>
      <w:r>
        <w:rPr>
          <w:rFonts w:ascii="Arial" w:eastAsia="Times New Roman" w:hAnsi="Arial" w:cs="Arial"/>
          <w:color w:val="000000"/>
          <w:sz w:val="20"/>
          <w:szCs w:val="20"/>
        </w:rPr>
        <w:t>plit shift premiums, and unreimbursed business expenses, such as mileage reimbursement for use of personal vehicles to travel between worksites. On February 1, 2019, the trial court held that the discovery related to PAGA claims allegedly arising after Apr</w:t>
      </w:r>
      <w:r>
        <w:rPr>
          <w:rFonts w:ascii="Arial" w:eastAsia="Times New Roman" w:hAnsi="Arial" w:cs="Arial"/>
          <w:color w:val="000000"/>
          <w:sz w:val="20"/>
          <w:szCs w:val="20"/>
        </w:rPr>
        <w:t xml:space="preserve">il 30, 2013, would be stayed until after the class and PAGA claims accruing prior to April 30, 2013, had been tried. The parties engaged in mediation in July 2019, which did not result in settlement of the case. On October 17, 2019, the plaintiffs filed a </w:t>
      </w:r>
      <w:r>
        <w:rPr>
          <w:rFonts w:ascii="Arial" w:eastAsia="Times New Roman" w:hAnsi="Arial" w:cs="Arial"/>
          <w:color w:val="000000"/>
          <w:sz w:val="20"/>
          <w:szCs w:val="20"/>
        </w:rPr>
        <w:t xml:space="preserve">motion asking the trial court to certify additional classes based on an alleged failure to maintain time records, an alleged failure to provide accurate wage statements, and an alleged practice of combining meal and rest breaks. The trial court denied the </w:t>
      </w:r>
      <w:r>
        <w:rPr>
          <w:rFonts w:ascii="Arial" w:eastAsia="Times New Roman" w:hAnsi="Arial" w:cs="Arial"/>
          <w:color w:val="000000"/>
          <w:sz w:val="20"/>
          <w:szCs w:val="20"/>
        </w:rPr>
        <w:t>plaintiffs’ motion to certify additional classes on December 26, 2019. The case was reassigned to a new judge on January 6, 2020. ABM filed motions for summary adjudication as to certain of plaintiffs’ class claims, and the trial court denied those motions</w:t>
      </w:r>
      <w:r>
        <w:rPr>
          <w:rFonts w:ascii="Arial" w:eastAsia="Times New Roman" w:hAnsi="Arial" w:cs="Arial"/>
          <w:color w:val="000000"/>
          <w:sz w:val="20"/>
          <w:szCs w:val="20"/>
        </w:rPr>
        <w:t xml:space="preserve"> in November 2020. The parties engaged in another mediation in January 2021, which did not result in a settlement of the case. Plaintiffs filed motions for summary adjudication and/or summary judgment on some claims in December 2020. </w:t>
      </w:r>
    </w:p>
    <w:p w:rsidR="00000000" w:rsidRDefault="00485CCD">
      <w:pPr>
        <w:ind w:firstLine="720"/>
        <w:jc w:val="both"/>
        <w:divId w:val="1051610003"/>
        <w:rPr>
          <w:rFonts w:eastAsia="Times New Roman"/>
        </w:rPr>
      </w:pPr>
      <w:r>
        <w:rPr>
          <w:rFonts w:ascii="Arial" w:eastAsia="Times New Roman" w:hAnsi="Arial" w:cs="Arial"/>
          <w:color w:val="000000"/>
          <w:sz w:val="20"/>
          <w:szCs w:val="20"/>
        </w:rPr>
        <w:t>In February and March</w:t>
      </w:r>
      <w:r>
        <w:rPr>
          <w:rFonts w:ascii="Arial" w:eastAsia="Times New Roman" w:hAnsi="Arial" w:cs="Arial"/>
          <w:color w:val="000000"/>
          <w:sz w:val="20"/>
          <w:szCs w:val="20"/>
        </w:rPr>
        <w:t xml:space="preserve"> 2021, the parties engaged in expert discovery that provided detailed information regarding the plaintiffs’ damage calculations on the class claims. On February 25, 2021, the California Supreme Court issued an opinion in </w:t>
      </w:r>
      <w:r>
        <w:rPr>
          <w:rFonts w:ascii="Arial" w:eastAsia="Times New Roman" w:hAnsi="Arial" w:cs="Arial"/>
          <w:i/>
          <w:iCs/>
          <w:color w:val="000000"/>
          <w:sz w:val="20"/>
          <w:szCs w:val="20"/>
        </w:rPr>
        <w:t>Donohue v. AMN Services</w:t>
      </w:r>
      <w:r>
        <w:rPr>
          <w:rFonts w:ascii="Arial" w:eastAsia="Times New Roman" w:hAnsi="Arial" w:cs="Arial"/>
          <w:color w:val="000000"/>
          <w:sz w:val="20"/>
          <w:szCs w:val="20"/>
        </w:rPr>
        <w:t>, which addr</w:t>
      </w:r>
      <w:r>
        <w:rPr>
          <w:rFonts w:ascii="Arial" w:eastAsia="Times New Roman" w:hAnsi="Arial" w:cs="Arial"/>
          <w:color w:val="000000"/>
          <w:sz w:val="20"/>
          <w:szCs w:val="20"/>
        </w:rPr>
        <w:t xml:space="preserve">esses the standard for adjudicating meal period claims under California law and we believe is supportive of ABM’s legal position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On May 5, 2021, the trial court denied all of the plaintiffs’ December 2020 motions for summary adjudication</w:t>
      </w:r>
      <w:r>
        <w:rPr>
          <w:rFonts w:ascii="Arial" w:eastAsia="Times New Roman" w:hAnsi="Arial" w:cs="Arial"/>
          <w:color w:val="000000"/>
          <w:sz w:val="20"/>
          <w:szCs w:val="20"/>
        </w:rPr>
        <w:t xml:space="preserve"> and/or summary judgment, and the case was assigned to a new judge. On May 5, 2021, the trial court ordered the parties to attend a mandatory settlement conference before a separate judge on June 11, 2021. The trial date was scheduled for July 12, 2021.</w:t>
      </w:r>
    </w:p>
    <w:p w:rsidR="00000000" w:rsidRDefault="00485CCD">
      <w:pPr>
        <w:ind w:firstLine="720"/>
        <w:jc w:val="both"/>
        <w:divId w:val="1440486984"/>
        <w:rPr>
          <w:rFonts w:eastAsia="Times New Roman"/>
        </w:rPr>
      </w:pPr>
      <w:r>
        <w:rPr>
          <w:rFonts w:ascii="Arial" w:eastAsia="Times New Roman" w:hAnsi="Arial" w:cs="Arial"/>
          <w:color w:val="000000"/>
          <w:sz w:val="20"/>
          <w:szCs w:val="20"/>
        </w:rPr>
        <w:t>On</w:t>
      </w:r>
      <w:r>
        <w:rPr>
          <w:rFonts w:ascii="Arial" w:eastAsia="Times New Roman" w:hAnsi="Arial" w:cs="Arial"/>
          <w:color w:val="000000"/>
          <w:sz w:val="20"/>
          <w:szCs w:val="20"/>
        </w:rPr>
        <w:t xml:space="preserve"> July 7, 2021, the Company entered into a class action settlement and release agreement to settle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for $140 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settlement will also resolve t</w:t>
      </w:r>
      <w:r>
        <w:rPr>
          <w:rFonts w:ascii="Arial" w:eastAsia="Times New Roman" w:hAnsi="Arial" w:cs="Arial"/>
          <w:color w:val="000000"/>
          <w:sz w:val="20"/>
          <w:szCs w:val="20"/>
        </w:rPr>
        <w:t>he PAGA claim. The release of the certified class claims covers the time period from April 7, 2002, through April 30, 2013. The release of the PAGA claim covers the time period from November 15, 2005, through July 18, 2021. Any attorneys’ fees awarded by t</w:t>
      </w:r>
      <w:r>
        <w:rPr>
          <w:rFonts w:ascii="Arial" w:eastAsia="Times New Roman" w:hAnsi="Arial" w:cs="Arial"/>
          <w:color w:val="000000"/>
          <w:sz w:val="20"/>
          <w:szCs w:val="20"/>
        </w:rPr>
        <w:t xml:space="preserve">he trial court and all costs of notice and claims </w:t>
      </w:r>
    </w:p>
    <w:p w:rsidR="00000000" w:rsidRDefault="00485CCD">
      <w:pPr>
        <w:jc w:val="center"/>
        <w:divId w:val="1631133094"/>
        <w:rPr>
          <w:rFonts w:eastAsia="Times New Roman"/>
        </w:rPr>
      </w:pPr>
      <w:r>
        <w:rPr>
          <w:rFonts w:ascii="Arial" w:eastAsia="Times New Roman" w:hAnsi="Arial" w:cs="Arial"/>
          <w:color w:val="000000"/>
          <w:sz w:val="20"/>
          <w:szCs w:val="20"/>
        </w:rPr>
        <w:t>83</w:t>
      </w:r>
    </w:p>
    <w:p w:rsidR="00000000" w:rsidRDefault="00485CCD">
      <w:pPr>
        <w:rPr>
          <w:rFonts w:eastAsia="Times New Roman"/>
        </w:rPr>
      </w:pPr>
      <w:r>
        <w:rPr>
          <w:rFonts w:eastAsia="Times New Roman"/>
        </w:rPr>
        <w:pict>
          <v:rect id="_x0000_i1120" style="width:0;height:1.5pt" o:hralign="center" o:hrstd="t" o:hr="t" fillcolor="#a0a0a0" stroked="f"/>
        </w:pict>
      </w:r>
    </w:p>
    <w:p w:rsidR="00000000" w:rsidRDefault="00485CCD">
      <w:pPr>
        <w:divId w:val="873687230"/>
        <w:rPr>
          <w:rFonts w:eastAsia="Times New Roman"/>
        </w:rPr>
      </w:pPr>
    </w:p>
    <w:p w:rsidR="00000000" w:rsidRDefault="00485CCD">
      <w:pPr>
        <w:jc w:val="both"/>
        <w:divId w:val="543566844"/>
        <w:rPr>
          <w:rFonts w:eastAsia="Times New Roman"/>
        </w:rPr>
      </w:pPr>
      <w:r>
        <w:rPr>
          <w:rFonts w:ascii="Arial" w:eastAsia="Times New Roman" w:hAnsi="Arial" w:cs="Arial"/>
          <w:color w:val="000000"/>
          <w:sz w:val="20"/>
          <w:szCs w:val="20"/>
        </w:rPr>
        <w:t>administration will be paid from the $140 million settlement fund. Employees who will be a part of the settlement will receive payments based on the number of pay p</w:t>
      </w:r>
      <w:r>
        <w:rPr>
          <w:rFonts w:ascii="Arial" w:eastAsia="Times New Roman" w:hAnsi="Arial" w:cs="Arial"/>
          <w:color w:val="000000"/>
          <w:sz w:val="20"/>
          <w:szCs w:val="20"/>
        </w:rPr>
        <w:t>eriods they worked.</w:t>
      </w:r>
    </w:p>
    <w:p w:rsidR="00000000" w:rsidRDefault="00485CCD">
      <w:pPr>
        <w:ind w:firstLine="720"/>
        <w:jc w:val="both"/>
        <w:divId w:val="2141529700"/>
        <w:rPr>
          <w:rFonts w:eastAsia="Times New Roman"/>
        </w:rPr>
      </w:pPr>
      <w:r>
        <w:rPr>
          <w:rFonts w:ascii="Arial" w:eastAsia="Times New Roman" w:hAnsi="Arial" w:cs="Arial"/>
          <w:color w:val="000000"/>
          <w:sz w:val="20"/>
          <w:szCs w:val="20"/>
        </w:rPr>
        <w:t>The settlement agreement is contingent upon the approval of the trial court. On August 11, 2021, the plaintiffs filed the motion for preliminary approval of class action settlement with the trial court. On December 7, 2021, the trial co</w:t>
      </w:r>
      <w:r>
        <w:rPr>
          <w:rFonts w:ascii="Arial" w:eastAsia="Times New Roman" w:hAnsi="Arial" w:cs="Arial"/>
          <w:color w:val="000000"/>
          <w:sz w:val="20"/>
          <w:szCs w:val="20"/>
        </w:rPr>
        <w:t>urt issued its order granting preliminary approval of the class action settlement. Members of the class will receive notice of the settlement, and there will be an opportunity for them to object to the settlement before the trial court grants final approva</w:t>
      </w:r>
      <w:r>
        <w:rPr>
          <w:rFonts w:ascii="Arial" w:eastAsia="Times New Roman" w:hAnsi="Arial" w:cs="Arial"/>
          <w:color w:val="000000"/>
          <w:sz w:val="20"/>
          <w:szCs w:val="20"/>
        </w:rPr>
        <w:t>l of the settlement. The final approval hearing with the trial court is currently scheduled to take place on March 16, 2022. No payments will be made to employees until after the settlement is finally approved by the trial court.</w:t>
      </w:r>
    </w:p>
    <w:p w:rsidR="00000000" w:rsidRDefault="00485CCD">
      <w:pPr>
        <w:ind w:firstLine="720"/>
        <w:jc w:val="both"/>
        <w:divId w:val="1445881352"/>
        <w:rPr>
          <w:rFonts w:eastAsia="Times New Roman"/>
        </w:rPr>
      </w:pPr>
      <w:r>
        <w:rPr>
          <w:rFonts w:ascii="Arial" w:eastAsia="Times New Roman" w:hAnsi="Arial" w:cs="Arial"/>
          <w:color w:val="000000"/>
          <w:sz w:val="20"/>
          <w:szCs w:val="20"/>
        </w:rPr>
        <w:t>The Company has recorded a</w:t>
      </w:r>
      <w:r>
        <w:rPr>
          <w:rFonts w:ascii="Arial" w:eastAsia="Times New Roman" w:hAnsi="Arial" w:cs="Arial"/>
          <w:color w:val="000000"/>
          <w:sz w:val="20"/>
          <w:szCs w:val="20"/>
        </w:rPr>
        <w:t xml:space="preserve"> $142.9 million settlement accrual, which includes an accrual of $2.9 million of related payroll taxes,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within “Other current liabilities” on the unaudited Consolidated Balance Sheets as of October 31, 2021, and $142.9 million of related</w:t>
      </w:r>
      <w:r>
        <w:rPr>
          <w:rFonts w:ascii="Arial" w:eastAsia="Times New Roman" w:hAnsi="Arial" w:cs="Arial"/>
          <w:color w:val="000000"/>
          <w:sz w:val="20"/>
          <w:szCs w:val="20"/>
        </w:rPr>
        <w:t xml:space="preserve"> expense in “Selling, general and administrative expenses” in our unaudited Consolidated Statements of Comprehensive Income (Loss) for the year ended October 31, 2021.</w:t>
      </w:r>
    </w:p>
    <w:p w:rsidR="00000000" w:rsidRDefault="00485CCD">
      <w:pPr>
        <w:divId w:val="1960263028"/>
        <w:rPr>
          <w:rFonts w:eastAsia="Times New Roman"/>
        </w:rPr>
      </w:pPr>
    </w:p>
    <w:p w:rsidR="00000000" w:rsidRDefault="00485CCD">
      <w:pPr>
        <w:divId w:val="389768803"/>
        <w:rPr>
          <w:rFonts w:eastAsia="Times New Roman"/>
        </w:rPr>
      </w:pPr>
      <w:r>
        <w:rPr>
          <w:rFonts w:ascii="Arial" w:eastAsia="Times New Roman" w:hAnsi="Arial" w:cs="Arial"/>
          <w:b/>
          <w:bCs/>
          <w:color w:val="0046AD"/>
          <w:sz w:val="20"/>
          <w:szCs w:val="20"/>
        </w:rPr>
        <w:t xml:space="preserve">14. PREFERRED AND COMMON STOCK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483350778"/>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48335077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1475635132"/>
        <w:rPr>
          <w:rFonts w:eastAsia="Times New Roman"/>
        </w:rPr>
      </w:pPr>
      <w:r>
        <w:rPr>
          <w:rFonts w:ascii="Arial" w:eastAsia="Times New Roman" w:hAnsi="Arial" w:cs="Arial"/>
          <w:b/>
          <w:bCs/>
          <w:color w:val="0046AD"/>
          <w:sz w:val="20"/>
          <w:szCs w:val="20"/>
        </w:rPr>
        <w:t xml:space="preserve">Preferred Stock </w:t>
      </w:r>
    </w:p>
    <w:p w:rsidR="00000000" w:rsidRDefault="00485CCD">
      <w:pPr>
        <w:ind w:firstLine="720"/>
        <w:jc w:val="both"/>
        <w:divId w:val="909920712"/>
        <w:rPr>
          <w:rFonts w:eastAsia="Times New Roman"/>
        </w:rPr>
      </w:pPr>
      <w:r>
        <w:rPr>
          <w:rFonts w:ascii="Arial" w:eastAsia="Times New Roman" w:hAnsi="Arial" w:cs="Arial"/>
          <w:color w:val="000000"/>
          <w:sz w:val="20"/>
          <w:szCs w:val="20"/>
        </w:rPr>
        <w:t>We are authorized to issue 500,000 shares of preferred stock. None of these preferred shares are issued.</w:t>
      </w:r>
    </w:p>
    <w:p w:rsidR="00000000" w:rsidRDefault="00485CCD">
      <w:pPr>
        <w:jc w:val="both"/>
        <w:divId w:val="588664284"/>
        <w:rPr>
          <w:rFonts w:eastAsia="Times New Roman"/>
        </w:rPr>
      </w:pPr>
      <w:r>
        <w:rPr>
          <w:rFonts w:ascii="Arial" w:eastAsia="Times New Roman" w:hAnsi="Arial" w:cs="Arial"/>
          <w:b/>
          <w:bCs/>
          <w:color w:val="0046AD"/>
          <w:sz w:val="20"/>
          <w:szCs w:val="20"/>
        </w:rPr>
        <w:t>Common Stock</w:t>
      </w:r>
    </w:p>
    <w:p w:rsidR="00000000" w:rsidRDefault="00485CCD">
      <w:pPr>
        <w:ind w:firstLine="720"/>
        <w:jc w:val="both"/>
        <w:divId w:val="276177817"/>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These purchases may take place on the open m</w:t>
      </w:r>
      <w:r>
        <w:rPr>
          <w:rFonts w:ascii="Arial" w:eastAsia="Times New Roman" w:hAnsi="Arial" w:cs="Arial"/>
          <w:color w:val="000000"/>
          <w:sz w:val="20"/>
          <w:szCs w:val="20"/>
        </w:rPr>
        <w:t>arket or otherwise, and all or part of the repurchases may be made pursuant to Rule 10b5-1 plans or in privately negotiated transactions. The timing of repurchases is at our discretion and will depend upon several factors, including market and business con</w:t>
      </w:r>
      <w:r>
        <w:rPr>
          <w:rFonts w:ascii="Arial" w:eastAsia="Times New Roman" w:hAnsi="Arial" w:cs="Arial"/>
          <w:color w:val="000000"/>
          <w:sz w:val="20"/>
          <w:szCs w:val="20"/>
        </w:rPr>
        <w:t>ditions, future cash flows, share price, share availability, and other factors at our discretion. Repurchased shares are retired and returned to an authorized but unissued status.</w:t>
      </w:r>
      <w:r>
        <w:rPr>
          <w:rFonts w:ascii="Arial" w:eastAsia="Times New Roman" w:hAnsi="Arial" w:cs="Arial"/>
          <w:color w:val="000000"/>
          <w:sz w:val="20"/>
          <w:szCs w:val="20"/>
          <w:shd w:val="clear" w:color="auto" w:fill="FFFFFF"/>
        </w:rPr>
        <w:t xml:space="preserve"> The repurchase program may be suspended or discontinued at any time without </w:t>
      </w:r>
      <w:r>
        <w:rPr>
          <w:rFonts w:ascii="Arial" w:eastAsia="Times New Roman" w:hAnsi="Arial" w:cs="Arial"/>
          <w:color w:val="000000"/>
          <w:sz w:val="20"/>
          <w:szCs w:val="20"/>
          <w:shd w:val="clear" w:color="auto" w:fill="FFFFFF"/>
        </w:rPr>
        <w:t xml:space="preserve">prior notice. </w:t>
      </w:r>
    </w:p>
    <w:p w:rsidR="00000000" w:rsidRDefault="00485CCD">
      <w:pPr>
        <w:jc w:val="both"/>
        <w:divId w:val="670958291"/>
        <w:rPr>
          <w:rFonts w:eastAsia="Times New Roman"/>
        </w:rPr>
      </w:pPr>
      <w:r>
        <w:rPr>
          <w:rFonts w:ascii="Arial" w:eastAsia="Times New Roman" w:hAnsi="Arial" w:cs="Arial"/>
          <w:b/>
          <w:bCs/>
          <w:i/>
          <w:iCs/>
          <w:color w:val="0046AD"/>
          <w:sz w:val="20"/>
          <w:szCs w:val="20"/>
        </w:rPr>
        <w:t>Repurchase Activity</w:t>
      </w:r>
    </w:p>
    <w:p w:rsidR="00000000" w:rsidRDefault="00485CCD">
      <w:pPr>
        <w:ind w:firstLine="720"/>
        <w:jc w:val="both"/>
        <w:divId w:val="1593275649"/>
        <w:rPr>
          <w:rFonts w:eastAsia="Times New Roman"/>
        </w:rPr>
      </w:pPr>
      <w:r>
        <w:rPr>
          <w:rFonts w:ascii="Arial" w:eastAsia="Times New Roman" w:hAnsi="Arial" w:cs="Arial"/>
          <w:color w:val="000000"/>
          <w:sz w:val="20"/>
          <w:szCs w:val="20"/>
        </w:rPr>
        <w:t>We repurchased shares under the 2019 Share Repurchase Program during the second quarter of 2020, as summarized below. However, due to the market and business conditions arising from the Pandemic, in March 2020 we suspende</w:t>
      </w:r>
      <w:r>
        <w:rPr>
          <w:rFonts w:ascii="Arial" w:eastAsia="Times New Roman" w:hAnsi="Arial" w:cs="Arial"/>
          <w:color w:val="000000"/>
          <w:sz w:val="20"/>
          <w:szCs w:val="20"/>
        </w:rPr>
        <w:t>d further repurchases of our common stock. At October 31, 2021, authorization for $144.9 million of repurchases remained under the 2019 Share Repurchase Program. There were no share repurchases during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5120"/>
        <w:gridCol w:w="38"/>
        <w:gridCol w:w="121"/>
        <w:gridCol w:w="1356"/>
        <w:gridCol w:w="37"/>
        <w:gridCol w:w="36"/>
        <w:gridCol w:w="36"/>
        <w:gridCol w:w="36"/>
        <w:gridCol w:w="132"/>
        <w:gridCol w:w="1319"/>
        <w:gridCol w:w="36"/>
      </w:tblGrid>
      <w:tr w:rsidR="00000000">
        <w:trPr>
          <w:divId w:val="703553749"/>
        </w:trPr>
        <w:tc>
          <w:tcPr>
            <w:tcW w:w="50" w:type="pct"/>
            <w:vAlign w:val="center"/>
            <w:hideMark/>
          </w:tcPr>
          <w:p w:rsidR="00000000" w:rsidRDefault="00485CCD">
            <w:pPr>
              <w:ind w:firstLine="720"/>
              <w:jc w:val="both"/>
              <w:rPr>
                <w:rFonts w:eastAsia="Times New Roman"/>
              </w:rPr>
            </w:pPr>
          </w:p>
        </w:tc>
        <w:tc>
          <w:tcPr>
            <w:tcW w:w="31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03553749"/>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70355374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70355374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0355374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Average price paid per share</w:t>
            </w:r>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36.16 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0355374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Total cash paid for share repurchases</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eastAsia="Times New Roman"/>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eastAsia="Times New Roman"/>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both"/>
        <w:rPr>
          <w:rFonts w:eastAsia="Times New Roman"/>
        </w:rPr>
      </w:pPr>
    </w:p>
    <w:p w:rsidR="00000000" w:rsidRDefault="00485CCD">
      <w:pPr>
        <w:divId w:val="1906451787"/>
        <w:rPr>
          <w:rFonts w:eastAsia="Times New Roman"/>
        </w:rPr>
      </w:pPr>
    </w:p>
    <w:p w:rsidR="00000000" w:rsidRDefault="00485CCD">
      <w:pPr>
        <w:jc w:val="center"/>
        <w:divId w:val="995574509"/>
        <w:rPr>
          <w:rFonts w:eastAsia="Times New Roman"/>
        </w:rPr>
      </w:pPr>
      <w:r>
        <w:rPr>
          <w:rFonts w:ascii="Arial" w:eastAsia="Times New Roman" w:hAnsi="Arial" w:cs="Arial"/>
          <w:color w:val="000000"/>
          <w:sz w:val="20"/>
          <w:szCs w:val="20"/>
        </w:rPr>
        <w:t>84</w:t>
      </w:r>
    </w:p>
    <w:p w:rsidR="00000000" w:rsidRDefault="00485CCD">
      <w:pPr>
        <w:rPr>
          <w:rFonts w:eastAsia="Times New Roman"/>
        </w:rPr>
      </w:pPr>
      <w:r>
        <w:rPr>
          <w:rFonts w:eastAsia="Times New Roman"/>
        </w:rPr>
        <w:pict>
          <v:rect id="_x0000_i1121" style="width:0;height:1.5pt" o:hralign="center" o:hrstd="t" o:hr="t" fillcolor="#a0a0a0" stroked="f"/>
        </w:pict>
      </w:r>
    </w:p>
    <w:p w:rsidR="00000000" w:rsidRDefault="00485CCD">
      <w:pPr>
        <w:divId w:val="92408875"/>
        <w:rPr>
          <w:rFonts w:eastAsia="Times New Roman"/>
        </w:rPr>
      </w:pPr>
    </w:p>
    <w:p w:rsidR="00000000" w:rsidRDefault="00485CCD">
      <w:pPr>
        <w:divId w:val="551692077"/>
        <w:rPr>
          <w:rFonts w:eastAsia="Times New Roman"/>
        </w:rPr>
      </w:pPr>
      <w:r>
        <w:rPr>
          <w:rFonts w:ascii="Arial" w:eastAsia="Times New Roman" w:hAnsi="Arial" w:cs="Arial"/>
          <w:b/>
          <w:bCs/>
          <w:color w:val="0046AD"/>
          <w:sz w:val="20"/>
          <w:szCs w:val="20"/>
        </w:rPr>
        <w:t>15. SHARE-BASED COMPENSATION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928493238"/>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2849323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75908543"/>
        <w:rPr>
          <w:rFonts w:eastAsia="Times New Roman"/>
        </w:rPr>
      </w:pPr>
      <w:r>
        <w:rPr>
          <w:rFonts w:ascii="Arial" w:eastAsia="Times New Roman" w:hAnsi="Arial" w:cs="Arial"/>
          <w:color w:val="000000"/>
          <w:sz w:val="20"/>
          <w:szCs w:val="20"/>
        </w:rPr>
        <w:t xml:space="preserve">We use various share-based compensation plans to provide incentives for our key employees and directors. Currently, these incentives primarily consist of RSUs and performance shares. </w:t>
      </w:r>
    </w:p>
    <w:p w:rsidR="00000000" w:rsidRDefault="00485CCD">
      <w:pPr>
        <w:ind w:firstLine="720"/>
        <w:jc w:val="both"/>
        <w:divId w:val="1339194854"/>
        <w:rPr>
          <w:rFonts w:eastAsia="Times New Roman"/>
        </w:rPr>
      </w:pPr>
      <w:r>
        <w:rPr>
          <w:rFonts w:ascii="Arial" w:eastAsia="Times New Roman" w:hAnsi="Arial" w:cs="Arial"/>
          <w:color w:val="000000"/>
          <w:sz w:val="20"/>
          <w:szCs w:val="20"/>
        </w:rPr>
        <w:t>On May 2, 2006, our stockholders approved the 2006 Equity Incentive Plan</w:t>
      </w:r>
      <w:r>
        <w:rPr>
          <w:rFonts w:ascii="Arial" w:eastAsia="Times New Roman" w:hAnsi="Arial" w:cs="Arial"/>
          <w:color w:val="000000"/>
          <w:sz w:val="20"/>
          <w:szCs w:val="20"/>
        </w:rPr>
        <w:t>, which was last amended and restated on March 7, 2018 (as amended and restated, the “2006 Equity Plan”). The 2006 Equity Plan is an omnibus plan that provides for a variety of equity and equity-based award vehicles, including stock options, stock apprecia</w:t>
      </w:r>
      <w:r>
        <w:rPr>
          <w:rFonts w:ascii="Arial" w:eastAsia="Times New Roman" w:hAnsi="Arial" w:cs="Arial"/>
          <w:color w:val="000000"/>
          <w:sz w:val="20"/>
          <w:szCs w:val="20"/>
        </w:rPr>
        <w:t>tion rights, RSUs, performance shares, and other share-based awards. Shares subject to awards that terminate without vesting or exercise are available for future awards under the 2006 Equity Plan. Certain of the awards under the 2006 Equity Plan may qualif</w:t>
      </w:r>
      <w:r>
        <w:rPr>
          <w:rFonts w:ascii="Arial" w:eastAsia="Times New Roman" w:hAnsi="Arial" w:cs="Arial"/>
          <w:color w:val="000000"/>
          <w:sz w:val="20"/>
          <w:szCs w:val="20"/>
        </w:rPr>
        <w:t xml:space="preserve">y as “performance-based” compensation under the IRC. </w:t>
      </w:r>
    </w:p>
    <w:p w:rsidR="00000000" w:rsidRDefault="00485CCD">
      <w:pPr>
        <w:ind w:firstLine="720"/>
        <w:jc w:val="both"/>
        <w:divId w:val="36661545"/>
        <w:rPr>
          <w:rFonts w:eastAsia="Times New Roman"/>
        </w:rPr>
      </w:pPr>
      <w:r>
        <w:rPr>
          <w:rFonts w:ascii="Arial" w:eastAsia="Times New Roman" w:hAnsi="Arial" w:cs="Arial"/>
          <w:color w:val="000000"/>
          <w:sz w:val="20"/>
          <w:szCs w:val="20"/>
        </w:rPr>
        <w:t>On March 24, 2021, our stockholders approved the 2021 Equity and Incentive Compensation Plan (the “2021 Equity Plan”). The 2021 Equity Plan is an omnibus plan that provides for a variety of equity and e</w:t>
      </w:r>
      <w:r>
        <w:rPr>
          <w:rFonts w:ascii="Arial" w:eastAsia="Times New Roman" w:hAnsi="Arial" w:cs="Arial"/>
          <w:color w:val="000000"/>
          <w:sz w:val="20"/>
          <w:szCs w:val="20"/>
        </w:rPr>
        <w:t>quity-based award vehicles, including stock options, stock appreciation rights, RSUs, performance shares, and other share-based awards. Shares subject to awards that terminate without vesting or exercise are available for future awards under the 2021 Equit</w:t>
      </w:r>
      <w:r>
        <w:rPr>
          <w:rFonts w:ascii="Arial" w:eastAsia="Times New Roman" w:hAnsi="Arial" w:cs="Arial"/>
          <w:color w:val="000000"/>
          <w:sz w:val="20"/>
          <w:szCs w:val="20"/>
        </w:rPr>
        <w:t>y Plan. Certain of the awards under the 2021 Equity Plan may qualify as “performance-based” compensation under the IRC.</w:t>
      </w:r>
    </w:p>
    <w:p w:rsidR="00000000" w:rsidRDefault="00485CCD">
      <w:pPr>
        <w:ind w:firstLine="720"/>
        <w:jc w:val="both"/>
        <w:divId w:val="1696954655"/>
        <w:rPr>
          <w:rFonts w:eastAsia="Times New Roman"/>
        </w:rPr>
      </w:pPr>
      <w:r>
        <w:rPr>
          <w:rFonts w:ascii="Arial" w:eastAsia="Times New Roman" w:hAnsi="Arial" w:cs="Arial"/>
          <w:color w:val="000000"/>
          <w:sz w:val="20"/>
          <w:szCs w:val="20"/>
        </w:rPr>
        <w:t>No further shares are authorized for issuance under the 2006 Equity Plan. There are 3,975,000 total shares of common stock authorized fo</w:t>
      </w:r>
      <w:r>
        <w:rPr>
          <w:rFonts w:ascii="Arial" w:eastAsia="Times New Roman" w:hAnsi="Arial" w:cs="Arial"/>
          <w:color w:val="000000"/>
          <w:sz w:val="20"/>
          <w:szCs w:val="20"/>
        </w:rPr>
        <w:t>r issuance under the 2021 Equity Plan, and at October 31, 2021, there were 5,406,414 shares of common stock available for grant for future equity-based compensation awards. In addition, there are certain plans under which we can no longer issue awards, suc</w:t>
      </w:r>
      <w:r>
        <w:rPr>
          <w:rFonts w:ascii="Arial" w:eastAsia="Times New Roman" w:hAnsi="Arial" w:cs="Arial"/>
          <w:color w:val="000000"/>
          <w:sz w:val="20"/>
          <w:szCs w:val="20"/>
        </w:rPr>
        <w:t>h as the 2006 Equity Plan, although awards outstanding under such plans may still vest and be exercised.</w:t>
      </w:r>
    </w:p>
    <w:p w:rsidR="00000000" w:rsidRDefault="00485CCD">
      <w:pPr>
        <w:ind w:firstLine="720"/>
        <w:jc w:val="both"/>
        <w:divId w:val="1080369177"/>
        <w:rPr>
          <w:rFonts w:eastAsia="Times New Roman"/>
        </w:rPr>
      </w:pPr>
      <w:r>
        <w:rPr>
          <w:rFonts w:ascii="Arial" w:eastAsia="Times New Roman" w:hAnsi="Arial" w:cs="Arial"/>
          <w:color w:val="000000"/>
          <w:sz w:val="20"/>
          <w:szCs w:val="20"/>
        </w:rPr>
        <w:t>We also maintain an employee stock purchase plan, which our stockholders approved on March 9, 2004 (the “2004 Employee Stock Purchase Plan”). As amende</w:t>
      </w:r>
      <w:r>
        <w:rPr>
          <w:rFonts w:ascii="Arial" w:eastAsia="Times New Roman" w:hAnsi="Arial" w:cs="Arial"/>
          <w:color w:val="000000"/>
          <w:sz w:val="20"/>
          <w:szCs w:val="20"/>
        </w:rPr>
        <w:t>d, there are 4,000,000 total shares of common stock authorized for issuance under the 2004 Employee Stock Purchase Plan. Effective May 1, 2006, the 2004 Employee Stock Purchase Plan is no longer considered compensatory and the values of the awards are no l</w:t>
      </w:r>
      <w:r>
        <w:rPr>
          <w:rFonts w:ascii="Arial" w:eastAsia="Times New Roman" w:hAnsi="Arial" w:cs="Arial"/>
          <w:color w:val="000000"/>
          <w:sz w:val="20"/>
          <w:szCs w:val="20"/>
        </w:rPr>
        <w:t>onger treated as share-based compensation expense. Additionally, as of that date, the purchase price became 95% of the fair value of our common stock price on the last trading day of the month. Employees may designate up to 10% of their compensation for th</w:t>
      </w:r>
      <w:r>
        <w:rPr>
          <w:rFonts w:ascii="Arial" w:eastAsia="Times New Roman" w:hAnsi="Arial" w:cs="Arial"/>
          <w:color w:val="000000"/>
          <w:sz w:val="20"/>
          <w:szCs w:val="20"/>
        </w:rPr>
        <w:t>e purchase of stock, subject to a $25,000 annual limit. Employees are required to hold their shares for a minimum of six months from the date of purchase. At October 31, 2021, there were 518,881 remaining unissued shares under the 2004 Employee Stock Purch</w:t>
      </w:r>
      <w:r>
        <w:rPr>
          <w:rFonts w:ascii="Arial" w:eastAsia="Times New Roman" w:hAnsi="Arial" w:cs="Arial"/>
          <w:color w:val="000000"/>
          <w:sz w:val="20"/>
          <w:szCs w:val="20"/>
        </w:rPr>
        <w:t>ase Plan.</w:t>
      </w:r>
    </w:p>
    <w:p w:rsidR="00000000" w:rsidRDefault="00485CCD">
      <w:pPr>
        <w:jc w:val="both"/>
        <w:divId w:val="1674987945"/>
        <w:rPr>
          <w:rFonts w:eastAsia="Times New Roman"/>
        </w:rPr>
      </w:pPr>
      <w:r>
        <w:rPr>
          <w:rFonts w:ascii="Arial" w:eastAsia="Times New Roman" w:hAnsi="Arial" w:cs="Arial"/>
          <w:b/>
          <w:bCs/>
          <w:color w:val="0046AD"/>
          <w:sz w:val="20"/>
          <w:szCs w:val="20"/>
        </w:rPr>
        <w:t>Compensation Expense by Type of Award and Related Income Tax Benefit</w:t>
      </w:r>
    </w:p>
    <w:tbl>
      <w:tblPr>
        <w:tblW w:w="4992" w:type="pct"/>
        <w:tblCellMar>
          <w:top w:w="15" w:type="dxa"/>
          <w:left w:w="15" w:type="dxa"/>
          <w:bottom w:w="15" w:type="dxa"/>
          <w:right w:w="15" w:type="dxa"/>
        </w:tblCellMar>
        <w:tblLook w:val="04A0" w:firstRow="1" w:lastRow="0" w:firstColumn="1" w:lastColumn="0" w:noHBand="0" w:noVBand="1"/>
      </w:tblPr>
      <w:tblGrid>
        <w:gridCol w:w="39"/>
        <w:gridCol w:w="4415"/>
        <w:gridCol w:w="37"/>
        <w:gridCol w:w="132"/>
        <w:gridCol w:w="1058"/>
        <w:gridCol w:w="36"/>
        <w:gridCol w:w="36"/>
        <w:gridCol w:w="36"/>
        <w:gridCol w:w="36"/>
        <w:gridCol w:w="132"/>
        <w:gridCol w:w="1012"/>
        <w:gridCol w:w="36"/>
        <w:gridCol w:w="36"/>
        <w:gridCol w:w="36"/>
        <w:gridCol w:w="36"/>
        <w:gridCol w:w="132"/>
        <w:gridCol w:w="1012"/>
        <w:gridCol w:w="36"/>
      </w:tblGrid>
      <w:tr w:rsidR="00000000">
        <w:trPr>
          <w:divId w:val="769080142"/>
        </w:trPr>
        <w:tc>
          <w:tcPr>
            <w:tcW w:w="50" w:type="pct"/>
            <w:vAlign w:val="center"/>
            <w:hideMark/>
          </w:tcPr>
          <w:p w:rsidR="00000000" w:rsidRDefault="00485CCD">
            <w:pPr>
              <w:jc w:val="both"/>
              <w:rPr>
                <w:rFonts w:eastAsia="Times New Roman"/>
              </w:rPr>
            </w:pPr>
          </w:p>
        </w:tc>
        <w:tc>
          <w:tcPr>
            <w:tcW w:w="269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6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69080142"/>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76908014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76908014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RSUs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6908014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Performance shares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69080142"/>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6908014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Share-based compensation expense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6908014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76908014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Share-based compensation expense, net of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061367328"/>
        <w:rPr>
          <w:rFonts w:eastAsia="Times New Roman"/>
        </w:rPr>
      </w:pPr>
    </w:p>
    <w:p w:rsidR="00000000" w:rsidRDefault="00485CCD">
      <w:pPr>
        <w:jc w:val="center"/>
        <w:divId w:val="158077869"/>
        <w:rPr>
          <w:rFonts w:eastAsia="Times New Roman"/>
        </w:rPr>
      </w:pPr>
      <w:r>
        <w:rPr>
          <w:rFonts w:ascii="Arial" w:eastAsia="Times New Roman" w:hAnsi="Arial" w:cs="Arial"/>
          <w:color w:val="000000"/>
          <w:sz w:val="20"/>
          <w:szCs w:val="20"/>
        </w:rPr>
        <w:t>85</w:t>
      </w:r>
    </w:p>
    <w:p w:rsidR="00000000" w:rsidRDefault="00485CCD">
      <w:pPr>
        <w:rPr>
          <w:rFonts w:eastAsia="Times New Roman"/>
        </w:rPr>
      </w:pPr>
      <w:r>
        <w:rPr>
          <w:rFonts w:eastAsia="Times New Roman"/>
        </w:rPr>
        <w:pict>
          <v:rect id="_x0000_i1122" style="width:0;height:1.5pt" o:hralign="center" o:hrstd="t" o:hr="t" fillcolor="#a0a0a0" stroked="f"/>
        </w:pict>
      </w:r>
    </w:p>
    <w:p w:rsidR="00000000" w:rsidRDefault="00485CCD">
      <w:pPr>
        <w:divId w:val="2003702099"/>
        <w:rPr>
          <w:rFonts w:eastAsia="Times New Roman"/>
        </w:rPr>
      </w:pPr>
    </w:p>
    <w:p w:rsidR="00000000" w:rsidRDefault="00485CCD">
      <w:pPr>
        <w:divId w:val="1095975926"/>
        <w:rPr>
          <w:rFonts w:eastAsia="Times New Roman"/>
        </w:rPr>
      </w:pPr>
      <w:r>
        <w:rPr>
          <w:rFonts w:ascii="Arial" w:eastAsia="Times New Roman" w:hAnsi="Arial" w:cs="Arial"/>
          <w:b/>
          <w:bCs/>
          <w:color w:val="0046AD"/>
          <w:sz w:val="20"/>
          <w:szCs w:val="20"/>
        </w:rPr>
        <w:t>RSUs and Dividend Equivalent Rights</w:t>
      </w:r>
    </w:p>
    <w:p w:rsidR="00000000" w:rsidRDefault="00485CCD">
      <w:pPr>
        <w:ind w:firstLine="720"/>
        <w:jc w:val="both"/>
        <w:divId w:val="1557743799"/>
        <w:rPr>
          <w:rFonts w:eastAsia="Times New Roman"/>
        </w:rPr>
      </w:pPr>
      <w:r>
        <w:rPr>
          <w:rFonts w:ascii="Arial" w:eastAsia="Times New Roman" w:hAnsi="Arial" w:cs="Arial"/>
          <w:color w:val="000000"/>
          <w:sz w:val="20"/>
          <w:szCs w:val="20"/>
        </w:rPr>
        <w:t>We award RSUs to eligible employees and our directors (each, a “Grantee”) that entitle the Grantee to receive shares of our common stock as the units vest. RSUs granted to eligible e</w:t>
      </w:r>
      <w:r>
        <w:rPr>
          <w:rFonts w:ascii="Arial" w:eastAsia="Times New Roman" w:hAnsi="Arial" w:cs="Arial"/>
          <w:color w:val="000000"/>
          <w:sz w:val="20"/>
          <w:szCs w:val="20"/>
        </w:rPr>
        <w:t>mployees in 2020 and 2021 generally vest ratably over three years. RSUs granted to eligible employees prior to 2020 generally vest with respect to 50% of the underlying award on the second and fourth anniversary of the award. RSUs granted to non-employee d</w:t>
      </w:r>
      <w:r>
        <w:rPr>
          <w:rFonts w:ascii="Arial" w:eastAsia="Times New Roman" w:hAnsi="Arial" w:cs="Arial"/>
          <w:color w:val="000000"/>
          <w:sz w:val="20"/>
          <w:szCs w:val="20"/>
        </w:rPr>
        <w:t>irectors vest on the first anniversary date of the grant date. In general, the receipt of RSUs is subject to the Grantee’s continuing employment or service as a director.</w:t>
      </w:r>
    </w:p>
    <w:p w:rsidR="00000000" w:rsidRDefault="00485CCD">
      <w:pPr>
        <w:ind w:firstLine="720"/>
        <w:jc w:val="both"/>
        <w:divId w:val="816146187"/>
        <w:rPr>
          <w:rFonts w:eastAsia="Times New Roman"/>
        </w:rPr>
      </w:pPr>
      <w:r>
        <w:rPr>
          <w:rFonts w:ascii="Arial" w:eastAsia="Times New Roman" w:hAnsi="Arial" w:cs="Arial"/>
          <w:color w:val="000000"/>
          <w:sz w:val="20"/>
          <w:szCs w:val="20"/>
        </w:rPr>
        <w:t>RSUs are credited with dividend equivalent rights that are converted to RSUs at the f</w:t>
      </w:r>
      <w:r>
        <w:rPr>
          <w:rFonts w:ascii="Arial" w:eastAsia="Times New Roman" w:hAnsi="Arial" w:cs="Arial"/>
          <w:color w:val="000000"/>
          <w:sz w:val="20"/>
          <w:szCs w:val="20"/>
        </w:rPr>
        <w:t xml:space="preserve">air market value of our common stock on the dates the dividend payments are made and are subject to the same terms and conditions as the underlying award. </w:t>
      </w:r>
    </w:p>
    <w:p w:rsidR="00000000" w:rsidRDefault="00485CCD">
      <w:pPr>
        <w:divId w:val="769355041"/>
        <w:rPr>
          <w:rFonts w:eastAsia="Times New Roman"/>
        </w:rPr>
      </w:pPr>
      <w:r>
        <w:rPr>
          <w:rFonts w:ascii="Arial" w:eastAsia="Times New Roman" w:hAnsi="Arial" w:cs="Arial"/>
          <w:b/>
          <w:bCs/>
          <w:i/>
          <w:iCs/>
          <w:color w:val="0046AD"/>
          <w:sz w:val="20"/>
          <w:szCs w:val="20"/>
        </w:rPr>
        <w:t>RSU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6"/>
        <w:gridCol w:w="52"/>
        <w:gridCol w:w="1334"/>
        <w:gridCol w:w="36"/>
        <w:gridCol w:w="36"/>
        <w:gridCol w:w="36"/>
        <w:gridCol w:w="36"/>
        <w:gridCol w:w="133"/>
        <w:gridCol w:w="1310"/>
        <w:gridCol w:w="36"/>
      </w:tblGrid>
      <w:tr w:rsidR="00000000">
        <w:trPr>
          <w:divId w:val="932737917"/>
        </w:trPr>
        <w:tc>
          <w:tcPr>
            <w:tcW w:w="50" w:type="pct"/>
            <w:vAlign w:val="center"/>
            <w:hideMark/>
          </w:tcPr>
          <w:p w:rsidR="00000000" w:rsidRDefault="00485CCD">
            <w:pPr>
              <w:rPr>
                <w:rFonts w:eastAsia="Times New Roman"/>
              </w:rPr>
            </w:pPr>
          </w:p>
        </w:tc>
        <w:tc>
          <w:tcPr>
            <w:tcW w:w="314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932737917"/>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Number of</w:t>
            </w:r>
            <w:r>
              <w:rPr>
                <w:rFonts w:ascii="Arial" w:eastAsia="Times New Roman" w:hAnsi="Arial" w:cs="Arial"/>
                <w:b/>
                <w:bCs/>
                <w:color w:val="000000"/>
                <w:sz w:val="20"/>
                <w:szCs w:val="20"/>
              </w:rPr>
              <w:br/>
              <w:t>Shares</w:t>
            </w:r>
            <w:r>
              <w:rPr>
                <w:rFonts w:ascii="Arial" w:eastAsia="Times New Roman" w:hAnsi="Arial" w:cs="Arial"/>
                <w:b/>
                <w:bCs/>
                <w:color w:val="000000"/>
                <w:sz w:val="20"/>
                <w:szCs w:val="20"/>
              </w:rPr>
              <w:br/>
              <w:t>(in millions)</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r>
            <w:r>
              <w:rPr>
                <w:rFonts w:ascii="Arial" w:eastAsia="Times New Roman" w:hAnsi="Arial" w:cs="Arial"/>
                <w:b/>
                <w:bCs/>
                <w:color w:val="000000"/>
                <w:sz w:val="20"/>
                <w:szCs w:val="20"/>
              </w:rPr>
              <w:t>Grant Date</w:t>
            </w:r>
            <w:r>
              <w:rPr>
                <w:rFonts w:ascii="Arial" w:eastAsia="Times New Roman" w:hAnsi="Arial" w:cs="Arial"/>
                <w:b/>
                <w:bCs/>
                <w:color w:val="000000"/>
                <w:sz w:val="20"/>
                <w:szCs w:val="20"/>
              </w:rPr>
              <w:br/>
              <w:t>Fair Value per Share</w:t>
            </w:r>
          </w:p>
        </w:tc>
      </w:tr>
      <w:tr w:rsidR="00000000">
        <w:trPr>
          <w:divId w:val="932737917"/>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Outstanding at October 31, 2020</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32737917"/>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40.22 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32737917"/>
        </w:trPr>
        <w:tc>
          <w:tcPr>
            <w:tcW w:w="0" w:type="auto"/>
            <w:gridSpan w:val="3"/>
            <w:shd w:val="clear" w:color="auto" w:fill="DCE2EF"/>
            <w:tcMar>
              <w:top w:w="30" w:type="dxa"/>
              <w:left w:w="20" w:type="dxa"/>
              <w:bottom w:w="30" w:type="dxa"/>
              <w:right w:w="20" w:type="dxa"/>
            </w:tcMar>
            <w:hideMark/>
          </w:tcPr>
          <w:p w:rsidR="00000000" w:rsidRDefault="00485CCD">
            <w:pPr>
              <w:divId w:val="846675240"/>
              <w:rPr>
                <w:rFonts w:eastAsia="Times New Roman"/>
              </w:rPr>
            </w:pPr>
            <w:r>
              <w:rPr>
                <w:rFonts w:ascii="Arial" w:eastAsia="Times New Roman" w:hAnsi="Arial" w:cs="Arial"/>
                <w:color w:val="000000"/>
                <w:sz w:val="20"/>
                <w:szCs w:val="20"/>
              </w:rPr>
              <w:t>Vested (including 0.2 shares withheld for income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36.34 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32737917"/>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36.56 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32737917"/>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Outstanding at October 31, 2021</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38.06 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932737917"/>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firstLine="720"/>
        <w:jc w:val="both"/>
        <w:divId w:val="988677522"/>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2021, total unrecognized compensation cost, net of estimated forfeitures, related to RSUs was $21.4 million, which is expected to be recognized ratably over a weighted-average vesting period of 1.7 years. In 2021, 2020, and 2019, the weighted-average g</w:t>
      </w:r>
      <w:r>
        <w:rPr>
          <w:rFonts w:ascii="Arial" w:eastAsia="Times New Roman" w:hAnsi="Arial" w:cs="Arial"/>
          <w:color w:val="000000"/>
          <w:sz w:val="20"/>
          <w:szCs w:val="20"/>
        </w:rPr>
        <w:t>rant date fair value per share of awards granted was $40.22, $36.11, and $34.48, respectively. In 2021, 2020, and 2019, the total grant date fair value of RSUs vested and converted to shares of ABM common stock was $16.9 million, $6.1 million, and $10.7 mi</w:t>
      </w:r>
      <w:r>
        <w:rPr>
          <w:rFonts w:ascii="Arial" w:eastAsia="Times New Roman" w:hAnsi="Arial" w:cs="Arial"/>
          <w:color w:val="000000"/>
          <w:sz w:val="20"/>
          <w:szCs w:val="20"/>
        </w:rPr>
        <w:t>llion, respectively</w:t>
      </w:r>
    </w:p>
    <w:p w:rsidR="00000000" w:rsidRDefault="00485CCD">
      <w:pPr>
        <w:jc w:val="center"/>
        <w:divId w:val="734935909"/>
        <w:rPr>
          <w:rFonts w:eastAsia="Times New Roman"/>
        </w:rPr>
      </w:pPr>
      <w:r>
        <w:rPr>
          <w:rFonts w:ascii="Arial" w:eastAsia="Times New Roman" w:hAnsi="Arial" w:cs="Arial"/>
          <w:color w:val="000000"/>
          <w:sz w:val="20"/>
          <w:szCs w:val="20"/>
        </w:rPr>
        <w:t>86</w:t>
      </w:r>
    </w:p>
    <w:p w:rsidR="00000000" w:rsidRDefault="00485CCD">
      <w:pPr>
        <w:rPr>
          <w:rFonts w:eastAsia="Times New Roman"/>
        </w:rPr>
      </w:pPr>
      <w:r>
        <w:rPr>
          <w:rFonts w:eastAsia="Times New Roman"/>
        </w:rPr>
        <w:pict>
          <v:rect id="_x0000_i1123" style="width:0;height:1.5pt" o:hralign="center" o:hrstd="t" o:hr="t" fillcolor="#a0a0a0" stroked="f"/>
        </w:pict>
      </w:r>
    </w:p>
    <w:p w:rsidR="00000000" w:rsidRDefault="00485CCD">
      <w:pPr>
        <w:divId w:val="1450201260"/>
        <w:rPr>
          <w:rFonts w:eastAsia="Times New Roman"/>
        </w:rPr>
      </w:pPr>
    </w:p>
    <w:p w:rsidR="00000000" w:rsidRDefault="00485CCD">
      <w:pPr>
        <w:jc w:val="both"/>
        <w:divId w:val="1261718994"/>
        <w:rPr>
          <w:rFonts w:eastAsia="Times New Roman"/>
        </w:rPr>
      </w:pPr>
      <w:r>
        <w:rPr>
          <w:rFonts w:ascii="Arial" w:eastAsia="Times New Roman" w:hAnsi="Arial" w:cs="Arial"/>
          <w:b/>
          <w:bCs/>
          <w:color w:val="0046AD"/>
          <w:sz w:val="20"/>
          <w:szCs w:val="20"/>
          <w:shd w:val="clear" w:color="auto" w:fill="FFFFFF"/>
        </w:rPr>
        <w:t>Performance Shares, Including TSR Performance Shares</w:t>
      </w:r>
    </w:p>
    <w:p w:rsidR="00000000" w:rsidRDefault="00485CCD">
      <w:pPr>
        <w:ind w:firstLine="720"/>
        <w:jc w:val="both"/>
        <w:divId w:val="98718530"/>
        <w:rPr>
          <w:rFonts w:eastAsia="Times New Roman"/>
        </w:rPr>
      </w:pPr>
      <w:r>
        <w:rPr>
          <w:rFonts w:ascii="Arial" w:eastAsia="Times New Roman" w:hAnsi="Arial" w:cs="Arial"/>
          <w:color w:val="000000"/>
          <w:sz w:val="20"/>
          <w:szCs w:val="20"/>
        </w:rPr>
        <w:t>Performance shares consist of a contingent right to receive shares of our common stock based on performance targets adopted by our Compensation Committee. Performance shares are credited with dividend equivalent rights that will be converted to performance</w:t>
      </w:r>
      <w:r>
        <w:rPr>
          <w:rFonts w:ascii="Arial" w:eastAsia="Times New Roman" w:hAnsi="Arial" w:cs="Arial"/>
          <w:color w:val="000000"/>
          <w:sz w:val="20"/>
          <w:szCs w:val="20"/>
        </w:rPr>
        <w:t xml:space="preserve"> shares at the fair market value of our common stock beginning after the performance targets have been satisfied and are subject to the same terms and conditions as the underlying award. </w:t>
      </w:r>
    </w:p>
    <w:p w:rsidR="00000000" w:rsidRDefault="00485CCD">
      <w:pPr>
        <w:ind w:firstLine="720"/>
        <w:jc w:val="both"/>
        <w:divId w:val="813982993"/>
        <w:rPr>
          <w:rFonts w:eastAsia="Times New Roman"/>
        </w:rPr>
      </w:pPr>
      <w:r>
        <w:rPr>
          <w:rFonts w:ascii="Arial" w:eastAsia="Times New Roman" w:hAnsi="Arial" w:cs="Arial"/>
          <w:color w:val="000000"/>
          <w:sz w:val="20"/>
          <w:szCs w:val="20"/>
        </w:rPr>
        <w:t>For certain performance share awards, the number of performance shar</w:t>
      </w:r>
      <w:r>
        <w:rPr>
          <w:rFonts w:ascii="Arial" w:eastAsia="Times New Roman" w:hAnsi="Arial" w:cs="Arial"/>
          <w:color w:val="000000"/>
          <w:sz w:val="20"/>
          <w:szCs w:val="20"/>
        </w:rPr>
        <w:t>es that will vest is based on pre-established internal financial performance targets and typically a three-year service and performance period. The number of TSR-modified awards that will vest over the respective three-year performance period is based on o</w:t>
      </w:r>
      <w:r>
        <w:rPr>
          <w:rFonts w:ascii="Arial" w:eastAsia="Times New Roman" w:hAnsi="Arial" w:cs="Arial"/>
          <w:color w:val="000000"/>
          <w:sz w:val="20"/>
          <w:szCs w:val="20"/>
        </w:rPr>
        <w:t xml:space="preserve">ur total shareholder return relative to the S&amp;P 1500 Composite Commercial Services &amp; Supplies Index. Vesting of 0% to 150% of the awards originally granted may occur depending on the respective performance metrics. </w:t>
      </w:r>
    </w:p>
    <w:p w:rsidR="00000000" w:rsidRDefault="00485CCD">
      <w:pPr>
        <w:jc w:val="both"/>
        <w:divId w:val="1642810075"/>
        <w:rPr>
          <w:rFonts w:eastAsia="Times New Roman"/>
        </w:rPr>
      </w:pPr>
      <w:r>
        <w:rPr>
          <w:rFonts w:ascii="Arial" w:eastAsia="Times New Roman" w:hAnsi="Arial" w:cs="Arial"/>
          <w:b/>
          <w:bCs/>
          <w:i/>
          <w:iCs/>
          <w:color w:val="0046AD"/>
          <w:sz w:val="20"/>
          <w:szCs w:val="20"/>
        </w:rPr>
        <w:t>Performance Share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7"/>
        <w:gridCol w:w="51"/>
        <w:gridCol w:w="1334"/>
        <w:gridCol w:w="36"/>
        <w:gridCol w:w="36"/>
        <w:gridCol w:w="36"/>
        <w:gridCol w:w="36"/>
        <w:gridCol w:w="133"/>
        <w:gridCol w:w="1310"/>
        <w:gridCol w:w="36"/>
      </w:tblGrid>
      <w:tr w:rsidR="00000000">
        <w:trPr>
          <w:divId w:val="698968206"/>
        </w:trPr>
        <w:tc>
          <w:tcPr>
            <w:tcW w:w="50" w:type="pct"/>
            <w:vAlign w:val="center"/>
            <w:hideMark/>
          </w:tcPr>
          <w:p w:rsidR="00000000" w:rsidRDefault="00485CCD">
            <w:pPr>
              <w:jc w:val="both"/>
              <w:rPr>
                <w:rFonts w:eastAsia="Times New Roman"/>
              </w:rPr>
            </w:pPr>
          </w:p>
        </w:tc>
        <w:tc>
          <w:tcPr>
            <w:tcW w:w="314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98968206"/>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Number of 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w:t>
            </w:r>
            <w:r>
              <w:rPr>
                <w:rFonts w:ascii="Arial" w:eastAsia="Times New Roman" w:hAnsi="Arial" w:cs="Arial"/>
                <w:b/>
                <w:bCs/>
                <w:color w:val="000000"/>
                <w:sz w:val="20"/>
                <w:szCs w:val="20"/>
              </w:rPr>
              <w:br/>
              <w:t>per Share</w:t>
            </w:r>
          </w:p>
        </w:tc>
      </w:tr>
      <w:tr w:rsidR="00000000">
        <w:trPr>
          <w:divId w:val="69896820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Outstanding at October 31, 2020</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39.97 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shd w:val="clear" w:color="auto" w:fill="DCE2EF"/>
            <w:tcMar>
              <w:top w:w="30" w:type="dxa"/>
              <w:left w:w="20" w:type="dxa"/>
              <w:bottom w:w="30" w:type="dxa"/>
              <w:right w:w="20" w:type="dxa"/>
            </w:tcMar>
            <w:hideMark/>
          </w:tcPr>
          <w:p w:rsidR="00000000" w:rsidRDefault="00485CCD">
            <w:pPr>
              <w:divId w:val="1476143964"/>
              <w:rPr>
                <w:rFonts w:eastAsia="Times New Roman"/>
              </w:rPr>
            </w:pPr>
            <w:r>
              <w:rPr>
                <w:rFonts w:ascii="Arial" w:eastAsia="Times New Roman" w:hAnsi="Arial" w:cs="Arial"/>
                <w:color w:val="000000"/>
                <w:sz w:val="20"/>
                <w:szCs w:val="20"/>
              </w:rPr>
              <w:t xml:space="preserve">Vested (including 0.1 </w:t>
            </w:r>
            <w:r>
              <w:rPr>
                <w:rFonts w:ascii="Arial" w:eastAsia="Times New Roman" w:hAnsi="Arial" w:cs="Arial"/>
                <w:color w:val="000000"/>
                <w:sz w:val="20"/>
                <w:szCs w:val="20"/>
              </w:rPr>
              <w:t>shares withheld for income taxes)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36.53 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Performance adjustments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Forfeited</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39.22 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Outstanding at October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698968206"/>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firstLine="720"/>
        <w:jc w:val="both"/>
        <w:divId w:val="1132406994"/>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2021, total unrecognized compensation cost related to performance share awards was $15.4 million, which is expected to be recognized ratably over a weighted-average vesting period of 1.7 years. Except for TSR performance shares, these costs are based o</w:t>
      </w:r>
      <w:r>
        <w:rPr>
          <w:rFonts w:ascii="Arial" w:eastAsia="Times New Roman" w:hAnsi="Arial" w:cs="Arial"/>
          <w:color w:val="000000"/>
          <w:sz w:val="20"/>
          <w:szCs w:val="20"/>
        </w:rPr>
        <w:t>n estimated achievement of performance targets and estimated costs are periodically reevaluated. For our TSR performance shares, these costs are based on the fair value of awards at the grant date and are recognized on a straight-line basis over the servic</w:t>
      </w:r>
      <w:r>
        <w:rPr>
          <w:rFonts w:ascii="Arial" w:eastAsia="Times New Roman" w:hAnsi="Arial" w:cs="Arial"/>
          <w:color w:val="000000"/>
          <w:sz w:val="20"/>
          <w:szCs w:val="20"/>
        </w:rPr>
        <w:t xml:space="preserve">e period of three years. </w:t>
      </w:r>
    </w:p>
    <w:p w:rsidR="00000000" w:rsidRDefault="00485CCD">
      <w:pPr>
        <w:ind w:firstLine="720"/>
        <w:jc w:val="both"/>
        <w:divId w:val="397942699"/>
        <w:rPr>
          <w:rFonts w:eastAsia="Times New Roman"/>
        </w:rPr>
      </w:pPr>
      <w:r>
        <w:rPr>
          <w:rFonts w:ascii="Arial" w:eastAsia="Times New Roman" w:hAnsi="Arial" w:cs="Arial"/>
          <w:color w:val="000000"/>
          <w:sz w:val="20"/>
          <w:szCs w:val="20"/>
        </w:rPr>
        <w:t>In 2021, 2020, and 2019, the weighted-average grant date fair value per share of awards granted was $39.97, $35.92, and $35.44, respectively. In 2021, 2020, and 2019, the total grant date fair value of performance shares vested an</w:t>
      </w:r>
      <w:r>
        <w:rPr>
          <w:rFonts w:ascii="Arial" w:eastAsia="Times New Roman" w:hAnsi="Arial" w:cs="Arial"/>
          <w:color w:val="000000"/>
          <w:sz w:val="20"/>
          <w:szCs w:val="20"/>
        </w:rPr>
        <w:t xml:space="preserve">d converted to shares of ABM common stock was $9.0 million, $6.1 million, and $6.8 million, respectively. </w:t>
      </w:r>
    </w:p>
    <w:p w:rsidR="00000000" w:rsidRDefault="00485CCD">
      <w:pPr>
        <w:ind w:firstLine="720"/>
        <w:jc w:val="both"/>
        <w:divId w:val="2091582877"/>
        <w:rPr>
          <w:rFonts w:eastAsia="Times New Roman"/>
        </w:rPr>
      </w:pPr>
      <w:r>
        <w:rPr>
          <w:rFonts w:ascii="Arial" w:eastAsia="Times New Roman" w:hAnsi="Arial" w:cs="Arial"/>
          <w:color w:val="000000"/>
          <w:sz w:val="20"/>
          <w:szCs w:val="20"/>
        </w:rPr>
        <w:t>In 2021, 2020, and 2019, we used the Monte Carlo simulation valuation technique to estimate the fair value of TSR performance share grants, which use</w:t>
      </w:r>
      <w:r>
        <w:rPr>
          <w:rFonts w:ascii="Arial" w:eastAsia="Times New Roman" w:hAnsi="Arial" w:cs="Arial"/>
          <w:color w:val="000000"/>
          <w:sz w:val="20"/>
          <w:szCs w:val="20"/>
        </w:rPr>
        <w:t xml:space="preserve">d the assumptions in the table below. </w:t>
      </w:r>
    </w:p>
    <w:p w:rsidR="00000000" w:rsidRDefault="00485CCD">
      <w:pPr>
        <w:jc w:val="both"/>
        <w:divId w:val="1568371052"/>
        <w:rPr>
          <w:rFonts w:eastAsia="Times New Roman"/>
        </w:rPr>
      </w:pPr>
      <w:r>
        <w:rPr>
          <w:rFonts w:ascii="Arial" w:eastAsia="Times New Roman" w:hAnsi="Arial" w:cs="Arial"/>
          <w:b/>
          <w:bCs/>
          <w:i/>
          <w:iCs/>
          <w:color w:val="0046AD"/>
          <w:sz w:val="20"/>
          <w:szCs w:val="20"/>
        </w:rPr>
        <w:t>Monte Carlo Assumptions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3791"/>
        <w:gridCol w:w="36"/>
        <w:gridCol w:w="132"/>
        <w:gridCol w:w="1147"/>
        <w:gridCol w:w="198"/>
        <w:gridCol w:w="36"/>
        <w:gridCol w:w="36"/>
        <w:gridCol w:w="36"/>
        <w:gridCol w:w="132"/>
        <w:gridCol w:w="1032"/>
        <w:gridCol w:w="198"/>
        <w:gridCol w:w="36"/>
        <w:gridCol w:w="36"/>
        <w:gridCol w:w="36"/>
        <w:gridCol w:w="132"/>
        <w:gridCol w:w="1032"/>
        <w:gridCol w:w="198"/>
      </w:tblGrid>
      <w:tr w:rsidR="00000000">
        <w:trPr>
          <w:divId w:val="1511794785"/>
        </w:trPr>
        <w:tc>
          <w:tcPr>
            <w:tcW w:w="50" w:type="pct"/>
            <w:vAlign w:val="center"/>
            <w:hideMark/>
          </w:tcPr>
          <w:p w:rsidR="00000000" w:rsidRDefault="00485CCD">
            <w:pPr>
              <w:jc w:val="both"/>
              <w:rPr>
                <w:rFonts w:eastAsia="Times New Roman"/>
              </w:rPr>
            </w:pPr>
          </w:p>
        </w:tc>
        <w:tc>
          <w:tcPr>
            <w:tcW w:w="2408"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6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6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76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11794785"/>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511794785"/>
        </w:trPr>
        <w:tc>
          <w:tcPr>
            <w:tcW w:w="0" w:type="auto"/>
            <w:gridSpan w:val="3"/>
            <w:shd w:val="clear" w:color="auto" w:fill="DCE2EF"/>
            <w:tcMar>
              <w:top w:w="30" w:type="dxa"/>
              <w:left w:w="20" w:type="dxa"/>
              <w:bottom w:w="30" w:type="dxa"/>
              <w:right w:w="20" w:type="dxa"/>
            </w:tcMar>
            <w:vAlign w:val="bottom"/>
            <w:hideMark/>
          </w:tcPr>
          <w:p w:rsidR="00000000" w:rsidRDefault="00485CCD">
            <w:pPr>
              <w:divId w:val="1761834771"/>
              <w:rPr>
                <w:rFonts w:eastAsia="Times New Roman"/>
              </w:rPr>
            </w:pPr>
            <w:r>
              <w:rPr>
                <w:rFonts w:ascii="Arial" w:eastAsia="Times New Roman" w:hAnsi="Arial" w:cs="Arial"/>
                <w:color w:val="000000"/>
                <w:sz w:val="20"/>
                <w:szCs w:val="20"/>
              </w:rPr>
              <w:t>Expected lif</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2.81 years</w:t>
            </w:r>
          </w:p>
        </w:tc>
      </w:tr>
      <w:tr w:rsidR="00000000">
        <w:trPr>
          <w:divId w:val="1511794785"/>
        </w:trPr>
        <w:tc>
          <w:tcPr>
            <w:tcW w:w="0" w:type="auto"/>
            <w:gridSpan w:val="3"/>
            <w:shd w:val="clear" w:color="auto" w:fill="FFFFFF"/>
            <w:tcMar>
              <w:top w:w="30" w:type="dxa"/>
              <w:left w:w="20" w:type="dxa"/>
              <w:bottom w:w="30" w:type="dxa"/>
              <w:right w:w="20" w:type="dxa"/>
            </w:tcMar>
            <w:vAlign w:val="bottom"/>
            <w:hideMark/>
          </w:tcPr>
          <w:p w:rsidR="00000000" w:rsidRDefault="00485CCD">
            <w:pPr>
              <w:divId w:val="1103068450"/>
              <w:rPr>
                <w:rFonts w:eastAsia="Times New Roman"/>
              </w:rPr>
            </w:pPr>
            <w:r>
              <w:rPr>
                <w:rFonts w:ascii="Arial" w:eastAsia="Times New Roman" w:hAnsi="Arial" w:cs="Arial"/>
                <w:color w:val="000000"/>
                <w:sz w:val="20"/>
                <w:szCs w:val="20"/>
              </w:rPr>
              <w:t>Expected stock price volatilit</w:t>
            </w:r>
            <w:r>
              <w:rPr>
                <w:rFonts w:ascii="Arial" w:eastAsia="Times New Roman" w:hAnsi="Arial" w:cs="Arial"/>
                <w:color w:val="000000"/>
                <w:sz w:val="20"/>
                <w:szCs w:val="20"/>
              </w:rPr>
              <w:t>y</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r>
      <w:tr w:rsidR="00000000">
        <w:trPr>
          <w:divId w:val="1511794785"/>
        </w:trPr>
        <w:tc>
          <w:tcPr>
            <w:tcW w:w="0" w:type="auto"/>
            <w:gridSpan w:val="3"/>
            <w:vAlign w:val="center"/>
            <w:hideMark/>
          </w:tcPr>
          <w:p w:rsidR="00000000" w:rsidRDefault="00485CCD">
            <w:pPr>
              <w:jc w:val="right"/>
              <w:rPr>
                <w:rFonts w:eastAsia="Times New Roman"/>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511794785"/>
        </w:trPr>
        <w:tc>
          <w:tcPr>
            <w:tcW w:w="0" w:type="auto"/>
            <w:gridSpan w:val="3"/>
            <w:shd w:val="clear" w:color="auto" w:fill="DCE2EF"/>
            <w:tcMar>
              <w:top w:w="30" w:type="dxa"/>
              <w:left w:w="20" w:type="dxa"/>
              <w:bottom w:w="30" w:type="dxa"/>
              <w:right w:w="20" w:type="dxa"/>
            </w:tcMar>
            <w:vAlign w:val="bottom"/>
            <w:hideMark/>
          </w:tcPr>
          <w:p w:rsidR="00000000" w:rsidRDefault="00485CCD">
            <w:pPr>
              <w:divId w:val="977803842"/>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r>
      <w:tr w:rsidR="00000000">
        <w:trPr>
          <w:divId w:val="1511794785"/>
        </w:trPr>
        <w:tc>
          <w:tcPr>
            <w:tcW w:w="0" w:type="auto"/>
            <w:gridSpan w:val="3"/>
            <w:shd w:val="clear" w:color="auto" w:fill="FFFFFF"/>
            <w:tcMar>
              <w:top w:w="30" w:type="dxa"/>
              <w:left w:w="20" w:type="dxa"/>
              <w:bottom w:w="30" w:type="dxa"/>
              <w:right w:w="20" w:type="dxa"/>
            </w:tcMar>
            <w:vAlign w:val="bottom"/>
            <w:hideMark/>
          </w:tcPr>
          <w:p w:rsidR="00000000" w:rsidRDefault="00485CCD">
            <w:pPr>
              <w:divId w:val="1911229977"/>
              <w:rPr>
                <w:rFonts w:eastAsia="Times New Roman"/>
              </w:rPr>
            </w:pPr>
            <w:r>
              <w:rPr>
                <w:rFonts w:ascii="Arial" w:eastAsia="Times New Roman" w:hAnsi="Arial" w:cs="Arial"/>
                <w:color w:val="000000"/>
                <w:sz w:val="20"/>
                <w:szCs w:val="20"/>
              </w:rPr>
              <w:t>Stock pric</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40.75 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37.99 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34.92 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511794785"/>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ind w:hanging="180"/>
        <w:jc w:val="both"/>
        <w:divId w:val="67942838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expected life represents the remaining performance period of the awards. </w:t>
      </w:r>
    </w:p>
    <w:p w:rsidR="00000000" w:rsidRDefault="00485CCD">
      <w:pPr>
        <w:ind w:hanging="180"/>
        <w:jc w:val="both"/>
        <w:divId w:val="193065774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expected volatility for each grant is determined based on the historical volatility of our common stock over a period equal to the remaining term of the performance period from the date of grant for all awards.</w:t>
      </w:r>
    </w:p>
    <w:p w:rsidR="00000000" w:rsidRDefault="00485CCD">
      <w:pPr>
        <w:ind w:hanging="180"/>
        <w:jc w:val="both"/>
        <w:divId w:val="964197845"/>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 risk-free interest rate is based </w:t>
      </w:r>
      <w:r>
        <w:rPr>
          <w:rFonts w:ascii="Arial" w:eastAsia="Times New Roman" w:hAnsi="Arial" w:cs="Arial"/>
          <w:color w:val="000000"/>
          <w:sz w:val="18"/>
          <w:szCs w:val="18"/>
        </w:rPr>
        <w:t xml:space="preserve">on the continuous compounded yield on U.S. Treasury Constant Maturity Rates with varying remaining terms; the yield is determined over a time period commensurate with the performance period from the grant date. </w:t>
      </w:r>
    </w:p>
    <w:p w:rsidR="00000000" w:rsidRDefault="00485CCD">
      <w:pPr>
        <w:ind w:hanging="180"/>
        <w:jc w:val="both"/>
        <w:divId w:val="202986070"/>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stock price is the closing price of </w:t>
      </w:r>
      <w:r>
        <w:rPr>
          <w:rFonts w:ascii="Arial" w:eastAsia="Times New Roman" w:hAnsi="Arial" w:cs="Arial"/>
          <w:color w:val="000000"/>
          <w:sz w:val="18"/>
          <w:szCs w:val="18"/>
        </w:rPr>
        <w:t>our common stock on the valuation date.</w:t>
      </w:r>
    </w:p>
    <w:p w:rsidR="00000000" w:rsidRDefault="00485CCD">
      <w:pPr>
        <w:divId w:val="1142036799"/>
        <w:rPr>
          <w:rFonts w:eastAsia="Times New Roman"/>
        </w:rPr>
      </w:pPr>
    </w:p>
    <w:p w:rsidR="00000000" w:rsidRDefault="00485CCD">
      <w:pPr>
        <w:jc w:val="center"/>
        <w:divId w:val="214463784"/>
        <w:rPr>
          <w:rFonts w:eastAsia="Times New Roman"/>
        </w:rPr>
      </w:pPr>
      <w:r>
        <w:rPr>
          <w:rFonts w:ascii="Arial" w:eastAsia="Times New Roman" w:hAnsi="Arial" w:cs="Arial"/>
          <w:color w:val="000000"/>
          <w:sz w:val="20"/>
          <w:szCs w:val="20"/>
        </w:rPr>
        <w:t>87</w:t>
      </w:r>
    </w:p>
    <w:p w:rsidR="00000000" w:rsidRDefault="00485CCD">
      <w:pPr>
        <w:rPr>
          <w:rFonts w:eastAsia="Times New Roman"/>
        </w:rPr>
      </w:pPr>
      <w:r>
        <w:rPr>
          <w:rFonts w:eastAsia="Times New Roman"/>
        </w:rPr>
        <w:pict>
          <v:rect id="_x0000_i1124" style="width:0;height:1.5pt" o:hralign="center" o:hrstd="t" o:hr="t" fillcolor="#a0a0a0" stroked="f"/>
        </w:pict>
      </w:r>
    </w:p>
    <w:p w:rsidR="00000000" w:rsidRDefault="00485CCD">
      <w:pPr>
        <w:divId w:val="1597859003"/>
        <w:rPr>
          <w:rFonts w:eastAsia="Times New Roman"/>
        </w:rPr>
      </w:pPr>
    </w:p>
    <w:p w:rsidR="00000000" w:rsidRDefault="00485CCD">
      <w:pPr>
        <w:divId w:val="1874532747"/>
        <w:rPr>
          <w:rFonts w:eastAsia="Times New Roman"/>
        </w:rPr>
      </w:pPr>
      <w:r>
        <w:rPr>
          <w:rFonts w:ascii="Arial" w:eastAsia="Times New Roman" w:hAnsi="Arial" w:cs="Arial"/>
          <w:b/>
          <w:bCs/>
          <w:color w:val="0046AD"/>
          <w:sz w:val="20"/>
          <w:szCs w:val="20"/>
        </w:rPr>
        <w:t>Employee Stock Purchase Plan</w:t>
      </w:r>
    </w:p>
    <w:tbl>
      <w:tblPr>
        <w:tblW w:w="4978" w:type="pct"/>
        <w:tblCellMar>
          <w:top w:w="15" w:type="dxa"/>
          <w:left w:w="15" w:type="dxa"/>
          <w:bottom w:w="15" w:type="dxa"/>
          <w:right w:w="15" w:type="dxa"/>
        </w:tblCellMar>
        <w:tblLook w:val="04A0" w:firstRow="1" w:lastRow="0" w:firstColumn="1" w:lastColumn="0" w:noHBand="0" w:noVBand="1"/>
      </w:tblPr>
      <w:tblGrid>
        <w:gridCol w:w="38"/>
        <w:gridCol w:w="5059"/>
        <w:gridCol w:w="37"/>
        <w:gridCol w:w="132"/>
        <w:gridCol w:w="838"/>
        <w:gridCol w:w="36"/>
        <w:gridCol w:w="36"/>
        <w:gridCol w:w="36"/>
        <w:gridCol w:w="36"/>
        <w:gridCol w:w="132"/>
        <w:gridCol w:w="783"/>
        <w:gridCol w:w="36"/>
        <w:gridCol w:w="36"/>
        <w:gridCol w:w="36"/>
        <w:gridCol w:w="36"/>
        <w:gridCol w:w="132"/>
        <w:gridCol w:w="794"/>
        <w:gridCol w:w="36"/>
      </w:tblGrid>
      <w:tr w:rsidR="00000000">
        <w:tc>
          <w:tcPr>
            <w:tcW w:w="50" w:type="pct"/>
            <w:vAlign w:val="center"/>
            <w:hideMark/>
          </w:tcPr>
          <w:p w:rsidR="00000000" w:rsidRDefault="00485CCD">
            <w:pPr>
              <w:rPr>
                <w:rFonts w:eastAsia="Times New Roman"/>
              </w:rPr>
            </w:pPr>
          </w:p>
        </w:tc>
        <w:tc>
          <w:tcPr>
            <w:tcW w:w="309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3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3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w:t>
            </w: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Weighted-average fair value of granted purchase rights per share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Common stock issued</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Fair value of common stock issued per share</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41.18 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33.18 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33.60 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Aggregate purchases</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both"/>
        <w:rPr>
          <w:rFonts w:eastAsia="Times New Roman"/>
        </w:rPr>
      </w:pPr>
    </w:p>
    <w:p w:rsidR="00000000" w:rsidRDefault="00485CCD">
      <w:pPr>
        <w:divId w:val="401607873"/>
        <w:rPr>
          <w:rFonts w:eastAsia="Times New Roman"/>
        </w:rPr>
      </w:pPr>
      <w:r>
        <w:rPr>
          <w:rFonts w:ascii="Arial" w:eastAsia="Times New Roman" w:hAnsi="Arial" w:cs="Arial"/>
          <w:b/>
          <w:bCs/>
          <w:color w:val="0046AD"/>
          <w:sz w:val="20"/>
          <w:szCs w:val="20"/>
        </w:rPr>
        <w:t>16. INCOME TAXES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6195614"/>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619561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jc w:val="both"/>
        <w:divId w:val="970554930"/>
        <w:rPr>
          <w:rFonts w:eastAsia="Times New Roman"/>
        </w:rPr>
      </w:pPr>
      <w:r>
        <w:rPr>
          <w:rFonts w:ascii="Arial" w:eastAsia="Times New Roman" w:hAnsi="Arial" w:cs="Arial"/>
          <w:b/>
          <w:bCs/>
          <w:color w:val="0046AD"/>
          <w:sz w:val="20"/>
          <w:szCs w:val="20"/>
        </w:rPr>
        <w:t>Geographic Sources of Income from Continuing Operations Before Income Taxes</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8"/>
        <w:gridCol w:w="132"/>
        <w:gridCol w:w="972"/>
        <w:gridCol w:w="36"/>
        <w:gridCol w:w="36"/>
        <w:gridCol w:w="36"/>
        <w:gridCol w:w="36"/>
        <w:gridCol w:w="132"/>
        <w:gridCol w:w="927"/>
        <w:gridCol w:w="36"/>
        <w:gridCol w:w="36"/>
        <w:gridCol w:w="36"/>
        <w:gridCol w:w="36"/>
        <w:gridCol w:w="132"/>
        <w:gridCol w:w="928"/>
        <w:gridCol w:w="36"/>
      </w:tblGrid>
      <w:tr w:rsidR="00000000">
        <w:trPr>
          <w:divId w:val="533540248"/>
        </w:trPr>
        <w:tc>
          <w:tcPr>
            <w:tcW w:w="50" w:type="pct"/>
            <w:vAlign w:val="center"/>
            <w:hideMark/>
          </w:tcPr>
          <w:p w:rsidR="00000000" w:rsidRDefault="00485CCD">
            <w:pPr>
              <w:jc w:val="both"/>
              <w:rPr>
                <w:rFonts w:eastAsia="Times New Roman"/>
              </w:rPr>
            </w:pPr>
          </w:p>
        </w:tc>
        <w:tc>
          <w:tcPr>
            <w:tcW w:w="28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533540248"/>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533540248"/>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533540248"/>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533540248"/>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533540248"/>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Income from continuing operations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088696649"/>
        <w:rPr>
          <w:rFonts w:eastAsia="Times New Roman"/>
        </w:rPr>
      </w:pPr>
      <w:r>
        <w:rPr>
          <w:rFonts w:ascii="Arial" w:eastAsia="Times New Roman" w:hAnsi="Arial" w:cs="Arial"/>
          <w:b/>
          <w:bCs/>
          <w:color w:val="0046AD"/>
          <w:sz w:val="20"/>
          <w:szCs w:val="20"/>
        </w:rPr>
        <w:t>Components of Income Tax (Provision) Benefit</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7"/>
        <w:gridCol w:w="132"/>
        <w:gridCol w:w="972"/>
        <w:gridCol w:w="36"/>
        <w:gridCol w:w="36"/>
        <w:gridCol w:w="36"/>
        <w:gridCol w:w="36"/>
        <w:gridCol w:w="132"/>
        <w:gridCol w:w="928"/>
        <w:gridCol w:w="36"/>
        <w:gridCol w:w="36"/>
        <w:gridCol w:w="36"/>
        <w:gridCol w:w="36"/>
        <w:gridCol w:w="132"/>
        <w:gridCol w:w="928"/>
        <w:gridCol w:w="36"/>
      </w:tblGrid>
      <w:tr w:rsidR="00000000">
        <w:trPr>
          <w:divId w:val="1786971247"/>
        </w:trPr>
        <w:tc>
          <w:tcPr>
            <w:tcW w:w="50" w:type="pct"/>
            <w:vAlign w:val="center"/>
            <w:hideMark/>
          </w:tcPr>
          <w:p w:rsidR="00000000" w:rsidRDefault="00485CCD">
            <w:pPr>
              <w:rPr>
                <w:rFonts w:eastAsia="Times New Roman"/>
              </w:rPr>
            </w:pPr>
          </w:p>
        </w:tc>
        <w:tc>
          <w:tcPr>
            <w:tcW w:w="28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86971247"/>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786971247"/>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786971247"/>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0000"/>
                <w:sz w:val="20"/>
                <w:szCs w:val="20"/>
              </w:rPr>
              <w:t>Current: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786971247"/>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0000"/>
                <w:sz w:val="20"/>
                <w:szCs w:val="20"/>
              </w:rPr>
              <w:t>Deferred:</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786971247"/>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Federal</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86971247"/>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Income tax provision</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(53.5)</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(53.1)</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(32.7)</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580678700"/>
        <w:rPr>
          <w:rFonts w:eastAsia="Times New Roman"/>
        </w:rPr>
      </w:pPr>
      <w:r>
        <w:rPr>
          <w:rFonts w:ascii="Arial" w:eastAsia="Times New Roman" w:hAnsi="Arial" w:cs="Arial"/>
          <w:b/>
          <w:bCs/>
          <w:color w:val="0046AD"/>
          <w:sz w:val="20"/>
          <w:szCs w:val="20"/>
        </w:rPr>
        <w:t>Reconciliation of the U.S. Statutory Tax Rate to Annual Effective Tax Rate</w:t>
      </w:r>
    </w:p>
    <w:tbl>
      <w:tblPr>
        <w:tblW w:w="5000" w:type="pct"/>
        <w:tblCellMar>
          <w:top w:w="15" w:type="dxa"/>
          <w:left w:w="15" w:type="dxa"/>
          <w:bottom w:w="15" w:type="dxa"/>
          <w:right w:w="15" w:type="dxa"/>
        </w:tblCellMar>
        <w:tblLook w:val="04A0" w:firstRow="1" w:lastRow="0" w:firstColumn="1" w:lastColumn="0" w:noHBand="0" w:noVBand="1"/>
      </w:tblPr>
      <w:tblGrid>
        <w:gridCol w:w="40"/>
        <w:gridCol w:w="4644"/>
        <w:gridCol w:w="39"/>
        <w:gridCol w:w="37"/>
        <w:gridCol w:w="929"/>
        <w:gridCol w:w="199"/>
        <w:gridCol w:w="36"/>
        <w:gridCol w:w="36"/>
        <w:gridCol w:w="36"/>
        <w:gridCol w:w="37"/>
        <w:gridCol w:w="865"/>
        <w:gridCol w:w="199"/>
        <w:gridCol w:w="36"/>
        <w:gridCol w:w="36"/>
        <w:gridCol w:w="36"/>
        <w:gridCol w:w="37"/>
        <w:gridCol w:w="865"/>
        <w:gridCol w:w="199"/>
      </w:tblGrid>
      <w:tr w:rsidR="00000000">
        <w:trPr>
          <w:divId w:val="1009990852"/>
        </w:trPr>
        <w:tc>
          <w:tcPr>
            <w:tcW w:w="50" w:type="pct"/>
            <w:vAlign w:val="center"/>
            <w:hideMark/>
          </w:tcPr>
          <w:p w:rsidR="00000000" w:rsidRDefault="00485CCD">
            <w:pPr>
              <w:rPr>
                <w:rFonts w:eastAsia="Times New Roman"/>
              </w:rPr>
            </w:pPr>
          </w:p>
        </w:tc>
        <w:tc>
          <w:tcPr>
            <w:tcW w:w="285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09990852"/>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009990852"/>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00999085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U.S. statutory rate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r>
      <w:tr w:rsidR="00000000">
        <w:trPr>
          <w:divId w:val="1009990852"/>
        </w:trPr>
        <w:tc>
          <w:tcPr>
            <w:tcW w:w="0" w:type="auto"/>
            <w:gridSpan w:val="3"/>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State and local income taxes, net of federal tax benefit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Federal and state tax credits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Impact of foreign operations </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Changes in uncertain tax positions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Incremental tax benefit from share-based compensation awards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Energy efficiency incentives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Impact from goodwill impairment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81.7 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Transition tax on foreign earnings </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Remeasurement of U.S. deferred taxes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Nondeductible expenses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999085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 xml:space="preserve">Effective tax rate </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w:t>
            </w:r>
          </w:p>
        </w:tc>
      </w:tr>
    </w:tbl>
    <w:p w:rsidR="00000000" w:rsidRDefault="00485CCD">
      <w:pPr>
        <w:jc w:val="center"/>
        <w:divId w:val="1055205960"/>
        <w:rPr>
          <w:rFonts w:eastAsia="Times New Roman"/>
        </w:rPr>
      </w:pPr>
      <w:r>
        <w:rPr>
          <w:rFonts w:ascii="Arial" w:eastAsia="Times New Roman" w:hAnsi="Arial" w:cs="Arial"/>
          <w:color w:val="000000"/>
          <w:sz w:val="20"/>
          <w:szCs w:val="20"/>
        </w:rPr>
        <w:t>88</w:t>
      </w:r>
    </w:p>
    <w:p w:rsidR="00000000" w:rsidRDefault="00485CCD">
      <w:pPr>
        <w:rPr>
          <w:rFonts w:eastAsia="Times New Roman"/>
        </w:rPr>
      </w:pPr>
      <w:r>
        <w:rPr>
          <w:rFonts w:eastAsia="Times New Roman"/>
        </w:rPr>
        <w:pict>
          <v:rect id="_x0000_i1125" style="width:0;height:1.5pt" o:hralign="center" o:hrstd="t" o:hr="t" fillcolor="#a0a0a0" stroked="f"/>
        </w:pict>
      </w:r>
    </w:p>
    <w:p w:rsidR="00000000" w:rsidRDefault="00485CCD">
      <w:pPr>
        <w:divId w:val="681199052"/>
        <w:rPr>
          <w:rFonts w:eastAsia="Times New Roman"/>
        </w:rPr>
      </w:pPr>
    </w:p>
    <w:p w:rsidR="00000000" w:rsidRDefault="00485CCD">
      <w:pPr>
        <w:ind w:firstLine="720"/>
        <w:jc w:val="both"/>
        <w:divId w:val="2056199358"/>
        <w:rPr>
          <w:rFonts w:eastAsia="Times New Roman"/>
        </w:rPr>
      </w:pPr>
      <w:r>
        <w:rPr>
          <w:rFonts w:ascii="Arial" w:eastAsia="Times New Roman" w:hAnsi="Arial" w:cs="Arial"/>
          <w:color w:val="000000"/>
          <w:sz w:val="20"/>
          <w:szCs w:val="20"/>
        </w:rPr>
        <w:t>On December 22, 2017, the Tax Cuts and Jobs Act of 2017 (“Tax Act”) was enacted into law. Among other provisions, it reduced the federal corporate income tax rate from 35% to 21% and required companies to pay a one-tim</w:t>
      </w:r>
      <w:r>
        <w:rPr>
          <w:rFonts w:ascii="Arial" w:eastAsia="Times New Roman" w:hAnsi="Arial" w:cs="Arial"/>
          <w:color w:val="000000"/>
          <w:sz w:val="20"/>
          <w:szCs w:val="20"/>
        </w:rPr>
        <w:t xml:space="preserve">e transition tax on the deemed repatriation of indefinitely reinvested earnings of international subsidiaries. Our U.S. statutory federal tax rate for fiscal 2019 and future years was reduced to 21%. Other provisions under the Tax Act became effective for </w:t>
      </w:r>
      <w:r>
        <w:rPr>
          <w:rFonts w:ascii="Arial" w:eastAsia="Times New Roman" w:hAnsi="Arial" w:cs="Arial"/>
          <w:color w:val="000000"/>
          <w:sz w:val="20"/>
          <w:szCs w:val="20"/>
        </w:rPr>
        <w:t>us in fiscal 2019, including limitations on deductibility of interest and executive compensation, as well as a new minimum tax on Global Intangible Low-Taxed Income (“GILTI”), which we have elected to account for as a period cost. While U.S. federal tax ex</w:t>
      </w:r>
      <w:r>
        <w:rPr>
          <w:rFonts w:ascii="Arial" w:eastAsia="Times New Roman" w:hAnsi="Arial" w:cs="Arial"/>
          <w:color w:val="000000"/>
          <w:sz w:val="20"/>
          <w:szCs w:val="20"/>
        </w:rPr>
        <w:t xml:space="preserve">pense has been recognized as a result of the Tax Act, no deferred tax liabilities with respect to federal and state income taxes or foreign withholding taxes have been recognized. </w:t>
      </w:r>
    </w:p>
    <w:p w:rsidR="00000000" w:rsidRDefault="00485CCD">
      <w:pPr>
        <w:ind w:firstLine="720"/>
        <w:jc w:val="both"/>
        <w:divId w:val="586042499"/>
        <w:rPr>
          <w:rFonts w:eastAsia="Times New Roman"/>
        </w:rPr>
      </w:pPr>
      <w:r>
        <w:rPr>
          <w:rFonts w:ascii="Arial" w:eastAsia="Times New Roman" w:hAnsi="Arial" w:cs="Arial"/>
          <w:color w:val="000000"/>
          <w:sz w:val="20"/>
          <w:szCs w:val="20"/>
        </w:rPr>
        <w:t>During 2021 and 2020, we had effective tax rates of 29.8% and 99.6%, respec</w:t>
      </w:r>
      <w:r>
        <w:rPr>
          <w:rFonts w:ascii="Arial" w:eastAsia="Times New Roman" w:hAnsi="Arial" w:cs="Arial"/>
          <w:color w:val="000000"/>
          <w:sz w:val="20"/>
          <w:szCs w:val="20"/>
        </w:rPr>
        <w:t xml:space="preserve">tively, resulting in a provision for tax of $53.5 million and $53.1 million, respectively. Our effective tax rate for 2021 was impacted by the following discrete items: a $3.0 million provision for nondeductible transaction costs; a $2.6 million provision </w:t>
      </w:r>
      <w:r>
        <w:rPr>
          <w:rFonts w:ascii="Arial" w:eastAsia="Times New Roman" w:hAnsi="Arial" w:cs="Arial"/>
          <w:color w:val="000000"/>
          <w:sz w:val="20"/>
          <w:szCs w:val="20"/>
        </w:rPr>
        <w:t xml:space="preserve">for change in tax reserves; a $1.4 million provision for true-ups; and a $1.2 million benefit for energy efficiency incentives. Our effective tax rate for 2020 was also impacted by the following discrete items: a $5.7 million benefit from true-ups; a $2.3 </w:t>
      </w:r>
      <w:r>
        <w:rPr>
          <w:rFonts w:ascii="Arial" w:eastAsia="Times New Roman" w:hAnsi="Arial" w:cs="Arial"/>
          <w:color w:val="000000"/>
          <w:sz w:val="20"/>
          <w:szCs w:val="20"/>
        </w:rPr>
        <w:t>million provision related to WOTC; a $2.1 million benefit from energy efficiency incentives; and a $1.1 million benefit from change of tax reserves. The effective tax rate for the year ended October 31, 2020, excluding a nondeductible impairment loss of $1</w:t>
      </w:r>
      <w:r>
        <w:rPr>
          <w:rFonts w:ascii="Arial" w:eastAsia="Times New Roman" w:hAnsi="Arial" w:cs="Arial"/>
          <w:color w:val="000000"/>
          <w:sz w:val="20"/>
          <w:szCs w:val="20"/>
        </w:rPr>
        <w:t>63.8 million, was 24.4%.</w:t>
      </w:r>
    </w:p>
    <w:p w:rsidR="00000000" w:rsidRDefault="00485CCD">
      <w:pPr>
        <w:ind w:firstLine="720"/>
        <w:jc w:val="both"/>
        <w:divId w:val="1801993472"/>
        <w:rPr>
          <w:rFonts w:eastAsia="Times New Roman"/>
        </w:rPr>
      </w:pPr>
      <w:r>
        <w:rPr>
          <w:rFonts w:ascii="Arial" w:eastAsia="Times New Roman" w:hAnsi="Arial" w:cs="Arial"/>
          <w:color w:val="000000"/>
          <w:sz w:val="20"/>
          <w:szCs w:val="20"/>
        </w:rPr>
        <w:t>In response to the Pandemic, Congress enacted the CARES Act on March 27, 2020. The CARES Act provides various tax provisions, including payroll tax provisions, which we have evaluated for applicability. Through December 31, 2020, w</w:t>
      </w:r>
      <w:r>
        <w:rPr>
          <w:rFonts w:ascii="Arial" w:eastAsia="Times New Roman" w:hAnsi="Arial" w:cs="Arial"/>
          <w:color w:val="000000"/>
          <w:sz w:val="20"/>
          <w:szCs w:val="20"/>
        </w:rPr>
        <w:t>e deferred approximately $132 million of payroll tax, which the CARES Act requires to be remitted in equal parts by December 31, 2021, and December 31, 2022. The CARES Act did not have a material impact on our income tax provision.</w:t>
      </w:r>
    </w:p>
    <w:p w:rsidR="00000000" w:rsidRDefault="00485CCD">
      <w:pPr>
        <w:jc w:val="both"/>
        <w:divId w:val="1076822547"/>
        <w:rPr>
          <w:rFonts w:eastAsia="Times New Roman"/>
        </w:rPr>
      </w:pPr>
      <w:r>
        <w:rPr>
          <w:rFonts w:ascii="Arial" w:eastAsia="Times New Roman" w:hAnsi="Arial" w:cs="Arial"/>
          <w:b/>
          <w:bCs/>
          <w:color w:val="0046AD"/>
          <w:sz w:val="20"/>
          <w:szCs w:val="20"/>
        </w:rPr>
        <w:t>Components of Deferred T</w:t>
      </w:r>
      <w:r>
        <w:rPr>
          <w:rFonts w:ascii="Arial" w:eastAsia="Times New Roman" w:hAnsi="Arial" w:cs="Arial"/>
          <w:b/>
          <w:bCs/>
          <w:color w:val="0046AD"/>
          <w:sz w:val="20"/>
          <w:szCs w:val="20"/>
        </w:rPr>
        <w: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678"/>
        <w:gridCol w:w="38"/>
        <w:gridCol w:w="132"/>
        <w:gridCol w:w="1573"/>
        <w:gridCol w:w="36"/>
        <w:gridCol w:w="36"/>
        <w:gridCol w:w="36"/>
        <w:gridCol w:w="36"/>
        <w:gridCol w:w="132"/>
        <w:gridCol w:w="1533"/>
        <w:gridCol w:w="36"/>
      </w:tblGrid>
      <w:tr w:rsidR="00000000">
        <w:trPr>
          <w:divId w:val="184759272"/>
        </w:trPr>
        <w:tc>
          <w:tcPr>
            <w:tcW w:w="50" w:type="pct"/>
            <w:vAlign w:val="center"/>
            <w:hideMark/>
          </w:tcPr>
          <w:p w:rsidR="00000000" w:rsidRDefault="00485CCD">
            <w:pPr>
              <w:jc w:val="both"/>
              <w:rPr>
                <w:rFonts w:eastAsia="Times New Roman"/>
              </w:rPr>
            </w:pPr>
          </w:p>
        </w:tc>
        <w:tc>
          <w:tcPr>
            <w:tcW w:w="284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7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7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84759272"/>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As of October 31,</w:t>
            </w:r>
          </w:p>
        </w:tc>
      </w:tr>
      <w:tr w:rsidR="00000000">
        <w:trPr>
          <w:divId w:val="18475927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r>
      <w:tr w:rsidR="00000000">
        <w:trPr>
          <w:divId w:val="18475927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0000"/>
                <w:sz w:val="20"/>
                <w:szCs w:val="20"/>
              </w:rPr>
              <w:t>Deferred tax assets attributable to:</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Self-insurance claims (net of recoverables)</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92.0 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74.7 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Deferred and other compensation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34.4 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Accounts receivable allowances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Settlement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comprehensive income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State taxes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State net operating loss carryforwards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Tax credits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Unrecognized tax benefits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4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Deferred payroll taxes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4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Operating lease liabilities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Valuation allowance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Height w:val="280"/>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475927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i/>
                <w:iCs/>
                <w:color w:val="000000"/>
                <w:sz w:val="20"/>
                <w:szCs w:val="20"/>
              </w:rPr>
              <w:t>Deferred tax liabilities attributable to:</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Goodwill and other acquired intangibles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(222.2)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(159.4)</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(33.8)</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Tax accounting method change</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Total 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84759272"/>
          <w:trHeight w:val="280"/>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8475927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Net deferred tax liabilities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center"/>
        <w:divId w:val="1487892746"/>
        <w:rPr>
          <w:rFonts w:eastAsia="Times New Roman"/>
        </w:rPr>
      </w:pPr>
      <w:r>
        <w:rPr>
          <w:rFonts w:ascii="Arial" w:eastAsia="Times New Roman" w:hAnsi="Arial" w:cs="Arial"/>
          <w:color w:val="000000"/>
          <w:sz w:val="20"/>
          <w:szCs w:val="20"/>
        </w:rPr>
        <w:t>89</w:t>
      </w:r>
    </w:p>
    <w:p w:rsidR="00000000" w:rsidRDefault="00485CCD">
      <w:pPr>
        <w:rPr>
          <w:rFonts w:eastAsia="Times New Roman"/>
        </w:rPr>
      </w:pPr>
      <w:r>
        <w:rPr>
          <w:rFonts w:eastAsia="Times New Roman"/>
        </w:rPr>
        <w:pict>
          <v:rect id="_x0000_i1126" style="width:0;height:1.5pt" o:hralign="center" o:hrstd="t" o:hr="t" fillcolor="#a0a0a0" stroked="f"/>
        </w:pict>
      </w:r>
    </w:p>
    <w:p w:rsidR="00000000" w:rsidRDefault="00485CCD">
      <w:pPr>
        <w:divId w:val="2118452237"/>
        <w:rPr>
          <w:rFonts w:eastAsia="Times New Roman"/>
        </w:rPr>
      </w:pPr>
    </w:p>
    <w:p w:rsidR="00000000" w:rsidRDefault="00485CCD">
      <w:pPr>
        <w:divId w:val="1784224876"/>
        <w:rPr>
          <w:rFonts w:eastAsia="Times New Roman"/>
        </w:rPr>
      </w:pPr>
      <w:r>
        <w:rPr>
          <w:rFonts w:ascii="Arial" w:eastAsia="Times New Roman" w:hAnsi="Arial" w:cs="Arial"/>
          <w:b/>
          <w:bCs/>
          <w:color w:val="0046AD"/>
          <w:sz w:val="20"/>
          <w:szCs w:val="20"/>
        </w:rPr>
        <w:t>Net Operating Loss Carryforwards and Credits</w:t>
      </w:r>
    </w:p>
    <w:p w:rsidR="00000000" w:rsidRDefault="00485CCD">
      <w:pPr>
        <w:ind w:firstLine="720"/>
        <w:jc w:val="both"/>
        <w:divId w:val="2118282793"/>
        <w:rPr>
          <w:rFonts w:eastAsia="Times New Roman"/>
        </w:rPr>
      </w:pPr>
      <w:r>
        <w:rPr>
          <w:rFonts w:ascii="Arial" w:eastAsia="Times New Roman" w:hAnsi="Arial" w:cs="Arial"/>
          <w:color w:val="000000"/>
          <w:sz w:val="20"/>
          <w:szCs w:val="20"/>
        </w:rPr>
        <w:t>State net operating loss carryforwards totaling $74.2 million at October </w:t>
      </w:r>
      <w:r>
        <w:rPr>
          <w:rFonts w:ascii="Arial" w:eastAsia="Times New Roman" w:hAnsi="Arial" w:cs="Arial"/>
          <w:color w:val="000000"/>
          <w:sz w:val="20"/>
          <w:szCs w:val="20"/>
        </w:rPr>
        <w:t>31, 2021, are being carried forward in several state jurisdictions where we are permitted to use net operating losses from prior periods to reduce future taxable income. These losses will expire between 2022 and 2041. Federal net operating loss carryforwar</w:t>
      </w:r>
      <w:r>
        <w:rPr>
          <w:rFonts w:ascii="Arial" w:eastAsia="Times New Roman" w:hAnsi="Arial" w:cs="Arial"/>
          <w:color w:val="000000"/>
          <w:sz w:val="20"/>
          <w:szCs w:val="20"/>
        </w:rPr>
        <w:t>ds were fully utilized during 2020. Federal and state tax credit carryforwards totaling $3.4 million are available to reduce future cash taxes and will expire between 2022 and 2041.</w:t>
      </w:r>
    </w:p>
    <w:p w:rsidR="00000000" w:rsidRDefault="00485CCD">
      <w:pPr>
        <w:ind w:firstLine="720"/>
        <w:jc w:val="both"/>
        <w:divId w:val="1069620388"/>
        <w:rPr>
          <w:rFonts w:eastAsia="Times New Roman"/>
        </w:rPr>
      </w:pPr>
      <w:r>
        <w:rPr>
          <w:rFonts w:ascii="Arial" w:eastAsia="Times New Roman" w:hAnsi="Arial" w:cs="Arial"/>
          <w:color w:val="000000"/>
          <w:sz w:val="20"/>
          <w:szCs w:val="20"/>
        </w:rPr>
        <w:t>The valuation allowance represents the amount of tax benefits related to s</w:t>
      </w:r>
      <w:r>
        <w:rPr>
          <w:rFonts w:ascii="Arial" w:eastAsia="Times New Roman" w:hAnsi="Arial" w:cs="Arial"/>
          <w:color w:val="000000"/>
          <w:sz w:val="20"/>
          <w:szCs w:val="20"/>
        </w:rPr>
        <w:t xml:space="preserve">tate net operating loss carryforwards that are not likely to be realized. We believe the remaining deferred tax assets are more likely than not to be realizable based on estimates of future taxable income. </w:t>
      </w:r>
    </w:p>
    <w:p w:rsidR="00000000" w:rsidRDefault="00485CCD">
      <w:pPr>
        <w:jc w:val="both"/>
        <w:divId w:val="1113745120"/>
        <w:rPr>
          <w:rFonts w:eastAsia="Times New Roman"/>
        </w:rPr>
      </w:pPr>
      <w:r>
        <w:rPr>
          <w:rFonts w:ascii="Arial" w:eastAsia="Times New Roman" w:hAnsi="Arial" w:cs="Arial"/>
          <w:b/>
          <w:bCs/>
          <w:i/>
          <w:iCs/>
          <w:color w:val="0046AD"/>
          <w:sz w:val="20"/>
          <w:szCs w:val="20"/>
        </w:rPr>
        <w:t>Changes to the Valuation Allowance</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trPr>
          <w:divId w:val="1571503348"/>
        </w:trPr>
        <w:tc>
          <w:tcPr>
            <w:tcW w:w="50" w:type="pct"/>
            <w:vAlign w:val="center"/>
            <w:hideMark/>
          </w:tcPr>
          <w:p w:rsidR="00000000" w:rsidRDefault="00485CCD">
            <w:pPr>
              <w:jc w:val="both"/>
              <w:rPr>
                <w:rFonts w:eastAsia="Times New Roman"/>
              </w:rPr>
            </w:pPr>
          </w:p>
        </w:tc>
        <w:tc>
          <w:tcPr>
            <w:tcW w:w="28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571503348"/>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571503348"/>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571503348"/>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Valuation allowance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571503348"/>
        </w:trPr>
        <w:tc>
          <w:tcPr>
            <w:tcW w:w="0" w:type="auto"/>
            <w:gridSpan w:val="3"/>
            <w:shd w:val="clear" w:color="auto" w:fill="FFFFF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571503348"/>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 xml:space="preserve">Valuation allowance at end of year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divId w:val="1978416357"/>
        <w:rPr>
          <w:rFonts w:eastAsia="Times New Roman"/>
        </w:rPr>
      </w:pPr>
      <w:r>
        <w:rPr>
          <w:rFonts w:ascii="Arial" w:eastAsia="Times New Roman" w:hAnsi="Arial" w:cs="Arial"/>
          <w:b/>
          <w:bCs/>
          <w:color w:val="0046AD"/>
          <w:sz w:val="20"/>
          <w:szCs w:val="20"/>
        </w:rPr>
        <w:t>Unrecognized Tax Benefits</w:t>
      </w:r>
    </w:p>
    <w:p w:rsidR="00000000" w:rsidRDefault="00485CCD">
      <w:pPr>
        <w:ind w:firstLine="720"/>
        <w:jc w:val="both"/>
        <w:divId w:val="763064582"/>
        <w:rPr>
          <w:rFonts w:eastAsia="Times New Roman"/>
        </w:rPr>
      </w:pPr>
      <w:r>
        <w:rPr>
          <w:rFonts w:ascii="Arial" w:eastAsia="Times New Roman" w:hAnsi="Arial" w:cs="Arial"/>
          <w:color w:val="000000"/>
          <w:sz w:val="20"/>
          <w:szCs w:val="20"/>
        </w:rPr>
        <w:t xml:space="preserve">At October 31, 2021, 2020, and 2019, there were $30.4 million, $35.5 million, and $35.3 </w:t>
      </w:r>
      <w:r>
        <w:rPr>
          <w:rFonts w:ascii="Arial" w:eastAsia="Times New Roman" w:hAnsi="Arial" w:cs="Arial"/>
          <w:color w:val="000000"/>
          <w:sz w:val="20"/>
          <w:szCs w:val="20"/>
        </w:rPr>
        <w:t>million, respectively, of unrecognized tax benefits that if recognized in the future would impact our effective tax rate. We estimate that a decrease in unrecognized tax benefits of up to approximately $8.3 million is reasonably possible over the next 12 m</w:t>
      </w:r>
      <w:r>
        <w:rPr>
          <w:rFonts w:ascii="Arial" w:eastAsia="Times New Roman" w:hAnsi="Arial" w:cs="Arial"/>
          <w:color w:val="000000"/>
          <w:sz w:val="20"/>
          <w:szCs w:val="20"/>
        </w:rPr>
        <w:t xml:space="preserve">onths due to lapses of applicable statutes of limitations. At October 31, 2021 and 2020, accrued interest and penalties were $1.6 million and $1.5 million, respectively. For interest and penalties, we recognized an expense of $0.1 million and $0.4 million </w:t>
      </w:r>
      <w:r>
        <w:rPr>
          <w:rFonts w:ascii="Arial" w:eastAsia="Times New Roman" w:hAnsi="Arial" w:cs="Arial"/>
          <w:color w:val="000000"/>
          <w:sz w:val="20"/>
          <w:szCs w:val="20"/>
        </w:rPr>
        <w:t xml:space="preserve">in 2021 and 2020, respectively, and a benefit of $0.2 million in 2019. </w:t>
      </w:r>
    </w:p>
    <w:p w:rsidR="00000000" w:rsidRDefault="00485CCD">
      <w:pPr>
        <w:jc w:val="both"/>
        <w:divId w:val="294795343"/>
        <w:rPr>
          <w:rFonts w:eastAsia="Times New Roman"/>
        </w:rPr>
      </w:pPr>
      <w:r>
        <w:rPr>
          <w:rFonts w:ascii="Arial" w:eastAsia="Times New Roman" w:hAnsi="Arial" w:cs="Arial"/>
          <w:b/>
          <w:bCs/>
          <w:i/>
          <w:iCs/>
          <w:color w:val="0046AD"/>
          <w:sz w:val="20"/>
          <w:szCs w:val="20"/>
        </w:rPr>
        <w:t>Reconciliation of Total Unrecognized Tax Benefits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07"/>
        <w:gridCol w:w="38"/>
        <w:gridCol w:w="132"/>
        <w:gridCol w:w="985"/>
        <w:gridCol w:w="36"/>
        <w:gridCol w:w="36"/>
        <w:gridCol w:w="36"/>
        <w:gridCol w:w="36"/>
        <w:gridCol w:w="132"/>
        <w:gridCol w:w="939"/>
        <w:gridCol w:w="36"/>
        <w:gridCol w:w="36"/>
        <w:gridCol w:w="36"/>
        <w:gridCol w:w="36"/>
        <w:gridCol w:w="132"/>
        <w:gridCol w:w="940"/>
        <w:gridCol w:w="36"/>
      </w:tblGrid>
      <w:tr w:rsidR="00000000">
        <w:trPr>
          <w:divId w:val="1068380235"/>
        </w:trPr>
        <w:tc>
          <w:tcPr>
            <w:tcW w:w="50" w:type="pct"/>
            <w:vAlign w:val="center"/>
            <w:hideMark/>
          </w:tcPr>
          <w:p w:rsidR="00000000" w:rsidRDefault="00485CCD">
            <w:pPr>
              <w:jc w:val="both"/>
              <w:rPr>
                <w:rFonts w:eastAsia="Times New Roman"/>
              </w:rPr>
            </w:pPr>
          </w:p>
        </w:tc>
        <w:tc>
          <w:tcPr>
            <w:tcW w:w="282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68380235"/>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068380235"/>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0683802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Balance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Additions for tax positions related to the current year</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Additions for tax positions related to prior years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Reductions for tax positions related to prior years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shd w:val="clear" w:color="auto" w:fill="DCE2EF"/>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Reductions for lapse of statute of limitations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tcMar>
              <w:top w:w="30" w:type="dxa"/>
              <w:left w:w="155"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68380235"/>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Balance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jc w:val="both"/>
        <w:rPr>
          <w:rFonts w:eastAsia="Times New Roman"/>
        </w:rPr>
      </w:pPr>
      <w:r>
        <w:rPr>
          <w:rFonts w:ascii="Arial" w:eastAsia="Times New Roman" w:hAnsi="Arial" w:cs="Arial"/>
          <w:b/>
          <w:bCs/>
          <w:color w:val="0046AD"/>
          <w:sz w:val="20"/>
          <w:szCs w:val="20"/>
        </w:rPr>
        <w:t xml:space="preserve">Jurisdictions </w:t>
      </w:r>
    </w:p>
    <w:p w:rsidR="00000000" w:rsidRDefault="00485CCD">
      <w:pPr>
        <w:ind w:firstLine="720"/>
        <w:jc w:val="both"/>
        <w:divId w:val="1105534369"/>
        <w:rPr>
          <w:rFonts w:eastAsia="Times New Roman"/>
        </w:rPr>
      </w:pPr>
      <w:r>
        <w:rPr>
          <w:rFonts w:ascii="Arial" w:eastAsia="Times New Roman" w:hAnsi="Arial" w:cs="Arial"/>
          <w:color w:val="000000"/>
          <w:sz w:val="20"/>
          <w:szCs w:val="20"/>
        </w:rPr>
        <w:t xml:space="preserve">We conduct business in all 50 </w:t>
      </w:r>
      <w:r>
        <w:rPr>
          <w:rFonts w:ascii="Arial" w:eastAsia="Times New Roman" w:hAnsi="Arial" w:cs="Arial"/>
          <w:color w:val="000000"/>
          <w:sz w:val="20"/>
          <w:szCs w:val="20"/>
        </w:rPr>
        <w:t>states, significantly in California, Texas, and New York, as well as in various foreign jurisdictions. Our most significant income tax jurisdiction is the United States. Due to expired statutes and closed audits, our federal income tax returns for years pr</w:t>
      </w:r>
      <w:r>
        <w:rPr>
          <w:rFonts w:ascii="Arial" w:eastAsia="Times New Roman" w:hAnsi="Arial" w:cs="Arial"/>
          <w:color w:val="000000"/>
          <w:sz w:val="20"/>
          <w:szCs w:val="20"/>
        </w:rPr>
        <w:t>ior to fiscal 2018 are no longer subject to examination by the U.S. Internal Revenue Service. Generally, for the majority of state and foreign jurisdictions where we do business, periods prior to fiscal 2018 are no longer subject to examination. We are cur</w:t>
      </w:r>
      <w:r>
        <w:rPr>
          <w:rFonts w:ascii="Arial" w:eastAsia="Times New Roman" w:hAnsi="Arial" w:cs="Arial"/>
          <w:color w:val="000000"/>
          <w:sz w:val="20"/>
          <w:szCs w:val="20"/>
        </w:rPr>
        <w:t>rently being examined by the IRS and tax authorities of California, New York City, and Montana.</w:t>
      </w:r>
    </w:p>
    <w:p w:rsidR="00000000" w:rsidRDefault="00485CCD">
      <w:pPr>
        <w:jc w:val="center"/>
        <w:divId w:val="1135027739"/>
        <w:rPr>
          <w:rFonts w:eastAsia="Times New Roman"/>
        </w:rPr>
      </w:pPr>
      <w:r>
        <w:rPr>
          <w:rFonts w:ascii="Arial" w:eastAsia="Times New Roman" w:hAnsi="Arial" w:cs="Arial"/>
          <w:color w:val="000000"/>
          <w:sz w:val="20"/>
          <w:szCs w:val="20"/>
        </w:rPr>
        <w:t>90</w:t>
      </w:r>
    </w:p>
    <w:p w:rsidR="00000000" w:rsidRDefault="00485CCD">
      <w:pPr>
        <w:rPr>
          <w:rFonts w:eastAsia="Times New Roman"/>
        </w:rPr>
      </w:pPr>
      <w:r>
        <w:rPr>
          <w:rFonts w:eastAsia="Times New Roman"/>
        </w:rPr>
        <w:pict>
          <v:rect id="_x0000_i1127" style="width:0;height:1.5pt" o:hralign="center" o:hrstd="t" o:hr="t" fillcolor="#a0a0a0" stroked="f"/>
        </w:pict>
      </w:r>
    </w:p>
    <w:p w:rsidR="00000000" w:rsidRDefault="00485CCD">
      <w:pPr>
        <w:divId w:val="731779019"/>
        <w:rPr>
          <w:rFonts w:eastAsia="Times New Roman"/>
        </w:rPr>
      </w:pPr>
    </w:p>
    <w:p w:rsidR="00000000" w:rsidRDefault="00485CCD">
      <w:pPr>
        <w:divId w:val="611203149"/>
        <w:rPr>
          <w:rFonts w:eastAsia="Times New Roman"/>
        </w:rPr>
      </w:pPr>
      <w:r>
        <w:rPr>
          <w:rFonts w:ascii="Arial" w:eastAsia="Times New Roman" w:hAnsi="Arial" w:cs="Arial"/>
          <w:b/>
          <w:bCs/>
          <w:color w:val="0046AD"/>
          <w:sz w:val="20"/>
          <w:szCs w:val="20"/>
        </w:rPr>
        <w:t>17. SEGMENT AND GEOGRAPHIC INFORMATION</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971082748"/>
        </w:trPr>
        <w:tc>
          <w:tcPr>
            <w:tcW w:w="5" w:type="pct"/>
            <w:vAlign w:val="center"/>
            <w:hideMark/>
          </w:tcPr>
          <w:p w:rsidR="00000000" w:rsidRDefault="00485CCD">
            <w:pPr>
              <w:rPr>
                <w:rFonts w:eastAsia="Times New Roman"/>
              </w:rPr>
            </w:pPr>
          </w:p>
        </w:tc>
        <w:tc>
          <w:tcPr>
            <w:tcW w:w="12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7108274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1470169114"/>
        <w:rPr>
          <w:rFonts w:eastAsia="Times New Roman"/>
        </w:rPr>
      </w:pPr>
      <w:r>
        <w:rPr>
          <w:rFonts w:ascii="Arial" w:eastAsia="Times New Roman" w:hAnsi="Arial" w:cs="Arial"/>
          <w:b/>
          <w:bCs/>
          <w:color w:val="0046AD"/>
          <w:sz w:val="20"/>
          <w:szCs w:val="20"/>
        </w:rPr>
        <w:t>Segment Information</w:t>
      </w:r>
    </w:p>
    <w:p w:rsidR="00000000" w:rsidRDefault="00485CCD">
      <w:pPr>
        <w:ind w:firstLine="720"/>
        <w:jc w:val="both"/>
        <w:divId w:val="1782340124"/>
        <w:rPr>
          <w:rFonts w:eastAsia="Times New Roman"/>
        </w:rPr>
      </w:pPr>
      <w:r>
        <w:rPr>
          <w:rFonts w:ascii="Arial" w:eastAsia="Times New Roman" w:hAnsi="Arial" w:cs="Arial"/>
          <w:color w:val="000000"/>
          <w:sz w:val="20"/>
          <w:szCs w:val="20"/>
        </w:rPr>
        <w:t>Our current reportable segments consist of B&amp;I, T&amp;M, Education, Aviation, and Technical Solutions, as further described below. The newly acquired Able is integrated within our B&amp;I reportable segment.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322"/>
        <w:gridCol w:w="38"/>
        <w:gridCol w:w="68"/>
        <w:gridCol w:w="5759"/>
        <w:gridCol w:w="38"/>
      </w:tblGrid>
      <w:tr w:rsidR="00000000">
        <w:trPr>
          <w:divId w:val="1195970274"/>
          <w:jc w:val="center"/>
        </w:trPr>
        <w:tc>
          <w:tcPr>
            <w:tcW w:w="50" w:type="pct"/>
            <w:vAlign w:val="center"/>
            <w:hideMark/>
          </w:tcPr>
          <w:p w:rsidR="00000000" w:rsidRDefault="00485CCD">
            <w:pPr>
              <w:ind w:firstLine="720"/>
              <w:jc w:val="both"/>
              <w:rPr>
                <w:rFonts w:eastAsia="Times New Roman"/>
              </w:rPr>
            </w:pPr>
          </w:p>
        </w:tc>
        <w:tc>
          <w:tcPr>
            <w:tcW w:w="140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48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195970274"/>
          <w:jc w:val="center"/>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46AD"/>
                <w:sz w:val="20"/>
                <w:szCs w:val="20"/>
              </w:rPr>
              <w:t> REPORTABLE SEGMENTS AND DESCRIPTIONS</w:t>
            </w:r>
          </w:p>
        </w:tc>
      </w:tr>
      <w:tr w:rsidR="00000000">
        <w:trPr>
          <w:divId w:val="1195970274"/>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rPr>
                <w:rFonts w:eastAsia="Times New Roman"/>
              </w:rPr>
            </w:pPr>
            <w:r>
              <w:rPr>
                <w:rFonts w:ascii="Arial" w:eastAsia="Times New Roman" w:hAnsi="Arial" w:cs="Arial"/>
                <w:color w:val="000000"/>
                <w:sz w:val="20"/>
                <w:szCs w:val="20"/>
              </w:rPr>
              <w:t>B&amp;I, our largest reportable segment, encompasses janitorial, facilities services, and parking services for commercial real estate properties, sports and entertainment venues, and traditional hospitals and non-acute healthcare facilities. B&amp;I also provide</w:t>
            </w:r>
            <w:r>
              <w:rPr>
                <w:rFonts w:ascii="Arial" w:eastAsia="Times New Roman" w:hAnsi="Arial" w:cs="Arial"/>
                <w:color w:val="000000"/>
                <w:sz w:val="20"/>
                <w:szCs w:val="20"/>
              </w:rPr>
              <w:t>s vehicle maintenance and other services to rental car providers.</w:t>
            </w:r>
          </w:p>
        </w:tc>
      </w:tr>
      <w:tr w:rsidR="00000000">
        <w:trPr>
          <w:divId w:val="1195970274"/>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T&amp;M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2111198086"/>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provides janitorial, facilities services, and parking services to industrial and high-tech manufacturing facilities.</w:t>
            </w:r>
          </w:p>
        </w:tc>
      </w:tr>
      <w:tr w:rsidR="00000000">
        <w:trPr>
          <w:divId w:val="1195970274"/>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1657032555"/>
              <w:rPr>
                <w:rFonts w:eastAsia="Times New Roman"/>
              </w:rPr>
            </w:pPr>
            <w:r>
              <w:rPr>
                <w:rFonts w:ascii="Arial" w:eastAsia="Times New Roman" w:hAnsi="Arial" w:cs="Arial"/>
                <w:color w:val="000000"/>
                <w:sz w:val="20"/>
                <w:szCs w:val="20"/>
              </w:rPr>
              <w:t>Education delivers janitorial, custodial, landscaping and grounds, facilities engineering, and parking services for public</w:t>
            </w:r>
            <w:r>
              <w:rPr>
                <w:rFonts w:ascii="Arial" w:eastAsia="Times New Roman" w:hAnsi="Arial" w:cs="Arial"/>
                <w:color w:val="000000"/>
                <w:sz w:val="20"/>
                <w:szCs w:val="20"/>
              </w:rPr>
              <w:t xml:space="preserve"> school districts, private schools, colleges, and universities.</w:t>
            </w:r>
          </w:p>
        </w:tc>
      </w:tr>
      <w:tr w:rsidR="00000000">
        <w:trPr>
          <w:divId w:val="1195970274"/>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1239099222"/>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 maintenance, and transportation.</w:t>
            </w:r>
          </w:p>
        </w:tc>
      </w:tr>
      <w:tr w:rsidR="00000000">
        <w:trPr>
          <w:divId w:val="1195970274"/>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485CCD">
            <w:pPr>
              <w:jc w:val="center"/>
              <w:rPr>
                <w:rFonts w:eastAsia="Times New Roman"/>
              </w:rPr>
            </w:pPr>
            <w:r>
              <w:rPr>
                <w:rFonts w:ascii="Arial" w:eastAsia="Times New Roman" w:hAnsi="Arial" w:cs="Arial"/>
                <w:color w:val="000000"/>
                <w:sz w:val="20"/>
                <w:szCs w:val="20"/>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485CCD">
            <w:pPr>
              <w:jc w:val="both"/>
              <w:divId w:val="628433117"/>
              <w:rPr>
                <w:rFonts w:eastAsia="Times New Roman"/>
              </w:rPr>
            </w:pPr>
            <w:r>
              <w:rPr>
                <w:rFonts w:ascii="Arial" w:eastAsia="Times New Roman" w:hAnsi="Arial" w:cs="Arial"/>
                <w:color w:val="000000"/>
                <w:sz w:val="20"/>
                <w:szCs w:val="20"/>
              </w:rPr>
              <w:t>Technical Solutions specializes in mechanical and ele</w:t>
            </w:r>
            <w:r>
              <w:rPr>
                <w:rFonts w:ascii="Arial" w:eastAsia="Times New Roman" w:hAnsi="Arial" w:cs="Arial"/>
                <w:color w:val="000000"/>
                <w:sz w:val="20"/>
                <w:szCs w:val="20"/>
              </w:rPr>
              <w:t>ctrical services. These services can also be leveraged for cross-selling across all of our industry groups, both domestically and internationally.</w:t>
            </w:r>
          </w:p>
        </w:tc>
      </w:tr>
    </w:tbl>
    <w:p w:rsidR="00000000" w:rsidRDefault="00485CCD">
      <w:pPr>
        <w:ind w:firstLine="720"/>
        <w:jc w:val="both"/>
        <w:divId w:val="246498111"/>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tion technology costs, share-based compensation, certain legal costs and settlements, restructuring and related costs, certain actuarial adjustments to self-insurance reserves, and direct acquisition costs. Management does not review asset information by s</w:t>
      </w:r>
      <w:r>
        <w:rPr>
          <w:rFonts w:ascii="Arial" w:eastAsia="Times New Roman" w:hAnsi="Arial" w:cs="Arial"/>
          <w:color w:val="000000"/>
          <w:sz w:val="20"/>
          <w:szCs w:val="20"/>
        </w:rPr>
        <w:t xml:space="preserve">egment, therefore we do not present assets in this note. </w:t>
      </w:r>
    </w:p>
    <w:p w:rsidR="00000000" w:rsidRDefault="00485CCD">
      <w:pPr>
        <w:jc w:val="center"/>
        <w:divId w:val="1978489045"/>
        <w:rPr>
          <w:rFonts w:eastAsia="Times New Roman"/>
        </w:rPr>
      </w:pPr>
      <w:r>
        <w:rPr>
          <w:rFonts w:ascii="Arial" w:eastAsia="Times New Roman" w:hAnsi="Arial" w:cs="Arial"/>
          <w:color w:val="000000"/>
          <w:sz w:val="20"/>
          <w:szCs w:val="20"/>
        </w:rPr>
        <w:t>91</w:t>
      </w:r>
    </w:p>
    <w:p w:rsidR="00000000" w:rsidRDefault="00485CCD">
      <w:pPr>
        <w:rPr>
          <w:rFonts w:eastAsia="Times New Roman"/>
        </w:rPr>
      </w:pPr>
      <w:r>
        <w:rPr>
          <w:rFonts w:eastAsia="Times New Roman"/>
        </w:rPr>
        <w:pict>
          <v:rect id="_x0000_i1128" style="width:0;height:1.5pt" o:hralign="center" o:hrstd="t" o:hr="t" fillcolor="#a0a0a0" stroked="f"/>
        </w:pict>
      </w:r>
    </w:p>
    <w:p w:rsidR="00000000" w:rsidRDefault="00485CCD">
      <w:pPr>
        <w:divId w:val="1035538443"/>
        <w:rPr>
          <w:rFonts w:eastAsia="Times New Roman"/>
        </w:rPr>
      </w:pPr>
    </w:p>
    <w:p w:rsidR="00000000" w:rsidRDefault="00485CCD">
      <w:pPr>
        <w:divId w:val="1016465847"/>
        <w:rPr>
          <w:rFonts w:eastAsia="Times New Roman"/>
        </w:rPr>
      </w:pPr>
      <w:r>
        <w:rPr>
          <w:rFonts w:ascii="Arial" w:eastAsia="Times New Roman" w:hAnsi="Arial" w:cs="Arial"/>
          <w:b/>
          <w:bCs/>
          <w:i/>
          <w:iCs/>
          <w:color w:val="0046AD"/>
          <w:sz w:val="20"/>
          <w:szCs w:val="20"/>
        </w:rPr>
        <w:t>Financial Information by Reportable Segment    </w:t>
      </w:r>
    </w:p>
    <w:tbl>
      <w:tblPr>
        <w:tblW w:w="5000" w:type="pct"/>
        <w:tblCellMar>
          <w:top w:w="15" w:type="dxa"/>
          <w:left w:w="15" w:type="dxa"/>
          <w:bottom w:w="15" w:type="dxa"/>
          <w:right w:w="15" w:type="dxa"/>
        </w:tblCellMar>
        <w:tblLook w:val="04A0" w:firstRow="1" w:lastRow="0" w:firstColumn="1" w:lastColumn="0" w:noHBand="0" w:noVBand="1"/>
      </w:tblPr>
      <w:tblGrid>
        <w:gridCol w:w="40"/>
        <w:gridCol w:w="4645"/>
        <w:gridCol w:w="38"/>
        <w:gridCol w:w="132"/>
        <w:gridCol w:w="984"/>
        <w:gridCol w:w="36"/>
        <w:gridCol w:w="36"/>
        <w:gridCol w:w="36"/>
        <w:gridCol w:w="36"/>
        <w:gridCol w:w="132"/>
        <w:gridCol w:w="938"/>
        <w:gridCol w:w="36"/>
        <w:gridCol w:w="36"/>
        <w:gridCol w:w="36"/>
        <w:gridCol w:w="36"/>
        <w:gridCol w:w="132"/>
        <w:gridCol w:w="941"/>
        <w:gridCol w:w="36"/>
      </w:tblGrid>
      <w:tr w:rsidR="00000000">
        <w:trPr>
          <w:divId w:val="1005979311"/>
        </w:trPr>
        <w:tc>
          <w:tcPr>
            <w:tcW w:w="50" w:type="pct"/>
            <w:vAlign w:val="center"/>
            <w:hideMark/>
          </w:tcPr>
          <w:p w:rsidR="00000000" w:rsidRDefault="00485CCD">
            <w:pPr>
              <w:rPr>
                <w:rFonts w:eastAsia="Times New Roman"/>
              </w:rPr>
            </w:pPr>
          </w:p>
        </w:tc>
        <w:tc>
          <w:tcPr>
            <w:tcW w:w="28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005979311"/>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1005979311"/>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3,346.5 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3,157.8 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3,251.4 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987.1 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956.0 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917.0 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836.4 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808.8 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847.4 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668.8 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680.9 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1,017.3 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534.0 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506.6 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593.2 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(144.2)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(122.4)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(127.7)</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Operating profit</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 xml:space="preserve">Business &amp; </w:t>
            </w:r>
            <w:r>
              <w:rPr>
                <w:rFonts w:ascii="Arial" w:eastAsia="Times New Roman" w:hAnsi="Arial" w:cs="Arial"/>
                <w:color w:val="000000"/>
                <w:sz w:val="20"/>
                <w:szCs w:val="20"/>
              </w:rPr>
              <w:t>Industry</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253.7 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182.3 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103.8 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divId w:val="991521570"/>
              <w:rPr>
                <w:rFonts w:eastAsia="Times New Roman"/>
              </w:rPr>
            </w:pPr>
            <w:r>
              <w:rPr>
                <w:rFonts w:ascii="Arial" w:eastAsia="Times New Roman" w:hAnsi="Arial" w:cs="Arial"/>
                <w:color w:val="000000"/>
                <w:sz w:val="20"/>
                <w:szCs w:val="20"/>
              </w:rPr>
              <w:t>Educatio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(41.1)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divId w:val="276722582"/>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divId w:val="1797747941"/>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divId w:val="565842220"/>
              <w:rPr>
                <w:rFonts w:eastAsia="Times New Roman"/>
              </w:rPr>
            </w:pPr>
            <w:r>
              <w:rPr>
                <w:rFonts w:ascii="Arial" w:eastAsia="Times New Roman" w:hAnsi="Arial" w:cs="Arial"/>
                <w:color w:val="000000"/>
                <w:sz w:val="20"/>
                <w:szCs w:val="20"/>
              </w:rPr>
              <w:t>Corporat</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(374.6)</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(146.9)</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(159.0)</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0" w:type="dxa"/>
              <w:bottom w:w="30" w:type="dxa"/>
              <w:right w:w="20" w:type="dxa"/>
            </w:tcMar>
            <w:hideMark/>
          </w:tcPr>
          <w:p w:rsidR="00000000" w:rsidRDefault="00485CCD">
            <w:pPr>
              <w:ind w:hanging="180"/>
              <w:rPr>
                <w:rFonts w:eastAsia="Times New Roman"/>
              </w:rPr>
            </w:pPr>
            <w:r>
              <w:rPr>
                <w:rFonts w:ascii="Arial" w:eastAsia="Times New Roman" w:hAnsi="Arial" w:cs="Arial"/>
                <w:color w:val="000000"/>
                <w:sz w:val="20"/>
                <w:szCs w:val="20"/>
              </w:rPr>
              <w:t>Adjustment for income from unconsolidated affiliates, included in Aviation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0" w:type="dxa"/>
              <w:bottom w:w="30" w:type="dxa"/>
              <w:right w:w="20" w:type="dxa"/>
            </w:tcMar>
            <w:hideMark/>
          </w:tcPr>
          <w:p w:rsidR="00000000" w:rsidRDefault="00485CCD">
            <w:pPr>
              <w:ind w:hanging="180"/>
              <w:rPr>
                <w:rFonts w:eastAsia="Times New Roman"/>
              </w:rPr>
            </w:pPr>
            <w:r>
              <w:rPr>
                <w:rFonts w:ascii="Arial" w:eastAsia="Times New Roman" w:hAnsi="Arial" w:cs="Arial"/>
                <w:color w:val="000000"/>
                <w:sz w:val="20"/>
                <w:szCs w:val="20"/>
              </w:rPr>
              <w:t xml:space="preserve">Adjustment for tax deductions for energy efficient government </w:t>
            </w:r>
            <w:r>
              <w:rPr>
                <w:rFonts w:ascii="Arial" w:eastAsia="Times New Roman" w:hAnsi="Arial" w:cs="Arial"/>
                <w:color w:val="000000"/>
                <w:sz w:val="20"/>
                <w:szCs w:val="20"/>
              </w:rPr>
              <w:br/>
              <w:t>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(51.1)</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Income from continuing operations before income taxes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Height w:val="240"/>
        </w:trPr>
        <w:tc>
          <w:tcPr>
            <w:tcW w:w="0" w:type="auto"/>
            <w:gridSpan w:val="3"/>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Depreciation and amortization</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14.3 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33.8 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9.1 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10.6 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11.9 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vAlign w:val="center"/>
            <w:hideMark/>
          </w:tcPr>
          <w:p w:rsidR="00000000" w:rsidRDefault="00485CCD">
            <w:pPr>
              <w:jc w:val="right"/>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1005979311"/>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Corporate</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12.7 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13.9 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005979311"/>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107.4 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85168168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$99.3 million on goodwill during the year ended October 31, 2020.</w:t>
      </w:r>
    </w:p>
    <w:p w:rsidR="00000000" w:rsidRDefault="00485CCD">
      <w:pPr>
        <w:ind w:hanging="180"/>
        <w:jc w:val="both"/>
        <w:divId w:val="118162088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Reflects impairment charges totaling $61.1 million on goodwill and intangible assets during the year ended October 31, 2020.</w:t>
      </w:r>
    </w:p>
    <w:p w:rsidR="00000000" w:rsidRDefault="00485CCD">
      <w:pPr>
        <w:ind w:hanging="180"/>
        <w:jc w:val="both"/>
        <w:divId w:val="7811464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$12.4 million on goodwill and intangible assets during the year ended October 31, 2020.</w:t>
      </w:r>
    </w:p>
    <w:p w:rsidR="00000000" w:rsidRDefault="00485CCD">
      <w:pPr>
        <w:ind w:hanging="180"/>
        <w:jc w:val="both"/>
        <w:divId w:val="318309327"/>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Reflects accrued litigation settlement reserve totaling $142.9 million for the </w:t>
      </w:r>
      <w:r>
        <w:rPr>
          <w:rFonts w:ascii="Arial" w:eastAsia="Times New Roman" w:hAnsi="Arial" w:cs="Arial"/>
          <w:i/>
          <w:iCs/>
          <w:color w:val="000000"/>
          <w:sz w:val="18"/>
          <w:szCs w:val="18"/>
        </w:rPr>
        <w:t>Bucio</w:t>
      </w:r>
      <w:r>
        <w:rPr>
          <w:rFonts w:ascii="Arial" w:eastAsia="Times New Roman" w:hAnsi="Arial" w:cs="Arial"/>
          <w:color w:val="000000"/>
          <w:sz w:val="18"/>
          <w:szCs w:val="18"/>
        </w:rPr>
        <w:t xml:space="preserve"> case during the year ended October 31, 2021</w:t>
      </w:r>
    </w:p>
    <w:p w:rsidR="00000000" w:rsidRDefault="00485CCD">
      <w:pPr>
        <w:divId w:val="493765312"/>
        <w:rPr>
          <w:rFonts w:eastAsia="Times New Roman"/>
        </w:rPr>
      </w:pPr>
      <w:r>
        <w:rPr>
          <w:rFonts w:ascii="Arial" w:eastAsia="Times New Roman" w:hAnsi="Arial" w:cs="Arial"/>
          <w:b/>
          <w:bCs/>
          <w:color w:val="0046AD"/>
          <w:sz w:val="20"/>
          <w:szCs w:val="20"/>
        </w:rPr>
        <w:t>Geographic Information Based on the Country in Which the Sale Originate</w:t>
      </w:r>
      <w:r>
        <w:rPr>
          <w:rFonts w:ascii="Arial" w:eastAsia="Times New Roman" w:hAnsi="Arial" w:cs="Arial"/>
          <w:b/>
          <w:bCs/>
          <w:color w:val="0046AD"/>
          <w:sz w:val="20"/>
          <w:szCs w:val="20"/>
        </w:rPr>
        <w:t>d</w:t>
      </w:r>
      <w:r>
        <w:rPr>
          <w:rFonts w:ascii="Arial" w:eastAsia="Times New Roman" w:hAnsi="Arial" w:cs="Arial"/>
          <w:color w:val="0046AD"/>
          <w:sz w:val="12"/>
          <w:szCs w:val="12"/>
        </w:rPr>
        <w:t>(1</w:t>
      </w:r>
      <w:r>
        <w:rPr>
          <w:rFonts w:ascii="Arial" w:eastAsia="Times New Roman" w:hAnsi="Arial" w:cs="Arial"/>
          <w:color w:val="0046AD"/>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trPr>
          <w:divId w:val="2040086292"/>
        </w:trPr>
        <w:tc>
          <w:tcPr>
            <w:tcW w:w="50" w:type="pct"/>
            <w:vAlign w:val="center"/>
            <w:hideMark/>
          </w:tcPr>
          <w:p w:rsidR="00000000" w:rsidRDefault="00485CCD">
            <w:pPr>
              <w:rPr>
                <w:rFonts w:eastAsia="Times New Roman"/>
              </w:rPr>
            </w:pPr>
          </w:p>
        </w:tc>
        <w:tc>
          <w:tcPr>
            <w:tcW w:w="28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2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4008629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Years Ended October 31,</w:t>
            </w:r>
          </w:p>
        </w:tc>
      </w:tr>
      <w:tr w:rsidR="00000000">
        <w:trPr>
          <w:divId w:val="2040086292"/>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2019</w:t>
            </w:r>
          </w:p>
        </w:tc>
      </w:tr>
      <w:tr w:rsidR="00000000">
        <w:trPr>
          <w:divId w:val="204008629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2040086292"/>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5,847.8 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5,625.1 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6,025.2 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40086292"/>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All other countries</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380.8 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362.5 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473.3 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2040086292"/>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jc w:val="both"/>
        <w:divId w:val="194572800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Substantially all of our long-lived assets are related to United States operations.</w:t>
      </w:r>
    </w:p>
    <w:p w:rsidR="00000000" w:rsidRDefault="00485CCD">
      <w:pPr>
        <w:jc w:val="center"/>
        <w:divId w:val="461194114"/>
        <w:rPr>
          <w:rFonts w:eastAsia="Times New Roman"/>
        </w:rPr>
      </w:pPr>
      <w:r>
        <w:rPr>
          <w:rFonts w:ascii="Arial" w:eastAsia="Times New Roman" w:hAnsi="Arial" w:cs="Arial"/>
          <w:color w:val="000000"/>
          <w:sz w:val="20"/>
          <w:szCs w:val="20"/>
        </w:rPr>
        <w:t>92</w:t>
      </w:r>
    </w:p>
    <w:p w:rsidR="00000000" w:rsidRDefault="00485CCD">
      <w:pPr>
        <w:rPr>
          <w:rFonts w:eastAsia="Times New Roman"/>
        </w:rPr>
      </w:pPr>
      <w:r>
        <w:rPr>
          <w:rFonts w:eastAsia="Times New Roman"/>
        </w:rPr>
        <w:pict>
          <v:rect id="_x0000_i1129" style="width:0;height:1.5pt" o:hralign="center" o:hrstd="t" o:hr="t" fillcolor="#a0a0a0" stroked="f"/>
        </w:pict>
      </w:r>
    </w:p>
    <w:p w:rsidR="00000000" w:rsidRDefault="00485CCD">
      <w:pPr>
        <w:divId w:val="61677749"/>
        <w:rPr>
          <w:rFonts w:eastAsia="Times New Roman"/>
        </w:rPr>
      </w:pPr>
    </w:p>
    <w:p w:rsidR="00000000" w:rsidRDefault="00485CCD">
      <w:pPr>
        <w:divId w:val="1713650759"/>
        <w:rPr>
          <w:rFonts w:eastAsia="Times New Roman"/>
        </w:rPr>
      </w:pPr>
      <w:r>
        <w:rPr>
          <w:rFonts w:ascii="Arial" w:eastAsia="Times New Roman" w:hAnsi="Arial" w:cs="Arial"/>
          <w:b/>
          <w:bCs/>
          <w:color w:val="0046AD"/>
          <w:sz w:val="20"/>
          <w:szCs w:val="20"/>
        </w:rPr>
        <w:t>18. SUBSEQUENT EVENTS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trPr>
          <w:divId w:val="2028866542"/>
        </w:trPr>
        <w:tc>
          <w:tcPr>
            <w:tcW w:w="5" w:type="pct"/>
            <w:vAlign w:val="center"/>
            <w:hideMark/>
          </w:tcPr>
          <w:p w:rsidR="00000000" w:rsidRDefault="00485CCD">
            <w:pPr>
              <w:rPr>
                <w:rFonts w:eastAsia="Times New Roman"/>
              </w:rPr>
            </w:pPr>
          </w:p>
        </w:tc>
        <w:tc>
          <w:tcPr>
            <w:tcW w:w="1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80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28866542"/>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ind w:firstLine="720"/>
        <w:jc w:val="both"/>
        <w:divId w:val="869606625"/>
        <w:rPr>
          <w:rFonts w:eastAsia="Times New Roman"/>
        </w:rPr>
      </w:pPr>
      <w:r>
        <w:rPr>
          <w:rFonts w:ascii="Arial" w:eastAsia="Times New Roman" w:hAnsi="Arial" w:cs="Arial"/>
          <w:color w:val="000000"/>
          <w:sz w:val="20"/>
          <w:szCs w:val="20"/>
        </w:rPr>
        <w:t>Our strategic transformation under</w:t>
      </w:r>
      <w:r>
        <w:rPr>
          <w:rFonts w:ascii="Arial" w:eastAsia="Times New Roman" w:hAnsi="Arial" w:cs="Arial"/>
          <w:b/>
          <w:bCs/>
          <w:color w:val="E98300"/>
          <w:sz w:val="20"/>
          <w:szCs w:val="20"/>
        </w:rPr>
        <w:t xml:space="preserve"> ELEVATE</w:t>
      </w:r>
      <w:r>
        <w:rPr>
          <w:rFonts w:ascii="Arial" w:eastAsia="Times New Roman" w:hAnsi="Arial" w:cs="Arial"/>
          <w:color w:val="000000"/>
          <w:sz w:val="20"/>
          <w:szCs w:val="20"/>
        </w:rPr>
        <w:t xml:space="preserve"> </w:t>
      </w:r>
      <w:r>
        <w:rPr>
          <w:rFonts w:ascii="Arial" w:eastAsia="Times New Roman" w:hAnsi="Arial" w:cs="Arial"/>
          <w:color w:val="000000"/>
          <w:sz w:val="20"/>
          <w:szCs w:val="20"/>
        </w:rPr>
        <w:t>will result in changes to our reportable segments in fiscal year 2022. To align the Company’s operations with the new strategic initiative, the Manufacturing &amp; Distribution (“M&amp;D”) industry group will be created, replacing T&amp;M. As part of our focus to bett</w:t>
      </w:r>
      <w:r>
        <w:rPr>
          <w:rFonts w:ascii="Arial" w:eastAsia="Times New Roman" w:hAnsi="Arial" w:cs="Arial"/>
          <w:color w:val="000000"/>
          <w:sz w:val="20"/>
          <w:szCs w:val="20"/>
        </w:rPr>
        <w:t>er serve our manufacturing and distribution clients, M&amp;D will maintain our large manufacturing clients and add clients in the distribution sector from B&amp;I. In addition, technology clients served by T&amp;M will shift into B&amp;I. This organizational structure cha</w:t>
      </w:r>
      <w:r>
        <w:rPr>
          <w:rFonts w:ascii="Arial" w:eastAsia="Times New Roman" w:hAnsi="Arial" w:cs="Arial"/>
          <w:color w:val="000000"/>
          <w:sz w:val="20"/>
          <w:szCs w:val="20"/>
        </w:rPr>
        <w:t xml:space="preserve">nge was effective as of November 1, 2021. We will begin reporting our results under the new reportable segment of M&amp;D beginning in the first quarter of fiscal year 2022. </w:t>
      </w:r>
    </w:p>
    <w:p w:rsidR="00000000" w:rsidRDefault="00485CCD">
      <w:pPr>
        <w:divId w:val="1279066833"/>
        <w:rPr>
          <w:rFonts w:eastAsia="Times New Roman"/>
        </w:rPr>
      </w:pPr>
    </w:p>
    <w:p w:rsidR="00000000" w:rsidRDefault="00485CCD">
      <w:pPr>
        <w:jc w:val="center"/>
        <w:divId w:val="603153145"/>
        <w:rPr>
          <w:rFonts w:eastAsia="Times New Roman"/>
        </w:rPr>
      </w:pPr>
      <w:r>
        <w:rPr>
          <w:rFonts w:ascii="Arial" w:eastAsia="Times New Roman" w:hAnsi="Arial" w:cs="Arial"/>
          <w:color w:val="000000"/>
          <w:sz w:val="20"/>
          <w:szCs w:val="20"/>
        </w:rPr>
        <w:t>93</w:t>
      </w:r>
    </w:p>
    <w:p w:rsidR="00000000" w:rsidRDefault="00485CCD">
      <w:pPr>
        <w:rPr>
          <w:rFonts w:eastAsia="Times New Roman"/>
        </w:rPr>
      </w:pPr>
      <w:r>
        <w:rPr>
          <w:rFonts w:eastAsia="Times New Roman"/>
        </w:rPr>
        <w:pict>
          <v:rect id="_x0000_i1130" style="width:0;height:1.5pt" o:hralign="center" o:hrstd="t" o:hr="t" fillcolor="#a0a0a0" stroked="f"/>
        </w:pict>
      </w:r>
    </w:p>
    <w:p w:rsidR="00000000" w:rsidRDefault="00485CCD">
      <w:pPr>
        <w:divId w:val="1022509246"/>
        <w:rPr>
          <w:rFonts w:eastAsia="Times New Roman"/>
        </w:rPr>
      </w:pPr>
    </w:p>
    <w:p w:rsidR="00000000" w:rsidRDefault="00485CCD">
      <w:pPr>
        <w:divId w:val="2140221879"/>
        <w:rPr>
          <w:rFonts w:eastAsia="Times New Roman"/>
        </w:rPr>
      </w:pPr>
      <w:r>
        <w:rPr>
          <w:rFonts w:ascii="Arial" w:eastAsia="Times New Roman" w:hAnsi="Arial" w:cs="Arial"/>
          <w:b/>
          <w:bCs/>
          <w:color w:val="0046AD"/>
          <w:sz w:val="20"/>
          <w:szCs w:val="20"/>
        </w:rPr>
        <w:t xml:space="preserve">ITEM 9. CHANGES IN AND DISAGREEMENTS WITH </w:t>
      </w:r>
      <w:r>
        <w:rPr>
          <w:rFonts w:ascii="Arial" w:eastAsia="Times New Roman" w:hAnsi="Arial" w:cs="Arial"/>
          <w:b/>
          <w:bCs/>
          <w:color w:val="0046AD"/>
          <w:sz w:val="20"/>
          <w:szCs w:val="20"/>
        </w:rPr>
        <w:t>ACCOUNTANTS ON ACCOUNTING AND FINANCIAL DISCLOSURE.</w:t>
      </w:r>
    </w:p>
    <w:p w:rsidR="00000000" w:rsidRDefault="00485CCD">
      <w:pPr>
        <w:divId w:val="1551377075"/>
        <w:rPr>
          <w:rFonts w:eastAsia="Times New Roman"/>
        </w:rPr>
      </w:pPr>
      <w:r>
        <w:rPr>
          <w:rFonts w:ascii="Arial" w:eastAsia="Times New Roman" w:hAnsi="Arial" w:cs="Arial"/>
          <w:color w:val="000000"/>
          <w:sz w:val="20"/>
          <w:szCs w:val="20"/>
        </w:rPr>
        <w:t>None.</w:t>
      </w:r>
    </w:p>
    <w:p w:rsidR="00000000" w:rsidRDefault="00485CCD">
      <w:pPr>
        <w:divId w:val="1175919224"/>
        <w:rPr>
          <w:rFonts w:eastAsia="Times New Roman"/>
        </w:rPr>
      </w:pPr>
      <w:r>
        <w:rPr>
          <w:rFonts w:ascii="Arial" w:eastAsia="Times New Roman" w:hAnsi="Arial" w:cs="Arial"/>
          <w:b/>
          <w:bCs/>
          <w:color w:val="0046AD"/>
          <w:sz w:val="20"/>
          <w:szCs w:val="20"/>
        </w:rPr>
        <w:t>ITEM 9A. CONTROLS AND PROCEDURES.</w:t>
      </w:r>
    </w:p>
    <w:p w:rsidR="00000000" w:rsidRDefault="00485CCD">
      <w:pPr>
        <w:jc w:val="both"/>
        <w:divId w:val="1968705234"/>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485CCD">
      <w:pPr>
        <w:ind w:firstLine="720"/>
        <w:jc w:val="both"/>
        <w:divId w:val="211118424"/>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w:t>
      </w:r>
      <w:r>
        <w:rPr>
          <w:rFonts w:ascii="Arial" w:eastAsia="Times New Roman" w:hAnsi="Arial" w:cs="Arial"/>
          <w:color w:val="000000"/>
          <w:sz w:val="20"/>
          <w:szCs w:val="20"/>
        </w:rPr>
        <w:t>d our disclosure controls and procedures, as such term is defined in Rules 13a-15(e) and 15d-15(e) of the Exchange Act. Based upon that evaluation, our Principal Executive Officer and Principal Financial Officer concluded that as of the end of the period c</w:t>
      </w:r>
      <w:r>
        <w:rPr>
          <w:rFonts w:ascii="Arial" w:eastAsia="Times New Roman" w:hAnsi="Arial" w:cs="Arial"/>
          <w:color w:val="000000"/>
          <w:sz w:val="20"/>
          <w:szCs w:val="20"/>
        </w:rPr>
        <w:t xml:space="preserve">overed by this report, our disclosure controls and procedures were effective to ensure that information required to be disclosed by us in reports we file or submit under the Exchange Act is (1) recorded, processed, summarized, and reported within the time </w:t>
      </w:r>
      <w:r>
        <w:rPr>
          <w:rFonts w:ascii="Arial" w:eastAsia="Times New Roman" w:hAnsi="Arial" w:cs="Arial"/>
          <w:color w:val="000000"/>
          <w:sz w:val="20"/>
          <w:szCs w:val="20"/>
        </w:rPr>
        <w:t>periods specified in the rules and forms of the Securities and Exchange Commission and (2) accumulated and communicated to our management, including our Principal Executive Officer and Principal Financial Officer, to allow timely decisions regarding requir</w:t>
      </w:r>
      <w:r>
        <w:rPr>
          <w:rFonts w:ascii="Arial" w:eastAsia="Times New Roman" w:hAnsi="Arial" w:cs="Arial"/>
          <w:color w:val="000000"/>
          <w:sz w:val="20"/>
          <w:szCs w:val="20"/>
        </w:rPr>
        <w:t xml:space="preserve">ed disclosure. </w:t>
      </w:r>
    </w:p>
    <w:p w:rsidR="00000000" w:rsidRDefault="00485CCD">
      <w:pPr>
        <w:jc w:val="both"/>
        <w:divId w:val="1900744031"/>
        <w:rPr>
          <w:rFonts w:eastAsia="Times New Roman"/>
        </w:rPr>
      </w:pPr>
      <w:r>
        <w:rPr>
          <w:rFonts w:ascii="Arial" w:eastAsia="Times New Roman" w:hAnsi="Arial" w:cs="Arial"/>
          <w:b/>
          <w:bCs/>
          <w:color w:val="0046AD"/>
          <w:sz w:val="20"/>
          <w:szCs w:val="20"/>
        </w:rPr>
        <w:t>b. Management’s Report on Internal Control Over Financial Reporting.</w:t>
      </w:r>
      <w:r>
        <w:rPr>
          <w:rFonts w:ascii="Arial" w:eastAsia="Times New Roman" w:hAnsi="Arial" w:cs="Arial"/>
          <w:color w:val="0046AD"/>
          <w:sz w:val="20"/>
          <w:szCs w:val="20"/>
        </w:rPr>
        <w:t xml:space="preserve"> </w:t>
      </w:r>
    </w:p>
    <w:p w:rsidR="00000000" w:rsidRDefault="00485CCD">
      <w:pPr>
        <w:ind w:firstLine="720"/>
        <w:jc w:val="both"/>
        <w:divId w:val="204173396"/>
        <w:rPr>
          <w:rFonts w:eastAsia="Times New Roman"/>
        </w:rPr>
      </w:pPr>
      <w:r>
        <w:rPr>
          <w:rFonts w:ascii="Arial" w:eastAsia="Times New Roman" w:hAnsi="Arial" w:cs="Arial"/>
          <w:color w:val="000000"/>
          <w:sz w:val="20"/>
          <w:szCs w:val="20"/>
        </w:rPr>
        <w:t>Our management is responsible for establishing and maintaining adequate internal control over financial reporting, as such term is defined in Rules 13a-15(f) and 15d-15(f</w:t>
      </w:r>
      <w:r>
        <w:rPr>
          <w:rFonts w:ascii="Arial" w:eastAsia="Times New Roman" w:hAnsi="Arial" w:cs="Arial"/>
          <w:color w:val="000000"/>
          <w:sz w:val="20"/>
          <w:szCs w:val="20"/>
        </w:rPr>
        <w:t>) of the Exchange Act. Under the supervision and with the participation of our management, including our Principal Executive Officer and Principal Financial Officer, we conducted an evaluation of the effectiveness of our internal control over financial rep</w:t>
      </w:r>
      <w:r>
        <w:rPr>
          <w:rFonts w:ascii="Arial" w:eastAsia="Times New Roman" w:hAnsi="Arial" w:cs="Arial"/>
          <w:color w:val="000000"/>
          <w:sz w:val="20"/>
          <w:szCs w:val="20"/>
        </w:rPr>
        <w:t>orting based upon the framework in Internal Control – Integrated Framework (2013), issued by the Committee of Sponsoring Organizations of the Treadway Commission. Based on that evaluation, our management concluded that our internal control over financial r</w:t>
      </w:r>
      <w:r>
        <w:rPr>
          <w:rFonts w:ascii="Arial" w:eastAsia="Times New Roman" w:hAnsi="Arial" w:cs="Arial"/>
          <w:color w:val="000000"/>
          <w:sz w:val="20"/>
          <w:szCs w:val="20"/>
        </w:rPr>
        <w:t>eporting was effective as of October 31, 2021.</w:t>
      </w:r>
    </w:p>
    <w:p w:rsidR="00000000" w:rsidRDefault="00485CCD">
      <w:pPr>
        <w:ind w:firstLine="720"/>
        <w:jc w:val="both"/>
        <w:divId w:val="1967009670"/>
        <w:rPr>
          <w:rFonts w:eastAsia="Times New Roman"/>
        </w:rPr>
      </w:pPr>
      <w:r>
        <w:rPr>
          <w:rFonts w:ascii="Arial" w:eastAsia="Times New Roman" w:hAnsi="Arial" w:cs="Arial"/>
          <w:color w:val="000000"/>
          <w:sz w:val="20"/>
          <w:szCs w:val="20"/>
        </w:rPr>
        <w:t>The Company acquired Able on September 30, 2021. Management excluded Able from its assessment of the effectiveness of the Company’s internal control over financial reporting as of October 31, 2021. Able repres</w:t>
      </w:r>
      <w:r>
        <w:rPr>
          <w:rFonts w:ascii="Arial" w:eastAsia="Times New Roman" w:hAnsi="Arial" w:cs="Arial"/>
          <w:color w:val="000000"/>
          <w:sz w:val="20"/>
          <w:szCs w:val="20"/>
        </w:rPr>
        <w:t xml:space="preserve">ented approximately 4.4% of the Company’s total consolidated assets (excluding goodwill and intangibles, which are included within the scope of the assessment) and 1.6% of total consolidated revenues, as of and for the year ended October 31, 2021. </w:t>
      </w:r>
    </w:p>
    <w:p w:rsidR="00000000" w:rsidRDefault="00485CCD">
      <w:pPr>
        <w:jc w:val="both"/>
        <w:divId w:val="953944928"/>
        <w:rPr>
          <w:rFonts w:eastAsia="Times New Roman"/>
        </w:rPr>
      </w:pPr>
      <w:r>
        <w:rPr>
          <w:rFonts w:ascii="Arial" w:eastAsia="Times New Roman" w:hAnsi="Arial" w:cs="Arial"/>
          <w:b/>
          <w:bCs/>
          <w:i/>
          <w:iCs/>
          <w:color w:val="0046AD"/>
          <w:sz w:val="20"/>
          <w:szCs w:val="20"/>
        </w:rPr>
        <w:t>Audit R</w:t>
      </w:r>
      <w:r>
        <w:rPr>
          <w:rFonts w:ascii="Arial" w:eastAsia="Times New Roman" w:hAnsi="Arial" w:cs="Arial"/>
          <w:b/>
          <w:bCs/>
          <w:i/>
          <w:iCs/>
          <w:color w:val="0046AD"/>
          <w:sz w:val="20"/>
          <w:szCs w:val="20"/>
        </w:rPr>
        <w:t>eport on Internal Controls over Financial Reporting of the Registered Public Accounting Firm</w:t>
      </w:r>
    </w:p>
    <w:p w:rsidR="00000000" w:rsidRDefault="00485CCD">
      <w:pPr>
        <w:ind w:firstLine="720"/>
        <w:jc w:val="both"/>
        <w:divId w:val="2092772883"/>
        <w:rPr>
          <w:rFonts w:eastAsia="Times New Roman"/>
        </w:rPr>
      </w:pPr>
      <w:r>
        <w:rPr>
          <w:rFonts w:ascii="Arial" w:eastAsia="Times New Roman" w:hAnsi="Arial" w:cs="Arial"/>
          <w:color w:val="000000"/>
          <w:sz w:val="20"/>
          <w:szCs w:val="20"/>
        </w:rPr>
        <w:t>KPMG LLP, an independent registered public accounting firm, has audited the consolidated financial statements included in this Annual Report on Form 10-K and, as p</w:t>
      </w:r>
      <w:r>
        <w:rPr>
          <w:rFonts w:ascii="Arial" w:eastAsia="Times New Roman" w:hAnsi="Arial" w:cs="Arial"/>
          <w:color w:val="000000"/>
          <w:sz w:val="20"/>
          <w:szCs w:val="20"/>
        </w:rPr>
        <w:t>art of their audit, has issued their report, included herein, on the effectiveness of our internal control over financial reporting.</w:t>
      </w:r>
    </w:p>
    <w:p w:rsidR="00000000" w:rsidRDefault="00485CCD">
      <w:pPr>
        <w:jc w:val="both"/>
        <w:divId w:val="771246074"/>
        <w:rPr>
          <w:rFonts w:eastAsia="Times New Roman"/>
        </w:rPr>
      </w:pPr>
      <w:r>
        <w:rPr>
          <w:rFonts w:ascii="Arial" w:eastAsia="Times New Roman" w:hAnsi="Arial" w:cs="Arial"/>
          <w:b/>
          <w:bCs/>
          <w:color w:val="0046AD"/>
          <w:sz w:val="20"/>
          <w:szCs w:val="20"/>
        </w:rPr>
        <w:t>c. Changes in Internal Control Over Financial Reporting.</w:t>
      </w:r>
      <w:r>
        <w:rPr>
          <w:rFonts w:ascii="Arial" w:eastAsia="Times New Roman" w:hAnsi="Arial" w:cs="Arial"/>
          <w:color w:val="0046AD"/>
          <w:sz w:val="20"/>
          <w:szCs w:val="20"/>
        </w:rPr>
        <w:t xml:space="preserve"> </w:t>
      </w:r>
    </w:p>
    <w:p w:rsidR="00000000" w:rsidRDefault="00485CCD">
      <w:pPr>
        <w:ind w:firstLine="720"/>
        <w:jc w:val="both"/>
        <w:divId w:val="1498615489"/>
        <w:rPr>
          <w:rFonts w:eastAsia="Times New Roman"/>
        </w:rPr>
      </w:pPr>
      <w:r>
        <w:rPr>
          <w:rFonts w:ascii="Arial" w:eastAsia="Times New Roman" w:hAnsi="Arial" w:cs="Arial"/>
          <w:color w:val="000000"/>
          <w:sz w:val="20"/>
          <w:szCs w:val="20"/>
        </w:rPr>
        <w:t>To support the growth of our financial shared service capabilities and standardize our financial systems, we continue to update several key platforms, including our HR information systems, enterprise resource planning system, and labor management system. T</w:t>
      </w:r>
      <w:r>
        <w:rPr>
          <w:rFonts w:ascii="Arial" w:eastAsia="Times New Roman" w:hAnsi="Arial" w:cs="Arial"/>
          <w:color w:val="000000"/>
          <w:sz w:val="20"/>
          <w:szCs w:val="20"/>
        </w:rPr>
        <w:t>he implementation of several key platforms involves changes in the systems that include internal controls. Although some of the transitions have proceeded to date without material adverse effects, the possibility exists that they could adversely affect our</w:t>
      </w:r>
      <w:r>
        <w:rPr>
          <w:rFonts w:ascii="Arial" w:eastAsia="Times New Roman" w:hAnsi="Arial" w:cs="Arial"/>
          <w:color w:val="000000"/>
          <w:sz w:val="20"/>
          <w:szCs w:val="20"/>
        </w:rPr>
        <w:t xml:space="preserve"> internal controls over financial reporting and procedures. </w:t>
      </w:r>
    </w:p>
    <w:p w:rsidR="00000000" w:rsidRDefault="00485CCD">
      <w:pPr>
        <w:ind w:firstLine="720"/>
        <w:jc w:val="both"/>
        <w:divId w:val="471410362"/>
        <w:rPr>
          <w:rFonts w:eastAsia="Times New Roman"/>
        </w:rPr>
      </w:pPr>
      <w:r>
        <w:rPr>
          <w:rFonts w:ascii="Arial" w:eastAsia="Times New Roman" w:hAnsi="Arial" w:cs="Arial"/>
          <w:color w:val="000000"/>
          <w:sz w:val="20"/>
          <w:szCs w:val="20"/>
        </w:rPr>
        <w:t xml:space="preserve">There were no other changes in our internal control over financial reporting during the fiscal year 2021 identified in connection with the evaluation required by Rules 13a-15(d) and 15d-15(d) of </w:t>
      </w:r>
      <w:r>
        <w:rPr>
          <w:rFonts w:ascii="Arial" w:eastAsia="Times New Roman" w:hAnsi="Arial" w:cs="Arial"/>
          <w:color w:val="000000"/>
          <w:sz w:val="20"/>
          <w:szCs w:val="20"/>
        </w:rPr>
        <w:t>the Exchange Act that has materially affected, or is reasonably likely to materially affect, our internal control over financial reporting. As a result of the Pandemic, many of our office-based employees began working remotely in March 2020. This change to</w:t>
      </w:r>
      <w:r>
        <w:rPr>
          <w:rFonts w:ascii="Arial" w:eastAsia="Times New Roman" w:hAnsi="Arial" w:cs="Arial"/>
          <w:color w:val="000000"/>
          <w:sz w:val="20"/>
          <w:szCs w:val="20"/>
        </w:rPr>
        <w:t xml:space="preserve"> the working environment did not have a material effect on our internal controls over financial reporting during the fiscal year 2021. We are continually monitoring and assessing the impact of the Pandemic and the resulting changes to our working environme</w:t>
      </w:r>
      <w:r>
        <w:rPr>
          <w:rFonts w:ascii="Arial" w:eastAsia="Times New Roman" w:hAnsi="Arial" w:cs="Arial"/>
          <w:color w:val="000000"/>
          <w:sz w:val="20"/>
          <w:szCs w:val="20"/>
        </w:rPr>
        <w:t>nt on our internal controls over financial reporting.</w:t>
      </w:r>
    </w:p>
    <w:p w:rsidR="00000000" w:rsidRDefault="00485CCD">
      <w:pPr>
        <w:jc w:val="center"/>
        <w:divId w:val="795680055"/>
        <w:rPr>
          <w:rFonts w:eastAsia="Times New Roman"/>
        </w:rPr>
      </w:pPr>
      <w:r>
        <w:rPr>
          <w:rFonts w:ascii="Arial" w:eastAsia="Times New Roman" w:hAnsi="Arial" w:cs="Arial"/>
          <w:color w:val="000000"/>
          <w:sz w:val="20"/>
          <w:szCs w:val="20"/>
        </w:rPr>
        <w:t>94</w:t>
      </w:r>
    </w:p>
    <w:p w:rsidR="00000000" w:rsidRDefault="00485CCD">
      <w:pPr>
        <w:rPr>
          <w:rFonts w:eastAsia="Times New Roman"/>
        </w:rPr>
      </w:pPr>
      <w:r>
        <w:rPr>
          <w:rFonts w:eastAsia="Times New Roman"/>
        </w:rPr>
        <w:pict>
          <v:rect id="_x0000_i1131" style="width:0;height:1.5pt" o:hralign="center" o:hrstd="t" o:hr="t" fillcolor="#a0a0a0" stroked="f"/>
        </w:pict>
      </w:r>
    </w:p>
    <w:p w:rsidR="00000000" w:rsidRDefault="00485CCD">
      <w:pPr>
        <w:divId w:val="1223563685"/>
        <w:rPr>
          <w:rFonts w:eastAsia="Times New Roman"/>
        </w:rPr>
      </w:pPr>
    </w:p>
    <w:p w:rsidR="00000000" w:rsidRDefault="00485CCD">
      <w:pPr>
        <w:divId w:val="57292025"/>
        <w:rPr>
          <w:rFonts w:eastAsia="Times New Roman"/>
        </w:rPr>
      </w:pPr>
      <w:r>
        <w:rPr>
          <w:rFonts w:ascii="Arial" w:eastAsia="Times New Roman" w:hAnsi="Arial" w:cs="Arial"/>
          <w:b/>
          <w:bCs/>
          <w:color w:val="0046AD"/>
          <w:sz w:val="20"/>
          <w:szCs w:val="20"/>
        </w:rPr>
        <w:t>ITEM 9B. OTHER INFORMATION.</w:t>
      </w:r>
    </w:p>
    <w:p w:rsidR="00000000" w:rsidRDefault="00485CCD">
      <w:pPr>
        <w:divId w:val="1310354985"/>
        <w:rPr>
          <w:rFonts w:eastAsia="Times New Roman"/>
        </w:rPr>
      </w:pPr>
      <w:r>
        <w:rPr>
          <w:rFonts w:ascii="Arial" w:eastAsia="Times New Roman" w:hAnsi="Arial" w:cs="Arial"/>
          <w:b/>
          <w:bCs/>
          <w:color w:val="0046AD"/>
          <w:sz w:val="20"/>
          <w:szCs w:val="20"/>
        </w:rPr>
        <w:t>Disclosure Pursuant to Section 219 of the Iran Threat Reduction and Syria Human Rights Act</w:t>
      </w:r>
    </w:p>
    <w:p w:rsidR="00000000" w:rsidRDefault="00485CCD">
      <w:pPr>
        <w:ind w:firstLine="720"/>
        <w:jc w:val="both"/>
        <w:divId w:val="1407919838"/>
        <w:rPr>
          <w:rFonts w:eastAsia="Times New Roman"/>
        </w:rPr>
      </w:pPr>
      <w:r>
        <w:rPr>
          <w:rFonts w:ascii="Arial" w:eastAsia="Times New Roman" w:hAnsi="Arial" w:cs="Arial"/>
          <w:color w:val="000000"/>
          <w:sz w:val="20"/>
          <w:szCs w:val="20"/>
        </w:rPr>
        <w:t>Section 219 of the Iran Threat Reduction and Syria Human Rights Act of 2012 (“ITRA”), effective Aug</w:t>
      </w:r>
      <w:r>
        <w:rPr>
          <w:rFonts w:ascii="Arial" w:eastAsia="Times New Roman" w:hAnsi="Arial" w:cs="Arial"/>
          <w:color w:val="000000"/>
          <w:sz w:val="20"/>
          <w:szCs w:val="20"/>
        </w:rPr>
        <w:t>ust 10, 2012, added a new subsection (r) to Section 13 of the Exchange Act, which requires issuers that file periodic reports with the SEC to disclose in their annual and quarterly reports whether, during the reporting period, they or any of their “affilia</w:t>
      </w:r>
      <w:r>
        <w:rPr>
          <w:rFonts w:ascii="Arial" w:eastAsia="Times New Roman" w:hAnsi="Arial" w:cs="Arial"/>
          <w:color w:val="000000"/>
          <w:sz w:val="20"/>
          <w:szCs w:val="20"/>
        </w:rPr>
        <w:t>tes” (as defined in Rule 12b-2 under the Exchange Act) have knowingly engaged in specified activities or transactions relating to Iran, including activities not prohibited by U.S. law and conducted outside the United States by non-U.S. affiliates in compli</w:t>
      </w:r>
      <w:r>
        <w:rPr>
          <w:rFonts w:ascii="Arial" w:eastAsia="Times New Roman" w:hAnsi="Arial" w:cs="Arial"/>
          <w:color w:val="000000"/>
          <w:sz w:val="20"/>
          <w:szCs w:val="20"/>
        </w:rPr>
        <w:t>ance with applicable laws. Issuers must also file a notice with the SEC if any disclosable activity under ITRA has been included in an annual or quarterly report.</w:t>
      </w:r>
    </w:p>
    <w:p w:rsidR="00000000" w:rsidRDefault="00485CCD">
      <w:pPr>
        <w:ind w:firstLine="720"/>
        <w:jc w:val="both"/>
        <w:divId w:val="529758555"/>
        <w:rPr>
          <w:rFonts w:eastAsia="Times New Roman"/>
        </w:rPr>
      </w:pPr>
      <w:r>
        <w:rPr>
          <w:rFonts w:ascii="Arial" w:eastAsia="Times New Roman" w:hAnsi="Arial" w:cs="Arial"/>
          <w:color w:val="000000"/>
          <w:sz w:val="20"/>
          <w:szCs w:val="20"/>
        </w:rPr>
        <w:t>The Company recently discovered that one of its U.K. subsidiaries had been providing aircraft</w:t>
      </w:r>
      <w:r>
        <w:rPr>
          <w:rFonts w:ascii="Arial" w:eastAsia="Times New Roman" w:hAnsi="Arial" w:cs="Arial"/>
          <w:color w:val="000000"/>
          <w:sz w:val="20"/>
          <w:szCs w:val="20"/>
        </w:rPr>
        <w:t xml:space="preserve"> cleaning services to Iran Air since April 2020. The U.K. subsidiary terminated its relationship with Iran Air on August 30, 2021. The aggregate amount of payments received by the U.K. subsidiary in return for its services was approximately GBP 64,000, and</w:t>
      </w:r>
      <w:r>
        <w:rPr>
          <w:rFonts w:ascii="Arial" w:eastAsia="Times New Roman" w:hAnsi="Arial" w:cs="Arial"/>
          <w:color w:val="000000"/>
          <w:sz w:val="20"/>
          <w:szCs w:val="20"/>
        </w:rPr>
        <w:t xml:space="preserve"> the aggregated profits were GBP 6,400.</w:t>
      </w:r>
    </w:p>
    <w:p w:rsidR="00000000" w:rsidRDefault="00485CCD">
      <w:pPr>
        <w:ind w:firstLine="720"/>
        <w:jc w:val="both"/>
        <w:divId w:val="884175487"/>
        <w:rPr>
          <w:rFonts w:eastAsia="Times New Roman"/>
        </w:rPr>
      </w:pPr>
      <w:r>
        <w:rPr>
          <w:rFonts w:ascii="Arial" w:eastAsia="Times New Roman" w:hAnsi="Arial" w:cs="Arial"/>
          <w:color w:val="000000"/>
          <w:sz w:val="20"/>
          <w:szCs w:val="20"/>
        </w:rPr>
        <w:t xml:space="preserve">The Company has submitted a preliminary self-disclosure and investigation report of the U.K. subsidiary’s transactions with the U.S. Treasury Department Office of Foreign Assets Control (“OFAC”). </w:t>
      </w:r>
    </w:p>
    <w:p w:rsidR="00000000" w:rsidRDefault="00485CCD">
      <w:pPr>
        <w:ind w:firstLine="720"/>
        <w:jc w:val="both"/>
        <w:divId w:val="574704340"/>
        <w:rPr>
          <w:rFonts w:eastAsia="Times New Roman"/>
        </w:rPr>
      </w:pPr>
      <w:r>
        <w:rPr>
          <w:rFonts w:ascii="Arial" w:eastAsia="Times New Roman" w:hAnsi="Arial" w:cs="Arial"/>
          <w:color w:val="000000"/>
          <w:sz w:val="20"/>
          <w:szCs w:val="20"/>
        </w:rPr>
        <w:t>The Company intends</w:t>
      </w:r>
      <w:r>
        <w:rPr>
          <w:rFonts w:ascii="Arial" w:eastAsia="Times New Roman" w:hAnsi="Arial" w:cs="Arial"/>
          <w:color w:val="000000"/>
          <w:sz w:val="20"/>
          <w:szCs w:val="20"/>
        </w:rPr>
        <w:t xml:space="preserve"> to fully cooperate with OFAC in its review of this matter and does not currently expect that OFAC’s review will have a material adverse effect on the Company. The Company is also in the process of reviewing and developing enhanced controls, procedures, an</w:t>
      </w:r>
      <w:r>
        <w:rPr>
          <w:rFonts w:ascii="Arial" w:eastAsia="Times New Roman" w:hAnsi="Arial" w:cs="Arial"/>
          <w:color w:val="000000"/>
          <w:sz w:val="20"/>
          <w:szCs w:val="20"/>
        </w:rPr>
        <w:t>d other measures to ensure compliance with applicable law.</w:t>
      </w:r>
    </w:p>
    <w:p w:rsidR="00000000" w:rsidRDefault="00485CCD">
      <w:pPr>
        <w:jc w:val="center"/>
        <w:divId w:val="1017317390"/>
        <w:rPr>
          <w:rFonts w:eastAsia="Times New Roman"/>
        </w:rPr>
      </w:pPr>
      <w:r>
        <w:rPr>
          <w:rFonts w:ascii="Arial" w:eastAsia="Times New Roman" w:hAnsi="Arial" w:cs="Arial"/>
          <w:color w:val="000000"/>
          <w:sz w:val="20"/>
          <w:szCs w:val="20"/>
        </w:rPr>
        <w:t>95</w:t>
      </w:r>
    </w:p>
    <w:p w:rsidR="00000000" w:rsidRDefault="00485CCD">
      <w:pPr>
        <w:rPr>
          <w:rFonts w:eastAsia="Times New Roman"/>
        </w:rPr>
      </w:pPr>
      <w:r>
        <w:rPr>
          <w:rFonts w:eastAsia="Times New Roman"/>
        </w:rPr>
        <w:pict>
          <v:rect id="_x0000_i1132" style="width:0;height:1.5pt" o:hralign="center" o:hrstd="t" o:hr="t" fillcolor="#a0a0a0" stroked="f"/>
        </w:pict>
      </w:r>
    </w:p>
    <w:p w:rsidR="00000000" w:rsidRDefault="00485CCD">
      <w:pPr>
        <w:divId w:val="324674734"/>
        <w:rPr>
          <w:rFonts w:eastAsia="Times New Roman"/>
        </w:rPr>
      </w:pPr>
    </w:p>
    <w:p w:rsidR="00000000" w:rsidRDefault="00485CCD">
      <w:pPr>
        <w:jc w:val="center"/>
        <w:divId w:val="89550747"/>
        <w:rPr>
          <w:rFonts w:eastAsia="Times New Roman"/>
        </w:rPr>
      </w:pPr>
      <w:r>
        <w:rPr>
          <w:rFonts w:ascii="Arial" w:eastAsia="Times New Roman" w:hAnsi="Arial" w:cs="Arial"/>
          <w:b/>
          <w:bCs/>
          <w:color w:val="0046AD"/>
          <w:sz w:val="20"/>
          <w:szCs w:val="20"/>
        </w:rPr>
        <w:t>PART III</w:t>
      </w:r>
    </w:p>
    <w:p w:rsidR="00000000" w:rsidRDefault="00485CCD">
      <w:pPr>
        <w:divId w:val="767778611"/>
        <w:rPr>
          <w:rFonts w:eastAsia="Times New Roman"/>
        </w:rPr>
      </w:pPr>
      <w:r>
        <w:rPr>
          <w:rFonts w:ascii="Arial" w:eastAsia="Times New Roman" w:hAnsi="Arial" w:cs="Arial"/>
          <w:b/>
          <w:bCs/>
          <w:color w:val="0046AD"/>
          <w:sz w:val="20"/>
          <w:szCs w:val="20"/>
        </w:rPr>
        <w:t>ITEM 10. DIRECTORS, EXECUTIVE OFFICERS AND CORPORATE GOVERNANCE.</w:t>
      </w:r>
    </w:p>
    <w:p w:rsidR="00000000" w:rsidRDefault="00485CCD">
      <w:pPr>
        <w:ind w:firstLine="720"/>
        <w:jc w:val="both"/>
        <w:divId w:val="987127825"/>
        <w:rPr>
          <w:rFonts w:eastAsia="Times New Roman"/>
        </w:rPr>
      </w:pPr>
      <w:r>
        <w:rPr>
          <w:rFonts w:ascii="Arial" w:eastAsia="Times New Roman" w:hAnsi="Arial" w:cs="Arial"/>
          <w:color w:val="000000"/>
          <w:sz w:val="20"/>
          <w:szCs w:val="20"/>
        </w:rPr>
        <w:t>Information about our executive officers is found in Part I, Item 1, of this Annua</w:t>
      </w:r>
      <w:r>
        <w:rPr>
          <w:rFonts w:ascii="Arial" w:eastAsia="Times New Roman" w:hAnsi="Arial" w:cs="Arial"/>
          <w:color w:val="000000"/>
          <w:sz w:val="20"/>
          <w:szCs w:val="20"/>
        </w:rPr>
        <w:t xml:space="preserve">l Report on Form 10-K under “Executive Officers of Registrant.” Additional information required by this Item will be set forth under the captions “Proposal No. 1—Election of Directors,” “Corporate Governance and Board Matters,” and “Audit-Related Matters” </w:t>
      </w:r>
      <w:r>
        <w:rPr>
          <w:rFonts w:ascii="Arial" w:eastAsia="Times New Roman" w:hAnsi="Arial" w:cs="Arial"/>
          <w:color w:val="000000"/>
          <w:sz w:val="20"/>
          <w:szCs w:val="20"/>
        </w:rPr>
        <w:t xml:space="preserve">in our Definitive Proxy Statement for our 2022 Annual Meeting of Stockholders (the “2022 Proxy Statement”). Such information is incorporated herein by reference. Our 2022 Proxy Statement will be filed with the Securities and Exchange Commission within 120 </w:t>
      </w:r>
      <w:r>
        <w:rPr>
          <w:rFonts w:ascii="Arial" w:eastAsia="Times New Roman" w:hAnsi="Arial" w:cs="Arial"/>
          <w:color w:val="000000"/>
          <w:sz w:val="20"/>
          <w:szCs w:val="20"/>
        </w:rPr>
        <w:t>days after the conclusion of our fiscal year ended October 31, 2021.</w:t>
      </w:r>
    </w:p>
    <w:p w:rsidR="00000000" w:rsidRDefault="00485CCD">
      <w:pPr>
        <w:ind w:firstLine="720"/>
        <w:jc w:val="both"/>
        <w:divId w:val="548230537"/>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shd w:val="clear" w:color="auto" w:fill="FFFFFF"/>
        </w:rPr>
        <w:t>n</w:t>
      </w:r>
      <w:r>
        <w:rPr>
          <w:rFonts w:ascii="Arial" w:eastAsia="Times New Roman" w:hAnsi="Arial" w:cs="Arial"/>
          <w:color w:val="000000"/>
          <w:sz w:val="20"/>
          <w:szCs w:val="20"/>
        </w:rPr>
        <w:t xml:space="preserve"> April 19, 2021, we filed our Annual CEO Certification as required by Section 303A.12 of the NYSE Listed Company Manual.</w:t>
      </w:r>
    </w:p>
    <w:p w:rsidR="00000000" w:rsidRDefault="00485CCD">
      <w:pPr>
        <w:jc w:val="both"/>
        <w:divId w:val="112478552"/>
        <w:rPr>
          <w:rFonts w:eastAsia="Times New Roman"/>
        </w:rPr>
      </w:pPr>
      <w:r>
        <w:rPr>
          <w:rFonts w:ascii="Arial" w:eastAsia="Times New Roman" w:hAnsi="Arial" w:cs="Arial"/>
          <w:b/>
          <w:bCs/>
          <w:color w:val="0046AD"/>
          <w:sz w:val="20"/>
          <w:szCs w:val="20"/>
        </w:rPr>
        <w:t>Code of Business Conduct</w:t>
      </w:r>
    </w:p>
    <w:p w:rsidR="00000000" w:rsidRDefault="00485CCD">
      <w:pPr>
        <w:ind w:firstLine="720"/>
        <w:jc w:val="both"/>
        <w:divId w:val="1112625470"/>
        <w:rPr>
          <w:rFonts w:eastAsia="Times New Roman"/>
        </w:rPr>
      </w:pPr>
      <w:r>
        <w:rPr>
          <w:rFonts w:ascii="Arial" w:eastAsia="Times New Roman" w:hAnsi="Arial" w:cs="Arial"/>
          <w:color w:val="000000"/>
          <w:sz w:val="20"/>
          <w:szCs w:val="20"/>
        </w:rPr>
        <w:t>We have adopted and posted on our websi</w:t>
      </w:r>
      <w:r>
        <w:rPr>
          <w:rFonts w:ascii="Arial" w:eastAsia="Times New Roman" w:hAnsi="Arial" w:cs="Arial"/>
          <w:color w:val="000000"/>
          <w:sz w:val="20"/>
          <w:szCs w:val="20"/>
        </w:rPr>
        <w:t>te (www.abm.com) the ABM Code of Business Conduct. Our Code of Business Conduct qualifies as a “code of ethics” within the meaning of Item 406 of Regulation S-K. Our Code of Business Conduct applies to all of our directors, officers, and employees, includi</w:t>
      </w:r>
      <w:r>
        <w:rPr>
          <w:rFonts w:ascii="Arial" w:eastAsia="Times New Roman" w:hAnsi="Arial" w:cs="Arial"/>
          <w:color w:val="000000"/>
          <w:sz w:val="20"/>
          <w:szCs w:val="20"/>
        </w:rPr>
        <w:t xml:space="preserve">ng our Principal Executive Officer, Principal Financial Officer, and Principal Accounting Officer. If any amendments are made to the Code of Business Conduct or if any waiver, including any implicit waiver, from a provision of the Code of Business Conduct </w:t>
      </w:r>
      <w:r>
        <w:rPr>
          <w:rFonts w:ascii="Arial" w:eastAsia="Times New Roman" w:hAnsi="Arial" w:cs="Arial"/>
          <w:color w:val="000000"/>
          <w:sz w:val="20"/>
          <w:szCs w:val="20"/>
        </w:rPr>
        <w:t xml:space="preserve">is granted to our Principal Executive Officer, Principal Financial Officer, or Principal Accounting Officer, we will disclose the nature of such amendment or waiver on our website at the address specified above. </w:t>
      </w:r>
    </w:p>
    <w:p w:rsidR="00000000" w:rsidRDefault="00485CCD">
      <w:pPr>
        <w:divId w:val="1491603852"/>
        <w:rPr>
          <w:rFonts w:eastAsia="Times New Roman"/>
        </w:rPr>
      </w:pPr>
      <w:r>
        <w:rPr>
          <w:rFonts w:ascii="Arial" w:eastAsia="Times New Roman" w:hAnsi="Arial" w:cs="Arial"/>
          <w:b/>
          <w:bCs/>
          <w:color w:val="0046AD"/>
          <w:sz w:val="20"/>
          <w:szCs w:val="20"/>
        </w:rPr>
        <w:t>ITEM 11. EXECUTIVE COMPENSATION.</w:t>
      </w:r>
    </w:p>
    <w:p w:rsidR="00000000" w:rsidRDefault="00485CCD">
      <w:pPr>
        <w:ind w:firstLine="720"/>
        <w:jc w:val="both"/>
        <w:divId w:val="981158672"/>
        <w:rPr>
          <w:rFonts w:eastAsia="Times New Roman"/>
        </w:rPr>
      </w:pPr>
      <w:r>
        <w:rPr>
          <w:rFonts w:ascii="Arial" w:eastAsia="Times New Roman" w:hAnsi="Arial" w:cs="Arial"/>
          <w:color w:val="000000"/>
          <w:sz w:val="20"/>
          <w:szCs w:val="20"/>
        </w:rPr>
        <w:t>Informatio</w:t>
      </w:r>
      <w:r>
        <w:rPr>
          <w:rFonts w:ascii="Arial" w:eastAsia="Times New Roman" w:hAnsi="Arial" w:cs="Arial"/>
          <w:color w:val="000000"/>
          <w:sz w:val="20"/>
          <w:szCs w:val="20"/>
        </w:rPr>
        <w:t>n with respect to executive compensation required by this Item will be set forth under the captions “Director Compensation for Fiscal Year 2021,” “Executive Compensation,” and “Corporate Governance and Board Matters—Compensation Committee Interlocks and In</w:t>
      </w:r>
      <w:r>
        <w:rPr>
          <w:rFonts w:ascii="Arial" w:eastAsia="Times New Roman" w:hAnsi="Arial" w:cs="Arial"/>
          <w:color w:val="000000"/>
          <w:sz w:val="20"/>
          <w:szCs w:val="20"/>
        </w:rPr>
        <w:t>sider Participation” in our 2022 Proxy Statement and is incorporated herein by reference.</w:t>
      </w:r>
    </w:p>
    <w:p w:rsidR="00000000" w:rsidRDefault="00485CCD">
      <w:pPr>
        <w:divId w:val="1429499149"/>
        <w:rPr>
          <w:rFonts w:eastAsia="Times New Roman"/>
        </w:rPr>
      </w:pPr>
      <w:r>
        <w:rPr>
          <w:rFonts w:ascii="Arial" w:eastAsia="Times New Roman" w:hAnsi="Arial" w:cs="Arial"/>
          <w:b/>
          <w:bCs/>
          <w:color w:val="0046AD"/>
          <w:sz w:val="20"/>
          <w:szCs w:val="20"/>
        </w:rPr>
        <w:t>ITEM 12. SECURITY OWNERSHIP OF CERTAIN BENEFICIAL OWNERS AND MANAGEMENT AND RELATED STOCKHOLDER MATTERS.</w:t>
      </w:r>
    </w:p>
    <w:p w:rsidR="00000000" w:rsidRDefault="00485CCD">
      <w:pPr>
        <w:ind w:firstLine="720"/>
        <w:jc w:val="both"/>
        <w:divId w:val="593132806"/>
        <w:rPr>
          <w:rFonts w:eastAsia="Times New Roman"/>
        </w:rPr>
      </w:pPr>
      <w:r>
        <w:rPr>
          <w:rFonts w:ascii="Arial" w:eastAsia="Times New Roman" w:hAnsi="Arial" w:cs="Arial"/>
          <w:color w:val="000000"/>
          <w:sz w:val="20"/>
          <w:szCs w:val="20"/>
        </w:rPr>
        <w:t>Information with respect to security ownership of certain ben</w:t>
      </w:r>
      <w:r>
        <w:rPr>
          <w:rFonts w:ascii="Arial" w:eastAsia="Times New Roman" w:hAnsi="Arial" w:cs="Arial"/>
          <w:color w:val="000000"/>
          <w:sz w:val="20"/>
          <w:szCs w:val="20"/>
        </w:rPr>
        <w:t>eficial owners and management and equity compensation plan information and related stockholder matters required by this Item will be set forth under the captions “General Information—Security Ownership of Certain Beneficial Owners,” “General Information—Se</w:t>
      </w:r>
      <w:r>
        <w:rPr>
          <w:rFonts w:ascii="Arial" w:eastAsia="Times New Roman" w:hAnsi="Arial" w:cs="Arial"/>
          <w:color w:val="000000"/>
          <w:sz w:val="20"/>
          <w:szCs w:val="20"/>
        </w:rPr>
        <w:t>curity Ownership of Directors and Executive Officers,” and “General Information—Equity Compensation Plan Information” in our 2022 Proxy Statement and is incorporated herein by reference.</w:t>
      </w:r>
    </w:p>
    <w:p w:rsidR="00000000" w:rsidRDefault="00485CCD">
      <w:pPr>
        <w:divId w:val="2025277829"/>
        <w:rPr>
          <w:rFonts w:eastAsia="Times New Roman"/>
        </w:rPr>
      </w:pPr>
      <w:r>
        <w:rPr>
          <w:rFonts w:ascii="Arial" w:eastAsia="Times New Roman" w:hAnsi="Arial" w:cs="Arial"/>
          <w:b/>
          <w:bCs/>
          <w:color w:val="0046AD"/>
          <w:sz w:val="20"/>
          <w:szCs w:val="20"/>
        </w:rPr>
        <w:t>ITEM 13. CERTAIN RELATIONSHIPS AND RELATED TRANSACTIONS, AND DIRECTOR</w:t>
      </w:r>
      <w:r>
        <w:rPr>
          <w:rFonts w:ascii="Arial" w:eastAsia="Times New Roman" w:hAnsi="Arial" w:cs="Arial"/>
          <w:b/>
          <w:bCs/>
          <w:color w:val="0046AD"/>
          <w:sz w:val="20"/>
          <w:szCs w:val="20"/>
        </w:rPr>
        <w:t xml:space="preserve"> INDEPENDENCE.</w:t>
      </w:r>
    </w:p>
    <w:p w:rsidR="00000000" w:rsidRDefault="00485CCD">
      <w:pPr>
        <w:ind w:firstLine="720"/>
        <w:jc w:val="both"/>
        <w:divId w:val="471871547"/>
        <w:rPr>
          <w:rFonts w:eastAsia="Times New Roman"/>
        </w:rPr>
      </w:pPr>
      <w:r>
        <w:rPr>
          <w:rFonts w:ascii="Arial" w:eastAsia="Times New Roman" w:hAnsi="Arial" w:cs="Arial"/>
          <w:color w:val="000000"/>
          <w:sz w:val="20"/>
          <w:szCs w:val="20"/>
        </w:rPr>
        <w:t xml:space="preserve">Information with respect to certain relationships and related transactions and with respect to director independence required by this Item will be set forth under the captions “General Information—Certain Relationships and Transactions with </w:t>
      </w:r>
      <w:r>
        <w:rPr>
          <w:rFonts w:ascii="Arial" w:eastAsia="Times New Roman" w:hAnsi="Arial" w:cs="Arial"/>
          <w:color w:val="000000"/>
          <w:sz w:val="20"/>
          <w:szCs w:val="20"/>
        </w:rPr>
        <w:t>Related Persons” and “Corporate Governance and Board Matters” in our 2022 Proxy Statement and is incorporated herein by reference.</w:t>
      </w:r>
    </w:p>
    <w:p w:rsidR="00000000" w:rsidRDefault="00485CCD">
      <w:pPr>
        <w:divId w:val="1863089958"/>
        <w:rPr>
          <w:rFonts w:eastAsia="Times New Roman"/>
        </w:rPr>
      </w:pPr>
      <w:r>
        <w:rPr>
          <w:rFonts w:ascii="Arial" w:eastAsia="Times New Roman" w:hAnsi="Arial" w:cs="Arial"/>
          <w:b/>
          <w:bCs/>
          <w:color w:val="0046AD"/>
          <w:sz w:val="20"/>
          <w:szCs w:val="20"/>
        </w:rPr>
        <w:t>ITEM 14. PRINCIPAL ACCOUNTING FEES AND SERVICES.</w:t>
      </w:r>
    </w:p>
    <w:p w:rsidR="00000000" w:rsidRDefault="00485CCD">
      <w:pPr>
        <w:ind w:firstLine="720"/>
        <w:jc w:val="both"/>
        <w:divId w:val="31156677"/>
        <w:rPr>
          <w:rFonts w:eastAsia="Times New Roman"/>
        </w:rPr>
      </w:pPr>
      <w:r>
        <w:rPr>
          <w:rFonts w:ascii="Arial" w:eastAsia="Times New Roman" w:hAnsi="Arial" w:cs="Arial"/>
          <w:color w:val="000000"/>
          <w:sz w:val="20"/>
          <w:szCs w:val="20"/>
        </w:rPr>
        <w:t>Information with respect to our Audit Committee’s pre-approval policy for audit services and our principal accounting fees and services required by this Item will be set forth under the caption “Audit-Related Matters” in our 2022 Proxy Statement and is inc</w:t>
      </w:r>
      <w:r>
        <w:rPr>
          <w:rFonts w:ascii="Arial" w:eastAsia="Times New Roman" w:hAnsi="Arial" w:cs="Arial"/>
          <w:color w:val="000000"/>
          <w:sz w:val="20"/>
          <w:szCs w:val="20"/>
        </w:rPr>
        <w:t>orporated herein by reference.</w:t>
      </w:r>
    </w:p>
    <w:p w:rsidR="00000000" w:rsidRDefault="00485CCD">
      <w:pPr>
        <w:jc w:val="center"/>
        <w:divId w:val="1348020262"/>
        <w:rPr>
          <w:rFonts w:eastAsia="Times New Roman"/>
        </w:rPr>
      </w:pPr>
      <w:r>
        <w:rPr>
          <w:rFonts w:ascii="Arial" w:eastAsia="Times New Roman" w:hAnsi="Arial" w:cs="Arial"/>
          <w:color w:val="000000"/>
          <w:sz w:val="20"/>
          <w:szCs w:val="20"/>
        </w:rPr>
        <w:t>96</w:t>
      </w:r>
    </w:p>
    <w:p w:rsidR="00000000" w:rsidRDefault="00485CCD">
      <w:pPr>
        <w:rPr>
          <w:rFonts w:eastAsia="Times New Roman"/>
        </w:rPr>
      </w:pPr>
      <w:r>
        <w:rPr>
          <w:rFonts w:eastAsia="Times New Roman"/>
        </w:rPr>
        <w:pict>
          <v:rect id="_x0000_i1133" style="width:0;height:1.5pt" o:hralign="center" o:hrstd="t" o:hr="t" fillcolor="#a0a0a0" stroked="f"/>
        </w:pict>
      </w:r>
    </w:p>
    <w:p w:rsidR="00000000" w:rsidRDefault="00485CCD">
      <w:pPr>
        <w:divId w:val="2140340283"/>
        <w:rPr>
          <w:rFonts w:eastAsia="Times New Roman"/>
        </w:rPr>
      </w:pPr>
    </w:p>
    <w:p w:rsidR="00000000" w:rsidRDefault="00485CCD">
      <w:pPr>
        <w:jc w:val="center"/>
        <w:divId w:val="67926616"/>
        <w:rPr>
          <w:rFonts w:eastAsia="Times New Roman"/>
        </w:rPr>
      </w:pPr>
      <w:r>
        <w:rPr>
          <w:rFonts w:ascii="Arial" w:eastAsia="Times New Roman" w:hAnsi="Arial" w:cs="Arial"/>
          <w:b/>
          <w:bCs/>
          <w:color w:val="0046AD"/>
          <w:sz w:val="20"/>
          <w:szCs w:val="20"/>
        </w:rPr>
        <w:t>PART IV</w:t>
      </w:r>
      <w:r>
        <w:rPr>
          <w:rFonts w:ascii="Arial" w:eastAsia="Times New Roman" w:hAnsi="Arial" w:cs="Arial"/>
          <w:color w:val="0046AD"/>
          <w:sz w:val="16"/>
          <w:szCs w:val="16"/>
        </w:rPr>
        <w:t> </w:t>
      </w:r>
    </w:p>
    <w:p w:rsidR="00000000" w:rsidRDefault="00485CCD">
      <w:pPr>
        <w:divId w:val="808128174"/>
        <w:rPr>
          <w:rFonts w:eastAsia="Times New Roman"/>
        </w:rPr>
      </w:pPr>
      <w:r>
        <w:rPr>
          <w:rFonts w:ascii="Arial" w:eastAsia="Times New Roman" w:hAnsi="Arial" w:cs="Arial"/>
          <w:b/>
          <w:bCs/>
          <w:color w:val="0046AD"/>
          <w:sz w:val="20"/>
          <w:szCs w:val="20"/>
        </w:rPr>
        <w:t>ITEM 15. EXHIBITS, FINANCIAL STATEMENT SCHEDULES.</w:t>
      </w:r>
    </w:p>
    <w:p w:rsidR="00000000" w:rsidRDefault="00485CCD">
      <w:pPr>
        <w:jc w:val="both"/>
        <w:divId w:val="1128401061"/>
        <w:rPr>
          <w:rFonts w:eastAsia="Times New Roman"/>
        </w:rPr>
      </w:pPr>
      <w:r>
        <w:rPr>
          <w:rFonts w:ascii="Arial" w:eastAsia="Times New Roman" w:hAnsi="Arial" w:cs="Arial"/>
          <w:color w:val="000000"/>
          <w:sz w:val="19"/>
          <w:szCs w:val="19"/>
        </w:rPr>
        <w:t>(a)The following documents are filed as part of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7727"/>
        <w:gridCol w:w="37"/>
        <w:gridCol w:w="69"/>
        <w:gridCol w:w="368"/>
        <w:gridCol w:w="36"/>
      </w:tblGrid>
      <w:tr w:rsidR="00000000">
        <w:trPr>
          <w:divId w:val="771970146"/>
        </w:trPr>
        <w:tc>
          <w:tcPr>
            <w:tcW w:w="50" w:type="pct"/>
            <w:vAlign w:val="center"/>
            <w:hideMark/>
          </w:tcPr>
          <w:p w:rsidR="00000000" w:rsidRDefault="00485CCD">
            <w:pPr>
              <w:jc w:val="both"/>
              <w:rPr>
                <w:rFonts w:eastAsia="Times New Roman"/>
              </w:rPr>
            </w:pPr>
          </w:p>
        </w:tc>
        <w:tc>
          <w:tcPr>
            <w:tcW w:w="465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3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71970146"/>
        </w:trPr>
        <w:tc>
          <w:tcPr>
            <w:tcW w:w="0" w:type="auto"/>
            <w:gridSpan w:val="3"/>
            <w:shd w:val="clear" w:color="auto" w:fill="DCE2EF"/>
            <w:tcMar>
              <w:top w:w="30" w:type="dxa"/>
              <w:left w:w="20" w:type="dxa"/>
              <w:bottom w:w="30" w:type="dxa"/>
              <w:right w:w="20" w:type="dxa"/>
            </w:tcMar>
            <w:vAlign w:val="bottom"/>
            <w:hideMark/>
          </w:tcPr>
          <w:p w:rsidR="00000000" w:rsidRDefault="00485CCD">
            <w:pPr>
              <w:divId w:val="1049844741"/>
              <w:rPr>
                <w:rFonts w:eastAsia="Times New Roman"/>
              </w:rPr>
            </w:pPr>
            <w:r>
              <w:rPr>
                <w:rFonts w:ascii="Arial" w:eastAsia="Times New Roman" w:hAnsi="Arial" w:cs="Arial"/>
                <w:color w:val="000000"/>
                <w:sz w:val="19"/>
                <w:szCs w:val="19"/>
              </w:rPr>
              <w:t>1</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Financial Statements</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Index to Consolidated Financial Statements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r>
      <w:tr w:rsidR="00000000">
        <w:trPr>
          <w:divId w:val="771970146"/>
        </w:trPr>
        <w:tc>
          <w:tcPr>
            <w:tcW w:w="0" w:type="auto"/>
            <w:gridSpan w:val="3"/>
            <w:shd w:val="clear" w:color="auto" w:fill="FFFFFF"/>
            <w:tcMar>
              <w:top w:w="30" w:type="dxa"/>
              <w:left w:w="20" w:type="dxa"/>
              <w:bottom w:w="30" w:type="dxa"/>
              <w:right w:w="20" w:type="dxa"/>
            </w:tcMar>
            <w:vAlign w:val="bottom"/>
            <w:hideMark/>
          </w:tcPr>
          <w:p w:rsidR="00000000" w:rsidRDefault="00485CCD">
            <w:pPr>
              <w:divId w:val="1278835607"/>
              <w:rPr>
                <w:rFonts w:eastAsia="Times New Roman"/>
              </w:rPr>
            </w:pPr>
            <w:hyperlink w:anchor="i4eb6c6320a4d466e9abca1a62108c25f_73" w:history="1">
              <w:r>
                <w:rPr>
                  <w:rStyle w:val="a3"/>
                  <w:rFonts w:ascii="Arial" w:eastAsia="Times New Roman" w:hAnsi="Arial" w:cs="Arial"/>
                  <w:sz w:val="19"/>
                  <w:szCs w:val="19"/>
                  <w:u w:val="none"/>
                </w:rPr>
                <w:t>Report of Independent Registered Public Accounting Firm</w:t>
              </w:r>
            </w:hyperlink>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73" w:history="1">
              <w:r>
                <w:rPr>
                  <w:rStyle w:val="a3"/>
                  <w:rFonts w:ascii="Arial" w:eastAsia="Times New Roman" w:hAnsi="Arial" w:cs="Arial"/>
                  <w:sz w:val="19"/>
                  <w:szCs w:val="19"/>
                </w:rPr>
                <w:t>45</w:t>
              </w:r>
            </w:hyperlink>
          </w:p>
        </w:tc>
      </w:tr>
      <w:tr w:rsidR="00000000">
        <w:trPr>
          <w:divId w:val="771970146"/>
        </w:trPr>
        <w:tc>
          <w:tcPr>
            <w:tcW w:w="0" w:type="auto"/>
            <w:gridSpan w:val="3"/>
            <w:shd w:val="clear" w:color="auto" w:fill="DCE2EF"/>
            <w:tcMar>
              <w:top w:w="30" w:type="dxa"/>
              <w:left w:w="20" w:type="dxa"/>
              <w:bottom w:w="30" w:type="dxa"/>
              <w:right w:w="20" w:type="dxa"/>
            </w:tcMar>
            <w:vAlign w:val="bottom"/>
            <w:hideMark/>
          </w:tcPr>
          <w:p w:rsidR="00000000" w:rsidRDefault="00485CCD">
            <w:pPr>
              <w:divId w:val="1984235855"/>
              <w:rPr>
                <w:rFonts w:eastAsia="Times New Roman"/>
              </w:rPr>
            </w:pPr>
            <w:hyperlink w:anchor="i4eb6c6320a4d466e9abca1a62108c25f_76" w:history="1">
              <w:r>
                <w:rPr>
                  <w:rStyle w:val="a3"/>
                  <w:rFonts w:ascii="Arial" w:eastAsia="Times New Roman" w:hAnsi="Arial" w:cs="Arial"/>
                  <w:sz w:val="19"/>
                  <w:szCs w:val="19"/>
                  <w:u w:val="none"/>
                </w:rPr>
                <w:t>Consolidated Balance Sheets at October 31, 20</w:t>
              </w:r>
            </w:hyperlink>
            <w:hyperlink w:anchor="i4eb6c6320a4d466e9abca1a62108c25f_76" w:history="1">
              <w:r>
                <w:rPr>
                  <w:rStyle w:val="a3"/>
                  <w:rFonts w:ascii="Arial" w:eastAsia="Times New Roman" w:hAnsi="Arial" w:cs="Arial"/>
                  <w:sz w:val="19"/>
                  <w:szCs w:val="19"/>
                  <w:u w:val="none"/>
                </w:rPr>
                <w:t>2</w:t>
              </w:r>
            </w:hyperlink>
            <w:hyperlink w:anchor="i4eb6c6320a4d466e9abca1a62108c25f_76" w:history="1">
              <w:r>
                <w:rPr>
                  <w:rStyle w:val="a3"/>
                  <w:rFonts w:ascii="Arial" w:eastAsia="Times New Roman" w:hAnsi="Arial" w:cs="Arial"/>
                  <w:sz w:val="19"/>
                  <w:szCs w:val="19"/>
                  <w:u w:val="none"/>
                </w:rPr>
                <w:t>1</w:t>
              </w:r>
            </w:hyperlink>
            <w:hyperlink w:anchor="i4eb6c6320a4d466e9abca1a62108c25f_76" w:history="1">
              <w:r>
                <w:rPr>
                  <w:rStyle w:val="a3"/>
                  <w:rFonts w:ascii="Arial" w:eastAsia="Times New Roman" w:hAnsi="Arial" w:cs="Arial"/>
                  <w:sz w:val="19"/>
                  <w:szCs w:val="19"/>
                  <w:u w:val="none"/>
                </w:rPr>
                <w:t xml:space="preserve"> and </w:t>
              </w:r>
            </w:hyperlink>
            <w:hyperlink w:anchor="i4eb6c6320a4d466e9abca1a62108c25f_76" w:history="1">
              <w:r>
                <w:rPr>
                  <w:rStyle w:val="a3"/>
                  <w:rFonts w:ascii="Arial" w:eastAsia="Times New Roman" w:hAnsi="Arial" w:cs="Arial"/>
                  <w:color w:val="3051F2"/>
                  <w:sz w:val="19"/>
                  <w:szCs w:val="19"/>
                  <w:u w:val="none"/>
                </w:rPr>
                <w:t>20</w:t>
              </w:r>
            </w:hyperlink>
            <w:r>
              <w:rPr>
                <w:rFonts w:ascii="Arial" w:eastAsia="Times New Roman" w:hAnsi="Arial" w:cs="Arial"/>
                <w:color w:val="3051F2"/>
                <w:sz w:val="19"/>
                <w:szCs w:val="19"/>
              </w:rPr>
              <w:t>20</w:t>
            </w:r>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76" w:history="1">
              <w:r>
                <w:rPr>
                  <w:rStyle w:val="a3"/>
                  <w:rFonts w:ascii="Arial" w:eastAsia="Times New Roman" w:hAnsi="Arial" w:cs="Arial"/>
                  <w:sz w:val="19"/>
                  <w:szCs w:val="19"/>
                </w:rPr>
                <w:t>50</w:t>
              </w:r>
            </w:hyperlink>
          </w:p>
        </w:tc>
      </w:tr>
      <w:tr w:rsidR="00000000">
        <w:trPr>
          <w:divId w:val="771970146"/>
        </w:trPr>
        <w:tc>
          <w:tcPr>
            <w:tcW w:w="0" w:type="auto"/>
            <w:gridSpan w:val="3"/>
            <w:shd w:val="clear" w:color="auto" w:fill="FFFFFF"/>
            <w:tcMar>
              <w:top w:w="30" w:type="dxa"/>
              <w:left w:w="20" w:type="dxa"/>
              <w:bottom w:w="30" w:type="dxa"/>
              <w:right w:w="20" w:type="dxa"/>
            </w:tcMar>
            <w:vAlign w:val="bottom"/>
            <w:hideMark/>
          </w:tcPr>
          <w:p w:rsidR="00000000" w:rsidRDefault="00485CCD">
            <w:pPr>
              <w:divId w:val="593170307"/>
              <w:rPr>
                <w:rFonts w:eastAsia="Times New Roman"/>
              </w:rPr>
            </w:pPr>
            <w:hyperlink w:anchor="i4eb6c6320a4d466e9abca1a62108c25f_79" w:history="1">
              <w:r>
                <w:rPr>
                  <w:rStyle w:val="a3"/>
                  <w:rFonts w:ascii="Arial" w:eastAsia="Times New Roman" w:hAnsi="Arial" w:cs="Arial"/>
                  <w:sz w:val="19"/>
                  <w:szCs w:val="19"/>
                  <w:u w:val="none"/>
                </w:rPr>
                <w:t xml:space="preserve">Consolidated Statements of </w:t>
              </w:r>
            </w:hyperlink>
            <w:hyperlink w:anchor="i4eb6c6320a4d466e9abca1a62108c25f_79" w:history="1">
              <w:r>
                <w:rPr>
                  <w:rStyle w:val="a3"/>
                  <w:rFonts w:ascii="Arial" w:eastAsia="Times New Roman" w:hAnsi="Arial" w:cs="Arial"/>
                  <w:sz w:val="19"/>
                  <w:szCs w:val="19"/>
                  <w:u w:val="none"/>
                </w:rPr>
                <w:t>Comprehensive Income (Loss)</w:t>
              </w:r>
            </w:hyperlink>
            <w:hyperlink w:anchor="i4eb6c6320a4d466e9abca1a62108c25f_79" w:history="1">
              <w:r>
                <w:rPr>
                  <w:rStyle w:val="a3"/>
                  <w:rFonts w:ascii="Arial" w:eastAsia="Times New Roman" w:hAnsi="Arial" w:cs="Arial"/>
                  <w:sz w:val="19"/>
                  <w:szCs w:val="19"/>
                  <w:u w:val="none"/>
                </w:rPr>
                <w:t xml:space="preserve"> </w:t>
              </w:r>
            </w:hyperlink>
            <w:hyperlink w:anchor="i4eb6c6320a4d466e9abca1a62108c25f_79" w:history="1">
              <w:r>
                <w:rPr>
                  <w:rStyle w:val="a3"/>
                  <w:rFonts w:ascii="Arial" w:eastAsia="Times New Roman" w:hAnsi="Arial" w:cs="Arial"/>
                  <w:sz w:val="19"/>
                  <w:szCs w:val="19"/>
                  <w:u w:val="none"/>
                </w:rPr>
                <w:t>for the Years Ended October 31, 20</w:t>
              </w:r>
            </w:hyperlink>
            <w:hyperlink w:anchor="i4eb6c6320a4d466e9abca1a62108c25f_79" w:history="1">
              <w:r>
                <w:rPr>
                  <w:rStyle w:val="a3"/>
                  <w:rFonts w:ascii="Arial" w:eastAsia="Times New Roman" w:hAnsi="Arial" w:cs="Arial"/>
                  <w:sz w:val="19"/>
                  <w:szCs w:val="19"/>
                  <w:u w:val="none"/>
                </w:rPr>
                <w:t>2</w:t>
              </w:r>
            </w:hyperlink>
            <w:hyperlink w:anchor="i4eb6c6320a4d466e9abca1a62108c25f_79" w:history="1">
              <w:r>
                <w:rPr>
                  <w:rStyle w:val="a3"/>
                  <w:rFonts w:ascii="Arial" w:eastAsia="Times New Roman" w:hAnsi="Arial" w:cs="Arial"/>
                  <w:sz w:val="19"/>
                  <w:szCs w:val="19"/>
                  <w:u w:val="none"/>
                </w:rPr>
                <w:t>1</w:t>
              </w:r>
            </w:hyperlink>
            <w:hyperlink w:anchor="i4eb6c6320a4d466e9abca1a62108c25f_79" w:history="1">
              <w:r>
                <w:rPr>
                  <w:rStyle w:val="a3"/>
                  <w:rFonts w:ascii="Arial" w:eastAsia="Times New Roman" w:hAnsi="Arial" w:cs="Arial"/>
                  <w:sz w:val="19"/>
                  <w:szCs w:val="19"/>
                  <w:u w:val="none"/>
                </w:rPr>
                <w:t>, 20</w:t>
              </w:r>
            </w:hyperlink>
            <w:hyperlink w:anchor="i4eb6c6320a4d466e9abca1a62108c25f_79" w:history="1">
              <w:r>
                <w:rPr>
                  <w:rStyle w:val="a3"/>
                  <w:rFonts w:ascii="Arial" w:eastAsia="Times New Roman" w:hAnsi="Arial" w:cs="Arial"/>
                  <w:sz w:val="19"/>
                  <w:szCs w:val="19"/>
                  <w:u w:val="none"/>
                </w:rPr>
                <w:t>20</w:t>
              </w:r>
            </w:hyperlink>
            <w:hyperlink w:anchor="i4eb6c6320a4d466e9abca1a62108c25f_79" w:history="1">
              <w:r>
                <w:rPr>
                  <w:rStyle w:val="a3"/>
                  <w:rFonts w:ascii="Arial" w:eastAsia="Times New Roman" w:hAnsi="Arial" w:cs="Arial"/>
                  <w:sz w:val="19"/>
                  <w:szCs w:val="19"/>
                  <w:u w:val="none"/>
                </w:rPr>
                <w:t>,</w:t>
              </w:r>
            </w:hyperlink>
            <w:hyperlink w:anchor="i4eb6c6320a4d466e9abca1a62108c25f_79" w:history="1">
              <w:r>
                <w:rPr>
                  <w:rStyle w:val="a3"/>
                  <w:rFonts w:ascii="Arial" w:eastAsia="Times New Roman" w:hAnsi="Arial" w:cs="Arial"/>
                  <w:sz w:val="19"/>
                  <w:szCs w:val="19"/>
                  <w:u w:val="none"/>
                </w:rPr>
                <w:t xml:space="preserve"> </w:t>
              </w:r>
            </w:hyperlink>
            <w:hyperlink w:anchor="i4eb6c6320a4d466e9abca1a62108c25f_79" w:history="1">
              <w:r>
                <w:rPr>
                  <w:rStyle w:val="a3"/>
                  <w:rFonts w:ascii="Arial" w:eastAsia="Times New Roman" w:hAnsi="Arial" w:cs="Arial"/>
                  <w:sz w:val="19"/>
                  <w:szCs w:val="19"/>
                  <w:u w:val="none"/>
                </w:rPr>
                <w:t>and</w:t>
              </w:r>
            </w:hyperlink>
            <w:hyperlink w:anchor="i4eb6c6320a4d466e9abca1a62108c25f_79" w:history="1">
              <w:r>
                <w:rPr>
                  <w:rStyle w:val="a3"/>
                  <w:rFonts w:ascii="Arial" w:eastAsia="Times New Roman" w:hAnsi="Arial" w:cs="Arial"/>
                  <w:sz w:val="19"/>
                  <w:szCs w:val="19"/>
                  <w:u w:val="none"/>
                </w:rPr>
                <w:t xml:space="preserve"> 2019</w:t>
              </w:r>
            </w:hyperlink>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79" w:history="1">
              <w:r>
                <w:rPr>
                  <w:rStyle w:val="a3"/>
                  <w:rFonts w:ascii="Arial" w:eastAsia="Times New Roman" w:hAnsi="Arial" w:cs="Arial"/>
                  <w:sz w:val="19"/>
                  <w:szCs w:val="19"/>
                </w:rPr>
                <w:t>51</w:t>
              </w:r>
            </w:hyperlink>
          </w:p>
        </w:tc>
      </w:tr>
      <w:tr w:rsidR="00000000">
        <w:trPr>
          <w:divId w:val="771970146"/>
        </w:trPr>
        <w:tc>
          <w:tcPr>
            <w:tcW w:w="0" w:type="auto"/>
            <w:gridSpan w:val="3"/>
            <w:shd w:val="clear" w:color="auto" w:fill="DCE2EF"/>
            <w:tcMar>
              <w:top w:w="30" w:type="dxa"/>
              <w:left w:w="20" w:type="dxa"/>
              <w:bottom w:w="30" w:type="dxa"/>
              <w:right w:w="20" w:type="dxa"/>
            </w:tcMar>
            <w:vAlign w:val="bottom"/>
            <w:hideMark/>
          </w:tcPr>
          <w:p w:rsidR="00000000" w:rsidRDefault="00485CCD">
            <w:pPr>
              <w:divId w:val="793913289"/>
              <w:rPr>
                <w:rFonts w:eastAsia="Times New Roman"/>
              </w:rPr>
            </w:pPr>
            <w:hyperlink w:anchor="i4eb6c6320a4d466e9abca1a62108c25f_82" w:history="1">
              <w:r>
                <w:rPr>
                  <w:rStyle w:val="a3"/>
                  <w:rFonts w:ascii="Arial" w:eastAsia="Times New Roman" w:hAnsi="Arial" w:cs="Arial"/>
                  <w:sz w:val="19"/>
                  <w:szCs w:val="19"/>
                  <w:u w:val="none"/>
                </w:rPr>
                <w:t>Consolidated Statements of Stockholders’ Equity for the Years Ended October 31, 20</w:t>
              </w:r>
            </w:hyperlink>
            <w:hyperlink w:anchor="i4eb6c6320a4d466e9abca1a62108c25f_82" w:history="1">
              <w:r>
                <w:rPr>
                  <w:rStyle w:val="a3"/>
                  <w:rFonts w:ascii="Arial" w:eastAsia="Times New Roman" w:hAnsi="Arial" w:cs="Arial"/>
                  <w:sz w:val="19"/>
                  <w:szCs w:val="19"/>
                  <w:u w:val="none"/>
                </w:rPr>
                <w:t>2</w:t>
              </w:r>
            </w:hyperlink>
            <w:hyperlink w:anchor="i4eb6c6320a4d466e9abca1a62108c25f_82" w:history="1">
              <w:r>
                <w:rPr>
                  <w:rStyle w:val="a3"/>
                  <w:rFonts w:ascii="Arial" w:eastAsia="Times New Roman" w:hAnsi="Arial" w:cs="Arial"/>
                  <w:sz w:val="19"/>
                  <w:szCs w:val="19"/>
                  <w:u w:val="none"/>
                </w:rPr>
                <w:t>1</w:t>
              </w:r>
            </w:hyperlink>
            <w:hyperlink w:anchor="i4eb6c6320a4d466e9abca1a62108c25f_82" w:history="1">
              <w:r>
                <w:rPr>
                  <w:rStyle w:val="a3"/>
                  <w:rFonts w:ascii="Arial" w:eastAsia="Times New Roman" w:hAnsi="Arial" w:cs="Arial"/>
                  <w:sz w:val="19"/>
                  <w:szCs w:val="19"/>
                  <w:u w:val="none"/>
                </w:rPr>
                <w:t>, 20</w:t>
              </w:r>
            </w:hyperlink>
            <w:hyperlink w:anchor="i4eb6c6320a4d466e9abca1a62108c25f_82" w:history="1">
              <w:r>
                <w:rPr>
                  <w:rStyle w:val="a3"/>
                  <w:rFonts w:ascii="Arial" w:eastAsia="Times New Roman" w:hAnsi="Arial" w:cs="Arial"/>
                  <w:sz w:val="19"/>
                  <w:szCs w:val="19"/>
                  <w:u w:val="none"/>
                </w:rPr>
                <w:t>20</w:t>
              </w:r>
            </w:hyperlink>
            <w:hyperlink w:anchor="i4eb6c6320a4d466e9abca1a62108c25f_82" w:history="1">
              <w:r>
                <w:rPr>
                  <w:rStyle w:val="a3"/>
                  <w:rFonts w:ascii="Arial" w:eastAsia="Times New Roman" w:hAnsi="Arial" w:cs="Arial"/>
                  <w:sz w:val="19"/>
                  <w:szCs w:val="19"/>
                  <w:u w:val="none"/>
                </w:rPr>
                <w:t>, a</w:t>
              </w:r>
              <w:r>
                <w:rPr>
                  <w:rStyle w:val="a3"/>
                  <w:rFonts w:ascii="Arial" w:eastAsia="Times New Roman" w:hAnsi="Arial" w:cs="Arial"/>
                  <w:sz w:val="19"/>
                  <w:szCs w:val="19"/>
                  <w:u w:val="none"/>
                </w:rPr>
                <w:t>nd 201</w:t>
              </w:r>
            </w:hyperlink>
            <w:hyperlink w:anchor="i4eb6c6320a4d466e9abca1a62108c25f_82" w:history="1">
              <w:r>
                <w:rPr>
                  <w:rStyle w:val="a3"/>
                  <w:rFonts w:ascii="Arial" w:eastAsia="Times New Roman" w:hAnsi="Arial" w:cs="Arial"/>
                  <w:sz w:val="19"/>
                  <w:szCs w:val="19"/>
                  <w:u w:val="none"/>
                </w:rPr>
                <w:t>9</w:t>
              </w:r>
            </w:hyperlink>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82" w:history="1">
              <w:r>
                <w:rPr>
                  <w:rStyle w:val="a3"/>
                  <w:rFonts w:ascii="Arial" w:eastAsia="Times New Roman" w:hAnsi="Arial" w:cs="Arial"/>
                  <w:sz w:val="19"/>
                  <w:szCs w:val="19"/>
                </w:rPr>
                <w:t>52</w:t>
              </w:r>
            </w:hyperlink>
          </w:p>
        </w:tc>
      </w:tr>
      <w:tr w:rsidR="00000000">
        <w:trPr>
          <w:divId w:val="771970146"/>
        </w:trPr>
        <w:tc>
          <w:tcPr>
            <w:tcW w:w="0" w:type="auto"/>
            <w:gridSpan w:val="3"/>
            <w:shd w:val="clear" w:color="auto" w:fill="FFFFFF"/>
            <w:tcMar>
              <w:top w:w="30" w:type="dxa"/>
              <w:left w:w="20" w:type="dxa"/>
              <w:bottom w:w="30" w:type="dxa"/>
              <w:right w:w="20" w:type="dxa"/>
            </w:tcMar>
            <w:vAlign w:val="bottom"/>
            <w:hideMark/>
          </w:tcPr>
          <w:p w:rsidR="00000000" w:rsidRDefault="00485CCD">
            <w:pPr>
              <w:divId w:val="1526602171"/>
              <w:rPr>
                <w:rFonts w:eastAsia="Times New Roman"/>
              </w:rPr>
            </w:pPr>
            <w:hyperlink w:anchor="i4eb6c6320a4d466e9abca1a62108c25f_85" w:history="1">
              <w:r>
                <w:rPr>
                  <w:rStyle w:val="a3"/>
                  <w:rFonts w:ascii="Arial" w:eastAsia="Times New Roman" w:hAnsi="Arial" w:cs="Arial"/>
                  <w:sz w:val="19"/>
                  <w:szCs w:val="19"/>
                  <w:u w:val="none"/>
                </w:rPr>
                <w:t>Consolidated Statements of Cash Flows for the Years Ended October 31, 202</w:t>
              </w:r>
            </w:hyperlink>
            <w:hyperlink w:anchor="i4eb6c6320a4d466e9abca1a62108c25f_85" w:history="1">
              <w:r>
                <w:rPr>
                  <w:rStyle w:val="a3"/>
                  <w:rFonts w:ascii="Arial" w:eastAsia="Times New Roman" w:hAnsi="Arial" w:cs="Arial"/>
                  <w:sz w:val="19"/>
                  <w:szCs w:val="19"/>
                  <w:u w:val="none"/>
                </w:rPr>
                <w:t>1</w:t>
              </w:r>
            </w:hyperlink>
            <w:hyperlink w:anchor="i4eb6c6320a4d466e9abca1a62108c25f_85" w:history="1">
              <w:r>
                <w:rPr>
                  <w:rStyle w:val="a3"/>
                  <w:rFonts w:ascii="Arial" w:eastAsia="Times New Roman" w:hAnsi="Arial" w:cs="Arial"/>
                  <w:sz w:val="19"/>
                  <w:szCs w:val="19"/>
                  <w:u w:val="none"/>
                </w:rPr>
                <w:t>, 20</w:t>
              </w:r>
            </w:hyperlink>
            <w:hyperlink w:anchor="i4eb6c6320a4d466e9abca1a62108c25f_85" w:history="1">
              <w:r>
                <w:rPr>
                  <w:rStyle w:val="a3"/>
                  <w:rFonts w:ascii="Arial" w:eastAsia="Times New Roman" w:hAnsi="Arial" w:cs="Arial"/>
                  <w:sz w:val="19"/>
                  <w:szCs w:val="19"/>
                  <w:u w:val="none"/>
                </w:rPr>
                <w:t>2</w:t>
              </w:r>
            </w:hyperlink>
            <w:hyperlink w:anchor="i4eb6c6320a4d466e9abca1a62108c25f_85" w:history="1">
              <w:r>
                <w:rPr>
                  <w:rStyle w:val="a3"/>
                  <w:rFonts w:ascii="Arial" w:eastAsia="Times New Roman" w:hAnsi="Arial" w:cs="Arial"/>
                  <w:sz w:val="19"/>
                  <w:szCs w:val="19"/>
                  <w:u w:val="none"/>
                </w:rPr>
                <w:t>0</w:t>
              </w:r>
            </w:hyperlink>
            <w:hyperlink w:anchor="i4eb6c6320a4d466e9abca1a62108c25f_85" w:history="1">
              <w:r>
                <w:rPr>
                  <w:rStyle w:val="a3"/>
                  <w:rFonts w:ascii="Arial" w:eastAsia="Times New Roman" w:hAnsi="Arial" w:cs="Arial"/>
                  <w:sz w:val="19"/>
                  <w:szCs w:val="19"/>
                  <w:u w:val="none"/>
                </w:rPr>
                <w:t>, and 201</w:t>
              </w:r>
            </w:hyperlink>
            <w:hyperlink w:anchor="i4eb6c6320a4d466e9abca1a62108c25f_85" w:history="1">
              <w:r>
                <w:rPr>
                  <w:rStyle w:val="a3"/>
                  <w:rFonts w:ascii="Arial" w:eastAsia="Times New Roman" w:hAnsi="Arial" w:cs="Arial"/>
                  <w:sz w:val="19"/>
                  <w:szCs w:val="19"/>
                  <w:u w:val="none"/>
                </w:rPr>
                <w:t>9</w:t>
              </w:r>
            </w:hyperlink>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85" w:history="1">
              <w:r>
                <w:rPr>
                  <w:rStyle w:val="a3"/>
                  <w:rFonts w:ascii="Arial" w:eastAsia="Times New Roman" w:hAnsi="Arial" w:cs="Arial"/>
                  <w:sz w:val="19"/>
                  <w:szCs w:val="19"/>
                </w:rPr>
                <w:t>53</w:t>
              </w:r>
            </w:hyperlink>
          </w:p>
        </w:tc>
      </w:tr>
      <w:tr w:rsidR="00000000">
        <w:trPr>
          <w:divId w:val="771970146"/>
          <w:trHeight w:val="240"/>
        </w:trPr>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1970146"/>
        </w:trPr>
        <w:tc>
          <w:tcPr>
            <w:tcW w:w="0" w:type="auto"/>
            <w:gridSpan w:val="3"/>
            <w:shd w:val="clear" w:color="auto" w:fill="FFFFFF"/>
            <w:tcMar>
              <w:top w:w="30" w:type="dxa"/>
              <w:left w:w="20" w:type="dxa"/>
              <w:bottom w:w="30" w:type="dxa"/>
              <w:right w:w="20" w:type="dxa"/>
            </w:tcMar>
            <w:vAlign w:val="bottom"/>
            <w:hideMark/>
          </w:tcPr>
          <w:p w:rsidR="00000000" w:rsidRDefault="00485CCD">
            <w:pPr>
              <w:divId w:val="560140161"/>
              <w:rPr>
                <w:rFonts w:eastAsia="Times New Roman"/>
              </w:rPr>
            </w:pPr>
            <w:r>
              <w:rPr>
                <w:rFonts w:ascii="Arial" w:eastAsia="Times New Roman" w:hAnsi="Arial" w:cs="Arial"/>
                <w:color w:val="000000"/>
                <w:sz w:val="19"/>
                <w:szCs w:val="19"/>
              </w:rPr>
              <w:t>2.</w:t>
            </w:r>
            <w:r>
              <w:rPr>
                <w:rFonts w:ascii="Arial" w:eastAsia="Times New Roman" w:hAnsi="Arial" w:cs="Arial"/>
                <w:b/>
                <w:bCs/>
                <w:i/>
                <w:iCs/>
                <w:color w:val="000000"/>
                <w:sz w:val="19"/>
                <w:szCs w:val="19"/>
              </w:rPr>
              <w:t xml:space="preserve"> Financial Statement Schedule</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r>
      <w:tr w:rsidR="00000000">
        <w:trPr>
          <w:divId w:val="771970146"/>
        </w:trPr>
        <w:tc>
          <w:tcPr>
            <w:tcW w:w="0" w:type="auto"/>
            <w:gridSpan w:val="3"/>
            <w:shd w:val="clear" w:color="auto" w:fill="DCE2EF"/>
            <w:tcMar>
              <w:top w:w="30" w:type="dxa"/>
              <w:left w:w="20" w:type="dxa"/>
              <w:bottom w:w="30" w:type="dxa"/>
              <w:right w:w="20" w:type="dxa"/>
            </w:tcMar>
            <w:vAlign w:val="bottom"/>
            <w:hideMark/>
          </w:tcPr>
          <w:p w:rsidR="00000000" w:rsidRDefault="00485CCD">
            <w:pPr>
              <w:divId w:val="1356692689"/>
              <w:rPr>
                <w:rFonts w:eastAsia="Times New Roman"/>
              </w:rPr>
            </w:pPr>
            <w:hyperlink w:anchor="i4eb6c6320a4d466e9abca1a62108c25f_214" w:history="1">
              <w:r>
                <w:rPr>
                  <w:rStyle w:val="a3"/>
                  <w:rFonts w:ascii="Arial" w:eastAsia="Times New Roman" w:hAnsi="Arial" w:cs="Arial"/>
                  <w:sz w:val="19"/>
                  <w:szCs w:val="19"/>
                  <w:u w:val="none"/>
                </w:rPr>
                <w:t>Valuation and Qualifying Accounts for the Years Ended October 31, 202</w:t>
              </w:r>
            </w:hyperlink>
            <w:hyperlink w:anchor="i4eb6c6320a4d466e9abca1a62108c25f_214" w:history="1">
              <w:r>
                <w:rPr>
                  <w:rStyle w:val="a3"/>
                  <w:rFonts w:ascii="Arial" w:eastAsia="Times New Roman" w:hAnsi="Arial" w:cs="Arial"/>
                  <w:sz w:val="19"/>
                  <w:szCs w:val="19"/>
                  <w:u w:val="none"/>
                </w:rPr>
                <w:t>1</w:t>
              </w:r>
            </w:hyperlink>
            <w:hyperlink w:anchor="i4eb6c6320a4d466e9abca1a62108c25f_214" w:history="1">
              <w:r>
                <w:rPr>
                  <w:rStyle w:val="a3"/>
                  <w:rFonts w:ascii="Arial" w:eastAsia="Times New Roman" w:hAnsi="Arial" w:cs="Arial"/>
                  <w:sz w:val="19"/>
                  <w:szCs w:val="19"/>
                  <w:u w:val="none"/>
                </w:rPr>
                <w:t>, 20</w:t>
              </w:r>
            </w:hyperlink>
            <w:hyperlink w:anchor="i4eb6c6320a4d466e9abca1a62108c25f_214" w:history="1">
              <w:r>
                <w:rPr>
                  <w:rStyle w:val="a3"/>
                  <w:rFonts w:ascii="Arial" w:eastAsia="Times New Roman" w:hAnsi="Arial" w:cs="Arial"/>
                  <w:sz w:val="19"/>
                  <w:szCs w:val="19"/>
                  <w:u w:val="none"/>
                </w:rPr>
                <w:t>20</w:t>
              </w:r>
            </w:hyperlink>
            <w:hyperlink w:anchor="i4eb6c6320a4d466e9abca1a62108c25f_214" w:history="1">
              <w:r>
                <w:rPr>
                  <w:rStyle w:val="a3"/>
                  <w:rFonts w:ascii="Arial" w:eastAsia="Times New Roman" w:hAnsi="Arial" w:cs="Arial"/>
                  <w:sz w:val="19"/>
                  <w:szCs w:val="19"/>
                  <w:u w:val="none"/>
                </w:rPr>
                <w:t>, and 201</w:t>
              </w:r>
            </w:hyperlink>
            <w:hyperlink w:anchor="i4eb6c6320a4d466e9abca1a62108c25f_214" w:history="1">
              <w:r>
                <w:rPr>
                  <w:rStyle w:val="a3"/>
                  <w:rFonts w:ascii="Arial" w:eastAsia="Times New Roman" w:hAnsi="Arial" w:cs="Arial"/>
                  <w:sz w:val="19"/>
                  <w:szCs w:val="19"/>
                  <w:u w:val="none"/>
                </w:rPr>
                <w:t>9</w:t>
              </w:r>
            </w:hyperlink>
          </w:p>
        </w:tc>
        <w:tc>
          <w:tcPr>
            <w:tcW w:w="0" w:type="auto"/>
            <w:gridSpan w:val="3"/>
            <w:shd w:val="clear" w:color="auto" w:fill="DCE2E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14" w:history="1">
              <w:r>
                <w:rPr>
                  <w:rStyle w:val="a3"/>
                  <w:rFonts w:ascii="Arial" w:eastAsia="Times New Roman" w:hAnsi="Arial" w:cs="Arial"/>
                  <w:sz w:val="19"/>
                  <w:szCs w:val="19"/>
                </w:rPr>
                <w:t>98</w:t>
              </w:r>
            </w:hyperlink>
          </w:p>
        </w:tc>
      </w:tr>
      <w:tr w:rsidR="00000000">
        <w:trPr>
          <w:divId w:val="771970146"/>
          <w:trHeight w:val="240"/>
        </w:trPr>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1970146"/>
        </w:trPr>
        <w:tc>
          <w:tcPr>
            <w:tcW w:w="0" w:type="auto"/>
            <w:gridSpan w:val="3"/>
            <w:shd w:val="clear" w:color="auto" w:fill="DCE2EF"/>
            <w:tcMar>
              <w:top w:w="30" w:type="dxa"/>
              <w:left w:w="20" w:type="dxa"/>
              <w:bottom w:w="30" w:type="dxa"/>
              <w:right w:w="20" w:type="dxa"/>
            </w:tcMar>
            <w:vAlign w:val="bottom"/>
            <w:hideMark/>
          </w:tcPr>
          <w:p w:rsidR="00000000" w:rsidRDefault="00485CCD">
            <w:pPr>
              <w:divId w:val="2107530510"/>
              <w:rPr>
                <w:rFonts w:eastAsia="Times New Roman"/>
              </w:rPr>
            </w:pPr>
            <w:r>
              <w:rPr>
                <w:rFonts w:ascii="Arial" w:eastAsia="Times New Roman" w:hAnsi="Arial" w:cs="Arial"/>
                <w:color w:val="000000"/>
                <w:sz w:val="19"/>
                <w:szCs w:val="19"/>
              </w:rPr>
              <w:t>3.</w:t>
            </w:r>
            <w:r>
              <w:rPr>
                <w:rFonts w:ascii="Arial" w:eastAsia="Times New Roman" w:hAnsi="Arial" w:cs="Arial"/>
                <w:b/>
                <w:bCs/>
                <w:i/>
                <w:iCs/>
                <w:color w:val="000000"/>
                <w:sz w:val="19"/>
                <w:szCs w:val="19"/>
              </w:rPr>
              <w:t xml:space="preserve"> Exhibits</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r>
      <w:tr w:rsidR="00000000">
        <w:trPr>
          <w:divId w:val="771970146"/>
        </w:trPr>
        <w:tc>
          <w:tcPr>
            <w:tcW w:w="0" w:type="auto"/>
            <w:gridSpan w:val="3"/>
            <w:shd w:val="clear" w:color="auto" w:fill="FFFFFF"/>
            <w:tcMar>
              <w:top w:w="30" w:type="dxa"/>
              <w:left w:w="20" w:type="dxa"/>
              <w:bottom w:w="30" w:type="dxa"/>
              <w:right w:w="20" w:type="dxa"/>
            </w:tcMar>
            <w:vAlign w:val="bottom"/>
            <w:hideMark/>
          </w:tcPr>
          <w:p w:rsidR="00000000" w:rsidRDefault="00485CCD">
            <w:pPr>
              <w:divId w:val="2047176384"/>
              <w:rPr>
                <w:rFonts w:eastAsia="Times New Roman"/>
              </w:rPr>
            </w:pPr>
            <w:hyperlink w:anchor="i4eb6c6320a4d466e9abca1a62108c25f_217" w:history="1">
              <w:r>
                <w:rPr>
                  <w:rStyle w:val="a3"/>
                  <w:rFonts w:ascii="Arial" w:eastAsia="Times New Roman" w:hAnsi="Arial" w:cs="Arial"/>
                  <w:sz w:val="19"/>
                  <w:szCs w:val="19"/>
                  <w:u w:val="none"/>
                </w:rPr>
                <w:t>Exhibit Index</w:t>
              </w:r>
            </w:hyperlink>
          </w:p>
        </w:tc>
        <w:tc>
          <w:tcPr>
            <w:tcW w:w="0" w:type="auto"/>
            <w:gridSpan w:val="3"/>
            <w:shd w:val="clear" w:color="auto" w:fill="FFFFFF"/>
            <w:tcMar>
              <w:top w:w="30" w:type="dxa"/>
              <w:left w:w="20" w:type="dxa"/>
              <w:bottom w:w="30" w:type="dxa"/>
              <w:right w:w="20" w:type="dxa"/>
            </w:tcMar>
            <w:vAlign w:val="bottom"/>
            <w:hideMark/>
          </w:tcPr>
          <w:p w:rsidR="00000000" w:rsidRDefault="00485CCD">
            <w:pPr>
              <w:jc w:val="right"/>
              <w:rPr>
                <w:rFonts w:eastAsia="Times New Roman"/>
              </w:rPr>
            </w:pPr>
            <w:hyperlink w:anchor="i4eb6c6320a4d466e9abca1a62108c25f_217" w:history="1">
              <w:r>
                <w:rPr>
                  <w:rStyle w:val="a3"/>
                  <w:rFonts w:ascii="Arial" w:eastAsia="Times New Roman" w:hAnsi="Arial" w:cs="Arial"/>
                  <w:sz w:val="19"/>
                  <w:szCs w:val="19"/>
                </w:rPr>
                <w:t>99</w:t>
              </w:r>
            </w:hyperlink>
          </w:p>
        </w:tc>
      </w:tr>
      <w:tr w:rsidR="00000000">
        <w:trPr>
          <w:divId w:val="771970146"/>
        </w:trPr>
        <w:tc>
          <w:tcPr>
            <w:tcW w:w="0" w:type="auto"/>
            <w:gridSpan w:val="3"/>
            <w:vAlign w:val="center"/>
            <w:hideMark/>
          </w:tcPr>
          <w:p w:rsidR="00000000" w:rsidRDefault="00485CCD">
            <w:pPr>
              <w:jc w:val="right"/>
              <w:rPr>
                <w:rFonts w:eastAsia="Times New Roman"/>
              </w:rPr>
            </w:pPr>
          </w:p>
        </w:tc>
        <w:tc>
          <w:tcPr>
            <w:tcW w:w="0" w:type="auto"/>
            <w:gridSpan w:val="3"/>
            <w:vAlign w:val="center"/>
            <w:hideMark/>
          </w:tcPr>
          <w:p w:rsidR="00000000" w:rsidRDefault="00485CCD">
            <w:pPr>
              <w:rPr>
                <w:rFonts w:eastAsia="Times New Roman"/>
                <w:sz w:val="20"/>
                <w:szCs w:val="20"/>
              </w:rPr>
            </w:pPr>
          </w:p>
        </w:tc>
      </w:tr>
      <w:tr w:rsidR="00000000">
        <w:trPr>
          <w:divId w:val="771970146"/>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71970146"/>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r w:rsidR="00000000">
        <w:trPr>
          <w:divId w:val="771970146"/>
        </w:trPr>
        <w:tc>
          <w:tcPr>
            <w:tcW w:w="0" w:type="auto"/>
            <w:gridSpan w:val="3"/>
            <w:vAlign w:val="center"/>
            <w:hideMark/>
          </w:tcPr>
          <w:p w:rsidR="00000000" w:rsidRDefault="00485CCD">
            <w:pPr>
              <w:rPr>
                <w:rFonts w:eastAsia="Times New Roman"/>
                <w:sz w:val="20"/>
                <w:szCs w:val="20"/>
              </w:rPr>
            </w:pPr>
          </w:p>
        </w:tc>
        <w:tc>
          <w:tcPr>
            <w:tcW w:w="0" w:type="auto"/>
            <w:gridSpan w:val="3"/>
            <w:vAlign w:val="center"/>
            <w:hideMark/>
          </w:tcPr>
          <w:p w:rsidR="00000000" w:rsidRDefault="00485CCD">
            <w:pPr>
              <w:rPr>
                <w:rFonts w:eastAsia="Times New Roman"/>
                <w:sz w:val="20"/>
                <w:szCs w:val="20"/>
              </w:rPr>
            </w:pPr>
          </w:p>
        </w:tc>
      </w:tr>
    </w:tbl>
    <w:p w:rsidR="00000000" w:rsidRDefault="00485CCD">
      <w:pPr>
        <w:divId w:val="1205827233"/>
        <w:rPr>
          <w:rFonts w:eastAsia="Times New Roman"/>
        </w:rPr>
      </w:pPr>
    </w:p>
    <w:p w:rsidR="00000000" w:rsidRDefault="00485CCD">
      <w:pPr>
        <w:jc w:val="center"/>
        <w:divId w:val="831026444"/>
        <w:rPr>
          <w:rFonts w:eastAsia="Times New Roman"/>
        </w:rPr>
      </w:pPr>
      <w:r>
        <w:rPr>
          <w:rFonts w:ascii="Arial" w:eastAsia="Times New Roman" w:hAnsi="Arial" w:cs="Arial"/>
          <w:color w:val="000000"/>
          <w:sz w:val="20"/>
          <w:szCs w:val="20"/>
        </w:rPr>
        <w:t>97</w:t>
      </w:r>
    </w:p>
    <w:p w:rsidR="00000000" w:rsidRDefault="00485CCD">
      <w:pPr>
        <w:rPr>
          <w:rFonts w:eastAsia="Times New Roman"/>
        </w:rPr>
      </w:pPr>
      <w:r>
        <w:rPr>
          <w:rFonts w:eastAsia="Times New Roman"/>
        </w:rPr>
        <w:pict>
          <v:rect id="_x0000_i1134" style="width:0;height:1.5pt" o:hralign="center" o:hrstd="t" o:hr="t" fillcolor="#a0a0a0" stroked="f"/>
        </w:pict>
      </w:r>
    </w:p>
    <w:p w:rsidR="00000000" w:rsidRDefault="00485CCD">
      <w:pPr>
        <w:divId w:val="787091042"/>
        <w:rPr>
          <w:rFonts w:eastAsia="Times New Roman"/>
        </w:rPr>
      </w:pPr>
    </w:p>
    <w:p w:rsidR="00000000" w:rsidRDefault="00485CCD">
      <w:pPr>
        <w:jc w:val="center"/>
        <w:divId w:val="678042652"/>
        <w:rPr>
          <w:rFonts w:eastAsia="Times New Roman"/>
        </w:rPr>
      </w:pPr>
      <w:r>
        <w:rPr>
          <w:rFonts w:ascii="Arial" w:eastAsia="Times New Roman" w:hAnsi="Arial" w:cs="Arial"/>
          <w:b/>
          <w:bCs/>
          <w:color w:val="0046AD"/>
          <w:sz w:val="20"/>
          <w:szCs w:val="20"/>
        </w:rPr>
        <w:t>ABM INDUSTRIES INCORPORATED AND SUBSIDIARIES</w:t>
      </w:r>
    </w:p>
    <w:p w:rsidR="00000000" w:rsidRDefault="00485CCD">
      <w:pPr>
        <w:jc w:val="center"/>
        <w:divId w:val="1625845928"/>
        <w:rPr>
          <w:rFonts w:eastAsia="Times New Roman"/>
        </w:rPr>
      </w:pPr>
      <w:r>
        <w:rPr>
          <w:rFonts w:ascii="Arial" w:eastAsia="Times New Roman" w:hAnsi="Arial" w:cs="Arial"/>
          <w:b/>
          <w:bCs/>
          <w:color w:val="0046AD"/>
          <w:sz w:val="20"/>
          <w:szCs w:val="20"/>
        </w:rPr>
        <w:t xml:space="preserve">SCHEDULE II—VALUATION AND QUALIFYING ACCOUNTS </w:t>
      </w:r>
    </w:p>
    <w:p w:rsidR="00000000" w:rsidRDefault="00485CCD">
      <w:pPr>
        <w:ind w:hanging="360"/>
        <w:jc w:val="center"/>
        <w:divId w:val="20721954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1664"/>
        <w:gridCol w:w="36"/>
        <w:gridCol w:w="133"/>
        <w:gridCol w:w="970"/>
        <w:gridCol w:w="36"/>
        <w:gridCol w:w="36"/>
        <w:gridCol w:w="183"/>
        <w:gridCol w:w="36"/>
        <w:gridCol w:w="85"/>
        <w:gridCol w:w="1036"/>
        <w:gridCol w:w="36"/>
        <w:gridCol w:w="36"/>
        <w:gridCol w:w="184"/>
        <w:gridCol w:w="36"/>
        <w:gridCol w:w="82"/>
        <w:gridCol w:w="995"/>
        <w:gridCol w:w="36"/>
        <w:gridCol w:w="36"/>
        <w:gridCol w:w="119"/>
        <w:gridCol w:w="36"/>
        <w:gridCol w:w="78"/>
        <w:gridCol w:w="945"/>
        <w:gridCol w:w="36"/>
        <w:gridCol w:w="36"/>
        <w:gridCol w:w="173"/>
        <w:gridCol w:w="36"/>
        <w:gridCol w:w="133"/>
        <w:gridCol w:w="971"/>
        <w:gridCol w:w="36"/>
      </w:tblGrid>
      <w:tr w:rsidR="00000000">
        <w:trPr>
          <w:divId w:val="170994979"/>
        </w:trPr>
        <w:tc>
          <w:tcPr>
            <w:tcW w:w="50" w:type="pct"/>
            <w:vAlign w:val="center"/>
            <w:hideMark/>
          </w:tcPr>
          <w:p w:rsidR="00000000" w:rsidRDefault="00485CCD">
            <w:pPr>
              <w:ind w:hanging="360"/>
              <w:jc w:val="center"/>
              <w:rPr>
                <w:rFonts w:eastAsia="Times New Roman"/>
              </w:rPr>
            </w:pPr>
          </w:p>
        </w:tc>
        <w:tc>
          <w:tcPr>
            <w:tcW w:w="103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13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61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7099497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Beginning of Year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Additions from Able Acquisition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Charges to</w:t>
            </w:r>
            <w:r>
              <w:rPr>
                <w:rFonts w:ascii="Arial" w:eastAsia="Times New Roman" w:hAnsi="Arial" w:cs="Arial"/>
                <w:b/>
                <w:bCs/>
                <w:color w:val="000000"/>
                <w:sz w:val="20"/>
                <w:szCs w:val="20"/>
              </w:rPr>
              <w:br/>
              <w:t>Costs and Expenses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Write-off</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r>
              <w:rPr>
                <w:rFonts w:ascii="Arial" w:eastAsia="Times New Roman" w:hAnsi="Arial" w:cs="Arial"/>
                <w:b/>
                <w:bCs/>
                <w:color w:val="000000"/>
                <w:sz w:val="20"/>
                <w:szCs w:val="20"/>
              </w:rPr>
              <w:t>/ Allowance Taken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End of Year</w:t>
            </w:r>
          </w:p>
        </w:tc>
      </w:tr>
      <w:tr w:rsidR="00000000">
        <w:trPr>
          <w:divId w:val="170994979"/>
        </w:trPr>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b/>
                <w:bCs/>
                <w:color w:val="000000"/>
                <w:sz w:val="20"/>
                <w:szCs w:val="20"/>
              </w:rPr>
              <w:t>Accounts receivable and sales allowances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17099497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2021</w:t>
            </w: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35.5 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44.3 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(48.4)</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485CCD">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32.7 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0994979"/>
        </w:trPr>
        <w:tc>
          <w:tcPr>
            <w:tcW w:w="0" w:type="auto"/>
            <w:gridSpan w:val="3"/>
            <w:shd w:val="clear" w:color="auto" w:fill="FFFFF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2020</w:t>
            </w: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96.3 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(83.2)</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485CCD">
            <w:pPr>
              <w:jc w:val="right"/>
              <w:rPr>
                <w:rFonts w:eastAsia="Times New Roman"/>
              </w:rPr>
            </w:pPr>
          </w:p>
        </w:tc>
      </w:tr>
      <w:tr w:rsidR="00000000">
        <w:trPr>
          <w:divId w:val="170994979"/>
        </w:trPr>
        <w:tc>
          <w:tcPr>
            <w:tcW w:w="0" w:type="auto"/>
            <w:gridSpan w:val="3"/>
            <w:shd w:val="clear" w:color="auto" w:fill="DCE2EF"/>
            <w:tcMar>
              <w:top w:w="30" w:type="dxa"/>
              <w:left w:w="20" w:type="dxa"/>
              <w:bottom w:w="30" w:type="dxa"/>
              <w:right w:w="20" w:type="dxa"/>
            </w:tcMar>
            <w:vAlign w:val="bottom"/>
            <w:hideMark/>
          </w:tcPr>
          <w:p w:rsidR="00000000" w:rsidRDefault="00485CCD">
            <w:pPr>
              <w:rPr>
                <w:rFonts w:eastAsia="Times New Roman"/>
              </w:rPr>
            </w:pPr>
            <w:r>
              <w:rPr>
                <w:rFonts w:ascii="Arial" w:eastAsia="Times New Roman" w:hAnsi="Arial" w:cs="Arial"/>
                <w:color w:val="000000"/>
                <w:sz w:val="20"/>
                <w:szCs w:val="20"/>
              </w:rPr>
              <w:t>2019</w:t>
            </w: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87.7 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(84.6)</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485CCD">
            <w:pPr>
              <w:jc w:val="right"/>
              <w:rPr>
                <w:rFonts w:eastAsia="Times New Roman"/>
              </w:rPr>
            </w:pPr>
            <w:r>
              <w:rPr>
                <w:rFonts w:ascii="Arial" w:eastAsia="Times New Roman" w:hAnsi="Arial" w:cs="Arial"/>
                <w:color w:val="000000"/>
                <w:sz w:val="20"/>
                <w:szCs w:val="20"/>
              </w:rPr>
              <w:t>22.4 </w:t>
            </w:r>
          </w:p>
        </w:tc>
        <w:tc>
          <w:tcPr>
            <w:tcW w:w="0" w:type="auto"/>
            <w:shd w:val="clear" w:color="auto" w:fill="DCE2EF"/>
            <w:tcMar>
              <w:top w:w="30" w:type="dxa"/>
              <w:left w:w="0" w:type="dxa"/>
              <w:bottom w:w="30" w:type="dxa"/>
              <w:right w:w="20" w:type="dxa"/>
            </w:tcMar>
            <w:vAlign w:val="bottom"/>
            <w:hideMark/>
          </w:tcPr>
          <w:p w:rsidR="00000000" w:rsidRDefault="00485CCD">
            <w:pPr>
              <w:jc w:val="right"/>
              <w:rPr>
                <w:rFonts w:eastAsia="Times New Roman"/>
              </w:rPr>
            </w:pPr>
          </w:p>
        </w:tc>
      </w:tr>
    </w:tbl>
    <w:p w:rsidR="00000000" w:rsidRDefault="00485CCD">
      <w:pPr>
        <w:ind w:hanging="180"/>
        <w:divId w:val="104687457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Write-offs are net of recoveries.</w:t>
      </w:r>
    </w:p>
    <w:p w:rsidR="00000000" w:rsidRDefault="00485CCD">
      <w:pPr>
        <w:jc w:val="center"/>
        <w:divId w:val="225264054"/>
        <w:rPr>
          <w:rFonts w:eastAsia="Times New Roman"/>
        </w:rPr>
      </w:pPr>
      <w:r>
        <w:rPr>
          <w:rFonts w:ascii="Arial" w:eastAsia="Times New Roman" w:hAnsi="Arial" w:cs="Arial"/>
          <w:color w:val="000000"/>
          <w:sz w:val="20"/>
          <w:szCs w:val="20"/>
        </w:rPr>
        <w:t>98</w:t>
      </w:r>
    </w:p>
    <w:p w:rsidR="00000000" w:rsidRDefault="00485CCD">
      <w:pPr>
        <w:rPr>
          <w:rFonts w:eastAsia="Times New Roman"/>
        </w:rPr>
      </w:pPr>
      <w:r>
        <w:rPr>
          <w:rFonts w:eastAsia="Times New Roman"/>
        </w:rPr>
        <w:pict>
          <v:rect id="_x0000_i1135" style="width:0;height:1.5pt" o:hralign="center" o:hrstd="t" o:hr="t" fillcolor="#a0a0a0" stroked="f"/>
        </w:pict>
      </w:r>
    </w:p>
    <w:p w:rsidR="00000000" w:rsidRDefault="00485CCD">
      <w:pPr>
        <w:divId w:val="1271206593"/>
        <w:rPr>
          <w:rFonts w:eastAsia="Times New Roman"/>
        </w:rPr>
      </w:pPr>
    </w:p>
    <w:p w:rsidR="00000000" w:rsidRDefault="00485CCD">
      <w:pPr>
        <w:divId w:val="1108698744"/>
        <w:rPr>
          <w:rFonts w:eastAsia="Times New Roman"/>
        </w:rPr>
      </w:pPr>
      <w:r>
        <w:rPr>
          <w:rFonts w:ascii="Arial" w:eastAsia="Times New Roman" w:hAnsi="Arial" w:cs="Arial"/>
          <w:b/>
          <w:bCs/>
          <w:color w:val="0046AD"/>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765"/>
        <w:gridCol w:w="36"/>
        <w:gridCol w:w="36"/>
        <w:gridCol w:w="36"/>
        <w:gridCol w:w="36"/>
        <w:gridCol w:w="46"/>
        <w:gridCol w:w="3239"/>
        <w:gridCol w:w="36"/>
        <w:gridCol w:w="36"/>
        <w:gridCol w:w="36"/>
        <w:gridCol w:w="36"/>
        <w:gridCol w:w="91"/>
        <w:gridCol w:w="440"/>
        <w:gridCol w:w="37"/>
        <w:gridCol w:w="37"/>
        <w:gridCol w:w="37"/>
        <w:gridCol w:w="37"/>
        <w:gridCol w:w="54"/>
        <w:gridCol w:w="714"/>
        <w:gridCol w:w="39"/>
        <w:gridCol w:w="37"/>
        <w:gridCol w:w="37"/>
        <w:gridCol w:w="36"/>
        <w:gridCol w:w="92"/>
        <w:gridCol w:w="606"/>
        <w:gridCol w:w="36"/>
        <w:gridCol w:w="36"/>
        <w:gridCol w:w="36"/>
        <w:gridCol w:w="36"/>
        <w:gridCol w:w="54"/>
        <w:gridCol w:w="1372"/>
        <w:gridCol w:w="40"/>
      </w:tblGrid>
      <w:tr w:rsidR="00000000">
        <w:trPr>
          <w:divId w:val="2070960595"/>
        </w:trPr>
        <w:tc>
          <w:tcPr>
            <w:tcW w:w="50" w:type="pct"/>
            <w:vAlign w:val="center"/>
            <w:hideMark/>
          </w:tcPr>
          <w:p w:rsidR="00000000" w:rsidRDefault="00485CCD">
            <w:pPr>
              <w:rPr>
                <w:rFonts w:eastAsia="Times New Roman"/>
              </w:rPr>
            </w:pPr>
          </w:p>
        </w:tc>
        <w:tc>
          <w:tcPr>
            <w:tcW w:w="5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70960595"/>
          <w:trHeight w:val="300"/>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Exhibit</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Exhibit Description</w:t>
            </w:r>
          </w:p>
        </w:tc>
        <w:tc>
          <w:tcPr>
            <w:tcW w:w="0" w:type="auto"/>
            <w:gridSpan w:val="3"/>
            <w:vMerge w:val="restart"/>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21"/>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Incorporated by Reference</w:t>
            </w:r>
          </w:p>
        </w:tc>
      </w:tr>
      <w:tr w:rsidR="00000000">
        <w:trPr>
          <w:divId w:val="2070960595"/>
          <w:trHeight w:val="300"/>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No.</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vMerge/>
            <w:vAlign w:val="center"/>
            <w:hideMark/>
          </w:tcPr>
          <w:p w:rsidR="00000000" w:rsidRDefault="00485CCD">
            <w:pPr>
              <w:rPr>
                <w:rFonts w:eastAsia="Times New Roman"/>
              </w:rPr>
            </w:pPr>
          </w:p>
        </w:tc>
        <w:tc>
          <w:tcPr>
            <w:tcW w:w="0" w:type="auto"/>
            <w:gridSpan w:val="3"/>
            <w:vMerge/>
            <w:vAlign w:val="center"/>
            <w:hideMark/>
          </w:tcPr>
          <w:p w:rsidR="00000000" w:rsidRDefault="00485CC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b/>
                <w:bCs/>
                <w:color w:val="000000"/>
                <w:sz w:val="20"/>
                <w:szCs w:val="20"/>
              </w:rPr>
              <w:t>Filing Date</w:t>
            </w:r>
          </w:p>
        </w:tc>
      </w:tr>
      <w:tr w:rsidR="00000000">
        <w:trPr>
          <w:divId w:val="2070960595"/>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divId w:val="921376537"/>
              <w:rPr>
                <w:rFonts w:eastAsia="Times New Roman"/>
              </w:rPr>
            </w:pPr>
            <w:hyperlink r:id="rId14" w:history="1">
              <w:r>
                <w:rPr>
                  <w:rStyle w:val="a3"/>
                  <w:rFonts w:ascii="Arial" w:eastAsia="Times New Roman" w:hAnsi="Arial" w:cs="Arial"/>
                  <w:sz w:val="20"/>
                  <w:szCs w:val="20"/>
                </w:rPr>
                <w:t>Underwriting Agreement, dated March 14, 2018, among ABM Industries Incorporated, Goldman Sachs &amp; Co LLC, and UBS Securities LLC</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19, 2018</w:t>
            </w:r>
          </w:p>
        </w:tc>
      </w:tr>
      <w:tr w:rsidR="00000000">
        <w:trPr>
          <w:divId w:val="207096059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516044447"/>
              <w:rPr>
                <w:rFonts w:eastAsia="Times New Roman"/>
              </w:rPr>
            </w:pPr>
            <w:hyperlink r:id="rId15" w:history="1">
              <w:r>
                <w:rPr>
                  <w:rStyle w:val="a3"/>
                  <w:rFonts w:ascii="Arial" w:eastAsia="Times New Roman" w:hAnsi="Arial" w:cs="Arial"/>
                  <w:sz w:val="20"/>
                  <w:szCs w:val="20"/>
                </w:rPr>
                <w:t>Agreement and Plan of Merger, dated July 11, 2017, among GCA Holding Corp., ABM Industries Incorporated, Grade Sub One, Inc., Grade Sub Two, LLC and Thomas H. Lee Equity Fund VII, L.P. and Broad Street Principal Investments Holdings, L.P., acting jointly a</w:t>
              </w:r>
              <w:r>
                <w:rPr>
                  <w:rStyle w:val="a3"/>
                  <w:rFonts w:ascii="Arial" w:eastAsia="Times New Roman" w:hAnsi="Arial" w:cs="Arial"/>
                  <w:sz w:val="20"/>
                  <w:szCs w:val="20"/>
                </w:rPr>
                <w:t>s the Securityholder Representative</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July 14, 2017</w:t>
            </w:r>
          </w:p>
        </w:tc>
      </w:tr>
      <w:tr w:rsidR="00000000">
        <w:trPr>
          <w:divId w:val="2070960595"/>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2.2</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237593295"/>
              <w:rPr>
                <w:rFonts w:eastAsia="Times New Roman"/>
              </w:rPr>
            </w:pPr>
            <w:hyperlink r:id="rId16" w:history="1">
              <w:r>
                <w:rPr>
                  <w:rStyle w:val="a3"/>
                  <w:rFonts w:ascii="Arial" w:eastAsia="Times New Roman" w:hAnsi="Arial" w:cs="Arial"/>
                  <w:sz w:val="20"/>
                  <w:szCs w:val="20"/>
                </w:rPr>
                <w:t>Purchase Agreement, dated August 25, 2021, among Crown Building Maintenance Co., Crown Energy Services, Inc.</w:t>
              </w:r>
            </w:hyperlink>
            <w:hyperlink r:id="rId17" w:history="1">
              <w:r>
                <w:rPr>
                  <w:rStyle w:val="a3"/>
                  <w:rFonts w:ascii="Arial" w:eastAsia="Times New Roman" w:hAnsi="Arial" w:cs="Arial"/>
                  <w:sz w:val="20"/>
                  <w:szCs w:val="20"/>
                </w:rPr>
                <w:t>,</w:t>
              </w:r>
            </w:hyperlink>
            <w:hyperlink r:id="rId18" w:history="1">
              <w:r>
                <w:rPr>
                  <w:rStyle w:val="a3"/>
                  <w:rFonts w:ascii="Arial" w:eastAsia="Times New Roman" w:hAnsi="Arial" w:cs="Arial"/>
                  <w:sz w:val="20"/>
                  <w:szCs w:val="20"/>
                </w:rPr>
                <w:t xml:space="preserve"> ABM Industries Incorporated and the sellers and sellers’ representative party thereto</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2.1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August 25, 2021</w:t>
            </w:r>
          </w:p>
        </w:tc>
      </w:tr>
      <w:tr w:rsidR="00000000">
        <w:trPr>
          <w:divId w:val="207096059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858665238"/>
              <w:rPr>
                <w:rFonts w:eastAsia="Times New Roman"/>
              </w:rPr>
            </w:pPr>
            <w:hyperlink r:id="rId19" w:history="1">
              <w:r>
                <w:rPr>
                  <w:rStyle w:val="a3"/>
                  <w:rFonts w:ascii="Arial" w:eastAsia="Times New Roman" w:hAnsi="Arial" w:cs="Arial"/>
                  <w:sz w:val="20"/>
                  <w:szCs w:val="20"/>
                </w:rPr>
                <w:t>Restated Certificate of Incorporation of ABM Industries Incorporated, dated March 26, 2020</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27, 2020</w:t>
            </w:r>
          </w:p>
        </w:tc>
      </w:tr>
      <w:tr w:rsidR="00000000">
        <w:trPr>
          <w:divId w:val="2070960595"/>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3.2</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718818921"/>
              <w:rPr>
                <w:rFonts w:eastAsia="Times New Roman"/>
              </w:rPr>
            </w:pPr>
            <w:hyperlink r:id="rId20" w:history="1">
              <w:r>
                <w:rPr>
                  <w:rStyle w:val="a3"/>
                  <w:rFonts w:ascii="Arial" w:eastAsia="Times New Roman" w:hAnsi="Arial" w:cs="Arial"/>
                  <w:sz w:val="20"/>
                  <w:szCs w:val="20"/>
                </w:rPr>
                <w:t>Amended and Restated Bylaws of ABM Industries Incorporated, dated March 26, 2020</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3.2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27, 2020</w:t>
            </w:r>
          </w:p>
        </w:tc>
      </w:tr>
      <w:tr w:rsidR="00000000">
        <w:trPr>
          <w:divId w:val="207096059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4.1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907494726"/>
              <w:rPr>
                <w:rFonts w:eastAsia="Times New Roman"/>
              </w:rPr>
            </w:pPr>
            <w:hyperlink r:id="rId21" w:history="1">
              <w:r>
                <w:rPr>
                  <w:rStyle w:val="a3"/>
                  <w:rFonts w:ascii="Arial" w:eastAsia="Times New Roman" w:hAnsi="Arial" w:cs="Arial"/>
                  <w:sz w:val="20"/>
                  <w:szCs w:val="20"/>
                </w:rPr>
                <w:t>Description of Registrant’s Securities</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4.1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17, 2020</w:t>
            </w:r>
          </w:p>
        </w:tc>
      </w:tr>
      <w:tr w:rsidR="00000000">
        <w:trPr>
          <w:divId w:val="2070960595"/>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604382772"/>
              <w:rPr>
                <w:rFonts w:eastAsia="Times New Roman"/>
              </w:rPr>
            </w:pPr>
            <w:hyperlink r:id="rId22" w:history="1">
              <w:r>
                <w:rPr>
                  <w:rStyle w:val="a3"/>
                  <w:rFonts w:ascii="Arial" w:eastAsia="Times New Roman" w:hAnsi="Arial" w:cs="Arial"/>
                  <w:sz w:val="20"/>
                  <w:szCs w:val="20"/>
                </w:rPr>
                <w:t>Credit Agreement, dated as of September 1, 2017, by and among ABM Industries Incorporated, a Delaware corporation, certain subsidiaries of ABM Industries I</w:t>
              </w:r>
              <w:r>
                <w:rPr>
                  <w:rStyle w:val="a3"/>
                  <w:rFonts w:ascii="Arial" w:eastAsia="Times New Roman" w:hAnsi="Arial" w:cs="Arial"/>
                  <w:sz w:val="20"/>
                  <w:szCs w:val="20"/>
                </w:rPr>
                <w:t>ncorporated from time to time party thereto, the lenders from time to time party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8, 2017</w:t>
            </w:r>
          </w:p>
        </w:tc>
      </w:tr>
      <w:tr w:rsidR="00000000">
        <w:trPr>
          <w:divId w:val="207096059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430466445"/>
              <w:rPr>
                <w:rFonts w:eastAsia="Times New Roman"/>
              </w:rPr>
            </w:pPr>
            <w:hyperlink r:id="rId23" w:history="1">
              <w:r>
                <w:rPr>
                  <w:rStyle w:val="a3"/>
                  <w:rFonts w:ascii="Arial" w:eastAsia="Times New Roman" w:hAnsi="Arial" w:cs="Arial"/>
                  <w:sz w:val="20"/>
                  <w:szCs w:val="20"/>
                </w:rPr>
                <w:t>Letter Agreement, dated November 6, 2017, between ABM Industries Incorporated and Bank of America, N.A., as Swingline Lender with respect to the Credit Ag</w:t>
              </w:r>
              <w:r>
                <w:rPr>
                  <w:rStyle w:val="a3"/>
                  <w:rFonts w:ascii="Arial" w:eastAsia="Times New Roman" w:hAnsi="Arial" w:cs="Arial"/>
                  <w:sz w:val="20"/>
                  <w:szCs w:val="20"/>
                </w:rPr>
                <w:t>reement dated as of September 1, 2017, among ABM Industries Incorporated, the Designated Borrowers party thereto, the Lenders party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2017</w:t>
            </w:r>
          </w:p>
        </w:tc>
      </w:tr>
      <w:tr w:rsidR="00000000">
        <w:trPr>
          <w:divId w:val="2070960595"/>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125612827"/>
              <w:rPr>
                <w:rFonts w:eastAsia="Times New Roman"/>
              </w:rPr>
            </w:pPr>
            <w:hyperlink r:id="rId24" w:history="1">
              <w:r>
                <w:rPr>
                  <w:rStyle w:val="a3"/>
                  <w:rFonts w:ascii="Arial" w:eastAsia="Times New Roman" w:hAnsi="Arial" w:cs="Arial"/>
                  <w:sz w:val="20"/>
                  <w:szCs w:val="20"/>
                </w:rPr>
                <w:t>First Amendment, dated as of July 3, 2018, to the Credit Agreement dated September 1, 2017, by and among ABM Industries Inco</w:t>
              </w:r>
              <w:r>
                <w:rPr>
                  <w:rStyle w:val="a3"/>
                  <w:rFonts w:ascii="Arial" w:eastAsia="Times New Roman" w:hAnsi="Arial" w:cs="Arial"/>
                  <w:sz w:val="20"/>
                  <w:szCs w:val="20"/>
                </w:rPr>
                <w:t>rporated, a Delaware corporation, the Designated Borrowers identified on the signature pages thereto, the Guarantors identified on the signature pages thereto, the Lenders identified on the signature pages thereto, and Bank of America, N.A., as administrat</w:t>
              </w:r>
              <w:r>
                <w:rPr>
                  <w:rStyle w:val="a3"/>
                  <w:rFonts w:ascii="Arial" w:eastAsia="Times New Roman" w:hAnsi="Arial" w:cs="Arial"/>
                  <w:sz w:val="20"/>
                  <w:szCs w:val="20"/>
                </w:rPr>
                <w:t>ive agent</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7, 2018</w:t>
            </w:r>
          </w:p>
        </w:tc>
      </w:tr>
      <w:tr w:rsidR="00000000">
        <w:trPr>
          <w:divId w:val="2070960595"/>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808350476"/>
              <w:rPr>
                <w:rFonts w:eastAsia="Times New Roman"/>
              </w:rPr>
            </w:pPr>
            <w:hyperlink r:id="rId25" w:history="1">
              <w:r>
                <w:rPr>
                  <w:rStyle w:val="a3"/>
                  <w:rFonts w:ascii="Arial" w:eastAsia="Times New Roman" w:hAnsi="Arial" w:cs="Arial"/>
                  <w:sz w:val="20"/>
                  <w:szCs w:val="20"/>
                </w:rPr>
                <w:t>Second Amendment, dated as of September 5, 2018, to the Credit Agreement dated September 1, 2017, by and among ABM Industries Incorporated, a Delaware corp</w:t>
              </w:r>
              <w:r>
                <w:rPr>
                  <w:rStyle w:val="a3"/>
                  <w:rFonts w:ascii="Arial" w:eastAsia="Times New Roman" w:hAnsi="Arial" w:cs="Arial"/>
                  <w:sz w:val="20"/>
                  <w:szCs w:val="20"/>
                </w:rPr>
                <w:t>oration, the Designated Borrowers identified on the signature pages thereto, the Guarantors identified on the signature pages thereto, the Lenders identified on the signature pages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7, 2018</w:t>
            </w:r>
          </w:p>
        </w:tc>
      </w:tr>
    </w:tbl>
    <w:p w:rsidR="00000000" w:rsidRDefault="00485CCD">
      <w:pPr>
        <w:jc w:val="center"/>
        <w:divId w:val="652367119"/>
        <w:rPr>
          <w:rFonts w:eastAsia="Times New Roman"/>
        </w:rPr>
      </w:pPr>
      <w:r>
        <w:rPr>
          <w:rFonts w:ascii="Arial" w:eastAsia="Times New Roman" w:hAnsi="Arial" w:cs="Arial"/>
          <w:color w:val="000000"/>
          <w:sz w:val="20"/>
          <w:szCs w:val="20"/>
        </w:rPr>
        <w:t>99</w:t>
      </w:r>
    </w:p>
    <w:p w:rsidR="00000000" w:rsidRDefault="00485CCD">
      <w:pPr>
        <w:rPr>
          <w:rFonts w:eastAsia="Times New Roman"/>
        </w:rPr>
      </w:pPr>
      <w:r>
        <w:rPr>
          <w:rFonts w:eastAsia="Times New Roman"/>
        </w:rPr>
        <w:pict>
          <v:rect id="_x0000_i1136" style="width:0;height:1.5pt" o:hralign="center" o:hrstd="t" o:hr="t" fillcolor="#a0a0a0" stroked="f"/>
        </w:pict>
      </w:r>
    </w:p>
    <w:p w:rsidR="00000000" w:rsidRDefault="00485CCD">
      <w:pPr>
        <w:divId w:val="13827503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806"/>
        <w:gridCol w:w="36"/>
        <w:gridCol w:w="36"/>
        <w:gridCol w:w="36"/>
        <w:gridCol w:w="36"/>
        <w:gridCol w:w="39"/>
        <w:gridCol w:w="3297"/>
        <w:gridCol w:w="38"/>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7"/>
      </w:tblGrid>
      <w:tr w:rsidR="00000000">
        <w:trPr>
          <w:divId w:val="403913412"/>
        </w:trPr>
        <w:tc>
          <w:tcPr>
            <w:tcW w:w="50" w:type="pct"/>
            <w:vAlign w:val="center"/>
            <w:hideMark/>
          </w:tcPr>
          <w:p w:rsidR="00000000" w:rsidRDefault="00485CCD">
            <w:pPr>
              <w:rPr>
                <w:rFonts w:eastAsia="Times New Roman"/>
              </w:rPr>
            </w:pPr>
          </w:p>
        </w:tc>
        <w:tc>
          <w:tcPr>
            <w:tcW w:w="5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10.5</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987365491"/>
              <w:rPr>
                <w:rFonts w:eastAsia="Times New Roman"/>
              </w:rPr>
            </w:pPr>
            <w:hyperlink r:id="rId26" w:history="1">
              <w:r>
                <w:rPr>
                  <w:rStyle w:val="a3"/>
                  <w:rFonts w:ascii="Arial" w:eastAsia="Times New Roman" w:hAnsi="Arial" w:cs="Arial"/>
                  <w:sz w:val="20"/>
                  <w:szCs w:val="20"/>
                </w:rPr>
                <w:t>Third Amendment, dated as of May 28, 2020, to the Credit Agreement dated September 1, 2017, by and among ABM Industries Incorporated, a Delaware corporati</w:t>
              </w:r>
              <w:r>
                <w:rPr>
                  <w:rStyle w:val="a3"/>
                  <w:rFonts w:ascii="Arial" w:eastAsia="Times New Roman" w:hAnsi="Arial" w:cs="Arial"/>
                  <w:sz w:val="20"/>
                  <w:szCs w:val="20"/>
                </w:rPr>
                <w:t xml:space="preserve">on, the Designated Borrowers identified on the signature pages thereto, the Guarantors identified on the signature pages thereto, the Lenders identified on the signatures pages thereto and Bank of America, N.A., as administrative agent </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 xml:space="preserve">10-Q </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18, 2020</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1412388540"/>
              <w:rPr>
                <w:rFonts w:eastAsia="Times New Roman"/>
              </w:rPr>
            </w:pPr>
            <w:hyperlink r:id="rId27" w:history="1">
              <w:r>
                <w:rPr>
                  <w:rStyle w:val="a3"/>
                  <w:rFonts w:ascii="Arial" w:eastAsia="Times New Roman" w:hAnsi="Arial" w:cs="Arial"/>
                  <w:sz w:val="20"/>
                  <w:szCs w:val="20"/>
                </w:rPr>
                <w:t>Fourth Amendment, dated as of June 28, 2021, to the Credit Agreement dated September 1, 2017, by and amo</w:t>
              </w:r>
              <w:r>
                <w:rPr>
                  <w:rStyle w:val="a3"/>
                  <w:rFonts w:ascii="Arial" w:eastAsia="Times New Roman" w:hAnsi="Arial" w:cs="Arial"/>
                  <w:sz w:val="20"/>
                  <w:szCs w:val="20"/>
                </w:rPr>
                <w:t>ng ABM Industries Incorporated, a Delaware corporation, the Designated Borrowers identified on the signature pages thereto, the Guarantors identified on the signature pages thereto, the Lenders identified on the signature pages thereto and Bank of America,</w:t>
              </w:r>
              <w:r>
                <w:rPr>
                  <w:rStyle w:val="a3"/>
                  <w:rFonts w:ascii="Arial" w:eastAsia="Times New Roman" w:hAnsi="Arial" w:cs="Arial"/>
                  <w:sz w:val="20"/>
                  <w:szCs w:val="20"/>
                </w:rPr>
                <w:t xml:space="preserve"> N.A.,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9, 2021</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478811817"/>
              <w:rPr>
                <w:rFonts w:eastAsia="Times New Roman"/>
              </w:rPr>
            </w:pPr>
            <w:hyperlink r:id="rId28" w:history="1">
              <w:r>
                <w:rPr>
                  <w:rStyle w:val="a3"/>
                  <w:rFonts w:ascii="Arial" w:eastAsia="Times New Roman" w:hAnsi="Arial" w:cs="Arial"/>
                  <w:sz w:val="20"/>
                  <w:szCs w:val="20"/>
                </w:rPr>
                <w:t>ABM Executive Retiree Healthcare and Dental Plan</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January 14, 2005</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10.8*</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817794328"/>
              <w:rPr>
                <w:rFonts w:eastAsia="Times New Roman"/>
              </w:rPr>
            </w:pPr>
            <w:hyperlink r:id="rId29" w:history="1">
              <w:r>
                <w:rPr>
                  <w:rStyle w:val="a3"/>
                  <w:rFonts w:ascii="Arial" w:eastAsia="Times New Roman" w:hAnsi="Arial" w:cs="Arial"/>
                  <w:sz w:val="20"/>
                  <w:szCs w:val="20"/>
                </w:rPr>
                <w:t>Director Retirement Plan Distribution Election Form, as revised June 16, 2006</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8, 2006</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10.9*</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1167787742"/>
              <w:rPr>
                <w:rFonts w:eastAsia="Times New Roman"/>
              </w:rPr>
            </w:pPr>
            <w:hyperlink r:id="rId30" w:history="1">
              <w:r>
                <w:rPr>
                  <w:rStyle w:val="a3"/>
                  <w:rFonts w:ascii="Arial" w:eastAsia="Times New Roman" w:hAnsi="Arial" w:cs="Arial"/>
                  <w:sz w:val="20"/>
                  <w:szCs w:val="20"/>
                </w:rPr>
                <w:t>Deferred Compensation Plan for Non-Employee Directors, as amended and restated December 13, 2010</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23, 2010</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10.10*</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23887805"/>
              <w:rPr>
                <w:rFonts w:eastAsia="Times New Roman"/>
              </w:rPr>
            </w:pPr>
            <w:hyperlink r:id="rId31" w:history="1">
              <w:r>
                <w:rPr>
                  <w:rStyle w:val="a3"/>
                  <w:rFonts w:ascii="Arial" w:eastAsia="Times New Roman" w:hAnsi="Arial" w:cs="Arial"/>
                  <w:sz w:val="20"/>
                  <w:szCs w:val="20"/>
                </w:rPr>
                <w:t>Form of Director’s Indemnification Agreement</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21, 2018</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1495804899"/>
              <w:rPr>
                <w:rFonts w:eastAsia="Times New Roman"/>
              </w:rPr>
            </w:pPr>
            <w:hyperlink r:id="rId32" w:history="1">
              <w:r>
                <w:rPr>
                  <w:rStyle w:val="a3"/>
                  <w:rFonts w:ascii="Arial" w:eastAsia="Times New Roman" w:hAnsi="Arial" w:cs="Arial"/>
                  <w:sz w:val="20"/>
                  <w:szCs w:val="20"/>
                </w:rPr>
                <w:t>2006 Equity Incentive Plan, as amended and restated March 7, 2018</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8, 2018</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848330731"/>
              <w:rPr>
                <w:rFonts w:eastAsia="Times New Roman"/>
              </w:rPr>
            </w:pPr>
            <w:hyperlink r:id="rId33" w:history="1">
              <w:r>
                <w:rPr>
                  <w:rStyle w:val="a3"/>
                  <w:rFonts w:ascii="Arial" w:eastAsia="Times New Roman" w:hAnsi="Arial" w:cs="Arial"/>
                  <w:sz w:val="20"/>
                  <w:szCs w:val="20"/>
                </w:rPr>
                <w:t>ABM Industries Incorporated 2021 Equity and Incentive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26, 2021</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10.13*</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081899556"/>
              <w:rPr>
                <w:rFonts w:eastAsia="Times New Roman"/>
              </w:rPr>
            </w:pPr>
            <w:hyperlink r:id="rId34" w:history="1">
              <w:r>
                <w:rPr>
                  <w:rStyle w:val="a3"/>
                  <w:rFonts w:ascii="Arial" w:eastAsia="Times New Roman" w:hAnsi="Arial" w:cs="Arial"/>
                  <w:sz w:val="20"/>
                  <w:szCs w:val="20"/>
                </w:rPr>
                <w:t>Statement of Terms and Conditions Applicable to Options, Restricted Stock and Restricted Stock Units</w:t>
              </w:r>
            </w:hyperlink>
            <w:hyperlink r:id="rId35" w:history="1">
              <w:r>
                <w:rPr>
                  <w:rStyle w:val="a3"/>
                  <w:rFonts w:ascii="Arial" w:eastAsia="Times New Roman" w:hAnsi="Arial" w:cs="Arial"/>
                  <w:sz w:val="20"/>
                  <w:szCs w:val="20"/>
                </w:rPr>
                <w:t>,</w:t>
              </w:r>
            </w:hyperlink>
            <w:hyperlink r:id="rId36" w:history="1">
              <w:r>
                <w:rPr>
                  <w:rStyle w:val="a3"/>
                  <w:rFonts w:ascii="Arial" w:eastAsia="Times New Roman" w:hAnsi="Arial" w:cs="Arial"/>
                  <w:sz w:val="20"/>
                  <w:szCs w:val="20"/>
                </w:rPr>
                <w:t xml:space="preserve"> and Performance Shares Granted to Employees Pursuant to the 2006 Equity Incentive Plan, for Awards Granted </w:t>
              </w:r>
              <w:r>
                <w:rPr>
                  <w:rStyle w:val="a3"/>
                  <w:rFonts w:ascii="Arial" w:eastAsia="Times New Roman" w:hAnsi="Arial" w:cs="Arial"/>
                  <w:sz w:val="20"/>
                  <w:szCs w:val="20"/>
                </w:rPr>
                <w:t>on or after March 4, 2015</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3, 2015</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10.14*</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820780361"/>
              <w:rPr>
                <w:rFonts w:eastAsia="Times New Roman"/>
              </w:rPr>
            </w:pPr>
            <w:hyperlink r:id="rId37" w:history="1">
              <w:r>
                <w:rPr>
                  <w:rStyle w:val="a3"/>
                  <w:rFonts w:ascii="Arial" w:eastAsia="Times New Roman" w:hAnsi="Arial" w:cs="Arial"/>
                  <w:sz w:val="20"/>
                  <w:szCs w:val="20"/>
                </w:rPr>
                <w:t>Statement of Terms and Conditions Applicable to Options, Restricted Stock and Restricted Stock Units</w:t>
              </w:r>
            </w:hyperlink>
            <w:hyperlink r:id="rId38" w:history="1">
              <w:r>
                <w:rPr>
                  <w:rStyle w:val="a3"/>
                  <w:rFonts w:ascii="Arial" w:eastAsia="Times New Roman" w:hAnsi="Arial" w:cs="Arial"/>
                  <w:sz w:val="20"/>
                  <w:szCs w:val="20"/>
                </w:rPr>
                <w:t>,</w:t>
              </w:r>
            </w:hyperlink>
            <w:hyperlink r:id="rId39" w:history="1">
              <w:r>
                <w:rPr>
                  <w:rStyle w:val="a3"/>
                  <w:rFonts w:ascii="Arial" w:eastAsia="Times New Roman" w:hAnsi="Arial" w:cs="Arial"/>
                  <w:sz w:val="20"/>
                  <w:szCs w:val="20"/>
                </w:rPr>
                <w:t xml:space="preserve"> and Performance Shares Granted to Employees Pursuant to the 2006 Equity Incentive Plan, for Awards Granted on or after January 1, 2020</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5, 2020</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10.15*</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11890966"/>
              <w:rPr>
                <w:rFonts w:eastAsia="Times New Roman"/>
              </w:rPr>
            </w:pPr>
            <w:hyperlink r:id="rId40" w:history="1">
              <w:r>
                <w:rPr>
                  <w:rStyle w:val="a3"/>
                  <w:rFonts w:ascii="Arial" w:eastAsia="Times New Roman" w:hAnsi="Arial" w:cs="Arial"/>
                  <w:sz w:val="20"/>
                  <w:szCs w:val="20"/>
                </w:rPr>
                <w:t>Statement of Terms and Conditions Applicable to Options, Restricted Stock, Restricted Stock Units</w:t>
              </w:r>
            </w:hyperlink>
            <w:hyperlink r:id="rId41" w:history="1">
              <w:r>
                <w:rPr>
                  <w:rStyle w:val="a3"/>
                  <w:rFonts w:ascii="Arial" w:eastAsia="Times New Roman" w:hAnsi="Arial" w:cs="Arial"/>
                  <w:sz w:val="20"/>
                  <w:szCs w:val="20"/>
                </w:rPr>
                <w:t>,</w:t>
              </w:r>
            </w:hyperlink>
            <w:hyperlink r:id="rId42" w:history="1">
              <w:r>
                <w:rPr>
                  <w:rStyle w:val="a3"/>
                  <w:rFonts w:ascii="Arial" w:eastAsia="Times New Roman" w:hAnsi="Arial" w:cs="Arial"/>
                  <w:sz w:val="20"/>
                  <w:szCs w:val="20"/>
                </w:rPr>
                <w:t xml:space="preserve"> and Performance Shares Granted to Employees Pursuant to the 2006 Equity Incentive Plan, for Awards Gr</w:t>
              </w:r>
              <w:r>
                <w:rPr>
                  <w:rStyle w:val="a3"/>
                  <w:rFonts w:ascii="Arial" w:eastAsia="Times New Roman" w:hAnsi="Arial" w:cs="Arial"/>
                  <w:sz w:val="20"/>
                  <w:szCs w:val="20"/>
                </w:rPr>
                <w:t>anted on July 14, 2020</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10.16</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17, 2020</w:t>
            </w:r>
          </w:p>
        </w:tc>
      </w:tr>
      <w:tr w:rsidR="00000000">
        <w:trPr>
          <w:divId w:val="403913412"/>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10.16*</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570730405"/>
              <w:rPr>
                <w:rFonts w:eastAsia="Times New Roman"/>
              </w:rPr>
            </w:pPr>
            <w:hyperlink r:id="rId43" w:history="1">
              <w:r>
                <w:rPr>
                  <w:rStyle w:val="a3"/>
                  <w:rFonts w:ascii="Arial" w:eastAsia="Times New Roman" w:hAnsi="Arial" w:cs="Arial"/>
                  <w:sz w:val="20"/>
                  <w:szCs w:val="20"/>
                </w:rPr>
                <w:t>Statement of Terms and Conditions Applicable to Options, Restricted Stock, Restricted Stock Units and Performance Shares Granted to Employees Pursuant t</w:t>
              </w:r>
              <w:r>
                <w:rPr>
                  <w:rStyle w:val="a3"/>
                  <w:rFonts w:ascii="Arial" w:eastAsia="Times New Roman" w:hAnsi="Arial" w:cs="Arial"/>
                  <w:sz w:val="20"/>
                  <w:szCs w:val="20"/>
                </w:rPr>
                <w:t>o the 2006 Equity Incentive Plan, for Awards Granted with a Two-Year Vesting Schedule</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17, 2020</w:t>
            </w:r>
          </w:p>
        </w:tc>
      </w:tr>
      <w:tr w:rsidR="00000000">
        <w:trPr>
          <w:divId w:val="403913412"/>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10.17*</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1705255255"/>
              <w:rPr>
                <w:rFonts w:eastAsia="Times New Roman"/>
              </w:rPr>
            </w:pPr>
            <w:hyperlink r:id="rId44" w:history="1">
              <w:r>
                <w:rPr>
                  <w:rStyle w:val="a3"/>
                  <w:rFonts w:ascii="Arial" w:eastAsia="Times New Roman" w:hAnsi="Arial" w:cs="Arial"/>
                  <w:sz w:val="20"/>
                  <w:szCs w:val="20"/>
                </w:rPr>
                <w:t>Statement of Terms and Conditions Applicable to Awards Granted to Employees Pursuant to the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bl>
    <w:p w:rsidR="00000000" w:rsidRDefault="00485CCD">
      <w:pPr>
        <w:jc w:val="center"/>
        <w:divId w:val="85998314"/>
        <w:rPr>
          <w:rFonts w:eastAsia="Times New Roman"/>
        </w:rPr>
      </w:pPr>
      <w:r>
        <w:rPr>
          <w:rFonts w:ascii="Arial" w:eastAsia="Times New Roman" w:hAnsi="Arial" w:cs="Arial"/>
          <w:color w:val="000000"/>
          <w:sz w:val="20"/>
          <w:szCs w:val="20"/>
        </w:rPr>
        <w:t>100</w:t>
      </w:r>
    </w:p>
    <w:p w:rsidR="00000000" w:rsidRDefault="00485CCD">
      <w:pPr>
        <w:rPr>
          <w:rFonts w:eastAsia="Times New Roman"/>
        </w:rPr>
      </w:pPr>
      <w:r>
        <w:rPr>
          <w:rFonts w:eastAsia="Times New Roman"/>
        </w:rPr>
        <w:pict>
          <v:rect id="_x0000_i1137" style="width:0;height:1.5pt" o:hralign="center" o:hrstd="t" o:hr="t" fillcolor="#a0a0a0" stroked="f"/>
        </w:pict>
      </w:r>
    </w:p>
    <w:p w:rsidR="00000000" w:rsidRDefault="00485CCD">
      <w:pPr>
        <w:divId w:val="3333432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805"/>
        <w:gridCol w:w="36"/>
        <w:gridCol w:w="36"/>
        <w:gridCol w:w="36"/>
        <w:gridCol w:w="36"/>
        <w:gridCol w:w="38"/>
        <w:gridCol w:w="3298"/>
        <w:gridCol w:w="37"/>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9"/>
      </w:tblGrid>
      <w:tr w:rsidR="00000000">
        <w:trPr>
          <w:divId w:val="1915167813"/>
        </w:trPr>
        <w:tc>
          <w:tcPr>
            <w:tcW w:w="50" w:type="pct"/>
            <w:vAlign w:val="center"/>
            <w:hideMark/>
          </w:tcPr>
          <w:p w:rsidR="00000000" w:rsidRDefault="00485CCD">
            <w:pPr>
              <w:rPr>
                <w:rFonts w:eastAsia="Times New Roman"/>
              </w:rPr>
            </w:pPr>
          </w:p>
        </w:tc>
        <w:tc>
          <w:tcPr>
            <w:tcW w:w="5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628272229"/>
              <w:rPr>
                <w:rFonts w:eastAsia="Times New Roman"/>
              </w:rPr>
            </w:pPr>
            <w:hyperlink r:id="rId45" w:history="1">
              <w:r>
                <w:rPr>
                  <w:rStyle w:val="a3"/>
                  <w:rFonts w:ascii="Arial" w:eastAsia="Times New Roman" w:hAnsi="Arial" w:cs="Arial"/>
                  <w:sz w:val="20"/>
                  <w:szCs w:val="20"/>
                </w:rPr>
                <w:t>Statement of Terms and Conditions Applicable to Options, Restricted Stock</w:t>
              </w:r>
            </w:hyperlink>
            <w:hyperlink r:id="rId46" w:history="1">
              <w:r>
                <w:rPr>
                  <w:rStyle w:val="a3"/>
                  <w:rFonts w:ascii="Arial" w:eastAsia="Times New Roman" w:hAnsi="Arial" w:cs="Arial"/>
                  <w:sz w:val="20"/>
                  <w:szCs w:val="20"/>
                </w:rPr>
                <w:t>,</w:t>
              </w:r>
            </w:hyperlink>
            <w:hyperlink r:id="rId47" w:history="1">
              <w:r>
                <w:rPr>
                  <w:rStyle w:val="a3"/>
                  <w:rFonts w:ascii="Arial" w:eastAsia="Times New Roman" w:hAnsi="Arial" w:cs="Arial"/>
                  <w:sz w:val="20"/>
                  <w:szCs w:val="20"/>
                </w:rPr>
                <w:t xml:space="preserve"> and Restricted Stock Units Granted to Directors Pursuant to the 2006 Equity Incentive Plan, for Awards Granted on or after March 4, 20</w:t>
              </w:r>
              <w:r>
                <w:rPr>
                  <w:rStyle w:val="a3"/>
                  <w:rFonts w:ascii="Arial" w:eastAsia="Times New Roman" w:hAnsi="Arial" w:cs="Arial"/>
                  <w:sz w:val="20"/>
                  <w:szCs w:val="20"/>
                </w:rPr>
                <w:t>15</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3, 2015</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10.19*</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441993951"/>
              <w:rPr>
                <w:rFonts w:eastAsia="Times New Roman"/>
              </w:rPr>
            </w:pPr>
            <w:hyperlink r:id="rId48" w:history="1">
              <w:r>
                <w:rPr>
                  <w:rStyle w:val="a3"/>
                  <w:rFonts w:ascii="Arial" w:eastAsia="Times New Roman" w:hAnsi="Arial" w:cs="Arial"/>
                  <w:sz w:val="20"/>
                  <w:szCs w:val="20"/>
                </w:rPr>
                <w:t>Statement of Terms and Conditions Applicable to Options, Restricted Stock</w:t>
              </w:r>
            </w:hyperlink>
            <w:hyperlink r:id="rId49" w:history="1">
              <w:r>
                <w:rPr>
                  <w:rStyle w:val="a3"/>
                  <w:rFonts w:ascii="Arial" w:eastAsia="Times New Roman" w:hAnsi="Arial" w:cs="Arial"/>
                  <w:sz w:val="20"/>
                  <w:szCs w:val="20"/>
                </w:rPr>
                <w:t>,</w:t>
              </w:r>
            </w:hyperlink>
            <w:hyperlink r:id="rId50" w:history="1">
              <w:r>
                <w:rPr>
                  <w:rStyle w:val="a3"/>
                  <w:rFonts w:ascii="Arial" w:eastAsia="Times New Roman" w:hAnsi="Arial" w:cs="Arial"/>
                  <w:sz w:val="20"/>
                  <w:szCs w:val="20"/>
                </w:rPr>
                <w:t xml:space="preserve"> and Restricted Stock Units Granted to Directors Pursuant to the 2006 Equity Incentive Plan, for Awards Granted on or after January </w:t>
              </w:r>
              <w:r>
                <w:rPr>
                  <w:rStyle w:val="a3"/>
                  <w:rFonts w:ascii="Arial" w:eastAsia="Times New Roman" w:hAnsi="Arial" w:cs="Arial"/>
                  <w:sz w:val="20"/>
                  <w:szCs w:val="20"/>
                </w:rPr>
                <w:t>1, 2020</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5, 2020</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10.20*</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679112111"/>
              <w:rPr>
                <w:rFonts w:eastAsia="Times New Roman"/>
              </w:rPr>
            </w:pPr>
            <w:hyperlink r:id="rId51" w:history="1">
              <w:r>
                <w:rPr>
                  <w:rStyle w:val="a3"/>
                  <w:rFonts w:ascii="Arial" w:eastAsia="Times New Roman" w:hAnsi="Arial" w:cs="Arial"/>
                  <w:sz w:val="20"/>
                  <w:szCs w:val="20"/>
                </w:rPr>
                <w:t xml:space="preserve">Statement of Terms and Conditions Applicable to Awards Granted to Non-Employee </w:t>
              </w:r>
            </w:hyperlink>
            <w:hyperlink r:id="rId52" w:history="1">
              <w:r>
                <w:rPr>
                  <w:rStyle w:val="a3"/>
                  <w:rFonts w:ascii="Arial" w:eastAsia="Times New Roman" w:hAnsi="Arial" w:cs="Arial"/>
                  <w:sz w:val="20"/>
                  <w:szCs w:val="20"/>
                </w:rPr>
                <w:t>Directors P</w:t>
              </w:r>
            </w:hyperlink>
            <w:hyperlink r:id="rId53" w:history="1">
              <w:r>
                <w:rPr>
                  <w:rStyle w:val="a3"/>
                  <w:rFonts w:ascii="Arial" w:eastAsia="Times New Roman" w:hAnsi="Arial" w:cs="Arial"/>
                  <w:sz w:val="20"/>
                  <w:szCs w:val="20"/>
                </w:rPr>
                <w:t>ursuant</w:t>
              </w:r>
            </w:hyperlink>
            <w:hyperlink r:id="rId54" w:history="1">
              <w:r>
                <w:rPr>
                  <w:rStyle w:val="a3"/>
                  <w:rFonts w:ascii="Arial" w:eastAsia="Times New Roman" w:hAnsi="Arial" w:cs="Arial"/>
                  <w:sz w:val="20"/>
                  <w:szCs w:val="20"/>
                </w:rPr>
                <w:t xml:space="preserve"> to the</w:t>
              </w:r>
              <w:r>
                <w:rPr>
                  <w:rStyle w:val="a3"/>
                  <w:rFonts w:ascii="Arial" w:eastAsia="Times New Roman" w:hAnsi="Arial" w:cs="Arial"/>
                  <w:sz w:val="20"/>
                  <w:szCs w:val="20"/>
                </w:rPr>
                <w:t xml:space="preserve"> 2021 Equity and Incentive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008-08929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1305086811"/>
              <w:rPr>
                <w:rFonts w:eastAsia="Times New Roman"/>
              </w:rPr>
            </w:pPr>
            <w:hyperlink r:id="rId55" w:history="1">
              <w:r>
                <w:rPr>
                  <w:rStyle w:val="a3"/>
                  <w:rFonts w:ascii="Arial" w:eastAsia="Times New Roman" w:hAnsi="Arial" w:cs="Arial"/>
                  <w:sz w:val="20"/>
                  <w:szCs w:val="20"/>
                </w:rPr>
                <w:t>Form of Restricted Stock Unit Agreement - 2006 Equity Plan</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10.18</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20, 2019</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677535521"/>
              <w:rPr>
                <w:rFonts w:eastAsia="Times New Roman"/>
              </w:rPr>
            </w:pPr>
            <w:hyperlink r:id="rId56" w:history="1">
              <w:r>
                <w:rPr>
                  <w:rStyle w:val="a3"/>
                  <w:rFonts w:ascii="Arial" w:eastAsia="Times New Roman" w:hAnsi="Arial" w:cs="Arial"/>
                  <w:sz w:val="20"/>
                  <w:szCs w:val="20"/>
                </w:rPr>
                <w:t>Form of Performance Share Agreement - 2006 Equity Plan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20, 2019</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10.23*</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145323943"/>
              <w:rPr>
                <w:rFonts w:eastAsia="Times New Roman"/>
              </w:rPr>
            </w:pPr>
            <w:hyperlink r:id="rId57" w:history="1">
              <w:r>
                <w:rPr>
                  <w:rStyle w:val="a3"/>
                  <w:rFonts w:ascii="Arial" w:eastAsia="Times New Roman" w:hAnsi="Arial" w:cs="Arial"/>
                  <w:sz w:val="20"/>
                  <w:szCs w:val="20"/>
                </w:rPr>
                <w:t>Executive Stock Option Plan (aka Age-Vested Career Stock Option Plan), as amended and restated June 4, 2012</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6, 2012</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10.24*</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2133984296"/>
              <w:rPr>
                <w:rFonts w:eastAsia="Times New Roman"/>
              </w:rPr>
            </w:pPr>
            <w:hyperlink r:id="rId58" w:history="1">
              <w:r>
                <w:rPr>
                  <w:rStyle w:val="a3"/>
                  <w:rFonts w:ascii="Arial" w:eastAsia="Times New Roman" w:hAnsi="Arial" w:cs="Arial"/>
                  <w:sz w:val="20"/>
                  <w:szCs w:val="20"/>
                </w:rPr>
                <w:t>Deferred Compensation Plan for Executives, amended and restated October 25, 2010</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10.22</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23, 2010</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10.25*</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142352195"/>
              <w:rPr>
                <w:rFonts w:eastAsia="Times New Roman"/>
              </w:rPr>
            </w:pPr>
            <w:hyperlink r:id="rId59" w:history="1">
              <w:r>
                <w:rPr>
                  <w:rStyle w:val="a3"/>
                  <w:rFonts w:ascii="Arial" w:eastAsia="Times New Roman" w:hAnsi="Arial" w:cs="Arial"/>
                  <w:sz w:val="20"/>
                  <w:szCs w:val="20"/>
                </w:rPr>
                <w:t>Supplemental Executive Retirement Plan, as amended and restated June 3, 2008</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8, 2008</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10.26*</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889367122"/>
              <w:rPr>
                <w:rFonts w:eastAsia="Times New Roman"/>
              </w:rPr>
            </w:pPr>
            <w:hyperlink r:id="rId60" w:history="1">
              <w:r>
                <w:rPr>
                  <w:rStyle w:val="a3"/>
                  <w:rFonts w:ascii="Arial" w:eastAsia="Times New Roman" w:hAnsi="Arial" w:cs="Arial"/>
                  <w:sz w:val="20"/>
                  <w:szCs w:val="20"/>
                </w:rPr>
                <w:t>Service Award Benefit Plan, as amended and restated June 3, 2008</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September 8, 2008</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10.27*</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14243075"/>
              <w:rPr>
                <w:rFonts w:eastAsia="Times New Roman"/>
              </w:rPr>
            </w:pPr>
            <w:hyperlink r:id="rId61" w:history="1">
              <w:r>
                <w:rPr>
                  <w:rStyle w:val="a3"/>
                  <w:rFonts w:ascii="Arial" w:eastAsia="Times New Roman" w:hAnsi="Arial" w:cs="Arial"/>
                  <w:sz w:val="20"/>
                  <w:szCs w:val="20"/>
                </w:rPr>
                <w:t>Executive Severance Pay Policy, as amended and restated March 7, 2011</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10, 2011</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10.28*</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1811749627"/>
              <w:rPr>
                <w:rFonts w:eastAsia="Times New Roman"/>
              </w:rPr>
            </w:pPr>
            <w:hyperlink r:id="rId62" w:history="1">
              <w:r>
                <w:rPr>
                  <w:rStyle w:val="a3"/>
                  <w:rFonts w:ascii="Arial" w:eastAsia="Times New Roman" w:hAnsi="Arial" w:cs="Arial"/>
                  <w:sz w:val="20"/>
                  <w:szCs w:val="20"/>
                </w:rPr>
                <w:t>Amended and Restated Executive Employment Agreement, dated as of September 22, 2017, by and between ABM Industries Incorporated and Scott Salmirs</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10.28</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2017</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10.29*</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716204792"/>
              <w:rPr>
                <w:rFonts w:eastAsia="Times New Roman"/>
              </w:rPr>
            </w:pPr>
            <w:hyperlink r:id="rId63" w:history="1">
              <w:r>
                <w:rPr>
                  <w:rStyle w:val="a3"/>
                  <w:rFonts w:ascii="Arial" w:eastAsia="Times New Roman" w:hAnsi="Arial" w:cs="Arial"/>
                  <w:sz w:val="20"/>
                  <w:szCs w:val="20"/>
                </w:rPr>
                <w:t>Amended and Restated Change in Control Agreement, dated as of September 22, 2017, by and between ABM Industries Incorporated and Scott Salmirs</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w:t>
            </w:r>
            <w:r>
              <w:rPr>
                <w:rFonts w:ascii="Arial" w:eastAsia="Times New Roman" w:hAnsi="Arial" w:cs="Arial"/>
                <w:color w:val="000000"/>
                <w:sz w:val="20"/>
                <w:szCs w:val="20"/>
              </w:rPr>
              <w:t>K</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2017</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10.30*</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1244221054"/>
              <w:rPr>
                <w:rFonts w:eastAsia="Times New Roman"/>
              </w:rPr>
            </w:pPr>
            <w:hyperlink r:id="rId64" w:history="1">
              <w:r>
                <w:rPr>
                  <w:rStyle w:val="a3"/>
                  <w:rFonts w:ascii="Arial" w:eastAsia="Times New Roman" w:hAnsi="Arial" w:cs="Arial"/>
                  <w:sz w:val="20"/>
                  <w:szCs w:val="20"/>
                </w:rPr>
                <w:t>Executive Employment Agreement, dated as of November 1, 2017, by and between ABM Industries Incorporated and Scott Giacobbe</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2018</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1158228739"/>
              <w:rPr>
                <w:rFonts w:eastAsia="Times New Roman"/>
              </w:rPr>
            </w:pPr>
            <w:hyperlink r:id="rId65" w:history="1">
              <w:r>
                <w:rPr>
                  <w:rStyle w:val="a3"/>
                  <w:rFonts w:ascii="Arial" w:eastAsia="Times New Roman" w:hAnsi="Arial" w:cs="Arial"/>
                  <w:sz w:val="20"/>
                  <w:szCs w:val="20"/>
                </w:rPr>
                <w:t>Change in Control Agreement, dated as of November 1, 2017, by and between ABM Industries Incorporated</w:t>
              </w:r>
              <w:r>
                <w:rPr>
                  <w:rStyle w:val="a3"/>
                  <w:rFonts w:ascii="Arial" w:eastAsia="Times New Roman" w:hAnsi="Arial" w:cs="Arial"/>
                  <w:sz w:val="20"/>
                  <w:szCs w:val="20"/>
                </w:rPr>
                <w:t xml:space="preserve"> and Scott Giacobbe</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2018</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953943574"/>
              <w:rPr>
                <w:rFonts w:eastAsia="Times New Roman"/>
              </w:rPr>
            </w:pPr>
            <w:hyperlink r:id="rId66" w:history="1">
              <w:r>
                <w:rPr>
                  <w:rStyle w:val="a3"/>
                  <w:rFonts w:ascii="Arial" w:eastAsia="Times New Roman" w:hAnsi="Arial" w:cs="Arial"/>
                  <w:sz w:val="20"/>
                  <w:szCs w:val="20"/>
                </w:rPr>
                <w:t>Amendment to Executive Employment Agreement, dated as of November 1, 2017, by and between ABM Industries Incorporated and Scott Giacobbe</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w:t>
            </w:r>
            <w:r>
              <w:rPr>
                <w:rFonts w:ascii="Arial" w:eastAsia="Times New Roman" w:hAnsi="Arial" w:cs="Arial"/>
                <w:color w:val="000000"/>
                <w:sz w:val="20"/>
                <w:szCs w:val="20"/>
              </w:rPr>
              <w:t>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10.33*</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12811331"/>
              <w:rPr>
                <w:rFonts w:eastAsia="Times New Roman"/>
              </w:rPr>
            </w:pPr>
            <w:hyperlink r:id="rId67" w:history="1">
              <w:r>
                <w:rPr>
                  <w:rStyle w:val="a3"/>
                  <w:rFonts w:ascii="Arial" w:eastAsia="Times New Roman" w:hAnsi="Arial" w:cs="Arial"/>
                  <w:sz w:val="20"/>
                  <w:szCs w:val="20"/>
                </w:rPr>
                <w:t>Release Agreement, dated as of May 27, 2021, by and between ABM Industries Incorporated and Scott Giacobbe</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10.34*</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569850854"/>
              <w:rPr>
                <w:rFonts w:eastAsia="Times New Roman"/>
              </w:rPr>
            </w:pPr>
            <w:hyperlink r:id="rId68" w:history="1">
              <w:r>
                <w:rPr>
                  <w:rStyle w:val="a3"/>
                  <w:rFonts w:ascii="Arial" w:eastAsia="Times New Roman" w:hAnsi="Arial" w:cs="Arial"/>
                  <w:sz w:val="20"/>
                  <w:szCs w:val="20"/>
                </w:rPr>
                <w:t>Executive Employment Agreement, dated as of January 1, 2018, by and between ABM Industries Incorporated and Rene Jacobsen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2018</w:t>
            </w:r>
          </w:p>
        </w:tc>
      </w:tr>
      <w:tr w:rsidR="00000000">
        <w:trPr>
          <w:divId w:val="1915167813"/>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10.35*</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485CCD">
            <w:pPr>
              <w:divId w:val="2090423813"/>
              <w:rPr>
                <w:rFonts w:eastAsia="Times New Roman"/>
              </w:rPr>
            </w:pPr>
            <w:hyperlink r:id="rId69" w:history="1">
              <w:r>
                <w:rPr>
                  <w:rStyle w:val="a3"/>
                  <w:rFonts w:ascii="Arial" w:eastAsia="Times New Roman" w:hAnsi="Arial" w:cs="Arial"/>
                  <w:sz w:val="20"/>
                  <w:szCs w:val="20"/>
                </w:rPr>
                <w:t>Change in Control Agreement, dated as of January 1, 2018, by and between ABM Industries Incorporated and Rene Jacobsen</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2018</w:t>
            </w:r>
          </w:p>
        </w:tc>
      </w:tr>
      <w:tr w:rsidR="00000000">
        <w:trPr>
          <w:divId w:val="1915167813"/>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10.36*</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431364171"/>
              <w:rPr>
                <w:rFonts w:eastAsia="Times New Roman"/>
              </w:rPr>
            </w:pPr>
            <w:hyperlink r:id="rId70" w:history="1">
              <w:r>
                <w:rPr>
                  <w:rStyle w:val="a3"/>
                  <w:rFonts w:ascii="Arial" w:eastAsia="Times New Roman" w:hAnsi="Arial" w:cs="Arial"/>
                  <w:sz w:val="20"/>
                  <w:szCs w:val="20"/>
                </w:rPr>
                <w:t>Executive Employment Agreement, dated as of March 1, 2018, by and between ABM Industries Incorporated and Andrea Newborn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2019</w:t>
            </w:r>
          </w:p>
        </w:tc>
      </w:tr>
    </w:tbl>
    <w:p w:rsidR="00000000" w:rsidRDefault="00485CCD">
      <w:pPr>
        <w:jc w:val="center"/>
        <w:divId w:val="170031369"/>
        <w:rPr>
          <w:rFonts w:eastAsia="Times New Roman"/>
        </w:rPr>
      </w:pPr>
      <w:r>
        <w:rPr>
          <w:rFonts w:ascii="Arial" w:eastAsia="Times New Roman" w:hAnsi="Arial" w:cs="Arial"/>
          <w:color w:val="000000"/>
          <w:sz w:val="20"/>
          <w:szCs w:val="20"/>
        </w:rPr>
        <w:t>101</w:t>
      </w:r>
    </w:p>
    <w:p w:rsidR="00000000" w:rsidRDefault="00485CCD">
      <w:pPr>
        <w:rPr>
          <w:rFonts w:eastAsia="Times New Roman"/>
        </w:rPr>
      </w:pPr>
      <w:r>
        <w:rPr>
          <w:rFonts w:eastAsia="Times New Roman"/>
        </w:rPr>
        <w:pict>
          <v:rect id="_x0000_i1138" style="width:0;height:1.5pt" o:hralign="center" o:hrstd="t" o:hr="t" fillcolor="#a0a0a0" stroked="f"/>
        </w:pict>
      </w:r>
    </w:p>
    <w:p w:rsidR="00000000" w:rsidRDefault="00485CCD">
      <w:pPr>
        <w:divId w:val="15494888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38"/>
        <w:gridCol w:w="38"/>
        <w:gridCol w:w="36"/>
        <w:gridCol w:w="36"/>
        <w:gridCol w:w="36"/>
        <w:gridCol w:w="37"/>
        <w:gridCol w:w="3287"/>
        <w:gridCol w:w="36"/>
        <w:gridCol w:w="36"/>
        <w:gridCol w:w="36"/>
        <w:gridCol w:w="36"/>
        <w:gridCol w:w="56"/>
        <w:gridCol w:w="349"/>
        <w:gridCol w:w="36"/>
        <w:gridCol w:w="36"/>
        <w:gridCol w:w="36"/>
        <w:gridCol w:w="36"/>
        <w:gridCol w:w="54"/>
        <w:gridCol w:w="790"/>
        <w:gridCol w:w="36"/>
        <w:gridCol w:w="36"/>
        <w:gridCol w:w="36"/>
        <w:gridCol w:w="36"/>
        <w:gridCol w:w="70"/>
        <w:gridCol w:w="482"/>
        <w:gridCol w:w="36"/>
        <w:gridCol w:w="36"/>
        <w:gridCol w:w="36"/>
        <w:gridCol w:w="36"/>
        <w:gridCol w:w="51"/>
        <w:gridCol w:w="1449"/>
        <w:gridCol w:w="37"/>
      </w:tblGrid>
      <w:tr w:rsidR="00000000">
        <w:trPr>
          <w:divId w:val="773328917"/>
        </w:trPr>
        <w:tc>
          <w:tcPr>
            <w:tcW w:w="50" w:type="pct"/>
            <w:vAlign w:val="center"/>
            <w:hideMark/>
          </w:tcPr>
          <w:p w:rsidR="00000000" w:rsidRDefault="00485CCD">
            <w:pPr>
              <w:rPr>
                <w:rFonts w:eastAsia="Times New Roman"/>
              </w:rPr>
            </w:pPr>
          </w:p>
        </w:tc>
        <w:tc>
          <w:tcPr>
            <w:tcW w:w="500"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1999"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44"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0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3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26"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90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10.37*</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2035382371"/>
              <w:rPr>
                <w:rFonts w:eastAsia="Times New Roman"/>
              </w:rPr>
            </w:pPr>
            <w:hyperlink r:id="rId71" w:history="1">
              <w:r>
                <w:rPr>
                  <w:rStyle w:val="a3"/>
                  <w:rFonts w:ascii="Arial" w:eastAsia="Times New Roman" w:hAnsi="Arial" w:cs="Arial"/>
                  <w:sz w:val="20"/>
                  <w:szCs w:val="20"/>
                </w:rPr>
                <w:t>Change in Control Agreement, dated as of March 1, 2018, by and between ABM Industries Incorporated and Andrea Newborn</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March 7, 2019</w:t>
            </w: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10.38*</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5CCD">
            <w:pPr>
              <w:divId w:val="629483353"/>
              <w:rPr>
                <w:rFonts w:eastAsia="Times New Roman"/>
              </w:rPr>
            </w:pPr>
            <w:hyperlink r:id="rId72" w:history="1">
              <w:r>
                <w:rPr>
                  <w:rStyle w:val="a3"/>
                  <w:rFonts w:ascii="Arial" w:eastAsia="Times New Roman" w:hAnsi="Arial" w:cs="Arial"/>
                  <w:sz w:val="20"/>
                  <w:szCs w:val="20"/>
                </w:rPr>
                <w:t>Executive Employment Agreement, dated as of October 28, 2019, by and between ABM Industries Incorporated and Josh</w:t>
              </w:r>
              <w:r>
                <w:rPr>
                  <w:rStyle w:val="a3"/>
                  <w:rFonts w:ascii="Arial" w:eastAsia="Times New Roman" w:hAnsi="Arial" w:cs="Arial"/>
                  <w:sz w:val="20"/>
                  <w:szCs w:val="20"/>
                </w:rPr>
                <w:t>ua H. Feinberg</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20, 2019</w:t>
            </w: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10.39*</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477259513"/>
              <w:rPr>
                <w:rFonts w:eastAsia="Times New Roman"/>
              </w:rPr>
            </w:pPr>
            <w:hyperlink r:id="rId73" w:history="1">
              <w:r>
                <w:rPr>
                  <w:rStyle w:val="a3"/>
                  <w:rFonts w:ascii="Arial" w:eastAsia="Times New Roman" w:hAnsi="Arial" w:cs="Arial"/>
                  <w:sz w:val="20"/>
                  <w:szCs w:val="20"/>
                </w:rPr>
                <w:t>Change in Control Agreement, dated as of February 8, 2020, by and between ABM Industries Incorporated and Joshua H. Feinberg</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10.40*</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308828698"/>
              <w:rPr>
                <w:rFonts w:eastAsia="Times New Roman"/>
              </w:rPr>
            </w:pPr>
            <w:hyperlink r:id="rId74" w:history="1">
              <w:r>
                <w:rPr>
                  <w:rStyle w:val="a3"/>
                  <w:rFonts w:ascii="Arial" w:eastAsia="Times New Roman" w:hAnsi="Arial" w:cs="Arial"/>
                  <w:sz w:val="20"/>
                  <w:szCs w:val="20"/>
                </w:rPr>
                <w:t>Executive Employment Agreement, dated as of November 1, 2020, by and between ABM Industries Incorporated and Earl R. Ellis</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10.41*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1224830225"/>
              <w:rPr>
                <w:rFonts w:eastAsia="Times New Roman"/>
              </w:rPr>
            </w:pPr>
            <w:hyperlink r:id="rId75" w:history="1">
              <w:r>
                <w:rPr>
                  <w:rStyle w:val="a3"/>
                  <w:rFonts w:ascii="Arial" w:eastAsia="Times New Roman" w:hAnsi="Arial" w:cs="Arial"/>
                  <w:sz w:val="20"/>
                  <w:szCs w:val="20"/>
                </w:rPr>
                <w:t>Change in Control Agreement, dated as of November 30, 2020, by and between ABM Industries Incorporated and Earl R. Ellis</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10.42*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1279486847"/>
              <w:rPr>
                <w:rFonts w:eastAsia="Times New Roman"/>
              </w:rPr>
            </w:pPr>
            <w:hyperlink r:id="rId76" w:history="1">
              <w:r>
                <w:rPr>
                  <w:rStyle w:val="a3"/>
                  <w:rFonts w:ascii="Arial" w:eastAsia="Times New Roman" w:hAnsi="Arial" w:cs="Arial"/>
                  <w:sz w:val="20"/>
                  <w:szCs w:val="20"/>
                </w:rPr>
                <w:t>Change in Control Agreement, dated as of April 1, 2011, by and between ABM Industries Incorporated and Dean A. Chin</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June 9, 2021</w:t>
            </w: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21.1‡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230972673"/>
              <w:rPr>
                <w:rFonts w:eastAsia="Times New Roman"/>
              </w:rPr>
            </w:pPr>
            <w:hyperlink r:id="rId77" w:history="1">
              <w:r>
                <w:rPr>
                  <w:rStyle w:val="a3"/>
                  <w:rFonts w:ascii="Arial" w:eastAsia="Times New Roman" w:hAnsi="Arial" w:cs="Arial"/>
                  <w:sz w:val="20"/>
                  <w:szCs w:val="20"/>
                </w:rPr>
                <w:t>Subsidiaries of the Registrant</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23.1‡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181163318"/>
              <w:rPr>
                <w:rFonts w:eastAsia="Times New Roman"/>
              </w:rPr>
            </w:pPr>
            <w:hyperlink r:id="rId78" w:history="1">
              <w:r>
                <w:rPr>
                  <w:rStyle w:val="a3"/>
                  <w:rFonts w:ascii="Arial" w:eastAsia="Times New Roman" w:hAnsi="Arial" w:cs="Arial"/>
                  <w:sz w:val="20"/>
                  <w:szCs w:val="20"/>
                </w:rPr>
                <w:t>Consent of Independent Registered Public Accounting Firm</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31.1‡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212926867"/>
              <w:rPr>
                <w:rFonts w:eastAsia="Times New Roman"/>
              </w:rPr>
            </w:pPr>
            <w:hyperlink r:id="rId79" w:history="1">
              <w:r>
                <w:rPr>
                  <w:rStyle w:val="a3"/>
                  <w:rFonts w:ascii="Arial" w:eastAsia="Times New Roman" w:hAnsi="Arial" w:cs="Arial"/>
                  <w:sz w:val="20"/>
                  <w:szCs w:val="20"/>
                </w:rPr>
                <w:t>Certification of Chief Executive Officer pursuant to Securities Exchange Act of 1934 Rule 13a-14(a) or 15d-14(a), as adopted pursuant to Section 302 of the Sarbanes-Oxley Act of 2002</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divId w:val="1768576142"/>
              <w:rPr>
                <w:rFonts w:eastAsia="Times New Roman"/>
              </w:rPr>
            </w:pPr>
            <w:hyperlink r:id="rId80" w:history="1">
              <w:r>
                <w:rPr>
                  <w:rStyle w:val="a3"/>
                  <w:rFonts w:ascii="Arial" w:eastAsia="Times New Roman" w:hAnsi="Arial" w:cs="Arial"/>
                  <w:sz w:val="20"/>
                  <w:szCs w:val="20"/>
                </w:rPr>
                <w:t>Certification of Chief Financial Officer pursuant to Securities Exchange Act of 1934 Rule 13a-14(a) or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32.1†</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divId w:val="2078438010"/>
              <w:rPr>
                <w:rFonts w:eastAsia="Times New Roman"/>
              </w:rPr>
            </w:pPr>
            <w:hyperlink r:id="rId81" w:history="1">
              <w:r>
                <w:rPr>
                  <w:rStyle w:val="a3"/>
                  <w:rFonts w:ascii="Arial" w:eastAsia="Times New Roman" w:hAnsi="Arial" w:cs="Arial"/>
                  <w:sz w:val="20"/>
                  <w:szCs w:val="20"/>
                </w:rPr>
                <w:t>Certifications pursuant to Securities Exchange Act of 1934 Rule 13a-14(b) or 15d-14(b) and 18 U.S.C. Section 1350, as adopted pursuant to Section 302 of the Sarbanes-Oxley Act of 2002</w:t>
              </w:r>
            </w:hyperlink>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101.INS ‡</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101.SCH ‡</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Taxonomy Extension Schema Document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101.CAL‡</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Taxonomy Calculation Linkbase Document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101.LAB ‡</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Taxonomy Label Linkbase Document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101.PRE ‡</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Presentation Linkbase Document</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101.DEF ‡</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Inline XBRL Taxonomy Extension Definition Linkbase Document</w:t>
            </w: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773328917"/>
        </w:trPr>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203661560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628977703"/>
        </w:trPr>
        <w:tc>
          <w:tcPr>
            <w:tcW w:w="50" w:type="pct"/>
            <w:vAlign w:val="center"/>
            <w:hideMark/>
          </w:tcPr>
          <w:p w:rsidR="00000000" w:rsidRDefault="00485CCD">
            <w:pPr>
              <w:rPr>
                <w:rFonts w:eastAsia="Times New Roman"/>
              </w:rPr>
            </w:pPr>
          </w:p>
        </w:tc>
        <w:tc>
          <w:tcPr>
            <w:tcW w:w="23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465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628977703"/>
        </w:trPr>
        <w:tc>
          <w:tcPr>
            <w:tcW w:w="0" w:type="auto"/>
            <w:gridSpan w:val="3"/>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20"/>
                <w:szCs w:val="20"/>
              </w:rPr>
              <w:t>Indicates management contract or compensatory plan, contract, or arrangement</w:t>
            </w:r>
          </w:p>
        </w:tc>
      </w:tr>
      <w:tr w:rsidR="00000000">
        <w:trPr>
          <w:divId w:val="628977703"/>
        </w:trPr>
        <w:tc>
          <w:tcPr>
            <w:tcW w:w="0" w:type="auto"/>
            <w:gridSpan w:val="3"/>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20"/>
                <w:szCs w:val="20"/>
              </w:rPr>
              <w:t>Indicates filed herewith</w:t>
            </w:r>
          </w:p>
        </w:tc>
      </w:tr>
      <w:tr w:rsidR="00000000">
        <w:trPr>
          <w:divId w:val="628977703"/>
        </w:trPr>
        <w:tc>
          <w:tcPr>
            <w:tcW w:w="0" w:type="auto"/>
            <w:gridSpan w:val="3"/>
            <w:tcMar>
              <w:top w:w="30" w:type="dxa"/>
              <w:left w:w="20" w:type="dxa"/>
              <w:bottom w:w="30" w:type="dxa"/>
              <w:right w:w="20" w:type="dxa"/>
            </w:tcMar>
            <w:hideMark/>
          </w:tcPr>
          <w:p w:rsidR="00000000" w:rsidRDefault="00485CCD">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485CCD">
            <w:pPr>
              <w:jc w:val="both"/>
              <w:rPr>
                <w:rFonts w:eastAsia="Times New Roman"/>
              </w:rPr>
            </w:pPr>
            <w:r>
              <w:rPr>
                <w:rFonts w:ascii="Arial" w:eastAsia="Times New Roman" w:hAnsi="Arial" w:cs="Arial"/>
                <w:color w:val="000000"/>
                <w:sz w:val="20"/>
                <w:szCs w:val="20"/>
              </w:rPr>
              <w:t>Indicates furnished herewith</w:t>
            </w:r>
          </w:p>
        </w:tc>
      </w:tr>
    </w:tbl>
    <w:p w:rsidR="00000000" w:rsidRDefault="00485CCD">
      <w:pPr>
        <w:divId w:val="837771142"/>
        <w:rPr>
          <w:rFonts w:eastAsia="Times New Roman"/>
        </w:rPr>
      </w:pPr>
    </w:p>
    <w:p w:rsidR="00000000" w:rsidRDefault="00485CCD">
      <w:pPr>
        <w:jc w:val="center"/>
        <w:divId w:val="1124352137"/>
        <w:rPr>
          <w:rFonts w:eastAsia="Times New Roman"/>
        </w:rPr>
      </w:pPr>
      <w:r>
        <w:rPr>
          <w:rFonts w:ascii="Arial" w:eastAsia="Times New Roman" w:hAnsi="Arial" w:cs="Arial"/>
          <w:color w:val="000000"/>
          <w:sz w:val="20"/>
          <w:szCs w:val="20"/>
        </w:rPr>
        <w:t>102</w:t>
      </w:r>
    </w:p>
    <w:p w:rsidR="00000000" w:rsidRDefault="00485CCD">
      <w:pPr>
        <w:rPr>
          <w:rFonts w:eastAsia="Times New Roman"/>
        </w:rPr>
      </w:pPr>
      <w:r>
        <w:rPr>
          <w:rFonts w:eastAsia="Times New Roman"/>
        </w:rPr>
        <w:pict>
          <v:rect id="_x0000_i1139" style="width:0;height:1.5pt" o:hralign="center" o:hrstd="t" o:hr="t" fillcolor="#a0a0a0" stroked="f"/>
        </w:pict>
      </w:r>
    </w:p>
    <w:p w:rsidR="00000000" w:rsidRDefault="00485CCD">
      <w:pPr>
        <w:divId w:val="264266266"/>
        <w:rPr>
          <w:rFonts w:eastAsia="Times New Roman"/>
        </w:rPr>
      </w:pPr>
    </w:p>
    <w:p w:rsidR="00000000" w:rsidRDefault="00485CCD">
      <w:pPr>
        <w:jc w:val="center"/>
        <w:divId w:val="1276132981"/>
        <w:rPr>
          <w:rFonts w:eastAsia="Times New Roman"/>
        </w:rPr>
      </w:pPr>
      <w:r>
        <w:rPr>
          <w:rFonts w:ascii="Arial" w:eastAsia="Times New Roman" w:hAnsi="Arial" w:cs="Arial"/>
          <w:b/>
          <w:bCs/>
          <w:color w:val="000000"/>
          <w:sz w:val="20"/>
          <w:szCs w:val="20"/>
        </w:rPr>
        <w:t>SIGNATURES</w:t>
      </w:r>
    </w:p>
    <w:p w:rsidR="00000000" w:rsidRDefault="00485CCD">
      <w:pPr>
        <w:ind w:firstLine="720"/>
        <w:jc w:val="both"/>
        <w:divId w:val="756756611"/>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thereunto duly authorized</w:t>
      </w:r>
      <w:r>
        <w:rPr>
          <w:rFonts w:ascii="Arial" w:eastAsia="Times New Roman" w:hAnsi="Arial" w:cs="Arial"/>
          <w:color w:val="000000"/>
          <w:sz w:val="20"/>
          <w:szCs w:val="20"/>
        </w:rPr>
        <w:t>.</w:t>
      </w:r>
    </w:p>
    <w:p w:rsidR="00000000" w:rsidRDefault="00485CCD">
      <w:pPr>
        <w:jc w:val="center"/>
        <w:divId w:val="745222705"/>
        <w:rPr>
          <w:rFonts w:eastAsia="Times New Roman"/>
        </w:rPr>
      </w:pPr>
      <w:r>
        <w:rPr>
          <w:rFonts w:ascii="Arial" w:eastAsia="Times New Roman" w:hAnsi="Arial" w:cs="Arial"/>
          <w:b/>
          <w:bCs/>
          <w:color w:val="000000"/>
          <w:sz w:val="20"/>
          <w:szCs w:val="20"/>
        </w:rPr>
        <w:t>ABM Industries Incorporated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trPr>
          <w:divId w:val="2099864874"/>
        </w:trPr>
        <w:tc>
          <w:tcPr>
            <w:tcW w:w="50" w:type="pct"/>
            <w:vAlign w:val="center"/>
            <w:hideMark/>
          </w:tcPr>
          <w:p w:rsidR="00000000" w:rsidRDefault="00485CCD">
            <w:pPr>
              <w:jc w:val="center"/>
              <w:rPr>
                <w:rFonts w:eastAsia="Times New Roman"/>
              </w:rPr>
            </w:pPr>
          </w:p>
        </w:tc>
        <w:tc>
          <w:tcPr>
            <w:tcW w:w="8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11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2099864874"/>
        </w:trPr>
        <w:tc>
          <w:tcPr>
            <w:tcW w:w="0" w:type="auto"/>
            <w:gridSpan w:val="3"/>
            <w:tcMar>
              <w:top w:w="30" w:type="dxa"/>
              <w:left w:w="20" w:type="dxa"/>
              <w:bottom w:w="30" w:type="dxa"/>
              <w:right w:w="20" w:type="dxa"/>
            </w:tcMar>
            <w:hideMark/>
          </w:tcPr>
          <w:p w:rsidR="00000000" w:rsidRDefault="00485CCD">
            <w:pPr>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r w:rsidR="00000000">
        <w:trPr>
          <w:divId w:val="2099864874"/>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President and Chief Executive Officer and Director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r w:rsidR="00000000">
        <w:trPr>
          <w:divId w:val="2099864874"/>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bl>
    <w:p w:rsidR="00000000" w:rsidRDefault="00485CCD">
      <w:pPr>
        <w:ind w:firstLine="720"/>
        <w:jc w:val="both"/>
        <w:divId w:val="411316889"/>
        <w:rPr>
          <w:rFonts w:eastAsia="Times New Roman"/>
        </w:rPr>
      </w:pPr>
      <w:r>
        <w:rPr>
          <w:rFonts w:ascii="Arial" w:eastAsia="Times New Roman" w:hAnsi="Arial" w:cs="Arial"/>
          <w:color w:val="000000"/>
          <w:sz w:val="20"/>
          <w:szCs w:val="20"/>
        </w:rPr>
        <w:t>Pursuant to the requirements of the Securities Exchange Act of 1934, this report has been signed below by the following persons on behalf of ABM Industries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trPr>
          <w:divId w:val="1994984756"/>
        </w:trPr>
        <w:tc>
          <w:tcPr>
            <w:tcW w:w="50" w:type="pct"/>
            <w:vAlign w:val="center"/>
            <w:hideMark/>
          </w:tcPr>
          <w:p w:rsidR="00000000" w:rsidRDefault="00485CCD">
            <w:pPr>
              <w:ind w:firstLine="720"/>
              <w:jc w:val="both"/>
              <w:rPr>
                <w:rFonts w:eastAsia="Times New Roman"/>
              </w:rPr>
            </w:pPr>
          </w:p>
        </w:tc>
        <w:tc>
          <w:tcPr>
            <w:tcW w:w="8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3112"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861"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1994984756"/>
        </w:trPr>
        <w:tc>
          <w:tcPr>
            <w:tcW w:w="0" w:type="auto"/>
            <w:gridSpan w:val="3"/>
            <w:tcMar>
              <w:top w:w="30" w:type="dxa"/>
              <w:left w:w="20" w:type="dxa"/>
              <w:bottom w:w="30" w:type="dxa"/>
              <w:right w:w="20" w:type="dxa"/>
            </w:tcMar>
            <w:hideMark/>
          </w:tcPr>
          <w:p w:rsidR="00000000" w:rsidRDefault="00485CCD">
            <w:pPr>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r w:rsidR="00000000">
        <w:trPr>
          <w:divId w:val="1994984756"/>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 xml:space="preserve">President and Chief Executive Officer and Director </w:t>
            </w:r>
            <w:r>
              <w:rPr>
                <w:rFonts w:ascii="Arial" w:eastAsia="Times New Roman" w:hAnsi="Arial" w:cs="Arial"/>
                <w:color w:val="000000"/>
                <w:sz w:val="20"/>
                <w:szCs w:val="20"/>
              </w:rPr>
              <w:br/>
              <w:t>(Principal Executive Officer)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r w:rsidR="00000000">
        <w:trPr>
          <w:divId w:val="1994984756"/>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r>
    </w:tbl>
    <w:p w:rsidR="00000000" w:rsidRDefault="00485CCD">
      <w:pPr>
        <w:divId w:val="75903522"/>
        <w:rPr>
          <w:rFonts w:eastAsia="Times New Roman"/>
        </w:rPr>
      </w:pPr>
      <w:r>
        <w:rPr>
          <w:rFonts w:ascii="Arial" w:eastAsia="Times New Roman" w:hAnsi="Arial" w:cs="Arial"/>
          <w:color w:val="000000"/>
          <w:sz w:val="16"/>
          <w:szCs w:val="16"/>
        </w:rPr>
        <w:t> </w:t>
      </w:r>
    </w:p>
    <w:tbl>
      <w:tblPr>
        <w:tblW w:w="4992" w:type="pct"/>
        <w:tblCellMar>
          <w:top w:w="15" w:type="dxa"/>
          <w:left w:w="15" w:type="dxa"/>
          <w:bottom w:w="15" w:type="dxa"/>
          <w:right w:w="15" w:type="dxa"/>
        </w:tblCellMar>
        <w:tblLook w:val="04A0" w:firstRow="1" w:lastRow="0" w:firstColumn="1" w:lastColumn="0" w:noHBand="0" w:noVBand="1"/>
      </w:tblPr>
      <w:tblGrid>
        <w:gridCol w:w="68"/>
        <w:gridCol w:w="3525"/>
        <w:gridCol w:w="38"/>
        <w:gridCol w:w="69"/>
        <w:gridCol w:w="926"/>
        <w:gridCol w:w="36"/>
        <w:gridCol w:w="69"/>
        <w:gridCol w:w="3525"/>
        <w:gridCol w:w="37"/>
      </w:tblGrid>
      <w:tr w:rsidR="00000000">
        <w:trPr>
          <w:divId w:val="869417283"/>
        </w:trPr>
        <w:tc>
          <w:tcPr>
            <w:tcW w:w="50" w:type="pct"/>
            <w:vAlign w:val="center"/>
            <w:hideMark/>
          </w:tcPr>
          <w:p w:rsidR="00000000" w:rsidRDefault="00485CCD">
            <w:pPr>
              <w:rPr>
                <w:rFonts w:eastAsia="Times New Roman"/>
              </w:rPr>
            </w:pPr>
          </w:p>
        </w:tc>
        <w:tc>
          <w:tcPr>
            <w:tcW w:w="213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567"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c>
          <w:tcPr>
            <w:tcW w:w="50" w:type="pct"/>
            <w:vAlign w:val="center"/>
            <w:hideMark/>
          </w:tcPr>
          <w:p w:rsidR="00000000" w:rsidRDefault="00485CCD">
            <w:pPr>
              <w:rPr>
                <w:rFonts w:eastAsia="Times New Roman"/>
                <w:sz w:val="20"/>
                <w:szCs w:val="20"/>
              </w:rPr>
            </w:pPr>
          </w:p>
        </w:tc>
        <w:tc>
          <w:tcPr>
            <w:tcW w:w="2133" w:type="pct"/>
            <w:vAlign w:val="center"/>
            <w:hideMark/>
          </w:tcPr>
          <w:p w:rsidR="00000000" w:rsidRDefault="00485CCD">
            <w:pPr>
              <w:rPr>
                <w:rFonts w:eastAsia="Times New Roman"/>
                <w:sz w:val="20"/>
                <w:szCs w:val="20"/>
              </w:rPr>
            </w:pPr>
          </w:p>
        </w:tc>
        <w:tc>
          <w:tcPr>
            <w:tcW w:w="5" w:type="pct"/>
            <w:vAlign w:val="center"/>
            <w:hideMark/>
          </w:tcPr>
          <w:p w:rsidR="00000000" w:rsidRDefault="00485CCD">
            <w:pPr>
              <w:rPr>
                <w:rFonts w:eastAsia="Times New Roman"/>
                <w:sz w:val="20"/>
                <w:szCs w:val="20"/>
              </w:rPr>
            </w:pP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Earl R. Ellis</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Dean A. Chin</w:t>
            </w:r>
          </w:p>
        </w:tc>
      </w:tr>
      <w:tr w:rsidR="00000000">
        <w:trPr>
          <w:divId w:val="86941728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Earl R. Ellis</w:t>
            </w:r>
          </w:p>
          <w:p w:rsidR="00000000" w:rsidRDefault="00485CCD">
            <w:pPr>
              <w:jc w:val="center"/>
              <w:rPr>
                <w:rFonts w:eastAsia="Times New Roman"/>
              </w:rPr>
            </w:pPr>
            <w:r>
              <w:rPr>
                <w:rFonts w:ascii="Arial" w:eastAsia="Times New Roman" w:hAnsi="Arial" w:cs="Arial"/>
                <w:color w:val="000000"/>
                <w:sz w:val="20"/>
                <w:szCs w:val="20"/>
              </w:rPr>
              <w:t>Executive Vice President and</w:t>
            </w:r>
          </w:p>
          <w:p w:rsidR="00000000" w:rsidRDefault="00485CCD">
            <w:pPr>
              <w:jc w:val="center"/>
              <w:rPr>
                <w:rFonts w:eastAsia="Times New Roman"/>
              </w:rPr>
            </w:pPr>
            <w:r>
              <w:rPr>
                <w:rFonts w:ascii="Arial" w:eastAsia="Times New Roman" w:hAnsi="Arial" w:cs="Arial"/>
                <w:color w:val="000000"/>
                <w:sz w:val="20"/>
                <w:szCs w:val="20"/>
              </w:rPr>
              <w:t>Chief Financial Officer</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Dean A. Chin</w:t>
            </w:r>
            <w:r>
              <w:rPr>
                <w:rFonts w:ascii="Arial" w:eastAsia="Times New Roman" w:hAnsi="Arial" w:cs="Arial"/>
                <w:color w:val="000000"/>
                <w:sz w:val="20"/>
                <w:szCs w:val="20"/>
              </w:rPr>
              <w:br/>
              <w:t>Senior Vice President, Chief Accounting Officer,</w:t>
            </w:r>
            <w:r>
              <w:rPr>
                <w:rFonts w:ascii="Arial" w:eastAsia="Times New Roman" w:hAnsi="Arial" w:cs="Arial"/>
                <w:color w:val="000000"/>
                <w:sz w:val="20"/>
                <w:szCs w:val="20"/>
              </w:rPr>
              <w:br/>
              <w:t>Corporate Controller and Treasurer</w:t>
            </w:r>
          </w:p>
        </w:tc>
      </w:tr>
      <w:tr w:rsidR="00000000">
        <w:trPr>
          <w:divId w:val="869417283"/>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(Principal Accounting Officer)</w:t>
            </w: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Sudhakar Kesavan</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Quincy L. Allen</w:t>
            </w:r>
          </w:p>
        </w:tc>
      </w:tr>
      <w:tr w:rsidR="00000000">
        <w:trPr>
          <w:divId w:val="86941728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Sudhakar Kesavan</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Quincy L. Allen, Director</w:t>
            </w:r>
          </w:p>
        </w:tc>
      </w:tr>
      <w:tr w:rsidR="00000000">
        <w:trPr>
          <w:divId w:val="869417283"/>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Chairman of the Board and Director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LeighAnne G. Baker</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Linda Chavez</w:t>
            </w:r>
          </w:p>
        </w:tc>
      </w:tr>
      <w:tr w:rsidR="00000000">
        <w:trPr>
          <w:divId w:val="86941728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LeighAnne G. Baker, Director</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Linda Chavez, Director</w:t>
            </w: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Donald F. Colleran</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Art A. Garcia</w:t>
            </w:r>
          </w:p>
        </w:tc>
      </w:tr>
      <w:tr w:rsidR="00000000">
        <w:trPr>
          <w:divId w:val="86941728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Donald F. Colleran, Director</w:t>
            </w:r>
          </w:p>
        </w:tc>
        <w:tc>
          <w:tcPr>
            <w:tcW w:w="0" w:type="auto"/>
            <w:gridSpan w:val="3"/>
            <w:tcMar>
              <w:top w:w="30" w:type="dxa"/>
              <w:left w:w="20" w:type="dxa"/>
              <w:bottom w:w="30" w:type="dxa"/>
              <w:right w:w="20" w:type="dxa"/>
            </w:tcMar>
            <w:vAlign w:val="bottom"/>
            <w:hideMark/>
          </w:tcPr>
          <w:p w:rsidR="00000000" w:rsidRDefault="00485CCD">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Art A. Garcia, Director</w:t>
            </w: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 Thomas M. Gartland</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/s/ Jill M. Golder</w:t>
            </w:r>
          </w:p>
        </w:tc>
      </w:tr>
      <w:tr w:rsidR="00000000">
        <w:trPr>
          <w:divId w:val="869417283"/>
        </w:trPr>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Thomas M. Gartland, Director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Jill M. Golder, Director</w:t>
            </w: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r>
      <w:tr w:rsidR="00000000">
        <w:trPr>
          <w:divId w:val="869417283"/>
          <w:trHeight w:val="300"/>
        </w:trPr>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vAlign w:val="bottom"/>
            <w:hideMark/>
          </w:tcPr>
          <w:p w:rsidR="00000000" w:rsidRDefault="00485CCD">
            <w:pPr>
              <w:jc w:val="center"/>
              <w:rPr>
                <w:rFonts w:eastAsia="Times New Roman"/>
              </w:rPr>
            </w:pPr>
            <w:r>
              <w:rPr>
                <w:rFonts w:ascii="Arial" w:eastAsia="Times New Roman" w:hAnsi="Arial" w:cs="Arial"/>
                <w:color w:val="000000"/>
                <w:sz w:val="20"/>
                <w:szCs w:val="20"/>
              </w:rPr>
              <w:t>/s/ Winifred M. Webb</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Borders>
              <w:top w:val="single" w:sz="8" w:space="0" w:color="000000"/>
            </w:tcBorders>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Winifred M. Webb, Director</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Pr>
        <w:tc>
          <w:tcPr>
            <w:tcW w:w="0" w:type="auto"/>
            <w:gridSpan w:val="3"/>
            <w:tcMar>
              <w:top w:w="30" w:type="dxa"/>
              <w:left w:w="20" w:type="dxa"/>
              <w:bottom w:w="30" w:type="dxa"/>
              <w:right w:w="20" w:type="dxa"/>
            </w:tcMar>
            <w:hideMark/>
          </w:tcPr>
          <w:p w:rsidR="00000000" w:rsidRDefault="00485CCD">
            <w:pPr>
              <w:jc w:val="center"/>
              <w:rPr>
                <w:rFonts w:eastAsia="Times New Roman"/>
              </w:rPr>
            </w:pPr>
            <w:r>
              <w:rPr>
                <w:rFonts w:ascii="Arial" w:eastAsia="Times New Roman" w:hAnsi="Arial" w:cs="Arial"/>
                <w:color w:val="000000"/>
                <w:sz w:val="20"/>
                <w:szCs w:val="20"/>
              </w:rPr>
              <w:t>December 22, 2021</w:t>
            </w:r>
          </w:p>
        </w:tc>
        <w:tc>
          <w:tcPr>
            <w:tcW w:w="0" w:type="auto"/>
            <w:gridSpan w:val="3"/>
            <w:tcMar>
              <w:top w:w="0" w:type="dxa"/>
              <w:left w:w="20" w:type="dxa"/>
              <w:bottom w:w="0" w:type="dxa"/>
              <w:right w:w="20" w:type="dxa"/>
            </w:tcMar>
            <w:vAlign w:val="center"/>
            <w:hideMark/>
          </w:tcPr>
          <w:p w:rsidR="00000000" w:rsidRDefault="00485CCD">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Height w:val="24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Height w:val="24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r w:rsidR="00000000">
        <w:trPr>
          <w:divId w:val="869417283"/>
          <w:trHeight w:val="240"/>
        </w:trPr>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85CCD">
            <w:pPr>
              <w:rPr>
                <w:rFonts w:eastAsia="Times New Roman"/>
                <w:sz w:val="20"/>
                <w:szCs w:val="20"/>
              </w:rPr>
            </w:pPr>
          </w:p>
        </w:tc>
      </w:tr>
    </w:tbl>
    <w:p w:rsidR="00000000" w:rsidRDefault="00485CCD">
      <w:pPr>
        <w:divId w:val="827598681"/>
        <w:rPr>
          <w:rFonts w:eastAsia="Times New Roman"/>
        </w:rPr>
      </w:pPr>
    </w:p>
    <w:p w:rsidR="00485CCD" w:rsidRDefault="00485CCD">
      <w:pPr>
        <w:jc w:val="center"/>
        <w:divId w:val="508788723"/>
        <w:rPr>
          <w:rFonts w:eastAsia="Times New Roman"/>
        </w:rPr>
      </w:pPr>
      <w:r>
        <w:rPr>
          <w:rFonts w:ascii="Arial" w:eastAsia="Times New Roman" w:hAnsi="Arial" w:cs="Arial"/>
          <w:color w:val="000000"/>
          <w:sz w:val="20"/>
          <w:szCs w:val="20"/>
        </w:rPr>
        <w:t>103</w:t>
      </w:r>
    </w:p>
    <w:sectPr w:rsidR="00485CC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5CCD"/>
    <w:rsid w:val="00485CCD"/>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sec.gov/dei/2021"/>
  <w:attachedSchema w:val="http://fasb.org/srt/2021-01-31"/>
  <w:attachedSchema w:val="http://fasb.org/us-gaap/2021-01-31"/>
  <w:attachedSchema w:val="http://xbrl.sec.gov/country/2021"/>
  <w:attachedSchema w:val="http://www.w3.org/1999/xlink"/>
  <w:attachedSchema w:val="http://www.xbrl.org/2003/linkbase"/>
  <w:attachedSchema w:val="http://www.xbrl.org/2003/iso4217"/>
  <w:attachedSchema w:val="http://xbrl.org/2006/xbrldi"/>
  <w:attachedSchema w:val="http://www.abm.com/20211031"/>
  <w:attachedSchema w:val="http://www.xbrl.org/2003/instance"/>
  <w:attachedSchema w:val="http://www.xbrl.org/inlineXBRL/transformation/2020-02-12"/>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79">
      <w:marLeft w:val="0"/>
      <w:marRight w:val="0"/>
      <w:marTop w:val="180"/>
      <w:marBottom w:val="0"/>
      <w:divBdr>
        <w:top w:val="none" w:sz="0" w:space="0" w:color="auto"/>
        <w:left w:val="none" w:sz="0" w:space="0" w:color="auto"/>
        <w:bottom w:val="none" w:sz="0" w:space="0" w:color="auto"/>
        <w:right w:val="none" w:sz="0" w:space="0" w:color="auto"/>
      </w:divBdr>
    </w:div>
    <w:div w:id="4211321">
      <w:marLeft w:val="0"/>
      <w:marRight w:val="0"/>
      <w:marTop w:val="180"/>
      <w:marBottom w:val="0"/>
      <w:divBdr>
        <w:top w:val="none" w:sz="0" w:space="0" w:color="auto"/>
        <w:left w:val="none" w:sz="0" w:space="0" w:color="auto"/>
        <w:bottom w:val="none" w:sz="0" w:space="0" w:color="auto"/>
        <w:right w:val="none" w:sz="0" w:space="0" w:color="auto"/>
      </w:divBdr>
    </w:div>
    <w:div w:id="6912403">
      <w:marLeft w:val="0"/>
      <w:marRight w:val="0"/>
      <w:marTop w:val="0"/>
      <w:marBottom w:val="0"/>
      <w:divBdr>
        <w:top w:val="none" w:sz="0" w:space="0" w:color="auto"/>
        <w:left w:val="none" w:sz="0" w:space="0" w:color="auto"/>
        <w:bottom w:val="none" w:sz="0" w:space="0" w:color="auto"/>
        <w:right w:val="none" w:sz="0" w:space="0" w:color="auto"/>
      </w:divBdr>
      <w:divsChild>
        <w:div w:id="455484458">
          <w:marLeft w:val="0"/>
          <w:marRight w:val="0"/>
          <w:marTop w:val="0"/>
          <w:marBottom w:val="0"/>
          <w:divBdr>
            <w:top w:val="none" w:sz="0" w:space="0" w:color="auto"/>
            <w:left w:val="none" w:sz="0" w:space="0" w:color="auto"/>
            <w:bottom w:val="none" w:sz="0" w:space="0" w:color="auto"/>
            <w:right w:val="none" w:sz="0" w:space="0" w:color="auto"/>
          </w:divBdr>
          <w:divsChild>
            <w:div w:id="3736237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20387">
      <w:marLeft w:val="0"/>
      <w:marRight w:val="0"/>
      <w:marTop w:val="180"/>
      <w:marBottom w:val="0"/>
      <w:divBdr>
        <w:top w:val="none" w:sz="0" w:space="0" w:color="auto"/>
        <w:left w:val="none" w:sz="0" w:space="0" w:color="auto"/>
        <w:bottom w:val="none" w:sz="0" w:space="0" w:color="auto"/>
        <w:right w:val="none" w:sz="0" w:space="0" w:color="auto"/>
      </w:divBdr>
    </w:div>
    <w:div w:id="8221404">
      <w:marLeft w:val="0"/>
      <w:marRight w:val="0"/>
      <w:marTop w:val="180"/>
      <w:marBottom w:val="0"/>
      <w:divBdr>
        <w:top w:val="none" w:sz="0" w:space="0" w:color="auto"/>
        <w:left w:val="none" w:sz="0" w:space="0" w:color="auto"/>
        <w:bottom w:val="none" w:sz="0" w:space="0" w:color="auto"/>
        <w:right w:val="none" w:sz="0" w:space="0" w:color="auto"/>
      </w:divBdr>
    </w:div>
    <w:div w:id="8874734">
      <w:marLeft w:val="0"/>
      <w:marRight w:val="0"/>
      <w:marTop w:val="180"/>
      <w:marBottom w:val="0"/>
      <w:divBdr>
        <w:top w:val="none" w:sz="0" w:space="0" w:color="auto"/>
        <w:left w:val="none" w:sz="0" w:space="0" w:color="auto"/>
        <w:bottom w:val="none" w:sz="0" w:space="0" w:color="auto"/>
        <w:right w:val="none" w:sz="0" w:space="0" w:color="auto"/>
      </w:divBdr>
    </w:div>
    <w:div w:id="11349617">
      <w:marLeft w:val="0"/>
      <w:marRight w:val="0"/>
      <w:marTop w:val="180"/>
      <w:marBottom w:val="0"/>
      <w:divBdr>
        <w:top w:val="none" w:sz="0" w:space="0" w:color="auto"/>
        <w:left w:val="none" w:sz="0" w:space="0" w:color="auto"/>
        <w:bottom w:val="none" w:sz="0" w:space="0" w:color="auto"/>
        <w:right w:val="none" w:sz="0" w:space="0" w:color="auto"/>
      </w:divBdr>
    </w:div>
    <w:div w:id="12464930">
      <w:marLeft w:val="0"/>
      <w:marRight w:val="0"/>
      <w:marTop w:val="180"/>
      <w:marBottom w:val="0"/>
      <w:divBdr>
        <w:top w:val="none" w:sz="0" w:space="0" w:color="auto"/>
        <w:left w:val="none" w:sz="0" w:space="0" w:color="auto"/>
        <w:bottom w:val="none" w:sz="0" w:space="0" w:color="auto"/>
        <w:right w:val="none" w:sz="0" w:space="0" w:color="auto"/>
      </w:divBdr>
    </w:div>
    <w:div w:id="13653704">
      <w:marLeft w:val="0"/>
      <w:marRight w:val="0"/>
      <w:marTop w:val="180"/>
      <w:marBottom w:val="120"/>
      <w:divBdr>
        <w:top w:val="none" w:sz="0" w:space="0" w:color="auto"/>
        <w:left w:val="none" w:sz="0" w:space="0" w:color="auto"/>
        <w:bottom w:val="none" w:sz="0" w:space="0" w:color="auto"/>
        <w:right w:val="none" w:sz="0" w:space="0" w:color="auto"/>
      </w:divBdr>
      <w:divsChild>
        <w:div w:id="1271014044">
          <w:marLeft w:val="0"/>
          <w:marRight w:val="0"/>
          <w:marTop w:val="0"/>
          <w:marBottom w:val="0"/>
          <w:divBdr>
            <w:top w:val="none" w:sz="0" w:space="0" w:color="auto"/>
            <w:left w:val="none" w:sz="0" w:space="0" w:color="auto"/>
            <w:bottom w:val="none" w:sz="0" w:space="0" w:color="auto"/>
            <w:right w:val="none" w:sz="0" w:space="0" w:color="auto"/>
          </w:divBdr>
        </w:div>
        <w:div w:id="1433428064">
          <w:marLeft w:val="0"/>
          <w:marRight w:val="0"/>
          <w:marTop w:val="0"/>
          <w:marBottom w:val="0"/>
          <w:divBdr>
            <w:top w:val="none" w:sz="0" w:space="0" w:color="auto"/>
            <w:left w:val="none" w:sz="0" w:space="0" w:color="auto"/>
            <w:bottom w:val="none" w:sz="0" w:space="0" w:color="auto"/>
            <w:right w:val="none" w:sz="0" w:space="0" w:color="auto"/>
          </w:divBdr>
        </w:div>
        <w:div w:id="1892424299">
          <w:marLeft w:val="0"/>
          <w:marRight w:val="0"/>
          <w:marTop w:val="0"/>
          <w:marBottom w:val="0"/>
          <w:divBdr>
            <w:top w:val="none" w:sz="0" w:space="0" w:color="auto"/>
            <w:left w:val="none" w:sz="0" w:space="0" w:color="auto"/>
            <w:bottom w:val="none" w:sz="0" w:space="0" w:color="auto"/>
            <w:right w:val="none" w:sz="0" w:space="0" w:color="auto"/>
          </w:divBdr>
        </w:div>
        <w:div w:id="12848559">
          <w:marLeft w:val="0"/>
          <w:marRight w:val="0"/>
          <w:marTop w:val="0"/>
          <w:marBottom w:val="0"/>
          <w:divBdr>
            <w:top w:val="none" w:sz="0" w:space="0" w:color="auto"/>
            <w:left w:val="none" w:sz="0" w:space="0" w:color="auto"/>
            <w:bottom w:val="none" w:sz="0" w:space="0" w:color="auto"/>
            <w:right w:val="none" w:sz="0" w:space="0" w:color="auto"/>
          </w:divBdr>
        </w:div>
        <w:div w:id="1880118774">
          <w:marLeft w:val="0"/>
          <w:marRight w:val="0"/>
          <w:marTop w:val="0"/>
          <w:marBottom w:val="0"/>
          <w:divBdr>
            <w:top w:val="none" w:sz="0" w:space="0" w:color="auto"/>
            <w:left w:val="none" w:sz="0" w:space="0" w:color="auto"/>
            <w:bottom w:val="none" w:sz="0" w:space="0" w:color="auto"/>
            <w:right w:val="none" w:sz="0" w:space="0" w:color="auto"/>
          </w:divBdr>
        </w:div>
      </w:divsChild>
    </w:div>
    <w:div w:id="14618253">
      <w:marLeft w:val="0"/>
      <w:marRight w:val="0"/>
      <w:marTop w:val="180"/>
      <w:marBottom w:val="0"/>
      <w:divBdr>
        <w:top w:val="none" w:sz="0" w:space="0" w:color="auto"/>
        <w:left w:val="none" w:sz="0" w:space="0" w:color="auto"/>
        <w:bottom w:val="none" w:sz="0" w:space="0" w:color="auto"/>
        <w:right w:val="none" w:sz="0" w:space="0" w:color="auto"/>
      </w:divBdr>
    </w:div>
    <w:div w:id="15934037">
      <w:marLeft w:val="0"/>
      <w:marRight w:val="0"/>
      <w:marTop w:val="120"/>
      <w:marBottom w:val="0"/>
      <w:divBdr>
        <w:top w:val="none" w:sz="0" w:space="0" w:color="auto"/>
        <w:left w:val="none" w:sz="0" w:space="0" w:color="auto"/>
        <w:bottom w:val="none" w:sz="0" w:space="0" w:color="auto"/>
        <w:right w:val="none" w:sz="0" w:space="0" w:color="auto"/>
      </w:divBdr>
    </w:div>
    <w:div w:id="16195614">
      <w:marLeft w:val="0"/>
      <w:marRight w:val="0"/>
      <w:marTop w:val="180"/>
      <w:marBottom w:val="120"/>
      <w:divBdr>
        <w:top w:val="none" w:sz="0" w:space="0" w:color="auto"/>
        <w:left w:val="none" w:sz="0" w:space="0" w:color="auto"/>
        <w:bottom w:val="none" w:sz="0" w:space="0" w:color="auto"/>
        <w:right w:val="none" w:sz="0" w:space="0" w:color="auto"/>
      </w:divBdr>
    </w:div>
    <w:div w:id="16347134">
      <w:marLeft w:val="0"/>
      <w:marRight w:val="0"/>
      <w:marTop w:val="180"/>
      <w:marBottom w:val="120"/>
      <w:divBdr>
        <w:top w:val="none" w:sz="0" w:space="0" w:color="auto"/>
        <w:left w:val="none" w:sz="0" w:space="0" w:color="auto"/>
        <w:bottom w:val="none" w:sz="0" w:space="0" w:color="auto"/>
        <w:right w:val="none" w:sz="0" w:space="0" w:color="auto"/>
      </w:divBdr>
    </w:div>
    <w:div w:id="22830863">
      <w:marLeft w:val="0"/>
      <w:marRight w:val="0"/>
      <w:marTop w:val="180"/>
      <w:marBottom w:val="0"/>
      <w:divBdr>
        <w:top w:val="none" w:sz="0" w:space="0" w:color="auto"/>
        <w:left w:val="none" w:sz="0" w:space="0" w:color="auto"/>
        <w:bottom w:val="none" w:sz="0" w:space="0" w:color="auto"/>
        <w:right w:val="none" w:sz="0" w:space="0" w:color="auto"/>
      </w:divBdr>
    </w:div>
    <w:div w:id="24447618">
      <w:marLeft w:val="0"/>
      <w:marRight w:val="0"/>
      <w:marTop w:val="180"/>
      <w:marBottom w:val="0"/>
      <w:divBdr>
        <w:top w:val="none" w:sz="0" w:space="0" w:color="auto"/>
        <w:left w:val="none" w:sz="0" w:space="0" w:color="auto"/>
        <w:bottom w:val="none" w:sz="0" w:space="0" w:color="auto"/>
        <w:right w:val="none" w:sz="0" w:space="0" w:color="auto"/>
      </w:divBdr>
    </w:div>
    <w:div w:id="27722978">
      <w:marLeft w:val="0"/>
      <w:marRight w:val="0"/>
      <w:marTop w:val="180"/>
      <w:marBottom w:val="0"/>
      <w:divBdr>
        <w:top w:val="none" w:sz="0" w:space="0" w:color="auto"/>
        <w:left w:val="none" w:sz="0" w:space="0" w:color="auto"/>
        <w:bottom w:val="none" w:sz="0" w:space="0" w:color="auto"/>
        <w:right w:val="none" w:sz="0" w:space="0" w:color="auto"/>
      </w:divBdr>
    </w:div>
    <w:div w:id="28655155">
      <w:marLeft w:val="0"/>
      <w:marRight w:val="0"/>
      <w:marTop w:val="180"/>
      <w:marBottom w:val="0"/>
      <w:divBdr>
        <w:top w:val="none" w:sz="0" w:space="0" w:color="auto"/>
        <w:left w:val="none" w:sz="0" w:space="0" w:color="auto"/>
        <w:bottom w:val="none" w:sz="0" w:space="0" w:color="auto"/>
        <w:right w:val="none" w:sz="0" w:space="0" w:color="auto"/>
      </w:divBdr>
    </w:div>
    <w:div w:id="28846429">
      <w:marLeft w:val="0"/>
      <w:marRight w:val="0"/>
      <w:marTop w:val="0"/>
      <w:marBottom w:val="0"/>
      <w:divBdr>
        <w:top w:val="none" w:sz="0" w:space="0" w:color="auto"/>
        <w:left w:val="none" w:sz="0" w:space="0" w:color="auto"/>
        <w:bottom w:val="none" w:sz="0" w:space="0" w:color="auto"/>
        <w:right w:val="none" w:sz="0" w:space="0" w:color="auto"/>
      </w:divBdr>
      <w:divsChild>
        <w:div w:id="1597859003">
          <w:marLeft w:val="0"/>
          <w:marRight w:val="0"/>
          <w:marTop w:val="180"/>
          <w:marBottom w:val="0"/>
          <w:divBdr>
            <w:top w:val="none" w:sz="0" w:space="0" w:color="auto"/>
            <w:left w:val="none" w:sz="0" w:space="0" w:color="auto"/>
            <w:bottom w:val="none" w:sz="0" w:space="0" w:color="auto"/>
            <w:right w:val="none" w:sz="0" w:space="0" w:color="auto"/>
          </w:divBdr>
        </w:div>
      </w:divsChild>
    </w:div>
    <w:div w:id="30225879">
      <w:marLeft w:val="0"/>
      <w:marRight w:val="0"/>
      <w:marTop w:val="0"/>
      <w:marBottom w:val="0"/>
      <w:divBdr>
        <w:top w:val="none" w:sz="0" w:space="0" w:color="auto"/>
        <w:left w:val="none" w:sz="0" w:space="0" w:color="auto"/>
        <w:bottom w:val="none" w:sz="0" w:space="0" w:color="auto"/>
        <w:right w:val="none" w:sz="0" w:space="0" w:color="auto"/>
      </w:divBdr>
      <w:divsChild>
        <w:div w:id="821434236">
          <w:marLeft w:val="0"/>
          <w:marRight w:val="0"/>
          <w:marTop w:val="0"/>
          <w:marBottom w:val="0"/>
          <w:divBdr>
            <w:top w:val="none" w:sz="0" w:space="0" w:color="auto"/>
            <w:left w:val="none" w:sz="0" w:space="0" w:color="auto"/>
            <w:bottom w:val="none" w:sz="0" w:space="0" w:color="auto"/>
            <w:right w:val="none" w:sz="0" w:space="0" w:color="auto"/>
          </w:divBdr>
          <w:divsChild>
            <w:div w:id="859983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1156677">
      <w:marLeft w:val="0"/>
      <w:marRight w:val="0"/>
      <w:marTop w:val="180"/>
      <w:marBottom w:val="0"/>
      <w:divBdr>
        <w:top w:val="none" w:sz="0" w:space="0" w:color="auto"/>
        <w:left w:val="none" w:sz="0" w:space="0" w:color="auto"/>
        <w:bottom w:val="none" w:sz="0" w:space="0" w:color="auto"/>
        <w:right w:val="none" w:sz="0" w:space="0" w:color="auto"/>
      </w:divBdr>
    </w:div>
    <w:div w:id="31463793">
      <w:marLeft w:val="0"/>
      <w:marRight w:val="0"/>
      <w:marTop w:val="180"/>
      <w:marBottom w:val="0"/>
      <w:divBdr>
        <w:top w:val="none" w:sz="0" w:space="0" w:color="auto"/>
        <w:left w:val="none" w:sz="0" w:space="0" w:color="auto"/>
        <w:bottom w:val="none" w:sz="0" w:space="0" w:color="auto"/>
        <w:right w:val="none" w:sz="0" w:space="0" w:color="auto"/>
      </w:divBdr>
    </w:div>
    <w:div w:id="36661545">
      <w:marLeft w:val="0"/>
      <w:marRight w:val="0"/>
      <w:marTop w:val="180"/>
      <w:marBottom w:val="0"/>
      <w:divBdr>
        <w:top w:val="none" w:sz="0" w:space="0" w:color="auto"/>
        <w:left w:val="none" w:sz="0" w:space="0" w:color="auto"/>
        <w:bottom w:val="none" w:sz="0" w:space="0" w:color="auto"/>
        <w:right w:val="none" w:sz="0" w:space="0" w:color="auto"/>
      </w:divBdr>
    </w:div>
    <w:div w:id="37365881">
      <w:marLeft w:val="0"/>
      <w:marRight w:val="0"/>
      <w:marTop w:val="0"/>
      <w:marBottom w:val="0"/>
      <w:divBdr>
        <w:top w:val="none" w:sz="0" w:space="0" w:color="auto"/>
        <w:left w:val="none" w:sz="0" w:space="0" w:color="auto"/>
        <w:bottom w:val="none" w:sz="0" w:space="0" w:color="auto"/>
        <w:right w:val="none" w:sz="0" w:space="0" w:color="auto"/>
      </w:divBdr>
    </w:div>
    <w:div w:id="37437018">
      <w:marLeft w:val="0"/>
      <w:marRight w:val="0"/>
      <w:marTop w:val="0"/>
      <w:marBottom w:val="120"/>
      <w:divBdr>
        <w:top w:val="none" w:sz="0" w:space="0" w:color="auto"/>
        <w:left w:val="none" w:sz="0" w:space="0" w:color="auto"/>
        <w:bottom w:val="none" w:sz="0" w:space="0" w:color="auto"/>
        <w:right w:val="none" w:sz="0" w:space="0" w:color="auto"/>
      </w:divBdr>
    </w:div>
    <w:div w:id="38014299">
      <w:marLeft w:val="0"/>
      <w:marRight w:val="0"/>
      <w:marTop w:val="0"/>
      <w:marBottom w:val="0"/>
      <w:divBdr>
        <w:top w:val="none" w:sz="0" w:space="0" w:color="auto"/>
        <w:left w:val="none" w:sz="0" w:space="0" w:color="auto"/>
        <w:bottom w:val="none" w:sz="0" w:space="0" w:color="auto"/>
        <w:right w:val="none" w:sz="0" w:space="0" w:color="auto"/>
      </w:divBdr>
      <w:divsChild>
        <w:div w:id="689532165">
          <w:marLeft w:val="0"/>
          <w:marRight w:val="0"/>
          <w:marTop w:val="0"/>
          <w:marBottom w:val="0"/>
          <w:divBdr>
            <w:top w:val="none" w:sz="0" w:space="0" w:color="auto"/>
            <w:left w:val="none" w:sz="0" w:space="0" w:color="auto"/>
            <w:bottom w:val="none" w:sz="0" w:space="0" w:color="auto"/>
            <w:right w:val="none" w:sz="0" w:space="0" w:color="auto"/>
          </w:divBdr>
          <w:divsChild>
            <w:div w:id="2144637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0981077">
      <w:marLeft w:val="0"/>
      <w:marRight w:val="0"/>
      <w:marTop w:val="180"/>
      <w:marBottom w:val="0"/>
      <w:divBdr>
        <w:top w:val="none" w:sz="0" w:space="0" w:color="auto"/>
        <w:left w:val="none" w:sz="0" w:space="0" w:color="auto"/>
        <w:bottom w:val="none" w:sz="0" w:space="0" w:color="auto"/>
        <w:right w:val="none" w:sz="0" w:space="0" w:color="auto"/>
      </w:divBdr>
    </w:div>
    <w:div w:id="44376763">
      <w:marLeft w:val="0"/>
      <w:marRight w:val="0"/>
      <w:marTop w:val="180"/>
      <w:marBottom w:val="120"/>
      <w:divBdr>
        <w:top w:val="none" w:sz="0" w:space="0" w:color="auto"/>
        <w:left w:val="none" w:sz="0" w:space="0" w:color="auto"/>
        <w:bottom w:val="none" w:sz="0" w:space="0" w:color="auto"/>
        <w:right w:val="none" w:sz="0" w:space="0" w:color="auto"/>
      </w:divBdr>
    </w:div>
    <w:div w:id="48115365">
      <w:marLeft w:val="0"/>
      <w:marRight w:val="0"/>
      <w:marTop w:val="0"/>
      <w:marBottom w:val="0"/>
      <w:divBdr>
        <w:top w:val="none" w:sz="0" w:space="0" w:color="auto"/>
        <w:left w:val="none" w:sz="0" w:space="0" w:color="auto"/>
        <w:bottom w:val="none" w:sz="0" w:space="0" w:color="auto"/>
        <w:right w:val="none" w:sz="0" w:space="0" w:color="auto"/>
      </w:divBdr>
    </w:div>
    <w:div w:id="50662620">
      <w:marLeft w:val="0"/>
      <w:marRight w:val="0"/>
      <w:marTop w:val="0"/>
      <w:marBottom w:val="0"/>
      <w:divBdr>
        <w:top w:val="none" w:sz="0" w:space="0" w:color="auto"/>
        <w:left w:val="none" w:sz="0" w:space="0" w:color="auto"/>
        <w:bottom w:val="none" w:sz="0" w:space="0" w:color="auto"/>
        <w:right w:val="none" w:sz="0" w:space="0" w:color="auto"/>
      </w:divBdr>
      <w:divsChild>
        <w:div w:id="250628415">
          <w:marLeft w:val="0"/>
          <w:marRight w:val="0"/>
          <w:marTop w:val="0"/>
          <w:marBottom w:val="0"/>
          <w:divBdr>
            <w:top w:val="none" w:sz="0" w:space="0" w:color="auto"/>
            <w:left w:val="none" w:sz="0" w:space="0" w:color="auto"/>
            <w:bottom w:val="none" w:sz="0" w:space="0" w:color="auto"/>
            <w:right w:val="none" w:sz="0" w:space="0" w:color="auto"/>
          </w:divBdr>
          <w:divsChild>
            <w:div w:id="523128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197187">
      <w:marLeft w:val="0"/>
      <w:marRight w:val="0"/>
      <w:marTop w:val="180"/>
      <w:marBottom w:val="0"/>
      <w:divBdr>
        <w:top w:val="none" w:sz="0" w:space="0" w:color="auto"/>
        <w:left w:val="none" w:sz="0" w:space="0" w:color="auto"/>
        <w:bottom w:val="none" w:sz="0" w:space="0" w:color="auto"/>
        <w:right w:val="none" w:sz="0" w:space="0" w:color="auto"/>
      </w:divBdr>
    </w:div>
    <w:div w:id="52776111">
      <w:marLeft w:val="0"/>
      <w:marRight w:val="0"/>
      <w:marTop w:val="0"/>
      <w:marBottom w:val="0"/>
      <w:divBdr>
        <w:top w:val="none" w:sz="0" w:space="0" w:color="auto"/>
        <w:left w:val="none" w:sz="0" w:space="0" w:color="auto"/>
        <w:bottom w:val="none" w:sz="0" w:space="0" w:color="auto"/>
        <w:right w:val="none" w:sz="0" w:space="0" w:color="auto"/>
      </w:divBdr>
      <w:divsChild>
        <w:div w:id="682703089">
          <w:marLeft w:val="0"/>
          <w:marRight w:val="0"/>
          <w:marTop w:val="0"/>
          <w:marBottom w:val="0"/>
          <w:divBdr>
            <w:top w:val="none" w:sz="0" w:space="0" w:color="auto"/>
            <w:left w:val="none" w:sz="0" w:space="0" w:color="auto"/>
            <w:bottom w:val="none" w:sz="0" w:space="0" w:color="auto"/>
            <w:right w:val="none" w:sz="0" w:space="0" w:color="auto"/>
          </w:divBdr>
        </w:div>
      </w:divsChild>
    </w:div>
    <w:div w:id="53044736">
      <w:marLeft w:val="0"/>
      <w:marRight w:val="0"/>
      <w:marTop w:val="180"/>
      <w:marBottom w:val="0"/>
      <w:divBdr>
        <w:top w:val="none" w:sz="0" w:space="0" w:color="auto"/>
        <w:left w:val="none" w:sz="0" w:space="0" w:color="auto"/>
        <w:bottom w:val="none" w:sz="0" w:space="0" w:color="auto"/>
        <w:right w:val="none" w:sz="0" w:space="0" w:color="auto"/>
      </w:divBdr>
    </w:div>
    <w:div w:id="54204907">
      <w:marLeft w:val="0"/>
      <w:marRight w:val="0"/>
      <w:marTop w:val="0"/>
      <w:marBottom w:val="0"/>
      <w:divBdr>
        <w:top w:val="none" w:sz="0" w:space="0" w:color="auto"/>
        <w:left w:val="none" w:sz="0" w:space="0" w:color="auto"/>
        <w:bottom w:val="none" w:sz="0" w:space="0" w:color="auto"/>
        <w:right w:val="none" w:sz="0" w:space="0" w:color="auto"/>
      </w:divBdr>
      <w:divsChild>
        <w:div w:id="333343241">
          <w:marLeft w:val="0"/>
          <w:marRight w:val="0"/>
          <w:marTop w:val="180"/>
          <w:marBottom w:val="0"/>
          <w:divBdr>
            <w:top w:val="none" w:sz="0" w:space="0" w:color="auto"/>
            <w:left w:val="none" w:sz="0" w:space="0" w:color="auto"/>
            <w:bottom w:val="none" w:sz="0" w:space="0" w:color="auto"/>
            <w:right w:val="none" w:sz="0" w:space="0" w:color="auto"/>
          </w:divBdr>
        </w:div>
      </w:divsChild>
    </w:div>
    <w:div w:id="54739843">
      <w:marLeft w:val="0"/>
      <w:marRight w:val="0"/>
      <w:marTop w:val="180"/>
      <w:marBottom w:val="0"/>
      <w:divBdr>
        <w:top w:val="none" w:sz="0" w:space="0" w:color="auto"/>
        <w:left w:val="none" w:sz="0" w:space="0" w:color="auto"/>
        <w:bottom w:val="none" w:sz="0" w:space="0" w:color="auto"/>
        <w:right w:val="none" w:sz="0" w:space="0" w:color="auto"/>
      </w:divBdr>
    </w:div>
    <w:div w:id="57292025">
      <w:marLeft w:val="0"/>
      <w:marRight w:val="0"/>
      <w:marTop w:val="180"/>
      <w:marBottom w:val="0"/>
      <w:divBdr>
        <w:top w:val="none" w:sz="0" w:space="0" w:color="auto"/>
        <w:left w:val="none" w:sz="0" w:space="0" w:color="auto"/>
        <w:bottom w:val="none" w:sz="0" w:space="0" w:color="auto"/>
        <w:right w:val="none" w:sz="0" w:space="0" w:color="auto"/>
      </w:divBdr>
    </w:div>
    <w:div w:id="58678392">
      <w:marLeft w:val="0"/>
      <w:marRight w:val="0"/>
      <w:marTop w:val="0"/>
      <w:marBottom w:val="0"/>
      <w:divBdr>
        <w:top w:val="none" w:sz="0" w:space="0" w:color="auto"/>
        <w:left w:val="none" w:sz="0" w:space="0" w:color="auto"/>
        <w:bottom w:val="none" w:sz="0" w:space="0" w:color="auto"/>
        <w:right w:val="none" w:sz="0" w:space="0" w:color="auto"/>
      </w:divBdr>
      <w:divsChild>
        <w:div w:id="1570652478">
          <w:marLeft w:val="0"/>
          <w:marRight w:val="0"/>
          <w:marTop w:val="180"/>
          <w:marBottom w:val="0"/>
          <w:divBdr>
            <w:top w:val="none" w:sz="0" w:space="0" w:color="auto"/>
            <w:left w:val="none" w:sz="0" w:space="0" w:color="auto"/>
            <w:bottom w:val="none" w:sz="0" w:space="0" w:color="auto"/>
            <w:right w:val="none" w:sz="0" w:space="0" w:color="auto"/>
          </w:divBdr>
        </w:div>
      </w:divsChild>
    </w:div>
    <w:div w:id="61950854">
      <w:marLeft w:val="0"/>
      <w:marRight w:val="0"/>
      <w:marTop w:val="180"/>
      <w:marBottom w:val="0"/>
      <w:divBdr>
        <w:top w:val="none" w:sz="0" w:space="0" w:color="auto"/>
        <w:left w:val="none" w:sz="0" w:space="0" w:color="auto"/>
        <w:bottom w:val="none" w:sz="0" w:space="0" w:color="auto"/>
        <w:right w:val="none" w:sz="0" w:space="0" w:color="auto"/>
      </w:divBdr>
    </w:div>
    <w:div w:id="62798814">
      <w:marLeft w:val="0"/>
      <w:marRight w:val="0"/>
      <w:marTop w:val="0"/>
      <w:marBottom w:val="0"/>
      <w:divBdr>
        <w:top w:val="none" w:sz="0" w:space="0" w:color="auto"/>
        <w:left w:val="none" w:sz="0" w:space="0" w:color="auto"/>
        <w:bottom w:val="none" w:sz="0" w:space="0" w:color="auto"/>
        <w:right w:val="none" w:sz="0" w:space="0" w:color="auto"/>
      </w:divBdr>
      <w:divsChild>
        <w:div w:id="279384168">
          <w:marLeft w:val="0"/>
          <w:marRight w:val="0"/>
          <w:marTop w:val="0"/>
          <w:marBottom w:val="0"/>
          <w:divBdr>
            <w:top w:val="none" w:sz="0" w:space="0" w:color="auto"/>
            <w:left w:val="none" w:sz="0" w:space="0" w:color="auto"/>
            <w:bottom w:val="none" w:sz="0" w:space="0" w:color="auto"/>
            <w:right w:val="none" w:sz="0" w:space="0" w:color="auto"/>
          </w:divBdr>
          <w:divsChild>
            <w:div w:id="5085702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231515">
      <w:marLeft w:val="0"/>
      <w:marRight w:val="0"/>
      <w:marTop w:val="180"/>
      <w:marBottom w:val="0"/>
      <w:divBdr>
        <w:top w:val="none" w:sz="0" w:space="0" w:color="auto"/>
        <w:left w:val="none" w:sz="0" w:space="0" w:color="auto"/>
        <w:bottom w:val="none" w:sz="0" w:space="0" w:color="auto"/>
        <w:right w:val="none" w:sz="0" w:space="0" w:color="auto"/>
      </w:divBdr>
    </w:div>
    <w:div w:id="67575890">
      <w:marLeft w:val="0"/>
      <w:marRight w:val="0"/>
      <w:marTop w:val="0"/>
      <w:marBottom w:val="0"/>
      <w:divBdr>
        <w:top w:val="none" w:sz="0" w:space="0" w:color="auto"/>
        <w:left w:val="none" w:sz="0" w:space="0" w:color="auto"/>
        <w:bottom w:val="none" w:sz="0" w:space="0" w:color="auto"/>
        <w:right w:val="none" w:sz="0" w:space="0" w:color="auto"/>
      </w:divBdr>
      <w:divsChild>
        <w:div w:id="2083523568">
          <w:marLeft w:val="0"/>
          <w:marRight w:val="0"/>
          <w:marTop w:val="0"/>
          <w:marBottom w:val="0"/>
          <w:divBdr>
            <w:top w:val="none" w:sz="0" w:space="0" w:color="auto"/>
            <w:left w:val="none" w:sz="0" w:space="0" w:color="auto"/>
            <w:bottom w:val="none" w:sz="0" w:space="0" w:color="auto"/>
            <w:right w:val="none" w:sz="0" w:space="0" w:color="auto"/>
          </w:divBdr>
          <w:divsChild>
            <w:div w:id="6731431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926616">
      <w:marLeft w:val="0"/>
      <w:marRight w:val="0"/>
      <w:marTop w:val="180"/>
      <w:marBottom w:val="0"/>
      <w:divBdr>
        <w:top w:val="none" w:sz="0" w:space="0" w:color="auto"/>
        <w:left w:val="none" w:sz="0" w:space="0" w:color="auto"/>
        <w:bottom w:val="none" w:sz="0" w:space="0" w:color="auto"/>
        <w:right w:val="none" w:sz="0" w:space="0" w:color="auto"/>
      </w:divBdr>
    </w:div>
    <w:div w:id="68431809">
      <w:marLeft w:val="0"/>
      <w:marRight w:val="0"/>
      <w:marTop w:val="180"/>
      <w:marBottom w:val="0"/>
      <w:divBdr>
        <w:top w:val="none" w:sz="0" w:space="0" w:color="auto"/>
        <w:left w:val="none" w:sz="0" w:space="0" w:color="auto"/>
        <w:bottom w:val="none" w:sz="0" w:space="0" w:color="auto"/>
        <w:right w:val="none" w:sz="0" w:space="0" w:color="auto"/>
      </w:divBdr>
    </w:div>
    <w:div w:id="73623609">
      <w:marLeft w:val="0"/>
      <w:marRight w:val="0"/>
      <w:marTop w:val="180"/>
      <w:marBottom w:val="0"/>
      <w:divBdr>
        <w:top w:val="none" w:sz="0" w:space="0" w:color="auto"/>
        <w:left w:val="none" w:sz="0" w:space="0" w:color="auto"/>
        <w:bottom w:val="none" w:sz="0" w:space="0" w:color="auto"/>
        <w:right w:val="none" w:sz="0" w:space="0" w:color="auto"/>
      </w:divBdr>
    </w:div>
    <w:div w:id="74478421">
      <w:marLeft w:val="0"/>
      <w:marRight w:val="0"/>
      <w:marTop w:val="180"/>
      <w:marBottom w:val="120"/>
      <w:divBdr>
        <w:top w:val="none" w:sz="0" w:space="0" w:color="auto"/>
        <w:left w:val="none" w:sz="0" w:space="0" w:color="auto"/>
        <w:bottom w:val="none" w:sz="0" w:space="0" w:color="auto"/>
        <w:right w:val="none" w:sz="0" w:space="0" w:color="auto"/>
      </w:divBdr>
    </w:div>
    <w:div w:id="75327847">
      <w:marLeft w:val="0"/>
      <w:marRight w:val="0"/>
      <w:marTop w:val="180"/>
      <w:marBottom w:val="0"/>
      <w:divBdr>
        <w:top w:val="none" w:sz="0" w:space="0" w:color="auto"/>
        <w:left w:val="none" w:sz="0" w:space="0" w:color="auto"/>
        <w:bottom w:val="none" w:sz="0" w:space="0" w:color="auto"/>
        <w:right w:val="none" w:sz="0" w:space="0" w:color="auto"/>
      </w:divBdr>
    </w:div>
    <w:div w:id="75903522">
      <w:marLeft w:val="0"/>
      <w:marRight w:val="0"/>
      <w:marTop w:val="180"/>
      <w:marBottom w:val="0"/>
      <w:divBdr>
        <w:top w:val="none" w:sz="0" w:space="0" w:color="auto"/>
        <w:left w:val="none" w:sz="0" w:space="0" w:color="auto"/>
        <w:bottom w:val="none" w:sz="0" w:space="0" w:color="auto"/>
        <w:right w:val="none" w:sz="0" w:space="0" w:color="auto"/>
      </w:divBdr>
    </w:div>
    <w:div w:id="75908543">
      <w:marLeft w:val="0"/>
      <w:marRight w:val="0"/>
      <w:marTop w:val="180"/>
      <w:marBottom w:val="0"/>
      <w:divBdr>
        <w:top w:val="none" w:sz="0" w:space="0" w:color="auto"/>
        <w:left w:val="none" w:sz="0" w:space="0" w:color="auto"/>
        <w:bottom w:val="none" w:sz="0" w:space="0" w:color="auto"/>
        <w:right w:val="none" w:sz="0" w:space="0" w:color="auto"/>
      </w:divBdr>
    </w:div>
    <w:div w:id="77338253">
      <w:marLeft w:val="0"/>
      <w:marRight w:val="0"/>
      <w:marTop w:val="120"/>
      <w:marBottom w:val="0"/>
      <w:divBdr>
        <w:top w:val="none" w:sz="0" w:space="0" w:color="auto"/>
        <w:left w:val="none" w:sz="0" w:space="0" w:color="auto"/>
        <w:bottom w:val="none" w:sz="0" w:space="0" w:color="auto"/>
        <w:right w:val="none" w:sz="0" w:space="0" w:color="auto"/>
      </w:divBdr>
    </w:div>
    <w:div w:id="78870133">
      <w:marLeft w:val="0"/>
      <w:marRight w:val="0"/>
      <w:marTop w:val="120"/>
      <w:marBottom w:val="0"/>
      <w:divBdr>
        <w:top w:val="none" w:sz="0" w:space="0" w:color="auto"/>
        <w:left w:val="none" w:sz="0" w:space="0" w:color="auto"/>
        <w:bottom w:val="none" w:sz="0" w:space="0" w:color="auto"/>
        <w:right w:val="none" w:sz="0" w:space="0" w:color="auto"/>
      </w:divBdr>
    </w:div>
    <w:div w:id="83847215">
      <w:marLeft w:val="0"/>
      <w:marRight w:val="0"/>
      <w:marTop w:val="240"/>
      <w:marBottom w:val="0"/>
      <w:divBdr>
        <w:top w:val="none" w:sz="0" w:space="0" w:color="auto"/>
        <w:left w:val="none" w:sz="0" w:space="0" w:color="auto"/>
        <w:bottom w:val="none" w:sz="0" w:space="0" w:color="auto"/>
        <w:right w:val="none" w:sz="0" w:space="0" w:color="auto"/>
      </w:divBdr>
    </w:div>
    <w:div w:id="85268940">
      <w:marLeft w:val="0"/>
      <w:marRight w:val="0"/>
      <w:marTop w:val="0"/>
      <w:marBottom w:val="340"/>
      <w:divBdr>
        <w:top w:val="none" w:sz="0" w:space="0" w:color="auto"/>
        <w:left w:val="none" w:sz="0" w:space="0" w:color="auto"/>
        <w:bottom w:val="none" w:sz="0" w:space="0" w:color="auto"/>
        <w:right w:val="none" w:sz="0" w:space="0" w:color="auto"/>
      </w:divBdr>
    </w:div>
    <w:div w:id="85618605">
      <w:marLeft w:val="0"/>
      <w:marRight w:val="0"/>
      <w:marTop w:val="240"/>
      <w:marBottom w:val="0"/>
      <w:divBdr>
        <w:top w:val="none" w:sz="0" w:space="0" w:color="auto"/>
        <w:left w:val="none" w:sz="0" w:space="0" w:color="auto"/>
        <w:bottom w:val="none" w:sz="0" w:space="0" w:color="auto"/>
        <w:right w:val="none" w:sz="0" w:space="0" w:color="auto"/>
      </w:divBdr>
    </w:div>
    <w:div w:id="87123799">
      <w:marLeft w:val="0"/>
      <w:marRight w:val="0"/>
      <w:marTop w:val="0"/>
      <w:marBottom w:val="0"/>
      <w:divBdr>
        <w:top w:val="none" w:sz="0" w:space="0" w:color="auto"/>
        <w:left w:val="none" w:sz="0" w:space="0" w:color="auto"/>
        <w:bottom w:val="none" w:sz="0" w:space="0" w:color="auto"/>
        <w:right w:val="none" w:sz="0" w:space="0" w:color="auto"/>
      </w:divBdr>
      <w:divsChild>
        <w:div w:id="133105458">
          <w:marLeft w:val="0"/>
          <w:marRight w:val="0"/>
          <w:marTop w:val="0"/>
          <w:marBottom w:val="0"/>
          <w:divBdr>
            <w:top w:val="none" w:sz="0" w:space="0" w:color="auto"/>
            <w:left w:val="none" w:sz="0" w:space="0" w:color="auto"/>
            <w:bottom w:val="none" w:sz="0" w:space="0" w:color="auto"/>
            <w:right w:val="none" w:sz="0" w:space="0" w:color="auto"/>
          </w:divBdr>
        </w:div>
      </w:divsChild>
    </w:div>
    <w:div w:id="89396033">
      <w:marLeft w:val="0"/>
      <w:marRight w:val="0"/>
      <w:marTop w:val="180"/>
      <w:marBottom w:val="0"/>
      <w:divBdr>
        <w:top w:val="none" w:sz="0" w:space="0" w:color="auto"/>
        <w:left w:val="none" w:sz="0" w:space="0" w:color="auto"/>
        <w:bottom w:val="none" w:sz="0" w:space="0" w:color="auto"/>
        <w:right w:val="none" w:sz="0" w:space="0" w:color="auto"/>
      </w:divBdr>
    </w:div>
    <w:div w:id="89550747">
      <w:marLeft w:val="0"/>
      <w:marRight w:val="0"/>
      <w:marTop w:val="180"/>
      <w:marBottom w:val="0"/>
      <w:divBdr>
        <w:top w:val="none" w:sz="0" w:space="0" w:color="auto"/>
        <w:left w:val="none" w:sz="0" w:space="0" w:color="auto"/>
        <w:bottom w:val="none" w:sz="0" w:space="0" w:color="auto"/>
        <w:right w:val="none" w:sz="0" w:space="0" w:color="auto"/>
      </w:divBdr>
    </w:div>
    <w:div w:id="90442626">
      <w:marLeft w:val="0"/>
      <w:marRight w:val="0"/>
      <w:marTop w:val="180"/>
      <w:marBottom w:val="0"/>
      <w:divBdr>
        <w:top w:val="none" w:sz="0" w:space="0" w:color="auto"/>
        <w:left w:val="none" w:sz="0" w:space="0" w:color="auto"/>
        <w:bottom w:val="none" w:sz="0" w:space="0" w:color="auto"/>
        <w:right w:val="none" w:sz="0" w:space="0" w:color="auto"/>
      </w:divBdr>
    </w:div>
    <w:div w:id="94055584">
      <w:marLeft w:val="0"/>
      <w:marRight w:val="0"/>
      <w:marTop w:val="180"/>
      <w:marBottom w:val="0"/>
      <w:divBdr>
        <w:top w:val="none" w:sz="0" w:space="0" w:color="auto"/>
        <w:left w:val="none" w:sz="0" w:space="0" w:color="auto"/>
        <w:bottom w:val="none" w:sz="0" w:space="0" w:color="auto"/>
        <w:right w:val="none" w:sz="0" w:space="0" w:color="auto"/>
      </w:divBdr>
    </w:div>
    <w:div w:id="95712276">
      <w:marLeft w:val="0"/>
      <w:marRight w:val="0"/>
      <w:marTop w:val="180"/>
      <w:marBottom w:val="0"/>
      <w:divBdr>
        <w:top w:val="none" w:sz="0" w:space="0" w:color="auto"/>
        <w:left w:val="none" w:sz="0" w:space="0" w:color="auto"/>
        <w:bottom w:val="none" w:sz="0" w:space="0" w:color="auto"/>
        <w:right w:val="none" w:sz="0" w:space="0" w:color="auto"/>
      </w:divBdr>
    </w:div>
    <w:div w:id="96945684">
      <w:marLeft w:val="0"/>
      <w:marRight w:val="0"/>
      <w:marTop w:val="60"/>
      <w:marBottom w:val="120"/>
      <w:divBdr>
        <w:top w:val="none" w:sz="0" w:space="0" w:color="auto"/>
        <w:left w:val="none" w:sz="0" w:space="0" w:color="auto"/>
        <w:bottom w:val="none" w:sz="0" w:space="0" w:color="auto"/>
        <w:right w:val="none" w:sz="0" w:space="0" w:color="auto"/>
      </w:divBdr>
      <w:divsChild>
        <w:div w:id="1175879624">
          <w:marLeft w:val="0"/>
          <w:marRight w:val="0"/>
          <w:marTop w:val="0"/>
          <w:marBottom w:val="0"/>
          <w:divBdr>
            <w:top w:val="none" w:sz="0" w:space="0" w:color="auto"/>
            <w:left w:val="none" w:sz="0" w:space="0" w:color="auto"/>
            <w:bottom w:val="none" w:sz="0" w:space="0" w:color="auto"/>
            <w:right w:val="none" w:sz="0" w:space="0" w:color="auto"/>
          </w:divBdr>
        </w:div>
        <w:div w:id="1114708719">
          <w:marLeft w:val="0"/>
          <w:marRight w:val="0"/>
          <w:marTop w:val="0"/>
          <w:marBottom w:val="0"/>
          <w:divBdr>
            <w:top w:val="none" w:sz="0" w:space="0" w:color="auto"/>
            <w:left w:val="none" w:sz="0" w:space="0" w:color="auto"/>
            <w:bottom w:val="none" w:sz="0" w:space="0" w:color="auto"/>
            <w:right w:val="none" w:sz="0" w:space="0" w:color="auto"/>
          </w:divBdr>
        </w:div>
        <w:div w:id="1218399132">
          <w:marLeft w:val="0"/>
          <w:marRight w:val="0"/>
          <w:marTop w:val="0"/>
          <w:marBottom w:val="0"/>
          <w:divBdr>
            <w:top w:val="none" w:sz="0" w:space="0" w:color="auto"/>
            <w:left w:val="none" w:sz="0" w:space="0" w:color="auto"/>
            <w:bottom w:val="none" w:sz="0" w:space="0" w:color="auto"/>
            <w:right w:val="none" w:sz="0" w:space="0" w:color="auto"/>
          </w:divBdr>
        </w:div>
        <w:div w:id="1148009618">
          <w:marLeft w:val="0"/>
          <w:marRight w:val="0"/>
          <w:marTop w:val="0"/>
          <w:marBottom w:val="0"/>
          <w:divBdr>
            <w:top w:val="none" w:sz="0" w:space="0" w:color="auto"/>
            <w:left w:val="none" w:sz="0" w:space="0" w:color="auto"/>
            <w:bottom w:val="none" w:sz="0" w:space="0" w:color="auto"/>
            <w:right w:val="none" w:sz="0" w:space="0" w:color="auto"/>
          </w:divBdr>
        </w:div>
      </w:divsChild>
    </w:div>
    <w:div w:id="97337883">
      <w:marLeft w:val="0"/>
      <w:marRight w:val="0"/>
      <w:marTop w:val="180"/>
      <w:marBottom w:val="120"/>
      <w:divBdr>
        <w:top w:val="none" w:sz="0" w:space="0" w:color="auto"/>
        <w:left w:val="none" w:sz="0" w:space="0" w:color="auto"/>
        <w:bottom w:val="none" w:sz="0" w:space="0" w:color="auto"/>
        <w:right w:val="none" w:sz="0" w:space="0" w:color="auto"/>
      </w:divBdr>
    </w:div>
    <w:div w:id="98647536">
      <w:marLeft w:val="0"/>
      <w:marRight w:val="0"/>
      <w:marTop w:val="180"/>
      <w:marBottom w:val="0"/>
      <w:divBdr>
        <w:top w:val="none" w:sz="0" w:space="0" w:color="auto"/>
        <w:left w:val="none" w:sz="0" w:space="0" w:color="auto"/>
        <w:bottom w:val="none" w:sz="0" w:space="0" w:color="auto"/>
        <w:right w:val="none" w:sz="0" w:space="0" w:color="auto"/>
      </w:divBdr>
    </w:div>
    <w:div w:id="98718530">
      <w:marLeft w:val="0"/>
      <w:marRight w:val="0"/>
      <w:marTop w:val="180"/>
      <w:marBottom w:val="0"/>
      <w:divBdr>
        <w:top w:val="none" w:sz="0" w:space="0" w:color="auto"/>
        <w:left w:val="none" w:sz="0" w:space="0" w:color="auto"/>
        <w:bottom w:val="none" w:sz="0" w:space="0" w:color="auto"/>
        <w:right w:val="none" w:sz="0" w:space="0" w:color="auto"/>
      </w:divBdr>
    </w:div>
    <w:div w:id="101148912">
      <w:marLeft w:val="0"/>
      <w:marRight w:val="0"/>
      <w:marTop w:val="0"/>
      <w:marBottom w:val="0"/>
      <w:divBdr>
        <w:top w:val="none" w:sz="0" w:space="0" w:color="auto"/>
        <w:left w:val="none" w:sz="0" w:space="0" w:color="auto"/>
        <w:bottom w:val="none" w:sz="0" w:space="0" w:color="auto"/>
        <w:right w:val="none" w:sz="0" w:space="0" w:color="auto"/>
      </w:divBdr>
      <w:divsChild>
        <w:div w:id="1456213894">
          <w:marLeft w:val="0"/>
          <w:marRight w:val="0"/>
          <w:marTop w:val="0"/>
          <w:marBottom w:val="0"/>
          <w:divBdr>
            <w:top w:val="none" w:sz="0" w:space="0" w:color="auto"/>
            <w:left w:val="none" w:sz="0" w:space="0" w:color="auto"/>
            <w:bottom w:val="none" w:sz="0" w:space="0" w:color="auto"/>
            <w:right w:val="none" w:sz="0" w:space="0" w:color="auto"/>
          </w:divBdr>
        </w:div>
      </w:divsChild>
    </w:div>
    <w:div w:id="101843351">
      <w:marLeft w:val="0"/>
      <w:marRight w:val="0"/>
      <w:marTop w:val="180"/>
      <w:marBottom w:val="0"/>
      <w:divBdr>
        <w:top w:val="none" w:sz="0" w:space="0" w:color="auto"/>
        <w:left w:val="none" w:sz="0" w:space="0" w:color="auto"/>
        <w:bottom w:val="none" w:sz="0" w:space="0" w:color="auto"/>
        <w:right w:val="none" w:sz="0" w:space="0" w:color="auto"/>
      </w:divBdr>
    </w:div>
    <w:div w:id="104661965">
      <w:marLeft w:val="0"/>
      <w:marRight w:val="0"/>
      <w:marTop w:val="180"/>
      <w:marBottom w:val="240"/>
      <w:divBdr>
        <w:top w:val="none" w:sz="0" w:space="0" w:color="auto"/>
        <w:left w:val="none" w:sz="0" w:space="0" w:color="auto"/>
        <w:bottom w:val="none" w:sz="0" w:space="0" w:color="auto"/>
        <w:right w:val="none" w:sz="0" w:space="0" w:color="auto"/>
      </w:divBdr>
    </w:div>
    <w:div w:id="108092307">
      <w:marLeft w:val="0"/>
      <w:marRight w:val="0"/>
      <w:marTop w:val="240"/>
      <w:marBottom w:val="0"/>
      <w:divBdr>
        <w:top w:val="none" w:sz="0" w:space="0" w:color="auto"/>
        <w:left w:val="none" w:sz="0" w:space="0" w:color="auto"/>
        <w:bottom w:val="none" w:sz="0" w:space="0" w:color="auto"/>
        <w:right w:val="none" w:sz="0" w:space="0" w:color="auto"/>
      </w:divBdr>
    </w:div>
    <w:div w:id="109328019">
      <w:marLeft w:val="0"/>
      <w:marRight w:val="0"/>
      <w:marTop w:val="0"/>
      <w:marBottom w:val="120"/>
      <w:divBdr>
        <w:top w:val="none" w:sz="0" w:space="0" w:color="auto"/>
        <w:left w:val="none" w:sz="0" w:space="0" w:color="auto"/>
        <w:bottom w:val="none" w:sz="0" w:space="0" w:color="auto"/>
        <w:right w:val="none" w:sz="0" w:space="0" w:color="auto"/>
      </w:divBdr>
      <w:divsChild>
        <w:div w:id="726033691">
          <w:marLeft w:val="0"/>
          <w:marRight w:val="0"/>
          <w:marTop w:val="0"/>
          <w:marBottom w:val="0"/>
          <w:divBdr>
            <w:top w:val="none" w:sz="0" w:space="0" w:color="auto"/>
            <w:left w:val="none" w:sz="0" w:space="0" w:color="auto"/>
            <w:bottom w:val="none" w:sz="0" w:space="0" w:color="auto"/>
            <w:right w:val="none" w:sz="0" w:space="0" w:color="auto"/>
          </w:divBdr>
        </w:div>
      </w:divsChild>
    </w:div>
    <w:div w:id="110169459">
      <w:marLeft w:val="0"/>
      <w:marRight w:val="0"/>
      <w:marTop w:val="180"/>
      <w:marBottom w:val="0"/>
      <w:divBdr>
        <w:top w:val="none" w:sz="0" w:space="0" w:color="auto"/>
        <w:left w:val="none" w:sz="0" w:space="0" w:color="auto"/>
        <w:bottom w:val="none" w:sz="0" w:space="0" w:color="auto"/>
        <w:right w:val="none" w:sz="0" w:space="0" w:color="auto"/>
      </w:divBdr>
    </w:div>
    <w:div w:id="110787532">
      <w:marLeft w:val="0"/>
      <w:marRight w:val="0"/>
      <w:marTop w:val="180"/>
      <w:marBottom w:val="0"/>
      <w:divBdr>
        <w:top w:val="none" w:sz="0" w:space="0" w:color="auto"/>
        <w:left w:val="none" w:sz="0" w:space="0" w:color="auto"/>
        <w:bottom w:val="none" w:sz="0" w:space="0" w:color="auto"/>
        <w:right w:val="none" w:sz="0" w:space="0" w:color="auto"/>
      </w:divBdr>
    </w:div>
    <w:div w:id="111435629">
      <w:marLeft w:val="0"/>
      <w:marRight w:val="0"/>
      <w:marTop w:val="180"/>
      <w:marBottom w:val="120"/>
      <w:divBdr>
        <w:top w:val="none" w:sz="0" w:space="0" w:color="auto"/>
        <w:left w:val="none" w:sz="0" w:space="0" w:color="auto"/>
        <w:bottom w:val="none" w:sz="0" w:space="0" w:color="auto"/>
        <w:right w:val="none" w:sz="0" w:space="0" w:color="auto"/>
      </w:divBdr>
    </w:div>
    <w:div w:id="111559091">
      <w:marLeft w:val="0"/>
      <w:marRight w:val="0"/>
      <w:marTop w:val="180"/>
      <w:marBottom w:val="0"/>
      <w:divBdr>
        <w:top w:val="none" w:sz="0" w:space="0" w:color="auto"/>
        <w:left w:val="none" w:sz="0" w:space="0" w:color="auto"/>
        <w:bottom w:val="none" w:sz="0" w:space="0" w:color="auto"/>
        <w:right w:val="none" w:sz="0" w:space="0" w:color="auto"/>
      </w:divBdr>
    </w:div>
    <w:div w:id="112478552">
      <w:marLeft w:val="0"/>
      <w:marRight w:val="0"/>
      <w:marTop w:val="180"/>
      <w:marBottom w:val="0"/>
      <w:divBdr>
        <w:top w:val="none" w:sz="0" w:space="0" w:color="auto"/>
        <w:left w:val="none" w:sz="0" w:space="0" w:color="auto"/>
        <w:bottom w:val="none" w:sz="0" w:space="0" w:color="auto"/>
        <w:right w:val="none" w:sz="0" w:space="0" w:color="auto"/>
      </w:divBdr>
    </w:div>
    <w:div w:id="113405658">
      <w:marLeft w:val="0"/>
      <w:marRight w:val="0"/>
      <w:marTop w:val="180"/>
      <w:marBottom w:val="0"/>
      <w:divBdr>
        <w:top w:val="none" w:sz="0" w:space="0" w:color="auto"/>
        <w:left w:val="none" w:sz="0" w:space="0" w:color="auto"/>
        <w:bottom w:val="none" w:sz="0" w:space="0" w:color="auto"/>
        <w:right w:val="none" w:sz="0" w:space="0" w:color="auto"/>
      </w:divBdr>
    </w:div>
    <w:div w:id="113525356">
      <w:marLeft w:val="0"/>
      <w:marRight w:val="0"/>
      <w:marTop w:val="180"/>
      <w:marBottom w:val="0"/>
      <w:divBdr>
        <w:top w:val="none" w:sz="0" w:space="0" w:color="auto"/>
        <w:left w:val="none" w:sz="0" w:space="0" w:color="auto"/>
        <w:bottom w:val="none" w:sz="0" w:space="0" w:color="auto"/>
        <w:right w:val="none" w:sz="0" w:space="0" w:color="auto"/>
      </w:divBdr>
    </w:div>
    <w:div w:id="114033542">
      <w:marLeft w:val="0"/>
      <w:marRight w:val="0"/>
      <w:marTop w:val="180"/>
      <w:marBottom w:val="0"/>
      <w:divBdr>
        <w:top w:val="none" w:sz="0" w:space="0" w:color="auto"/>
        <w:left w:val="none" w:sz="0" w:space="0" w:color="auto"/>
        <w:bottom w:val="none" w:sz="0" w:space="0" w:color="auto"/>
        <w:right w:val="none" w:sz="0" w:space="0" w:color="auto"/>
      </w:divBdr>
    </w:div>
    <w:div w:id="114064966">
      <w:marLeft w:val="0"/>
      <w:marRight w:val="0"/>
      <w:marTop w:val="180"/>
      <w:marBottom w:val="12"/>
      <w:divBdr>
        <w:top w:val="none" w:sz="0" w:space="0" w:color="auto"/>
        <w:left w:val="none" w:sz="0" w:space="0" w:color="auto"/>
        <w:bottom w:val="none" w:sz="0" w:space="0" w:color="auto"/>
        <w:right w:val="none" w:sz="0" w:space="0" w:color="auto"/>
      </w:divBdr>
    </w:div>
    <w:div w:id="116221545">
      <w:marLeft w:val="0"/>
      <w:marRight w:val="0"/>
      <w:marTop w:val="0"/>
      <w:marBottom w:val="0"/>
      <w:divBdr>
        <w:top w:val="none" w:sz="0" w:space="0" w:color="auto"/>
        <w:left w:val="none" w:sz="0" w:space="0" w:color="auto"/>
        <w:bottom w:val="none" w:sz="0" w:space="0" w:color="auto"/>
        <w:right w:val="none" w:sz="0" w:space="0" w:color="auto"/>
      </w:divBdr>
      <w:divsChild>
        <w:div w:id="590041404">
          <w:marLeft w:val="0"/>
          <w:marRight w:val="0"/>
          <w:marTop w:val="180"/>
          <w:marBottom w:val="0"/>
          <w:divBdr>
            <w:top w:val="none" w:sz="0" w:space="0" w:color="auto"/>
            <w:left w:val="none" w:sz="0" w:space="0" w:color="auto"/>
            <w:bottom w:val="none" w:sz="0" w:space="0" w:color="auto"/>
            <w:right w:val="none" w:sz="0" w:space="0" w:color="auto"/>
          </w:divBdr>
        </w:div>
      </w:divsChild>
    </w:div>
    <w:div w:id="117535280">
      <w:marLeft w:val="0"/>
      <w:marRight w:val="0"/>
      <w:marTop w:val="180"/>
      <w:marBottom w:val="0"/>
      <w:divBdr>
        <w:top w:val="none" w:sz="0" w:space="0" w:color="auto"/>
        <w:left w:val="none" w:sz="0" w:space="0" w:color="auto"/>
        <w:bottom w:val="none" w:sz="0" w:space="0" w:color="auto"/>
        <w:right w:val="none" w:sz="0" w:space="0" w:color="auto"/>
      </w:divBdr>
    </w:div>
    <w:div w:id="121729577">
      <w:marLeft w:val="0"/>
      <w:marRight w:val="0"/>
      <w:marTop w:val="0"/>
      <w:marBottom w:val="0"/>
      <w:divBdr>
        <w:top w:val="none" w:sz="0" w:space="0" w:color="auto"/>
        <w:left w:val="none" w:sz="0" w:space="0" w:color="auto"/>
        <w:bottom w:val="none" w:sz="0" w:space="0" w:color="auto"/>
        <w:right w:val="none" w:sz="0" w:space="0" w:color="auto"/>
      </w:divBdr>
      <w:divsChild>
        <w:div w:id="801576114">
          <w:marLeft w:val="0"/>
          <w:marRight w:val="0"/>
          <w:marTop w:val="180"/>
          <w:marBottom w:val="0"/>
          <w:divBdr>
            <w:top w:val="none" w:sz="0" w:space="0" w:color="auto"/>
            <w:left w:val="none" w:sz="0" w:space="0" w:color="auto"/>
            <w:bottom w:val="none" w:sz="0" w:space="0" w:color="auto"/>
            <w:right w:val="none" w:sz="0" w:space="0" w:color="auto"/>
          </w:divBdr>
        </w:div>
      </w:divsChild>
    </w:div>
    <w:div w:id="122894325">
      <w:marLeft w:val="0"/>
      <w:marRight w:val="0"/>
      <w:marTop w:val="0"/>
      <w:marBottom w:val="0"/>
      <w:divBdr>
        <w:top w:val="none" w:sz="0" w:space="0" w:color="auto"/>
        <w:left w:val="none" w:sz="0" w:space="0" w:color="auto"/>
        <w:bottom w:val="none" w:sz="0" w:space="0" w:color="auto"/>
        <w:right w:val="none" w:sz="0" w:space="0" w:color="auto"/>
      </w:divBdr>
    </w:div>
    <w:div w:id="123278261">
      <w:marLeft w:val="0"/>
      <w:marRight w:val="0"/>
      <w:marTop w:val="0"/>
      <w:marBottom w:val="0"/>
      <w:divBdr>
        <w:top w:val="none" w:sz="0" w:space="0" w:color="auto"/>
        <w:left w:val="none" w:sz="0" w:space="0" w:color="auto"/>
        <w:bottom w:val="none" w:sz="0" w:space="0" w:color="auto"/>
        <w:right w:val="none" w:sz="0" w:space="0" w:color="auto"/>
      </w:divBdr>
    </w:div>
    <w:div w:id="125394133">
      <w:marLeft w:val="0"/>
      <w:marRight w:val="0"/>
      <w:marTop w:val="180"/>
      <w:marBottom w:val="0"/>
      <w:divBdr>
        <w:top w:val="none" w:sz="0" w:space="0" w:color="auto"/>
        <w:left w:val="none" w:sz="0" w:space="0" w:color="auto"/>
        <w:bottom w:val="none" w:sz="0" w:space="0" w:color="auto"/>
        <w:right w:val="none" w:sz="0" w:space="0" w:color="auto"/>
      </w:divBdr>
    </w:div>
    <w:div w:id="125785418">
      <w:marLeft w:val="0"/>
      <w:marRight w:val="0"/>
      <w:marTop w:val="240"/>
      <w:marBottom w:val="120"/>
      <w:divBdr>
        <w:top w:val="none" w:sz="0" w:space="0" w:color="auto"/>
        <w:left w:val="none" w:sz="0" w:space="0" w:color="auto"/>
        <w:bottom w:val="none" w:sz="0" w:space="0" w:color="auto"/>
        <w:right w:val="none" w:sz="0" w:space="0" w:color="auto"/>
      </w:divBdr>
      <w:divsChild>
        <w:div w:id="1475414775">
          <w:marLeft w:val="0"/>
          <w:marRight w:val="0"/>
          <w:marTop w:val="0"/>
          <w:marBottom w:val="0"/>
          <w:divBdr>
            <w:top w:val="none" w:sz="0" w:space="0" w:color="auto"/>
            <w:left w:val="none" w:sz="0" w:space="0" w:color="auto"/>
            <w:bottom w:val="none" w:sz="0" w:space="0" w:color="auto"/>
            <w:right w:val="none" w:sz="0" w:space="0" w:color="auto"/>
          </w:divBdr>
        </w:div>
        <w:div w:id="1042167308">
          <w:marLeft w:val="0"/>
          <w:marRight w:val="0"/>
          <w:marTop w:val="0"/>
          <w:marBottom w:val="0"/>
          <w:divBdr>
            <w:top w:val="none" w:sz="0" w:space="0" w:color="auto"/>
            <w:left w:val="none" w:sz="0" w:space="0" w:color="auto"/>
            <w:bottom w:val="none" w:sz="0" w:space="0" w:color="auto"/>
            <w:right w:val="none" w:sz="0" w:space="0" w:color="auto"/>
          </w:divBdr>
        </w:div>
      </w:divsChild>
    </w:div>
    <w:div w:id="126582301">
      <w:marLeft w:val="0"/>
      <w:marRight w:val="0"/>
      <w:marTop w:val="240"/>
      <w:marBottom w:val="0"/>
      <w:divBdr>
        <w:top w:val="none" w:sz="0" w:space="0" w:color="auto"/>
        <w:left w:val="none" w:sz="0" w:space="0" w:color="auto"/>
        <w:bottom w:val="none" w:sz="0" w:space="0" w:color="auto"/>
        <w:right w:val="none" w:sz="0" w:space="0" w:color="auto"/>
      </w:divBdr>
    </w:div>
    <w:div w:id="126634309">
      <w:marLeft w:val="0"/>
      <w:marRight w:val="0"/>
      <w:marTop w:val="180"/>
      <w:marBottom w:val="0"/>
      <w:divBdr>
        <w:top w:val="none" w:sz="0" w:space="0" w:color="auto"/>
        <w:left w:val="none" w:sz="0" w:space="0" w:color="auto"/>
        <w:bottom w:val="none" w:sz="0" w:space="0" w:color="auto"/>
        <w:right w:val="none" w:sz="0" w:space="0" w:color="auto"/>
      </w:divBdr>
    </w:div>
    <w:div w:id="128013692">
      <w:marLeft w:val="0"/>
      <w:marRight w:val="0"/>
      <w:marTop w:val="180"/>
      <w:marBottom w:val="240"/>
      <w:divBdr>
        <w:top w:val="none" w:sz="0" w:space="0" w:color="auto"/>
        <w:left w:val="none" w:sz="0" w:space="0" w:color="auto"/>
        <w:bottom w:val="none" w:sz="0" w:space="0" w:color="auto"/>
        <w:right w:val="none" w:sz="0" w:space="0" w:color="auto"/>
      </w:divBdr>
    </w:div>
    <w:div w:id="128980600">
      <w:marLeft w:val="0"/>
      <w:marRight w:val="0"/>
      <w:marTop w:val="180"/>
      <w:marBottom w:val="0"/>
      <w:divBdr>
        <w:top w:val="none" w:sz="0" w:space="0" w:color="auto"/>
        <w:left w:val="none" w:sz="0" w:space="0" w:color="auto"/>
        <w:bottom w:val="none" w:sz="0" w:space="0" w:color="auto"/>
        <w:right w:val="none" w:sz="0" w:space="0" w:color="auto"/>
      </w:divBdr>
    </w:div>
    <w:div w:id="132256379">
      <w:marLeft w:val="0"/>
      <w:marRight w:val="0"/>
      <w:marTop w:val="180"/>
      <w:marBottom w:val="0"/>
      <w:divBdr>
        <w:top w:val="none" w:sz="0" w:space="0" w:color="auto"/>
        <w:left w:val="none" w:sz="0" w:space="0" w:color="auto"/>
        <w:bottom w:val="none" w:sz="0" w:space="0" w:color="auto"/>
        <w:right w:val="none" w:sz="0" w:space="0" w:color="auto"/>
      </w:divBdr>
    </w:div>
    <w:div w:id="133455596">
      <w:marLeft w:val="0"/>
      <w:marRight w:val="0"/>
      <w:marTop w:val="180"/>
      <w:marBottom w:val="0"/>
      <w:divBdr>
        <w:top w:val="none" w:sz="0" w:space="0" w:color="auto"/>
        <w:left w:val="none" w:sz="0" w:space="0" w:color="auto"/>
        <w:bottom w:val="none" w:sz="0" w:space="0" w:color="auto"/>
        <w:right w:val="none" w:sz="0" w:space="0" w:color="auto"/>
      </w:divBdr>
    </w:div>
    <w:div w:id="134639994">
      <w:marLeft w:val="0"/>
      <w:marRight w:val="0"/>
      <w:marTop w:val="0"/>
      <w:marBottom w:val="0"/>
      <w:divBdr>
        <w:top w:val="none" w:sz="0" w:space="0" w:color="auto"/>
        <w:left w:val="none" w:sz="0" w:space="0" w:color="auto"/>
        <w:bottom w:val="none" w:sz="0" w:space="0" w:color="auto"/>
        <w:right w:val="none" w:sz="0" w:space="0" w:color="auto"/>
      </w:divBdr>
      <w:divsChild>
        <w:div w:id="264775379">
          <w:marLeft w:val="0"/>
          <w:marRight w:val="0"/>
          <w:marTop w:val="180"/>
          <w:marBottom w:val="0"/>
          <w:divBdr>
            <w:top w:val="none" w:sz="0" w:space="0" w:color="auto"/>
            <w:left w:val="none" w:sz="0" w:space="0" w:color="auto"/>
            <w:bottom w:val="none" w:sz="0" w:space="0" w:color="auto"/>
            <w:right w:val="none" w:sz="0" w:space="0" w:color="auto"/>
          </w:divBdr>
        </w:div>
      </w:divsChild>
    </w:div>
    <w:div w:id="137655023">
      <w:marLeft w:val="0"/>
      <w:marRight w:val="0"/>
      <w:marTop w:val="180"/>
      <w:marBottom w:val="240"/>
      <w:divBdr>
        <w:top w:val="none" w:sz="0" w:space="0" w:color="auto"/>
        <w:left w:val="none" w:sz="0" w:space="0" w:color="auto"/>
        <w:bottom w:val="none" w:sz="0" w:space="0" w:color="auto"/>
        <w:right w:val="none" w:sz="0" w:space="0" w:color="auto"/>
      </w:divBdr>
    </w:div>
    <w:div w:id="138771202">
      <w:marLeft w:val="0"/>
      <w:marRight w:val="0"/>
      <w:marTop w:val="180"/>
      <w:marBottom w:val="0"/>
      <w:divBdr>
        <w:top w:val="none" w:sz="0" w:space="0" w:color="auto"/>
        <w:left w:val="none" w:sz="0" w:space="0" w:color="auto"/>
        <w:bottom w:val="none" w:sz="0" w:space="0" w:color="auto"/>
        <w:right w:val="none" w:sz="0" w:space="0" w:color="auto"/>
      </w:divBdr>
    </w:div>
    <w:div w:id="139226357">
      <w:marLeft w:val="0"/>
      <w:marRight w:val="0"/>
      <w:marTop w:val="60"/>
      <w:marBottom w:val="60"/>
      <w:divBdr>
        <w:top w:val="none" w:sz="0" w:space="0" w:color="auto"/>
        <w:left w:val="none" w:sz="0" w:space="0" w:color="auto"/>
        <w:bottom w:val="none" w:sz="0" w:space="0" w:color="auto"/>
        <w:right w:val="none" w:sz="0" w:space="0" w:color="auto"/>
      </w:divBdr>
    </w:div>
    <w:div w:id="141697187">
      <w:marLeft w:val="0"/>
      <w:marRight w:val="0"/>
      <w:marTop w:val="180"/>
      <w:marBottom w:val="0"/>
      <w:divBdr>
        <w:top w:val="none" w:sz="0" w:space="0" w:color="auto"/>
        <w:left w:val="none" w:sz="0" w:space="0" w:color="auto"/>
        <w:bottom w:val="none" w:sz="0" w:space="0" w:color="auto"/>
        <w:right w:val="none" w:sz="0" w:space="0" w:color="auto"/>
      </w:divBdr>
    </w:div>
    <w:div w:id="142090143">
      <w:marLeft w:val="0"/>
      <w:marRight w:val="0"/>
      <w:marTop w:val="180"/>
      <w:marBottom w:val="0"/>
      <w:divBdr>
        <w:top w:val="none" w:sz="0" w:space="0" w:color="auto"/>
        <w:left w:val="none" w:sz="0" w:space="0" w:color="auto"/>
        <w:bottom w:val="none" w:sz="0" w:space="0" w:color="auto"/>
        <w:right w:val="none" w:sz="0" w:space="0" w:color="auto"/>
      </w:divBdr>
    </w:div>
    <w:div w:id="142358034">
      <w:marLeft w:val="0"/>
      <w:marRight w:val="0"/>
      <w:marTop w:val="180"/>
      <w:marBottom w:val="0"/>
      <w:divBdr>
        <w:top w:val="none" w:sz="0" w:space="0" w:color="auto"/>
        <w:left w:val="none" w:sz="0" w:space="0" w:color="auto"/>
        <w:bottom w:val="none" w:sz="0" w:space="0" w:color="auto"/>
        <w:right w:val="none" w:sz="0" w:space="0" w:color="auto"/>
      </w:divBdr>
    </w:div>
    <w:div w:id="146551988">
      <w:marLeft w:val="0"/>
      <w:marRight w:val="0"/>
      <w:marTop w:val="180"/>
      <w:marBottom w:val="0"/>
      <w:divBdr>
        <w:top w:val="none" w:sz="0" w:space="0" w:color="auto"/>
        <w:left w:val="none" w:sz="0" w:space="0" w:color="auto"/>
        <w:bottom w:val="none" w:sz="0" w:space="0" w:color="auto"/>
        <w:right w:val="none" w:sz="0" w:space="0" w:color="auto"/>
      </w:divBdr>
    </w:div>
    <w:div w:id="146673638">
      <w:marLeft w:val="0"/>
      <w:marRight w:val="0"/>
      <w:marTop w:val="0"/>
      <w:marBottom w:val="0"/>
      <w:divBdr>
        <w:top w:val="none" w:sz="0" w:space="0" w:color="auto"/>
        <w:left w:val="none" w:sz="0" w:space="0" w:color="auto"/>
        <w:bottom w:val="none" w:sz="0" w:space="0" w:color="auto"/>
        <w:right w:val="none" w:sz="0" w:space="0" w:color="auto"/>
      </w:divBdr>
      <w:divsChild>
        <w:div w:id="1635984337">
          <w:marLeft w:val="0"/>
          <w:marRight w:val="0"/>
          <w:marTop w:val="0"/>
          <w:marBottom w:val="0"/>
          <w:divBdr>
            <w:top w:val="none" w:sz="0" w:space="0" w:color="auto"/>
            <w:left w:val="none" w:sz="0" w:space="0" w:color="auto"/>
            <w:bottom w:val="none" w:sz="0" w:space="0" w:color="auto"/>
            <w:right w:val="none" w:sz="0" w:space="0" w:color="auto"/>
          </w:divBdr>
        </w:div>
      </w:divsChild>
    </w:div>
    <w:div w:id="146676115">
      <w:marLeft w:val="0"/>
      <w:marRight w:val="0"/>
      <w:marTop w:val="180"/>
      <w:marBottom w:val="0"/>
      <w:divBdr>
        <w:top w:val="none" w:sz="0" w:space="0" w:color="auto"/>
        <w:left w:val="none" w:sz="0" w:space="0" w:color="auto"/>
        <w:bottom w:val="none" w:sz="0" w:space="0" w:color="auto"/>
        <w:right w:val="none" w:sz="0" w:space="0" w:color="auto"/>
      </w:divBdr>
    </w:div>
    <w:div w:id="146750281">
      <w:marLeft w:val="0"/>
      <w:marRight w:val="0"/>
      <w:marTop w:val="180"/>
      <w:marBottom w:val="0"/>
      <w:divBdr>
        <w:top w:val="none" w:sz="0" w:space="0" w:color="auto"/>
        <w:left w:val="none" w:sz="0" w:space="0" w:color="auto"/>
        <w:bottom w:val="none" w:sz="0" w:space="0" w:color="auto"/>
        <w:right w:val="none" w:sz="0" w:space="0" w:color="auto"/>
      </w:divBdr>
    </w:div>
    <w:div w:id="147138737">
      <w:marLeft w:val="0"/>
      <w:marRight w:val="0"/>
      <w:marTop w:val="0"/>
      <w:marBottom w:val="0"/>
      <w:divBdr>
        <w:top w:val="none" w:sz="0" w:space="0" w:color="auto"/>
        <w:left w:val="none" w:sz="0" w:space="0" w:color="auto"/>
        <w:bottom w:val="none" w:sz="0" w:space="0" w:color="auto"/>
        <w:right w:val="none" w:sz="0" w:space="0" w:color="auto"/>
      </w:divBdr>
    </w:div>
    <w:div w:id="148402967">
      <w:marLeft w:val="0"/>
      <w:marRight w:val="0"/>
      <w:marTop w:val="0"/>
      <w:marBottom w:val="0"/>
      <w:divBdr>
        <w:top w:val="none" w:sz="0" w:space="0" w:color="auto"/>
        <w:left w:val="none" w:sz="0" w:space="0" w:color="auto"/>
        <w:bottom w:val="none" w:sz="0" w:space="0" w:color="auto"/>
        <w:right w:val="none" w:sz="0" w:space="0" w:color="auto"/>
      </w:divBdr>
      <w:divsChild>
        <w:div w:id="765728803">
          <w:marLeft w:val="0"/>
          <w:marRight w:val="0"/>
          <w:marTop w:val="0"/>
          <w:marBottom w:val="0"/>
          <w:divBdr>
            <w:top w:val="none" w:sz="0" w:space="0" w:color="auto"/>
            <w:left w:val="none" w:sz="0" w:space="0" w:color="auto"/>
            <w:bottom w:val="none" w:sz="0" w:space="0" w:color="auto"/>
            <w:right w:val="none" w:sz="0" w:space="0" w:color="auto"/>
          </w:divBdr>
        </w:div>
      </w:divsChild>
    </w:div>
    <w:div w:id="149296943">
      <w:marLeft w:val="0"/>
      <w:marRight w:val="0"/>
      <w:marTop w:val="180"/>
      <w:marBottom w:val="0"/>
      <w:divBdr>
        <w:top w:val="none" w:sz="0" w:space="0" w:color="auto"/>
        <w:left w:val="none" w:sz="0" w:space="0" w:color="auto"/>
        <w:bottom w:val="none" w:sz="0" w:space="0" w:color="auto"/>
        <w:right w:val="none" w:sz="0" w:space="0" w:color="auto"/>
      </w:divBdr>
    </w:div>
    <w:div w:id="149978894">
      <w:marLeft w:val="0"/>
      <w:marRight w:val="0"/>
      <w:marTop w:val="180"/>
      <w:marBottom w:val="0"/>
      <w:divBdr>
        <w:top w:val="none" w:sz="0" w:space="0" w:color="auto"/>
        <w:left w:val="none" w:sz="0" w:space="0" w:color="auto"/>
        <w:bottom w:val="none" w:sz="0" w:space="0" w:color="auto"/>
        <w:right w:val="none" w:sz="0" w:space="0" w:color="auto"/>
      </w:divBdr>
    </w:div>
    <w:div w:id="153692641">
      <w:marLeft w:val="0"/>
      <w:marRight w:val="0"/>
      <w:marTop w:val="180"/>
      <w:marBottom w:val="0"/>
      <w:divBdr>
        <w:top w:val="none" w:sz="0" w:space="0" w:color="auto"/>
        <w:left w:val="none" w:sz="0" w:space="0" w:color="auto"/>
        <w:bottom w:val="none" w:sz="0" w:space="0" w:color="auto"/>
        <w:right w:val="none" w:sz="0" w:space="0" w:color="auto"/>
      </w:divBdr>
    </w:div>
    <w:div w:id="153885132">
      <w:marLeft w:val="0"/>
      <w:marRight w:val="0"/>
      <w:marTop w:val="0"/>
      <w:marBottom w:val="0"/>
      <w:divBdr>
        <w:top w:val="none" w:sz="0" w:space="0" w:color="auto"/>
        <w:left w:val="none" w:sz="0" w:space="0" w:color="auto"/>
        <w:bottom w:val="none" w:sz="0" w:space="0" w:color="auto"/>
        <w:right w:val="none" w:sz="0" w:space="0" w:color="auto"/>
      </w:divBdr>
      <w:divsChild>
        <w:div w:id="1158497615">
          <w:marLeft w:val="0"/>
          <w:marRight w:val="0"/>
          <w:marTop w:val="180"/>
          <w:marBottom w:val="0"/>
          <w:divBdr>
            <w:top w:val="none" w:sz="0" w:space="0" w:color="auto"/>
            <w:left w:val="none" w:sz="0" w:space="0" w:color="auto"/>
            <w:bottom w:val="none" w:sz="0" w:space="0" w:color="auto"/>
            <w:right w:val="none" w:sz="0" w:space="0" w:color="auto"/>
          </w:divBdr>
        </w:div>
      </w:divsChild>
    </w:div>
    <w:div w:id="155340911">
      <w:marLeft w:val="0"/>
      <w:marRight w:val="0"/>
      <w:marTop w:val="0"/>
      <w:marBottom w:val="0"/>
      <w:divBdr>
        <w:top w:val="none" w:sz="0" w:space="0" w:color="auto"/>
        <w:left w:val="none" w:sz="0" w:space="0" w:color="auto"/>
        <w:bottom w:val="none" w:sz="0" w:space="0" w:color="auto"/>
        <w:right w:val="none" w:sz="0" w:space="0" w:color="auto"/>
      </w:divBdr>
      <w:divsChild>
        <w:div w:id="1931621860">
          <w:marLeft w:val="0"/>
          <w:marRight w:val="0"/>
          <w:marTop w:val="0"/>
          <w:marBottom w:val="0"/>
          <w:divBdr>
            <w:top w:val="none" w:sz="0" w:space="0" w:color="auto"/>
            <w:left w:val="none" w:sz="0" w:space="0" w:color="auto"/>
            <w:bottom w:val="none" w:sz="0" w:space="0" w:color="auto"/>
            <w:right w:val="none" w:sz="0" w:space="0" w:color="auto"/>
          </w:divBdr>
          <w:divsChild>
            <w:div w:id="3694538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663448">
      <w:marLeft w:val="0"/>
      <w:marRight w:val="0"/>
      <w:marTop w:val="180"/>
      <w:marBottom w:val="0"/>
      <w:divBdr>
        <w:top w:val="none" w:sz="0" w:space="0" w:color="auto"/>
        <w:left w:val="none" w:sz="0" w:space="0" w:color="auto"/>
        <w:bottom w:val="none" w:sz="0" w:space="0" w:color="auto"/>
        <w:right w:val="none" w:sz="0" w:space="0" w:color="auto"/>
      </w:divBdr>
    </w:div>
    <w:div w:id="159078046">
      <w:marLeft w:val="0"/>
      <w:marRight w:val="0"/>
      <w:marTop w:val="180"/>
      <w:marBottom w:val="0"/>
      <w:divBdr>
        <w:top w:val="none" w:sz="0" w:space="0" w:color="auto"/>
        <w:left w:val="none" w:sz="0" w:space="0" w:color="auto"/>
        <w:bottom w:val="none" w:sz="0" w:space="0" w:color="auto"/>
        <w:right w:val="none" w:sz="0" w:space="0" w:color="auto"/>
      </w:divBdr>
    </w:div>
    <w:div w:id="161550195">
      <w:marLeft w:val="0"/>
      <w:marRight w:val="0"/>
      <w:marTop w:val="180"/>
      <w:marBottom w:val="0"/>
      <w:divBdr>
        <w:top w:val="none" w:sz="0" w:space="0" w:color="auto"/>
        <w:left w:val="none" w:sz="0" w:space="0" w:color="auto"/>
        <w:bottom w:val="none" w:sz="0" w:space="0" w:color="auto"/>
        <w:right w:val="none" w:sz="0" w:space="0" w:color="auto"/>
      </w:divBdr>
    </w:div>
    <w:div w:id="163589839">
      <w:marLeft w:val="0"/>
      <w:marRight w:val="0"/>
      <w:marTop w:val="180"/>
      <w:marBottom w:val="0"/>
      <w:divBdr>
        <w:top w:val="none" w:sz="0" w:space="0" w:color="auto"/>
        <w:left w:val="none" w:sz="0" w:space="0" w:color="auto"/>
        <w:bottom w:val="none" w:sz="0" w:space="0" w:color="auto"/>
        <w:right w:val="none" w:sz="0" w:space="0" w:color="auto"/>
      </w:divBdr>
    </w:div>
    <w:div w:id="164443277">
      <w:marLeft w:val="0"/>
      <w:marRight w:val="0"/>
      <w:marTop w:val="180"/>
      <w:marBottom w:val="0"/>
      <w:divBdr>
        <w:top w:val="none" w:sz="0" w:space="0" w:color="auto"/>
        <w:left w:val="none" w:sz="0" w:space="0" w:color="auto"/>
        <w:bottom w:val="none" w:sz="0" w:space="0" w:color="auto"/>
        <w:right w:val="none" w:sz="0" w:space="0" w:color="auto"/>
      </w:divBdr>
    </w:div>
    <w:div w:id="167603811">
      <w:marLeft w:val="0"/>
      <w:marRight w:val="0"/>
      <w:marTop w:val="180"/>
      <w:marBottom w:val="0"/>
      <w:divBdr>
        <w:top w:val="none" w:sz="0" w:space="0" w:color="auto"/>
        <w:left w:val="none" w:sz="0" w:space="0" w:color="auto"/>
        <w:bottom w:val="none" w:sz="0" w:space="0" w:color="auto"/>
        <w:right w:val="none" w:sz="0" w:space="0" w:color="auto"/>
      </w:divBdr>
    </w:div>
    <w:div w:id="168839839">
      <w:marLeft w:val="0"/>
      <w:marRight w:val="0"/>
      <w:marTop w:val="180"/>
      <w:marBottom w:val="0"/>
      <w:divBdr>
        <w:top w:val="none" w:sz="0" w:space="0" w:color="auto"/>
        <w:left w:val="none" w:sz="0" w:space="0" w:color="auto"/>
        <w:bottom w:val="none" w:sz="0" w:space="0" w:color="auto"/>
        <w:right w:val="none" w:sz="0" w:space="0" w:color="auto"/>
      </w:divBdr>
    </w:div>
    <w:div w:id="169415260">
      <w:marLeft w:val="0"/>
      <w:marRight w:val="0"/>
      <w:marTop w:val="120"/>
      <w:marBottom w:val="0"/>
      <w:divBdr>
        <w:top w:val="none" w:sz="0" w:space="0" w:color="auto"/>
        <w:left w:val="none" w:sz="0" w:space="0" w:color="auto"/>
        <w:bottom w:val="none" w:sz="0" w:space="0" w:color="auto"/>
        <w:right w:val="none" w:sz="0" w:space="0" w:color="auto"/>
      </w:divBdr>
    </w:div>
    <w:div w:id="169954904">
      <w:marLeft w:val="0"/>
      <w:marRight w:val="0"/>
      <w:marTop w:val="180"/>
      <w:marBottom w:val="0"/>
      <w:divBdr>
        <w:top w:val="none" w:sz="0" w:space="0" w:color="auto"/>
        <w:left w:val="none" w:sz="0" w:space="0" w:color="auto"/>
        <w:bottom w:val="none" w:sz="0" w:space="0" w:color="auto"/>
        <w:right w:val="none" w:sz="0" w:space="0" w:color="auto"/>
      </w:divBdr>
    </w:div>
    <w:div w:id="170993612">
      <w:marLeft w:val="0"/>
      <w:marRight w:val="0"/>
      <w:marTop w:val="180"/>
      <w:marBottom w:val="0"/>
      <w:divBdr>
        <w:top w:val="none" w:sz="0" w:space="0" w:color="auto"/>
        <w:left w:val="none" w:sz="0" w:space="0" w:color="auto"/>
        <w:bottom w:val="none" w:sz="0" w:space="0" w:color="auto"/>
        <w:right w:val="none" w:sz="0" w:space="0" w:color="auto"/>
      </w:divBdr>
    </w:div>
    <w:div w:id="170994979">
      <w:marLeft w:val="0"/>
      <w:marRight w:val="0"/>
      <w:marTop w:val="240"/>
      <w:marBottom w:val="120"/>
      <w:divBdr>
        <w:top w:val="none" w:sz="0" w:space="0" w:color="auto"/>
        <w:left w:val="none" w:sz="0" w:space="0" w:color="auto"/>
        <w:bottom w:val="none" w:sz="0" w:space="0" w:color="auto"/>
        <w:right w:val="none" w:sz="0" w:space="0" w:color="auto"/>
      </w:divBdr>
    </w:div>
    <w:div w:id="172762533">
      <w:marLeft w:val="0"/>
      <w:marRight w:val="0"/>
      <w:marTop w:val="0"/>
      <w:marBottom w:val="0"/>
      <w:divBdr>
        <w:top w:val="none" w:sz="0" w:space="0" w:color="auto"/>
        <w:left w:val="none" w:sz="0" w:space="0" w:color="auto"/>
        <w:bottom w:val="none" w:sz="0" w:space="0" w:color="auto"/>
        <w:right w:val="none" w:sz="0" w:space="0" w:color="auto"/>
      </w:divBdr>
      <w:divsChild>
        <w:div w:id="202638066">
          <w:marLeft w:val="0"/>
          <w:marRight w:val="0"/>
          <w:marTop w:val="0"/>
          <w:marBottom w:val="0"/>
          <w:divBdr>
            <w:top w:val="none" w:sz="0" w:space="0" w:color="auto"/>
            <w:left w:val="none" w:sz="0" w:space="0" w:color="auto"/>
            <w:bottom w:val="none" w:sz="0" w:space="0" w:color="auto"/>
            <w:right w:val="none" w:sz="0" w:space="0" w:color="auto"/>
          </w:divBdr>
        </w:div>
      </w:divsChild>
    </w:div>
    <w:div w:id="176240358">
      <w:marLeft w:val="0"/>
      <w:marRight w:val="0"/>
      <w:marTop w:val="180"/>
      <w:marBottom w:val="0"/>
      <w:divBdr>
        <w:top w:val="none" w:sz="0" w:space="0" w:color="auto"/>
        <w:left w:val="none" w:sz="0" w:space="0" w:color="auto"/>
        <w:bottom w:val="none" w:sz="0" w:space="0" w:color="auto"/>
        <w:right w:val="none" w:sz="0" w:space="0" w:color="auto"/>
      </w:divBdr>
    </w:div>
    <w:div w:id="177814898">
      <w:marLeft w:val="0"/>
      <w:marRight w:val="0"/>
      <w:marTop w:val="180"/>
      <w:marBottom w:val="0"/>
      <w:divBdr>
        <w:top w:val="none" w:sz="0" w:space="0" w:color="auto"/>
        <w:left w:val="none" w:sz="0" w:space="0" w:color="auto"/>
        <w:bottom w:val="none" w:sz="0" w:space="0" w:color="auto"/>
        <w:right w:val="none" w:sz="0" w:space="0" w:color="auto"/>
      </w:divBdr>
    </w:div>
    <w:div w:id="178159184">
      <w:marLeft w:val="0"/>
      <w:marRight w:val="0"/>
      <w:marTop w:val="0"/>
      <w:marBottom w:val="0"/>
      <w:divBdr>
        <w:top w:val="none" w:sz="0" w:space="0" w:color="auto"/>
        <w:left w:val="none" w:sz="0" w:space="0" w:color="auto"/>
        <w:bottom w:val="none" w:sz="0" w:space="0" w:color="auto"/>
        <w:right w:val="none" w:sz="0" w:space="0" w:color="auto"/>
      </w:divBdr>
      <w:divsChild>
        <w:div w:id="440807681">
          <w:marLeft w:val="0"/>
          <w:marRight w:val="0"/>
          <w:marTop w:val="0"/>
          <w:marBottom w:val="0"/>
          <w:divBdr>
            <w:top w:val="none" w:sz="0" w:space="0" w:color="auto"/>
            <w:left w:val="none" w:sz="0" w:space="0" w:color="auto"/>
            <w:bottom w:val="none" w:sz="0" w:space="0" w:color="auto"/>
            <w:right w:val="none" w:sz="0" w:space="0" w:color="auto"/>
          </w:divBdr>
          <w:divsChild>
            <w:div w:id="15865675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735506">
      <w:marLeft w:val="0"/>
      <w:marRight w:val="0"/>
      <w:marTop w:val="0"/>
      <w:marBottom w:val="0"/>
      <w:divBdr>
        <w:top w:val="none" w:sz="0" w:space="0" w:color="auto"/>
        <w:left w:val="none" w:sz="0" w:space="0" w:color="auto"/>
        <w:bottom w:val="none" w:sz="0" w:space="0" w:color="auto"/>
        <w:right w:val="none" w:sz="0" w:space="0" w:color="auto"/>
      </w:divBdr>
      <w:divsChild>
        <w:div w:id="1549488841">
          <w:marLeft w:val="0"/>
          <w:marRight w:val="0"/>
          <w:marTop w:val="180"/>
          <w:marBottom w:val="0"/>
          <w:divBdr>
            <w:top w:val="none" w:sz="0" w:space="0" w:color="auto"/>
            <w:left w:val="none" w:sz="0" w:space="0" w:color="auto"/>
            <w:bottom w:val="none" w:sz="0" w:space="0" w:color="auto"/>
            <w:right w:val="none" w:sz="0" w:space="0" w:color="auto"/>
          </w:divBdr>
        </w:div>
      </w:divsChild>
    </w:div>
    <w:div w:id="182130671">
      <w:marLeft w:val="0"/>
      <w:marRight w:val="0"/>
      <w:marTop w:val="240"/>
      <w:marBottom w:val="120"/>
      <w:divBdr>
        <w:top w:val="none" w:sz="0" w:space="0" w:color="auto"/>
        <w:left w:val="none" w:sz="0" w:space="0" w:color="auto"/>
        <w:bottom w:val="none" w:sz="0" w:space="0" w:color="auto"/>
        <w:right w:val="none" w:sz="0" w:space="0" w:color="auto"/>
      </w:divBdr>
    </w:div>
    <w:div w:id="184759272">
      <w:marLeft w:val="0"/>
      <w:marRight w:val="0"/>
      <w:marTop w:val="60"/>
      <w:marBottom w:val="120"/>
      <w:divBdr>
        <w:top w:val="none" w:sz="0" w:space="0" w:color="auto"/>
        <w:left w:val="none" w:sz="0" w:space="0" w:color="auto"/>
        <w:bottom w:val="none" w:sz="0" w:space="0" w:color="auto"/>
        <w:right w:val="none" w:sz="0" w:space="0" w:color="auto"/>
      </w:divBdr>
    </w:div>
    <w:div w:id="184905947">
      <w:marLeft w:val="0"/>
      <w:marRight w:val="0"/>
      <w:marTop w:val="240"/>
      <w:marBottom w:val="0"/>
      <w:divBdr>
        <w:top w:val="none" w:sz="0" w:space="0" w:color="auto"/>
        <w:left w:val="none" w:sz="0" w:space="0" w:color="auto"/>
        <w:bottom w:val="none" w:sz="0" w:space="0" w:color="auto"/>
        <w:right w:val="none" w:sz="0" w:space="0" w:color="auto"/>
      </w:divBdr>
    </w:div>
    <w:div w:id="187060502">
      <w:marLeft w:val="0"/>
      <w:marRight w:val="0"/>
      <w:marTop w:val="180"/>
      <w:marBottom w:val="0"/>
      <w:divBdr>
        <w:top w:val="none" w:sz="0" w:space="0" w:color="auto"/>
        <w:left w:val="none" w:sz="0" w:space="0" w:color="auto"/>
        <w:bottom w:val="none" w:sz="0" w:space="0" w:color="auto"/>
        <w:right w:val="none" w:sz="0" w:space="0" w:color="auto"/>
      </w:divBdr>
    </w:div>
    <w:div w:id="187529092">
      <w:marLeft w:val="0"/>
      <w:marRight w:val="0"/>
      <w:marTop w:val="0"/>
      <w:marBottom w:val="0"/>
      <w:divBdr>
        <w:top w:val="none" w:sz="0" w:space="0" w:color="auto"/>
        <w:left w:val="none" w:sz="0" w:space="0" w:color="auto"/>
        <w:bottom w:val="none" w:sz="0" w:space="0" w:color="auto"/>
        <w:right w:val="none" w:sz="0" w:space="0" w:color="auto"/>
      </w:divBdr>
      <w:divsChild>
        <w:div w:id="1780375462">
          <w:marLeft w:val="0"/>
          <w:marRight w:val="0"/>
          <w:marTop w:val="180"/>
          <w:marBottom w:val="0"/>
          <w:divBdr>
            <w:top w:val="none" w:sz="0" w:space="0" w:color="auto"/>
            <w:left w:val="none" w:sz="0" w:space="0" w:color="auto"/>
            <w:bottom w:val="none" w:sz="0" w:space="0" w:color="auto"/>
            <w:right w:val="none" w:sz="0" w:space="0" w:color="auto"/>
          </w:divBdr>
        </w:div>
      </w:divsChild>
    </w:div>
    <w:div w:id="191765978">
      <w:marLeft w:val="0"/>
      <w:marRight w:val="0"/>
      <w:marTop w:val="180"/>
      <w:marBottom w:val="0"/>
      <w:divBdr>
        <w:top w:val="none" w:sz="0" w:space="0" w:color="auto"/>
        <w:left w:val="none" w:sz="0" w:space="0" w:color="auto"/>
        <w:bottom w:val="none" w:sz="0" w:space="0" w:color="auto"/>
        <w:right w:val="none" w:sz="0" w:space="0" w:color="auto"/>
      </w:divBdr>
    </w:div>
    <w:div w:id="195895481">
      <w:marLeft w:val="0"/>
      <w:marRight w:val="0"/>
      <w:marTop w:val="180"/>
      <w:marBottom w:val="0"/>
      <w:divBdr>
        <w:top w:val="none" w:sz="0" w:space="0" w:color="auto"/>
        <w:left w:val="none" w:sz="0" w:space="0" w:color="auto"/>
        <w:bottom w:val="none" w:sz="0" w:space="0" w:color="auto"/>
        <w:right w:val="none" w:sz="0" w:space="0" w:color="auto"/>
      </w:divBdr>
    </w:div>
    <w:div w:id="197012395">
      <w:marLeft w:val="0"/>
      <w:marRight w:val="0"/>
      <w:marTop w:val="180"/>
      <w:marBottom w:val="0"/>
      <w:divBdr>
        <w:top w:val="none" w:sz="0" w:space="0" w:color="auto"/>
        <w:left w:val="none" w:sz="0" w:space="0" w:color="auto"/>
        <w:bottom w:val="none" w:sz="0" w:space="0" w:color="auto"/>
        <w:right w:val="none" w:sz="0" w:space="0" w:color="auto"/>
      </w:divBdr>
    </w:div>
    <w:div w:id="199126734">
      <w:marLeft w:val="0"/>
      <w:marRight w:val="0"/>
      <w:marTop w:val="240"/>
      <w:marBottom w:val="0"/>
      <w:divBdr>
        <w:top w:val="none" w:sz="0" w:space="0" w:color="auto"/>
        <w:left w:val="none" w:sz="0" w:space="0" w:color="auto"/>
        <w:bottom w:val="none" w:sz="0" w:space="0" w:color="auto"/>
        <w:right w:val="none" w:sz="0" w:space="0" w:color="auto"/>
      </w:divBdr>
    </w:div>
    <w:div w:id="200434883">
      <w:marLeft w:val="0"/>
      <w:marRight w:val="0"/>
      <w:marTop w:val="180"/>
      <w:marBottom w:val="0"/>
      <w:divBdr>
        <w:top w:val="none" w:sz="0" w:space="0" w:color="auto"/>
        <w:left w:val="none" w:sz="0" w:space="0" w:color="auto"/>
        <w:bottom w:val="none" w:sz="0" w:space="0" w:color="auto"/>
        <w:right w:val="none" w:sz="0" w:space="0" w:color="auto"/>
      </w:divBdr>
    </w:div>
    <w:div w:id="202986070">
      <w:marLeft w:val="0"/>
      <w:marRight w:val="0"/>
      <w:marTop w:val="120"/>
      <w:marBottom w:val="0"/>
      <w:divBdr>
        <w:top w:val="none" w:sz="0" w:space="0" w:color="auto"/>
        <w:left w:val="none" w:sz="0" w:space="0" w:color="auto"/>
        <w:bottom w:val="none" w:sz="0" w:space="0" w:color="auto"/>
        <w:right w:val="none" w:sz="0" w:space="0" w:color="auto"/>
      </w:divBdr>
    </w:div>
    <w:div w:id="204173396">
      <w:marLeft w:val="0"/>
      <w:marRight w:val="0"/>
      <w:marTop w:val="180"/>
      <w:marBottom w:val="0"/>
      <w:divBdr>
        <w:top w:val="none" w:sz="0" w:space="0" w:color="auto"/>
        <w:left w:val="none" w:sz="0" w:space="0" w:color="auto"/>
        <w:bottom w:val="none" w:sz="0" w:space="0" w:color="auto"/>
        <w:right w:val="none" w:sz="0" w:space="0" w:color="auto"/>
      </w:divBdr>
    </w:div>
    <w:div w:id="209004943">
      <w:marLeft w:val="0"/>
      <w:marRight w:val="0"/>
      <w:marTop w:val="0"/>
      <w:marBottom w:val="0"/>
      <w:divBdr>
        <w:top w:val="none" w:sz="0" w:space="0" w:color="auto"/>
        <w:left w:val="none" w:sz="0" w:space="0" w:color="auto"/>
        <w:bottom w:val="none" w:sz="0" w:space="0" w:color="auto"/>
        <w:right w:val="none" w:sz="0" w:space="0" w:color="auto"/>
      </w:divBdr>
      <w:divsChild>
        <w:div w:id="272707881">
          <w:marLeft w:val="0"/>
          <w:marRight w:val="0"/>
          <w:marTop w:val="180"/>
          <w:marBottom w:val="0"/>
          <w:divBdr>
            <w:top w:val="none" w:sz="0" w:space="0" w:color="auto"/>
            <w:left w:val="none" w:sz="0" w:space="0" w:color="auto"/>
            <w:bottom w:val="none" w:sz="0" w:space="0" w:color="auto"/>
            <w:right w:val="none" w:sz="0" w:space="0" w:color="auto"/>
          </w:divBdr>
        </w:div>
      </w:divsChild>
    </w:div>
    <w:div w:id="211118424">
      <w:marLeft w:val="0"/>
      <w:marRight w:val="0"/>
      <w:marTop w:val="180"/>
      <w:marBottom w:val="0"/>
      <w:divBdr>
        <w:top w:val="none" w:sz="0" w:space="0" w:color="auto"/>
        <w:left w:val="none" w:sz="0" w:space="0" w:color="auto"/>
        <w:bottom w:val="none" w:sz="0" w:space="0" w:color="auto"/>
        <w:right w:val="none" w:sz="0" w:space="0" w:color="auto"/>
      </w:divBdr>
    </w:div>
    <w:div w:id="213201078">
      <w:marLeft w:val="0"/>
      <w:marRight w:val="0"/>
      <w:marTop w:val="180"/>
      <w:marBottom w:val="0"/>
      <w:divBdr>
        <w:top w:val="none" w:sz="0" w:space="0" w:color="auto"/>
        <w:left w:val="none" w:sz="0" w:space="0" w:color="auto"/>
        <w:bottom w:val="none" w:sz="0" w:space="0" w:color="auto"/>
        <w:right w:val="none" w:sz="0" w:space="0" w:color="auto"/>
      </w:divBdr>
    </w:div>
    <w:div w:id="215511414">
      <w:marLeft w:val="0"/>
      <w:marRight w:val="0"/>
      <w:marTop w:val="180"/>
      <w:marBottom w:val="0"/>
      <w:divBdr>
        <w:top w:val="none" w:sz="0" w:space="0" w:color="auto"/>
        <w:left w:val="none" w:sz="0" w:space="0" w:color="auto"/>
        <w:bottom w:val="none" w:sz="0" w:space="0" w:color="auto"/>
        <w:right w:val="none" w:sz="0" w:space="0" w:color="auto"/>
      </w:divBdr>
    </w:div>
    <w:div w:id="217593323">
      <w:marLeft w:val="0"/>
      <w:marRight w:val="0"/>
      <w:marTop w:val="180"/>
      <w:marBottom w:val="0"/>
      <w:divBdr>
        <w:top w:val="none" w:sz="0" w:space="0" w:color="auto"/>
        <w:left w:val="none" w:sz="0" w:space="0" w:color="auto"/>
        <w:bottom w:val="none" w:sz="0" w:space="0" w:color="auto"/>
        <w:right w:val="none" w:sz="0" w:space="0" w:color="auto"/>
      </w:divBdr>
    </w:div>
    <w:div w:id="217596994">
      <w:marLeft w:val="0"/>
      <w:marRight w:val="0"/>
      <w:marTop w:val="60"/>
      <w:marBottom w:val="120"/>
      <w:divBdr>
        <w:top w:val="none" w:sz="0" w:space="0" w:color="auto"/>
        <w:left w:val="none" w:sz="0" w:space="0" w:color="auto"/>
        <w:bottom w:val="none" w:sz="0" w:space="0" w:color="auto"/>
        <w:right w:val="none" w:sz="0" w:space="0" w:color="auto"/>
      </w:divBdr>
    </w:div>
    <w:div w:id="217785014">
      <w:marLeft w:val="0"/>
      <w:marRight w:val="0"/>
      <w:marTop w:val="180"/>
      <w:marBottom w:val="0"/>
      <w:divBdr>
        <w:top w:val="none" w:sz="0" w:space="0" w:color="auto"/>
        <w:left w:val="none" w:sz="0" w:space="0" w:color="auto"/>
        <w:bottom w:val="none" w:sz="0" w:space="0" w:color="auto"/>
        <w:right w:val="none" w:sz="0" w:space="0" w:color="auto"/>
      </w:divBdr>
    </w:div>
    <w:div w:id="217909650">
      <w:marLeft w:val="0"/>
      <w:marRight w:val="0"/>
      <w:marTop w:val="60"/>
      <w:marBottom w:val="0"/>
      <w:divBdr>
        <w:top w:val="none" w:sz="0" w:space="0" w:color="auto"/>
        <w:left w:val="none" w:sz="0" w:space="0" w:color="auto"/>
        <w:bottom w:val="none" w:sz="0" w:space="0" w:color="auto"/>
        <w:right w:val="none" w:sz="0" w:space="0" w:color="auto"/>
      </w:divBdr>
    </w:div>
    <w:div w:id="218594280">
      <w:marLeft w:val="0"/>
      <w:marRight w:val="0"/>
      <w:marTop w:val="180"/>
      <w:marBottom w:val="0"/>
      <w:divBdr>
        <w:top w:val="none" w:sz="0" w:space="0" w:color="auto"/>
        <w:left w:val="none" w:sz="0" w:space="0" w:color="auto"/>
        <w:bottom w:val="none" w:sz="0" w:space="0" w:color="auto"/>
        <w:right w:val="none" w:sz="0" w:space="0" w:color="auto"/>
      </w:divBdr>
    </w:div>
    <w:div w:id="219291205">
      <w:marLeft w:val="0"/>
      <w:marRight w:val="0"/>
      <w:marTop w:val="0"/>
      <w:marBottom w:val="340"/>
      <w:divBdr>
        <w:top w:val="none" w:sz="0" w:space="0" w:color="auto"/>
        <w:left w:val="none" w:sz="0" w:space="0" w:color="auto"/>
        <w:bottom w:val="none" w:sz="0" w:space="0" w:color="auto"/>
        <w:right w:val="none" w:sz="0" w:space="0" w:color="auto"/>
      </w:divBdr>
    </w:div>
    <w:div w:id="220142068">
      <w:marLeft w:val="0"/>
      <w:marRight w:val="0"/>
      <w:marTop w:val="0"/>
      <w:marBottom w:val="0"/>
      <w:divBdr>
        <w:top w:val="none" w:sz="0" w:space="0" w:color="auto"/>
        <w:left w:val="none" w:sz="0" w:space="0" w:color="auto"/>
        <w:bottom w:val="none" w:sz="0" w:space="0" w:color="auto"/>
        <w:right w:val="none" w:sz="0" w:space="0" w:color="auto"/>
      </w:divBdr>
      <w:divsChild>
        <w:div w:id="1027416267">
          <w:marLeft w:val="0"/>
          <w:marRight w:val="0"/>
          <w:marTop w:val="0"/>
          <w:marBottom w:val="0"/>
          <w:divBdr>
            <w:top w:val="none" w:sz="0" w:space="0" w:color="auto"/>
            <w:left w:val="none" w:sz="0" w:space="0" w:color="auto"/>
            <w:bottom w:val="none" w:sz="0" w:space="0" w:color="auto"/>
            <w:right w:val="none" w:sz="0" w:space="0" w:color="auto"/>
          </w:divBdr>
          <w:divsChild>
            <w:div w:id="11132854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5992792">
      <w:marLeft w:val="0"/>
      <w:marRight w:val="0"/>
      <w:marTop w:val="0"/>
      <w:marBottom w:val="0"/>
      <w:divBdr>
        <w:top w:val="none" w:sz="0" w:space="0" w:color="auto"/>
        <w:left w:val="none" w:sz="0" w:space="0" w:color="auto"/>
        <w:bottom w:val="none" w:sz="0" w:space="0" w:color="auto"/>
        <w:right w:val="none" w:sz="0" w:space="0" w:color="auto"/>
      </w:divBdr>
      <w:divsChild>
        <w:div w:id="1899172295">
          <w:marLeft w:val="0"/>
          <w:marRight w:val="0"/>
          <w:marTop w:val="0"/>
          <w:marBottom w:val="0"/>
          <w:divBdr>
            <w:top w:val="none" w:sz="0" w:space="0" w:color="auto"/>
            <w:left w:val="none" w:sz="0" w:space="0" w:color="auto"/>
            <w:bottom w:val="none" w:sz="0" w:space="0" w:color="auto"/>
            <w:right w:val="none" w:sz="0" w:space="0" w:color="auto"/>
          </w:divBdr>
          <w:divsChild>
            <w:div w:id="7134304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5997339">
      <w:marLeft w:val="0"/>
      <w:marRight w:val="0"/>
      <w:marTop w:val="180"/>
      <w:marBottom w:val="0"/>
      <w:divBdr>
        <w:top w:val="none" w:sz="0" w:space="0" w:color="auto"/>
        <w:left w:val="none" w:sz="0" w:space="0" w:color="auto"/>
        <w:bottom w:val="none" w:sz="0" w:space="0" w:color="auto"/>
        <w:right w:val="none" w:sz="0" w:space="0" w:color="auto"/>
      </w:divBdr>
    </w:div>
    <w:div w:id="228657524">
      <w:marLeft w:val="0"/>
      <w:marRight w:val="0"/>
      <w:marTop w:val="120"/>
      <w:marBottom w:val="0"/>
      <w:divBdr>
        <w:top w:val="none" w:sz="0" w:space="0" w:color="auto"/>
        <w:left w:val="none" w:sz="0" w:space="0" w:color="auto"/>
        <w:bottom w:val="none" w:sz="0" w:space="0" w:color="auto"/>
        <w:right w:val="none" w:sz="0" w:space="0" w:color="auto"/>
      </w:divBdr>
    </w:div>
    <w:div w:id="229852948">
      <w:marLeft w:val="0"/>
      <w:marRight w:val="0"/>
      <w:marTop w:val="180"/>
      <w:marBottom w:val="0"/>
      <w:divBdr>
        <w:top w:val="none" w:sz="0" w:space="0" w:color="auto"/>
        <w:left w:val="none" w:sz="0" w:space="0" w:color="auto"/>
        <w:bottom w:val="none" w:sz="0" w:space="0" w:color="auto"/>
        <w:right w:val="none" w:sz="0" w:space="0" w:color="auto"/>
      </w:divBdr>
    </w:div>
    <w:div w:id="230193876">
      <w:marLeft w:val="0"/>
      <w:marRight w:val="0"/>
      <w:marTop w:val="0"/>
      <w:marBottom w:val="0"/>
      <w:divBdr>
        <w:top w:val="none" w:sz="0" w:space="0" w:color="auto"/>
        <w:left w:val="none" w:sz="0" w:space="0" w:color="auto"/>
        <w:bottom w:val="none" w:sz="0" w:space="0" w:color="auto"/>
        <w:right w:val="none" w:sz="0" w:space="0" w:color="auto"/>
      </w:divBdr>
      <w:divsChild>
        <w:div w:id="1580166339">
          <w:marLeft w:val="0"/>
          <w:marRight w:val="0"/>
          <w:marTop w:val="0"/>
          <w:marBottom w:val="0"/>
          <w:divBdr>
            <w:top w:val="none" w:sz="0" w:space="0" w:color="auto"/>
            <w:left w:val="none" w:sz="0" w:space="0" w:color="auto"/>
            <w:bottom w:val="none" w:sz="0" w:space="0" w:color="auto"/>
            <w:right w:val="none" w:sz="0" w:space="0" w:color="auto"/>
          </w:divBdr>
          <w:divsChild>
            <w:div w:id="7062968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30577450">
      <w:marLeft w:val="0"/>
      <w:marRight w:val="0"/>
      <w:marTop w:val="180"/>
      <w:marBottom w:val="12"/>
      <w:divBdr>
        <w:top w:val="none" w:sz="0" w:space="0" w:color="auto"/>
        <w:left w:val="none" w:sz="0" w:space="0" w:color="auto"/>
        <w:bottom w:val="none" w:sz="0" w:space="0" w:color="auto"/>
        <w:right w:val="none" w:sz="0" w:space="0" w:color="auto"/>
      </w:divBdr>
    </w:div>
    <w:div w:id="232351394">
      <w:marLeft w:val="0"/>
      <w:marRight w:val="0"/>
      <w:marTop w:val="180"/>
      <w:marBottom w:val="0"/>
      <w:divBdr>
        <w:top w:val="none" w:sz="0" w:space="0" w:color="auto"/>
        <w:left w:val="none" w:sz="0" w:space="0" w:color="auto"/>
        <w:bottom w:val="none" w:sz="0" w:space="0" w:color="auto"/>
        <w:right w:val="none" w:sz="0" w:space="0" w:color="auto"/>
      </w:divBdr>
    </w:div>
    <w:div w:id="235936669">
      <w:marLeft w:val="0"/>
      <w:marRight w:val="0"/>
      <w:marTop w:val="180"/>
      <w:marBottom w:val="0"/>
      <w:divBdr>
        <w:top w:val="none" w:sz="0" w:space="0" w:color="auto"/>
        <w:left w:val="none" w:sz="0" w:space="0" w:color="auto"/>
        <w:bottom w:val="none" w:sz="0" w:space="0" w:color="auto"/>
        <w:right w:val="none" w:sz="0" w:space="0" w:color="auto"/>
      </w:divBdr>
    </w:div>
    <w:div w:id="238638019">
      <w:marLeft w:val="0"/>
      <w:marRight w:val="0"/>
      <w:marTop w:val="180"/>
      <w:marBottom w:val="0"/>
      <w:divBdr>
        <w:top w:val="none" w:sz="0" w:space="0" w:color="auto"/>
        <w:left w:val="none" w:sz="0" w:space="0" w:color="auto"/>
        <w:bottom w:val="none" w:sz="0" w:space="0" w:color="auto"/>
        <w:right w:val="none" w:sz="0" w:space="0" w:color="auto"/>
      </w:divBdr>
    </w:div>
    <w:div w:id="241572914">
      <w:marLeft w:val="0"/>
      <w:marRight w:val="0"/>
      <w:marTop w:val="0"/>
      <w:marBottom w:val="200"/>
      <w:divBdr>
        <w:top w:val="none" w:sz="0" w:space="0" w:color="auto"/>
        <w:left w:val="none" w:sz="0" w:space="0" w:color="auto"/>
        <w:bottom w:val="none" w:sz="0" w:space="0" w:color="auto"/>
        <w:right w:val="none" w:sz="0" w:space="0" w:color="auto"/>
      </w:divBdr>
    </w:div>
    <w:div w:id="242761835">
      <w:marLeft w:val="0"/>
      <w:marRight w:val="0"/>
      <w:marTop w:val="0"/>
      <w:marBottom w:val="0"/>
      <w:divBdr>
        <w:top w:val="none" w:sz="0" w:space="0" w:color="auto"/>
        <w:left w:val="none" w:sz="0" w:space="0" w:color="auto"/>
        <w:bottom w:val="none" w:sz="0" w:space="0" w:color="auto"/>
        <w:right w:val="none" w:sz="0" w:space="0" w:color="auto"/>
      </w:divBdr>
    </w:div>
    <w:div w:id="242957595">
      <w:marLeft w:val="0"/>
      <w:marRight w:val="0"/>
      <w:marTop w:val="180"/>
      <w:marBottom w:val="0"/>
      <w:divBdr>
        <w:top w:val="none" w:sz="0" w:space="0" w:color="auto"/>
        <w:left w:val="none" w:sz="0" w:space="0" w:color="auto"/>
        <w:bottom w:val="none" w:sz="0" w:space="0" w:color="auto"/>
        <w:right w:val="none" w:sz="0" w:space="0" w:color="auto"/>
      </w:divBdr>
    </w:div>
    <w:div w:id="245309538">
      <w:marLeft w:val="0"/>
      <w:marRight w:val="0"/>
      <w:marTop w:val="300"/>
      <w:marBottom w:val="0"/>
      <w:divBdr>
        <w:top w:val="none" w:sz="0" w:space="0" w:color="auto"/>
        <w:left w:val="none" w:sz="0" w:space="0" w:color="auto"/>
        <w:bottom w:val="none" w:sz="0" w:space="0" w:color="auto"/>
        <w:right w:val="none" w:sz="0" w:space="0" w:color="auto"/>
      </w:divBdr>
    </w:div>
    <w:div w:id="246153895">
      <w:marLeft w:val="0"/>
      <w:marRight w:val="0"/>
      <w:marTop w:val="0"/>
      <w:marBottom w:val="0"/>
      <w:divBdr>
        <w:top w:val="none" w:sz="0" w:space="0" w:color="auto"/>
        <w:left w:val="none" w:sz="0" w:space="0" w:color="auto"/>
        <w:bottom w:val="none" w:sz="0" w:space="0" w:color="auto"/>
        <w:right w:val="none" w:sz="0" w:space="0" w:color="auto"/>
      </w:divBdr>
      <w:divsChild>
        <w:div w:id="1568958341">
          <w:marLeft w:val="0"/>
          <w:marRight w:val="0"/>
          <w:marTop w:val="0"/>
          <w:marBottom w:val="0"/>
          <w:divBdr>
            <w:top w:val="none" w:sz="0" w:space="0" w:color="auto"/>
            <w:left w:val="none" w:sz="0" w:space="0" w:color="auto"/>
            <w:bottom w:val="none" w:sz="0" w:space="0" w:color="auto"/>
            <w:right w:val="none" w:sz="0" w:space="0" w:color="auto"/>
          </w:divBdr>
          <w:divsChild>
            <w:div w:id="7956800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6498111">
      <w:marLeft w:val="0"/>
      <w:marRight w:val="0"/>
      <w:marTop w:val="240"/>
      <w:marBottom w:val="0"/>
      <w:divBdr>
        <w:top w:val="none" w:sz="0" w:space="0" w:color="auto"/>
        <w:left w:val="none" w:sz="0" w:space="0" w:color="auto"/>
        <w:bottom w:val="none" w:sz="0" w:space="0" w:color="auto"/>
        <w:right w:val="none" w:sz="0" w:space="0" w:color="auto"/>
      </w:divBdr>
    </w:div>
    <w:div w:id="247152451">
      <w:marLeft w:val="0"/>
      <w:marRight w:val="0"/>
      <w:marTop w:val="60"/>
      <w:marBottom w:val="120"/>
      <w:divBdr>
        <w:top w:val="none" w:sz="0" w:space="0" w:color="auto"/>
        <w:left w:val="none" w:sz="0" w:space="0" w:color="auto"/>
        <w:bottom w:val="none" w:sz="0" w:space="0" w:color="auto"/>
        <w:right w:val="none" w:sz="0" w:space="0" w:color="auto"/>
      </w:divBdr>
      <w:divsChild>
        <w:div w:id="691106864">
          <w:marLeft w:val="0"/>
          <w:marRight w:val="0"/>
          <w:marTop w:val="0"/>
          <w:marBottom w:val="0"/>
          <w:divBdr>
            <w:top w:val="none" w:sz="0" w:space="0" w:color="auto"/>
            <w:left w:val="none" w:sz="0" w:space="0" w:color="auto"/>
            <w:bottom w:val="none" w:sz="0" w:space="0" w:color="auto"/>
            <w:right w:val="none" w:sz="0" w:space="0" w:color="auto"/>
          </w:divBdr>
        </w:div>
        <w:div w:id="1886719199">
          <w:marLeft w:val="0"/>
          <w:marRight w:val="0"/>
          <w:marTop w:val="0"/>
          <w:marBottom w:val="0"/>
          <w:divBdr>
            <w:top w:val="none" w:sz="0" w:space="0" w:color="auto"/>
            <w:left w:val="none" w:sz="0" w:space="0" w:color="auto"/>
            <w:bottom w:val="none" w:sz="0" w:space="0" w:color="auto"/>
            <w:right w:val="none" w:sz="0" w:space="0" w:color="auto"/>
          </w:divBdr>
        </w:div>
        <w:div w:id="1463116701">
          <w:marLeft w:val="0"/>
          <w:marRight w:val="0"/>
          <w:marTop w:val="0"/>
          <w:marBottom w:val="0"/>
          <w:divBdr>
            <w:top w:val="none" w:sz="0" w:space="0" w:color="auto"/>
            <w:left w:val="none" w:sz="0" w:space="0" w:color="auto"/>
            <w:bottom w:val="none" w:sz="0" w:space="0" w:color="auto"/>
            <w:right w:val="none" w:sz="0" w:space="0" w:color="auto"/>
          </w:divBdr>
        </w:div>
        <w:div w:id="382631811">
          <w:marLeft w:val="0"/>
          <w:marRight w:val="0"/>
          <w:marTop w:val="0"/>
          <w:marBottom w:val="0"/>
          <w:divBdr>
            <w:top w:val="none" w:sz="0" w:space="0" w:color="auto"/>
            <w:left w:val="none" w:sz="0" w:space="0" w:color="auto"/>
            <w:bottom w:val="none" w:sz="0" w:space="0" w:color="auto"/>
            <w:right w:val="none" w:sz="0" w:space="0" w:color="auto"/>
          </w:divBdr>
        </w:div>
        <w:div w:id="1926958950">
          <w:marLeft w:val="0"/>
          <w:marRight w:val="0"/>
          <w:marTop w:val="0"/>
          <w:marBottom w:val="0"/>
          <w:divBdr>
            <w:top w:val="none" w:sz="0" w:space="0" w:color="auto"/>
            <w:left w:val="none" w:sz="0" w:space="0" w:color="auto"/>
            <w:bottom w:val="none" w:sz="0" w:space="0" w:color="auto"/>
            <w:right w:val="none" w:sz="0" w:space="0" w:color="auto"/>
          </w:divBdr>
        </w:div>
        <w:div w:id="1388795281">
          <w:marLeft w:val="0"/>
          <w:marRight w:val="0"/>
          <w:marTop w:val="0"/>
          <w:marBottom w:val="0"/>
          <w:divBdr>
            <w:top w:val="none" w:sz="0" w:space="0" w:color="auto"/>
            <w:left w:val="none" w:sz="0" w:space="0" w:color="auto"/>
            <w:bottom w:val="none" w:sz="0" w:space="0" w:color="auto"/>
            <w:right w:val="none" w:sz="0" w:space="0" w:color="auto"/>
          </w:divBdr>
        </w:div>
      </w:divsChild>
    </w:div>
    <w:div w:id="248078230">
      <w:marLeft w:val="0"/>
      <w:marRight w:val="0"/>
      <w:marTop w:val="0"/>
      <w:marBottom w:val="60"/>
      <w:divBdr>
        <w:top w:val="none" w:sz="0" w:space="0" w:color="auto"/>
        <w:left w:val="none" w:sz="0" w:space="0" w:color="auto"/>
        <w:bottom w:val="none" w:sz="0" w:space="0" w:color="auto"/>
        <w:right w:val="none" w:sz="0" w:space="0" w:color="auto"/>
      </w:divBdr>
    </w:div>
    <w:div w:id="250819788">
      <w:marLeft w:val="0"/>
      <w:marRight w:val="0"/>
      <w:marTop w:val="180"/>
      <w:marBottom w:val="120"/>
      <w:divBdr>
        <w:top w:val="none" w:sz="0" w:space="0" w:color="auto"/>
        <w:left w:val="none" w:sz="0" w:space="0" w:color="auto"/>
        <w:bottom w:val="none" w:sz="0" w:space="0" w:color="auto"/>
        <w:right w:val="none" w:sz="0" w:space="0" w:color="auto"/>
      </w:divBdr>
    </w:div>
    <w:div w:id="252978382">
      <w:marLeft w:val="0"/>
      <w:marRight w:val="0"/>
      <w:marTop w:val="180"/>
      <w:marBottom w:val="0"/>
      <w:divBdr>
        <w:top w:val="none" w:sz="0" w:space="0" w:color="auto"/>
        <w:left w:val="none" w:sz="0" w:space="0" w:color="auto"/>
        <w:bottom w:val="none" w:sz="0" w:space="0" w:color="auto"/>
        <w:right w:val="none" w:sz="0" w:space="0" w:color="auto"/>
      </w:divBdr>
    </w:div>
    <w:div w:id="254630669">
      <w:marLeft w:val="0"/>
      <w:marRight w:val="0"/>
      <w:marTop w:val="0"/>
      <w:marBottom w:val="0"/>
      <w:divBdr>
        <w:top w:val="none" w:sz="0" w:space="0" w:color="auto"/>
        <w:left w:val="none" w:sz="0" w:space="0" w:color="auto"/>
        <w:bottom w:val="none" w:sz="0" w:space="0" w:color="auto"/>
        <w:right w:val="none" w:sz="0" w:space="0" w:color="auto"/>
      </w:divBdr>
      <w:divsChild>
        <w:div w:id="624193691">
          <w:marLeft w:val="0"/>
          <w:marRight w:val="0"/>
          <w:marTop w:val="0"/>
          <w:marBottom w:val="0"/>
          <w:divBdr>
            <w:top w:val="none" w:sz="0" w:space="0" w:color="auto"/>
            <w:left w:val="none" w:sz="0" w:space="0" w:color="auto"/>
            <w:bottom w:val="none" w:sz="0" w:space="0" w:color="auto"/>
            <w:right w:val="none" w:sz="0" w:space="0" w:color="auto"/>
          </w:divBdr>
          <w:divsChild>
            <w:div w:id="8609743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55872783">
      <w:marLeft w:val="0"/>
      <w:marRight w:val="0"/>
      <w:marTop w:val="0"/>
      <w:marBottom w:val="0"/>
      <w:divBdr>
        <w:top w:val="none" w:sz="0" w:space="0" w:color="auto"/>
        <w:left w:val="none" w:sz="0" w:space="0" w:color="auto"/>
        <w:bottom w:val="none" w:sz="0" w:space="0" w:color="auto"/>
        <w:right w:val="none" w:sz="0" w:space="0" w:color="auto"/>
      </w:divBdr>
    </w:div>
    <w:div w:id="257250493">
      <w:marLeft w:val="0"/>
      <w:marRight w:val="0"/>
      <w:marTop w:val="0"/>
      <w:marBottom w:val="0"/>
      <w:divBdr>
        <w:top w:val="none" w:sz="0" w:space="0" w:color="auto"/>
        <w:left w:val="none" w:sz="0" w:space="0" w:color="auto"/>
        <w:bottom w:val="none" w:sz="0" w:space="0" w:color="auto"/>
        <w:right w:val="none" w:sz="0" w:space="0" w:color="auto"/>
      </w:divBdr>
    </w:div>
    <w:div w:id="257711976">
      <w:marLeft w:val="0"/>
      <w:marRight w:val="0"/>
      <w:marTop w:val="180"/>
      <w:marBottom w:val="0"/>
      <w:divBdr>
        <w:top w:val="none" w:sz="0" w:space="0" w:color="auto"/>
        <w:left w:val="none" w:sz="0" w:space="0" w:color="auto"/>
        <w:bottom w:val="none" w:sz="0" w:space="0" w:color="auto"/>
        <w:right w:val="none" w:sz="0" w:space="0" w:color="auto"/>
      </w:divBdr>
    </w:div>
    <w:div w:id="257951757">
      <w:marLeft w:val="0"/>
      <w:marRight w:val="0"/>
      <w:marTop w:val="0"/>
      <w:marBottom w:val="0"/>
      <w:divBdr>
        <w:top w:val="none" w:sz="0" w:space="0" w:color="auto"/>
        <w:left w:val="none" w:sz="0" w:space="0" w:color="auto"/>
        <w:bottom w:val="none" w:sz="0" w:space="0" w:color="auto"/>
        <w:right w:val="none" w:sz="0" w:space="0" w:color="auto"/>
      </w:divBdr>
      <w:divsChild>
        <w:div w:id="1434011887">
          <w:marLeft w:val="0"/>
          <w:marRight w:val="0"/>
          <w:marTop w:val="180"/>
          <w:marBottom w:val="0"/>
          <w:divBdr>
            <w:top w:val="none" w:sz="0" w:space="0" w:color="auto"/>
            <w:left w:val="none" w:sz="0" w:space="0" w:color="auto"/>
            <w:bottom w:val="none" w:sz="0" w:space="0" w:color="auto"/>
            <w:right w:val="none" w:sz="0" w:space="0" w:color="auto"/>
          </w:divBdr>
        </w:div>
      </w:divsChild>
    </w:div>
    <w:div w:id="261842680">
      <w:marLeft w:val="0"/>
      <w:marRight w:val="0"/>
      <w:marTop w:val="180"/>
      <w:marBottom w:val="0"/>
      <w:divBdr>
        <w:top w:val="none" w:sz="0" w:space="0" w:color="auto"/>
        <w:left w:val="none" w:sz="0" w:space="0" w:color="auto"/>
        <w:bottom w:val="none" w:sz="0" w:space="0" w:color="auto"/>
        <w:right w:val="none" w:sz="0" w:space="0" w:color="auto"/>
      </w:divBdr>
    </w:div>
    <w:div w:id="262568352">
      <w:marLeft w:val="0"/>
      <w:marRight w:val="0"/>
      <w:marTop w:val="180"/>
      <w:marBottom w:val="0"/>
      <w:divBdr>
        <w:top w:val="none" w:sz="0" w:space="0" w:color="auto"/>
        <w:left w:val="none" w:sz="0" w:space="0" w:color="auto"/>
        <w:bottom w:val="none" w:sz="0" w:space="0" w:color="auto"/>
        <w:right w:val="none" w:sz="0" w:space="0" w:color="auto"/>
      </w:divBdr>
    </w:div>
    <w:div w:id="265189991">
      <w:marLeft w:val="0"/>
      <w:marRight w:val="0"/>
      <w:marTop w:val="0"/>
      <w:marBottom w:val="0"/>
      <w:divBdr>
        <w:top w:val="none" w:sz="0" w:space="0" w:color="auto"/>
        <w:left w:val="none" w:sz="0" w:space="0" w:color="auto"/>
        <w:bottom w:val="none" w:sz="0" w:space="0" w:color="auto"/>
        <w:right w:val="none" w:sz="0" w:space="0" w:color="auto"/>
      </w:divBdr>
      <w:divsChild>
        <w:div w:id="972711069">
          <w:marLeft w:val="0"/>
          <w:marRight w:val="0"/>
          <w:marTop w:val="0"/>
          <w:marBottom w:val="0"/>
          <w:divBdr>
            <w:top w:val="none" w:sz="0" w:space="0" w:color="auto"/>
            <w:left w:val="none" w:sz="0" w:space="0" w:color="auto"/>
            <w:bottom w:val="none" w:sz="0" w:space="0" w:color="auto"/>
            <w:right w:val="none" w:sz="0" w:space="0" w:color="auto"/>
          </w:divBdr>
          <w:divsChild>
            <w:div w:id="3691850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65772477">
      <w:marLeft w:val="0"/>
      <w:marRight w:val="0"/>
      <w:marTop w:val="180"/>
      <w:marBottom w:val="120"/>
      <w:divBdr>
        <w:top w:val="none" w:sz="0" w:space="0" w:color="auto"/>
        <w:left w:val="none" w:sz="0" w:space="0" w:color="auto"/>
        <w:bottom w:val="none" w:sz="0" w:space="0" w:color="auto"/>
        <w:right w:val="none" w:sz="0" w:space="0" w:color="auto"/>
      </w:divBdr>
      <w:divsChild>
        <w:div w:id="523246832">
          <w:marLeft w:val="0"/>
          <w:marRight w:val="0"/>
          <w:marTop w:val="0"/>
          <w:marBottom w:val="0"/>
          <w:divBdr>
            <w:top w:val="none" w:sz="0" w:space="0" w:color="auto"/>
            <w:left w:val="none" w:sz="0" w:space="0" w:color="auto"/>
            <w:bottom w:val="none" w:sz="0" w:space="0" w:color="auto"/>
            <w:right w:val="none" w:sz="0" w:space="0" w:color="auto"/>
          </w:divBdr>
        </w:div>
        <w:div w:id="711929948">
          <w:marLeft w:val="0"/>
          <w:marRight w:val="0"/>
          <w:marTop w:val="0"/>
          <w:marBottom w:val="0"/>
          <w:divBdr>
            <w:top w:val="none" w:sz="0" w:space="0" w:color="auto"/>
            <w:left w:val="none" w:sz="0" w:space="0" w:color="auto"/>
            <w:bottom w:val="none" w:sz="0" w:space="0" w:color="auto"/>
            <w:right w:val="none" w:sz="0" w:space="0" w:color="auto"/>
          </w:divBdr>
        </w:div>
      </w:divsChild>
    </w:div>
    <w:div w:id="267002911">
      <w:marLeft w:val="0"/>
      <w:marRight w:val="0"/>
      <w:marTop w:val="180"/>
      <w:marBottom w:val="0"/>
      <w:divBdr>
        <w:top w:val="none" w:sz="0" w:space="0" w:color="auto"/>
        <w:left w:val="none" w:sz="0" w:space="0" w:color="auto"/>
        <w:bottom w:val="none" w:sz="0" w:space="0" w:color="auto"/>
        <w:right w:val="none" w:sz="0" w:space="0" w:color="auto"/>
      </w:divBdr>
    </w:div>
    <w:div w:id="267590853">
      <w:marLeft w:val="0"/>
      <w:marRight w:val="0"/>
      <w:marTop w:val="0"/>
      <w:marBottom w:val="0"/>
      <w:divBdr>
        <w:top w:val="none" w:sz="0" w:space="0" w:color="auto"/>
        <w:left w:val="none" w:sz="0" w:space="0" w:color="auto"/>
        <w:bottom w:val="none" w:sz="0" w:space="0" w:color="auto"/>
        <w:right w:val="none" w:sz="0" w:space="0" w:color="auto"/>
      </w:divBdr>
      <w:divsChild>
        <w:div w:id="674460817">
          <w:marLeft w:val="0"/>
          <w:marRight w:val="0"/>
          <w:marTop w:val="180"/>
          <w:marBottom w:val="0"/>
          <w:divBdr>
            <w:top w:val="none" w:sz="0" w:space="0" w:color="auto"/>
            <w:left w:val="none" w:sz="0" w:space="0" w:color="auto"/>
            <w:bottom w:val="none" w:sz="0" w:space="0" w:color="auto"/>
            <w:right w:val="none" w:sz="0" w:space="0" w:color="auto"/>
          </w:divBdr>
        </w:div>
      </w:divsChild>
    </w:div>
    <w:div w:id="268466330">
      <w:marLeft w:val="0"/>
      <w:marRight w:val="0"/>
      <w:marTop w:val="0"/>
      <w:marBottom w:val="340"/>
      <w:divBdr>
        <w:top w:val="none" w:sz="0" w:space="0" w:color="auto"/>
        <w:left w:val="none" w:sz="0" w:space="0" w:color="auto"/>
        <w:bottom w:val="none" w:sz="0" w:space="0" w:color="auto"/>
        <w:right w:val="none" w:sz="0" w:space="0" w:color="auto"/>
      </w:divBdr>
    </w:div>
    <w:div w:id="268663336">
      <w:marLeft w:val="0"/>
      <w:marRight w:val="0"/>
      <w:marTop w:val="180"/>
      <w:marBottom w:val="0"/>
      <w:divBdr>
        <w:top w:val="none" w:sz="0" w:space="0" w:color="auto"/>
        <w:left w:val="none" w:sz="0" w:space="0" w:color="auto"/>
        <w:bottom w:val="none" w:sz="0" w:space="0" w:color="auto"/>
        <w:right w:val="none" w:sz="0" w:space="0" w:color="auto"/>
      </w:divBdr>
    </w:div>
    <w:div w:id="268851444">
      <w:marLeft w:val="0"/>
      <w:marRight w:val="0"/>
      <w:marTop w:val="180"/>
      <w:marBottom w:val="0"/>
      <w:divBdr>
        <w:top w:val="none" w:sz="0" w:space="0" w:color="auto"/>
        <w:left w:val="none" w:sz="0" w:space="0" w:color="auto"/>
        <w:bottom w:val="none" w:sz="0" w:space="0" w:color="auto"/>
        <w:right w:val="none" w:sz="0" w:space="0" w:color="auto"/>
      </w:divBdr>
    </w:div>
    <w:div w:id="274366225">
      <w:marLeft w:val="0"/>
      <w:marRight w:val="0"/>
      <w:marTop w:val="180"/>
      <w:marBottom w:val="0"/>
      <w:divBdr>
        <w:top w:val="none" w:sz="0" w:space="0" w:color="auto"/>
        <w:left w:val="none" w:sz="0" w:space="0" w:color="auto"/>
        <w:bottom w:val="none" w:sz="0" w:space="0" w:color="auto"/>
        <w:right w:val="none" w:sz="0" w:space="0" w:color="auto"/>
      </w:divBdr>
    </w:div>
    <w:div w:id="276177817">
      <w:marLeft w:val="0"/>
      <w:marRight w:val="0"/>
      <w:marTop w:val="180"/>
      <w:marBottom w:val="0"/>
      <w:divBdr>
        <w:top w:val="none" w:sz="0" w:space="0" w:color="auto"/>
        <w:left w:val="none" w:sz="0" w:space="0" w:color="auto"/>
        <w:bottom w:val="none" w:sz="0" w:space="0" w:color="auto"/>
        <w:right w:val="none" w:sz="0" w:space="0" w:color="auto"/>
      </w:divBdr>
    </w:div>
    <w:div w:id="279530853">
      <w:marLeft w:val="0"/>
      <w:marRight w:val="0"/>
      <w:marTop w:val="120"/>
      <w:marBottom w:val="0"/>
      <w:divBdr>
        <w:top w:val="none" w:sz="0" w:space="0" w:color="auto"/>
        <w:left w:val="none" w:sz="0" w:space="0" w:color="auto"/>
        <w:bottom w:val="none" w:sz="0" w:space="0" w:color="auto"/>
        <w:right w:val="none" w:sz="0" w:space="0" w:color="auto"/>
      </w:divBdr>
    </w:div>
    <w:div w:id="280036412">
      <w:marLeft w:val="0"/>
      <w:marRight w:val="0"/>
      <w:marTop w:val="180"/>
      <w:marBottom w:val="0"/>
      <w:divBdr>
        <w:top w:val="none" w:sz="0" w:space="0" w:color="auto"/>
        <w:left w:val="none" w:sz="0" w:space="0" w:color="auto"/>
        <w:bottom w:val="none" w:sz="0" w:space="0" w:color="auto"/>
        <w:right w:val="none" w:sz="0" w:space="0" w:color="auto"/>
      </w:divBdr>
    </w:div>
    <w:div w:id="281544518">
      <w:marLeft w:val="0"/>
      <w:marRight w:val="0"/>
      <w:marTop w:val="180"/>
      <w:marBottom w:val="0"/>
      <w:divBdr>
        <w:top w:val="none" w:sz="0" w:space="0" w:color="auto"/>
        <w:left w:val="none" w:sz="0" w:space="0" w:color="auto"/>
        <w:bottom w:val="none" w:sz="0" w:space="0" w:color="auto"/>
        <w:right w:val="none" w:sz="0" w:space="0" w:color="auto"/>
      </w:divBdr>
    </w:div>
    <w:div w:id="294795343">
      <w:marLeft w:val="0"/>
      <w:marRight w:val="0"/>
      <w:marTop w:val="180"/>
      <w:marBottom w:val="0"/>
      <w:divBdr>
        <w:top w:val="none" w:sz="0" w:space="0" w:color="auto"/>
        <w:left w:val="none" w:sz="0" w:space="0" w:color="auto"/>
        <w:bottom w:val="none" w:sz="0" w:space="0" w:color="auto"/>
        <w:right w:val="none" w:sz="0" w:space="0" w:color="auto"/>
      </w:divBdr>
    </w:div>
    <w:div w:id="298196032">
      <w:marLeft w:val="0"/>
      <w:marRight w:val="0"/>
      <w:marTop w:val="0"/>
      <w:marBottom w:val="0"/>
      <w:divBdr>
        <w:top w:val="none" w:sz="0" w:space="0" w:color="auto"/>
        <w:left w:val="none" w:sz="0" w:space="0" w:color="auto"/>
        <w:bottom w:val="none" w:sz="0" w:space="0" w:color="auto"/>
        <w:right w:val="none" w:sz="0" w:space="0" w:color="auto"/>
      </w:divBdr>
    </w:div>
    <w:div w:id="298803479">
      <w:marLeft w:val="0"/>
      <w:marRight w:val="0"/>
      <w:marTop w:val="180"/>
      <w:marBottom w:val="0"/>
      <w:divBdr>
        <w:top w:val="none" w:sz="0" w:space="0" w:color="auto"/>
        <w:left w:val="none" w:sz="0" w:space="0" w:color="auto"/>
        <w:bottom w:val="none" w:sz="0" w:space="0" w:color="auto"/>
        <w:right w:val="none" w:sz="0" w:space="0" w:color="auto"/>
      </w:divBdr>
    </w:div>
    <w:div w:id="298924490">
      <w:marLeft w:val="0"/>
      <w:marRight w:val="0"/>
      <w:marTop w:val="180"/>
      <w:marBottom w:val="0"/>
      <w:divBdr>
        <w:top w:val="none" w:sz="0" w:space="0" w:color="auto"/>
        <w:left w:val="none" w:sz="0" w:space="0" w:color="auto"/>
        <w:bottom w:val="none" w:sz="0" w:space="0" w:color="auto"/>
        <w:right w:val="none" w:sz="0" w:space="0" w:color="auto"/>
      </w:divBdr>
    </w:div>
    <w:div w:id="299118826">
      <w:marLeft w:val="0"/>
      <w:marRight w:val="0"/>
      <w:marTop w:val="0"/>
      <w:marBottom w:val="0"/>
      <w:divBdr>
        <w:top w:val="none" w:sz="0" w:space="0" w:color="auto"/>
        <w:left w:val="none" w:sz="0" w:space="0" w:color="auto"/>
        <w:bottom w:val="none" w:sz="0" w:space="0" w:color="auto"/>
        <w:right w:val="none" w:sz="0" w:space="0" w:color="auto"/>
      </w:divBdr>
      <w:divsChild>
        <w:div w:id="1808623550">
          <w:marLeft w:val="0"/>
          <w:marRight w:val="0"/>
          <w:marTop w:val="180"/>
          <w:marBottom w:val="0"/>
          <w:divBdr>
            <w:top w:val="none" w:sz="0" w:space="0" w:color="auto"/>
            <w:left w:val="none" w:sz="0" w:space="0" w:color="auto"/>
            <w:bottom w:val="none" w:sz="0" w:space="0" w:color="auto"/>
            <w:right w:val="none" w:sz="0" w:space="0" w:color="auto"/>
          </w:divBdr>
        </w:div>
      </w:divsChild>
    </w:div>
    <w:div w:id="299579450">
      <w:marLeft w:val="0"/>
      <w:marRight w:val="0"/>
      <w:marTop w:val="180"/>
      <w:marBottom w:val="0"/>
      <w:divBdr>
        <w:top w:val="none" w:sz="0" w:space="0" w:color="auto"/>
        <w:left w:val="none" w:sz="0" w:space="0" w:color="auto"/>
        <w:bottom w:val="none" w:sz="0" w:space="0" w:color="auto"/>
        <w:right w:val="none" w:sz="0" w:space="0" w:color="auto"/>
      </w:divBdr>
    </w:div>
    <w:div w:id="300157328">
      <w:marLeft w:val="0"/>
      <w:marRight w:val="0"/>
      <w:marTop w:val="180"/>
      <w:marBottom w:val="0"/>
      <w:divBdr>
        <w:top w:val="none" w:sz="0" w:space="0" w:color="auto"/>
        <w:left w:val="none" w:sz="0" w:space="0" w:color="auto"/>
        <w:bottom w:val="none" w:sz="0" w:space="0" w:color="auto"/>
        <w:right w:val="none" w:sz="0" w:space="0" w:color="auto"/>
      </w:divBdr>
    </w:div>
    <w:div w:id="300962461">
      <w:marLeft w:val="0"/>
      <w:marRight w:val="0"/>
      <w:marTop w:val="180"/>
      <w:marBottom w:val="0"/>
      <w:divBdr>
        <w:top w:val="none" w:sz="0" w:space="0" w:color="auto"/>
        <w:left w:val="none" w:sz="0" w:space="0" w:color="auto"/>
        <w:bottom w:val="none" w:sz="0" w:space="0" w:color="auto"/>
        <w:right w:val="none" w:sz="0" w:space="0" w:color="auto"/>
      </w:divBdr>
    </w:div>
    <w:div w:id="303124242">
      <w:marLeft w:val="0"/>
      <w:marRight w:val="0"/>
      <w:marTop w:val="180"/>
      <w:marBottom w:val="0"/>
      <w:divBdr>
        <w:top w:val="none" w:sz="0" w:space="0" w:color="auto"/>
        <w:left w:val="none" w:sz="0" w:space="0" w:color="auto"/>
        <w:bottom w:val="none" w:sz="0" w:space="0" w:color="auto"/>
        <w:right w:val="none" w:sz="0" w:space="0" w:color="auto"/>
      </w:divBdr>
    </w:div>
    <w:div w:id="304895971">
      <w:marLeft w:val="0"/>
      <w:marRight w:val="0"/>
      <w:marTop w:val="240"/>
      <w:marBottom w:val="0"/>
      <w:divBdr>
        <w:top w:val="none" w:sz="0" w:space="0" w:color="auto"/>
        <w:left w:val="none" w:sz="0" w:space="0" w:color="auto"/>
        <w:bottom w:val="none" w:sz="0" w:space="0" w:color="auto"/>
        <w:right w:val="none" w:sz="0" w:space="0" w:color="auto"/>
      </w:divBdr>
    </w:div>
    <w:div w:id="305353308">
      <w:marLeft w:val="0"/>
      <w:marRight w:val="0"/>
      <w:marTop w:val="0"/>
      <w:marBottom w:val="0"/>
      <w:divBdr>
        <w:top w:val="none" w:sz="0" w:space="0" w:color="auto"/>
        <w:left w:val="none" w:sz="0" w:space="0" w:color="auto"/>
        <w:bottom w:val="none" w:sz="0" w:space="0" w:color="auto"/>
        <w:right w:val="none" w:sz="0" w:space="0" w:color="auto"/>
      </w:divBdr>
      <w:divsChild>
        <w:div w:id="124200022">
          <w:marLeft w:val="0"/>
          <w:marRight w:val="0"/>
          <w:marTop w:val="0"/>
          <w:marBottom w:val="0"/>
          <w:divBdr>
            <w:top w:val="none" w:sz="0" w:space="0" w:color="auto"/>
            <w:left w:val="none" w:sz="0" w:space="0" w:color="auto"/>
            <w:bottom w:val="none" w:sz="0" w:space="0" w:color="auto"/>
            <w:right w:val="none" w:sz="0" w:space="0" w:color="auto"/>
          </w:divBdr>
          <w:divsChild>
            <w:div w:id="14428010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5941965">
      <w:marLeft w:val="0"/>
      <w:marRight w:val="0"/>
      <w:marTop w:val="180"/>
      <w:marBottom w:val="0"/>
      <w:divBdr>
        <w:top w:val="none" w:sz="0" w:space="0" w:color="auto"/>
        <w:left w:val="none" w:sz="0" w:space="0" w:color="auto"/>
        <w:bottom w:val="none" w:sz="0" w:space="0" w:color="auto"/>
        <w:right w:val="none" w:sz="0" w:space="0" w:color="auto"/>
      </w:divBdr>
    </w:div>
    <w:div w:id="318309327">
      <w:marLeft w:val="0"/>
      <w:marRight w:val="0"/>
      <w:marTop w:val="120"/>
      <w:marBottom w:val="0"/>
      <w:divBdr>
        <w:top w:val="none" w:sz="0" w:space="0" w:color="auto"/>
        <w:left w:val="none" w:sz="0" w:space="0" w:color="auto"/>
        <w:bottom w:val="none" w:sz="0" w:space="0" w:color="auto"/>
        <w:right w:val="none" w:sz="0" w:space="0" w:color="auto"/>
      </w:divBdr>
    </w:div>
    <w:div w:id="320040483">
      <w:marLeft w:val="0"/>
      <w:marRight w:val="0"/>
      <w:marTop w:val="180"/>
      <w:marBottom w:val="0"/>
      <w:divBdr>
        <w:top w:val="none" w:sz="0" w:space="0" w:color="auto"/>
        <w:left w:val="none" w:sz="0" w:space="0" w:color="auto"/>
        <w:bottom w:val="none" w:sz="0" w:space="0" w:color="auto"/>
        <w:right w:val="none" w:sz="0" w:space="0" w:color="auto"/>
      </w:divBdr>
    </w:div>
    <w:div w:id="320237304">
      <w:marLeft w:val="0"/>
      <w:marRight w:val="0"/>
      <w:marTop w:val="180"/>
      <w:marBottom w:val="0"/>
      <w:divBdr>
        <w:top w:val="none" w:sz="0" w:space="0" w:color="auto"/>
        <w:left w:val="none" w:sz="0" w:space="0" w:color="auto"/>
        <w:bottom w:val="none" w:sz="0" w:space="0" w:color="auto"/>
        <w:right w:val="none" w:sz="0" w:space="0" w:color="auto"/>
      </w:divBdr>
    </w:div>
    <w:div w:id="320282464">
      <w:marLeft w:val="0"/>
      <w:marRight w:val="0"/>
      <w:marTop w:val="0"/>
      <w:marBottom w:val="60"/>
      <w:divBdr>
        <w:top w:val="none" w:sz="0" w:space="0" w:color="auto"/>
        <w:left w:val="none" w:sz="0" w:space="0" w:color="auto"/>
        <w:bottom w:val="none" w:sz="0" w:space="0" w:color="auto"/>
        <w:right w:val="none" w:sz="0" w:space="0" w:color="auto"/>
      </w:divBdr>
    </w:div>
    <w:div w:id="320817387">
      <w:marLeft w:val="0"/>
      <w:marRight w:val="0"/>
      <w:marTop w:val="180"/>
      <w:marBottom w:val="0"/>
      <w:divBdr>
        <w:top w:val="none" w:sz="0" w:space="0" w:color="auto"/>
        <w:left w:val="none" w:sz="0" w:space="0" w:color="auto"/>
        <w:bottom w:val="none" w:sz="0" w:space="0" w:color="auto"/>
        <w:right w:val="none" w:sz="0" w:space="0" w:color="auto"/>
      </w:divBdr>
    </w:div>
    <w:div w:id="322321484">
      <w:marLeft w:val="0"/>
      <w:marRight w:val="0"/>
      <w:marTop w:val="180"/>
      <w:marBottom w:val="0"/>
      <w:divBdr>
        <w:top w:val="none" w:sz="0" w:space="0" w:color="auto"/>
        <w:left w:val="none" w:sz="0" w:space="0" w:color="auto"/>
        <w:bottom w:val="none" w:sz="0" w:space="0" w:color="auto"/>
        <w:right w:val="none" w:sz="0" w:space="0" w:color="auto"/>
      </w:divBdr>
    </w:div>
    <w:div w:id="323705869">
      <w:marLeft w:val="0"/>
      <w:marRight w:val="0"/>
      <w:marTop w:val="0"/>
      <w:marBottom w:val="0"/>
      <w:divBdr>
        <w:top w:val="none" w:sz="0" w:space="0" w:color="auto"/>
        <w:left w:val="none" w:sz="0" w:space="0" w:color="auto"/>
        <w:bottom w:val="none" w:sz="0" w:space="0" w:color="auto"/>
        <w:right w:val="none" w:sz="0" w:space="0" w:color="auto"/>
      </w:divBdr>
      <w:divsChild>
        <w:div w:id="902327928">
          <w:marLeft w:val="0"/>
          <w:marRight w:val="0"/>
          <w:marTop w:val="0"/>
          <w:marBottom w:val="0"/>
          <w:divBdr>
            <w:top w:val="none" w:sz="0" w:space="0" w:color="auto"/>
            <w:left w:val="none" w:sz="0" w:space="0" w:color="auto"/>
            <w:bottom w:val="none" w:sz="0" w:space="0" w:color="auto"/>
            <w:right w:val="none" w:sz="0" w:space="0" w:color="auto"/>
          </w:divBdr>
          <w:divsChild>
            <w:div w:id="597896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27171244">
      <w:marLeft w:val="0"/>
      <w:marRight w:val="0"/>
      <w:marTop w:val="0"/>
      <w:marBottom w:val="0"/>
      <w:divBdr>
        <w:top w:val="none" w:sz="0" w:space="0" w:color="auto"/>
        <w:left w:val="none" w:sz="0" w:space="0" w:color="auto"/>
        <w:bottom w:val="none" w:sz="0" w:space="0" w:color="auto"/>
        <w:right w:val="none" w:sz="0" w:space="0" w:color="auto"/>
      </w:divBdr>
      <w:divsChild>
        <w:div w:id="1035538443">
          <w:marLeft w:val="0"/>
          <w:marRight w:val="0"/>
          <w:marTop w:val="180"/>
          <w:marBottom w:val="0"/>
          <w:divBdr>
            <w:top w:val="none" w:sz="0" w:space="0" w:color="auto"/>
            <w:left w:val="none" w:sz="0" w:space="0" w:color="auto"/>
            <w:bottom w:val="none" w:sz="0" w:space="0" w:color="auto"/>
            <w:right w:val="none" w:sz="0" w:space="0" w:color="auto"/>
          </w:divBdr>
        </w:div>
      </w:divsChild>
    </w:div>
    <w:div w:id="329068589">
      <w:marLeft w:val="0"/>
      <w:marRight w:val="0"/>
      <w:marTop w:val="180"/>
      <w:marBottom w:val="0"/>
      <w:divBdr>
        <w:top w:val="none" w:sz="0" w:space="0" w:color="auto"/>
        <w:left w:val="none" w:sz="0" w:space="0" w:color="auto"/>
        <w:bottom w:val="none" w:sz="0" w:space="0" w:color="auto"/>
        <w:right w:val="none" w:sz="0" w:space="0" w:color="auto"/>
      </w:divBdr>
    </w:div>
    <w:div w:id="332998605">
      <w:marLeft w:val="0"/>
      <w:marRight w:val="0"/>
      <w:marTop w:val="180"/>
      <w:marBottom w:val="0"/>
      <w:divBdr>
        <w:top w:val="none" w:sz="0" w:space="0" w:color="auto"/>
        <w:left w:val="none" w:sz="0" w:space="0" w:color="auto"/>
        <w:bottom w:val="none" w:sz="0" w:space="0" w:color="auto"/>
        <w:right w:val="none" w:sz="0" w:space="0" w:color="auto"/>
      </w:divBdr>
    </w:div>
    <w:div w:id="333995245">
      <w:marLeft w:val="0"/>
      <w:marRight w:val="0"/>
      <w:marTop w:val="180"/>
      <w:marBottom w:val="0"/>
      <w:divBdr>
        <w:top w:val="none" w:sz="0" w:space="0" w:color="auto"/>
        <w:left w:val="none" w:sz="0" w:space="0" w:color="auto"/>
        <w:bottom w:val="none" w:sz="0" w:space="0" w:color="auto"/>
        <w:right w:val="none" w:sz="0" w:space="0" w:color="auto"/>
      </w:divBdr>
    </w:div>
    <w:div w:id="335037665">
      <w:marLeft w:val="0"/>
      <w:marRight w:val="0"/>
      <w:marTop w:val="180"/>
      <w:marBottom w:val="0"/>
      <w:divBdr>
        <w:top w:val="none" w:sz="0" w:space="0" w:color="auto"/>
        <w:left w:val="none" w:sz="0" w:space="0" w:color="auto"/>
        <w:bottom w:val="none" w:sz="0" w:space="0" w:color="auto"/>
        <w:right w:val="none" w:sz="0" w:space="0" w:color="auto"/>
      </w:divBdr>
    </w:div>
    <w:div w:id="336034810">
      <w:marLeft w:val="0"/>
      <w:marRight w:val="0"/>
      <w:marTop w:val="180"/>
      <w:marBottom w:val="0"/>
      <w:divBdr>
        <w:top w:val="none" w:sz="0" w:space="0" w:color="auto"/>
        <w:left w:val="none" w:sz="0" w:space="0" w:color="auto"/>
        <w:bottom w:val="none" w:sz="0" w:space="0" w:color="auto"/>
        <w:right w:val="none" w:sz="0" w:space="0" w:color="auto"/>
      </w:divBdr>
    </w:div>
    <w:div w:id="336226562">
      <w:marLeft w:val="0"/>
      <w:marRight w:val="0"/>
      <w:marTop w:val="180"/>
      <w:marBottom w:val="0"/>
      <w:divBdr>
        <w:top w:val="none" w:sz="0" w:space="0" w:color="auto"/>
        <w:left w:val="none" w:sz="0" w:space="0" w:color="auto"/>
        <w:bottom w:val="none" w:sz="0" w:space="0" w:color="auto"/>
        <w:right w:val="none" w:sz="0" w:space="0" w:color="auto"/>
      </w:divBdr>
    </w:div>
    <w:div w:id="337268400">
      <w:marLeft w:val="0"/>
      <w:marRight w:val="0"/>
      <w:marTop w:val="0"/>
      <w:marBottom w:val="200"/>
      <w:divBdr>
        <w:top w:val="none" w:sz="0" w:space="0" w:color="auto"/>
        <w:left w:val="none" w:sz="0" w:space="0" w:color="auto"/>
        <w:bottom w:val="none" w:sz="0" w:space="0" w:color="auto"/>
        <w:right w:val="none" w:sz="0" w:space="0" w:color="auto"/>
      </w:divBdr>
    </w:div>
    <w:div w:id="339743824">
      <w:marLeft w:val="0"/>
      <w:marRight w:val="0"/>
      <w:marTop w:val="180"/>
      <w:marBottom w:val="0"/>
      <w:divBdr>
        <w:top w:val="none" w:sz="0" w:space="0" w:color="auto"/>
        <w:left w:val="none" w:sz="0" w:space="0" w:color="auto"/>
        <w:bottom w:val="none" w:sz="0" w:space="0" w:color="auto"/>
        <w:right w:val="none" w:sz="0" w:space="0" w:color="auto"/>
      </w:divBdr>
    </w:div>
    <w:div w:id="340162033">
      <w:marLeft w:val="0"/>
      <w:marRight w:val="0"/>
      <w:marTop w:val="180"/>
      <w:marBottom w:val="0"/>
      <w:divBdr>
        <w:top w:val="none" w:sz="0" w:space="0" w:color="auto"/>
        <w:left w:val="none" w:sz="0" w:space="0" w:color="auto"/>
        <w:bottom w:val="none" w:sz="0" w:space="0" w:color="auto"/>
        <w:right w:val="none" w:sz="0" w:space="0" w:color="auto"/>
      </w:divBdr>
    </w:div>
    <w:div w:id="340548127">
      <w:marLeft w:val="0"/>
      <w:marRight w:val="0"/>
      <w:marTop w:val="180"/>
      <w:marBottom w:val="0"/>
      <w:divBdr>
        <w:top w:val="none" w:sz="0" w:space="0" w:color="auto"/>
        <w:left w:val="none" w:sz="0" w:space="0" w:color="auto"/>
        <w:bottom w:val="none" w:sz="0" w:space="0" w:color="auto"/>
        <w:right w:val="none" w:sz="0" w:space="0" w:color="auto"/>
      </w:divBdr>
    </w:div>
    <w:div w:id="340662496">
      <w:marLeft w:val="0"/>
      <w:marRight w:val="0"/>
      <w:marTop w:val="0"/>
      <w:marBottom w:val="0"/>
      <w:divBdr>
        <w:top w:val="none" w:sz="0" w:space="0" w:color="auto"/>
        <w:left w:val="none" w:sz="0" w:space="0" w:color="auto"/>
        <w:bottom w:val="none" w:sz="0" w:space="0" w:color="auto"/>
        <w:right w:val="none" w:sz="0" w:space="0" w:color="auto"/>
      </w:divBdr>
    </w:div>
    <w:div w:id="342048019">
      <w:marLeft w:val="0"/>
      <w:marRight w:val="0"/>
      <w:marTop w:val="0"/>
      <w:marBottom w:val="0"/>
      <w:divBdr>
        <w:top w:val="none" w:sz="0" w:space="0" w:color="auto"/>
        <w:left w:val="none" w:sz="0" w:space="0" w:color="auto"/>
        <w:bottom w:val="none" w:sz="0" w:space="0" w:color="auto"/>
        <w:right w:val="none" w:sz="0" w:space="0" w:color="auto"/>
      </w:divBdr>
      <w:divsChild>
        <w:div w:id="2067145057">
          <w:marLeft w:val="0"/>
          <w:marRight w:val="0"/>
          <w:marTop w:val="180"/>
          <w:marBottom w:val="0"/>
          <w:divBdr>
            <w:top w:val="none" w:sz="0" w:space="0" w:color="auto"/>
            <w:left w:val="none" w:sz="0" w:space="0" w:color="auto"/>
            <w:bottom w:val="none" w:sz="0" w:space="0" w:color="auto"/>
            <w:right w:val="none" w:sz="0" w:space="0" w:color="auto"/>
          </w:divBdr>
        </w:div>
      </w:divsChild>
    </w:div>
    <w:div w:id="342048036">
      <w:marLeft w:val="0"/>
      <w:marRight w:val="0"/>
      <w:marTop w:val="180"/>
      <w:marBottom w:val="0"/>
      <w:divBdr>
        <w:top w:val="none" w:sz="0" w:space="0" w:color="auto"/>
        <w:left w:val="none" w:sz="0" w:space="0" w:color="auto"/>
        <w:bottom w:val="none" w:sz="0" w:space="0" w:color="auto"/>
        <w:right w:val="none" w:sz="0" w:space="0" w:color="auto"/>
      </w:divBdr>
    </w:div>
    <w:div w:id="343283819">
      <w:marLeft w:val="0"/>
      <w:marRight w:val="0"/>
      <w:marTop w:val="180"/>
      <w:marBottom w:val="0"/>
      <w:divBdr>
        <w:top w:val="none" w:sz="0" w:space="0" w:color="auto"/>
        <w:left w:val="none" w:sz="0" w:space="0" w:color="auto"/>
        <w:bottom w:val="none" w:sz="0" w:space="0" w:color="auto"/>
        <w:right w:val="none" w:sz="0" w:space="0" w:color="auto"/>
      </w:divBdr>
    </w:div>
    <w:div w:id="344405377">
      <w:marLeft w:val="0"/>
      <w:marRight w:val="0"/>
      <w:marTop w:val="180"/>
      <w:marBottom w:val="0"/>
      <w:divBdr>
        <w:top w:val="none" w:sz="0" w:space="0" w:color="auto"/>
        <w:left w:val="none" w:sz="0" w:space="0" w:color="auto"/>
        <w:bottom w:val="none" w:sz="0" w:space="0" w:color="auto"/>
        <w:right w:val="none" w:sz="0" w:space="0" w:color="auto"/>
      </w:divBdr>
    </w:div>
    <w:div w:id="346181424">
      <w:marLeft w:val="0"/>
      <w:marRight w:val="0"/>
      <w:marTop w:val="180"/>
      <w:marBottom w:val="0"/>
      <w:divBdr>
        <w:top w:val="none" w:sz="0" w:space="0" w:color="auto"/>
        <w:left w:val="none" w:sz="0" w:space="0" w:color="auto"/>
        <w:bottom w:val="none" w:sz="0" w:space="0" w:color="auto"/>
        <w:right w:val="none" w:sz="0" w:space="0" w:color="auto"/>
      </w:divBdr>
    </w:div>
    <w:div w:id="350035489">
      <w:marLeft w:val="0"/>
      <w:marRight w:val="0"/>
      <w:marTop w:val="180"/>
      <w:marBottom w:val="0"/>
      <w:divBdr>
        <w:top w:val="none" w:sz="0" w:space="0" w:color="auto"/>
        <w:left w:val="none" w:sz="0" w:space="0" w:color="auto"/>
        <w:bottom w:val="none" w:sz="0" w:space="0" w:color="auto"/>
        <w:right w:val="none" w:sz="0" w:space="0" w:color="auto"/>
      </w:divBdr>
    </w:div>
    <w:div w:id="354230788">
      <w:marLeft w:val="0"/>
      <w:marRight w:val="0"/>
      <w:marTop w:val="180"/>
      <w:marBottom w:val="0"/>
      <w:divBdr>
        <w:top w:val="none" w:sz="0" w:space="0" w:color="auto"/>
        <w:left w:val="none" w:sz="0" w:space="0" w:color="auto"/>
        <w:bottom w:val="none" w:sz="0" w:space="0" w:color="auto"/>
        <w:right w:val="none" w:sz="0" w:space="0" w:color="auto"/>
      </w:divBdr>
    </w:div>
    <w:div w:id="356124170">
      <w:marLeft w:val="0"/>
      <w:marRight w:val="0"/>
      <w:marTop w:val="180"/>
      <w:marBottom w:val="0"/>
      <w:divBdr>
        <w:top w:val="none" w:sz="0" w:space="0" w:color="auto"/>
        <w:left w:val="none" w:sz="0" w:space="0" w:color="auto"/>
        <w:bottom w:val="none" w:sz="0" w:space="0" w:color="auto"/>
        <w:right w:val="none" w:sz="0" w:space="0" w:color="auto"/>
      </w:divBdr>
    </w:div>
    <w:div w:id="360009505">
      <w:marLeft w:val="0"/>
      <w:marRight w:val="0"/>
      <w:marTop w:val="180"/>
      <w:marBottom w:val="0"/>
      <w:divBdr>
        <w:top w:val="none" w:sz="0" w:space="0" w:color="auto"/>
        <w:left w:val="none" w:sz="0" w:space="0" w:color="auto"/>
        <w:bottom w:val="none" w:sz="0" w:space="0" w:color="auto"/>
        <w:right w:val="none" w:sz="0" w:space="0" w:color="auto"/>
      </w:divBdr>
    </w:div>
    <w:div w:id="366107274">
      <w:marLeft w:val="0"/>
      <w:marRight w:val="0"/>
      <w:marTop w:val="180"/>
      <w:marBottom w:val="0"/>
      <w:divBdr>
        <w:top w:val="none" w:sz="0" w:space="0" w:color="auto"/>
        <w:left w:val="none" w:sz="0" w:space="0" w:color="auto"/>
        <w:bottom w:val="none" w:sz="0" w:space="0" w:color="auto"/>
        <w:right w:val="none" w:sz="0" w:space="0" w:color="auto"/>
      </w:divBdr>
    </w:div>
    <w:div w:id="371657853">
      <w:marLeft w:val="0"/>
      <w:marRight w:val="0"/>
      <w:marTop w:val="180"/>
      <w:marBottom w:val="0"/>
      <w:divBdr>
        <w:top w:val="none" w:sz="0" w:space="0" w:color="auto"/>
        <w:left w:val="none" w:sz="0" w:space="0" w:color="auto"/>
        <w:bottom w:val="none" w:sz="0" w:space="0" w:color="auto"/>
        <w:right w:val="none" w:sz="0" w:space="0" w:color="auto"/>
      </w:divBdr>
    </w:div>
    <w:div w:id="372848196">
      <w:marLeft w:val="0"/>
      <w:marRight w:val="0"/>
      <w:marTop w:val="0"/>
      <w:marBottom w:val="0"/>
      <w:divBdr>
        <w:top w:val="none" w:sz="0" w:space="0" w:color="auto"/>
        <w:left w:val="none" w:sz="0" w:space="0" w:color="auto"/>
        <w:bottom w:val="none" w:sz="0" w:space="0" w:color="auto"/>
        <w:right w:val="none" w:sz="0" w:space="0" w:color="auto"/>
      </w:divBdr>
    </w:div>
    <w:div w:id="373238348">
      <w:marLeft w:val="0"/>
      <w:marRight w:val="0"/>
      <w:marTop w:val="180"/>
      <w:marBottom w:val="0"/>
      <w:divBdr>
        <w:top w:val="none" w:sz="0" w:space="0" w:color="auto"/>
        <w:left w:val="none" w:sz="0" w:space="0" w:color="auto"/>
        <w:bottom w:val="none" w:sz="0" w:space="0" w:color="auto"/>
        <w:right w:val="none" w:sz="0" w:space="0" w:color="auto"/>
      </w:divBdr>
    </w:div>
    <w:div w:id="373434865">
      <w:marLeft w:val="0"/>
      <w:marRight w:val="0"/>
      <w:marTop w:val="180"/>
      <w:marBottom w:val="0"/>
      <w:divBdr>
        <w:top w:val="none" w:sz="0" w:space="0" w:color="auto"/>
        <w:left w:val="none" w:sz="0" w:space="0" w:color="auto"/>
        <w:bottom w:val="none" w:sz="0" w:space="0" w:color="auto"/>
        <w:right w:val="none" w:sz="0" w:space="0" w:color="auto"/>
      </w:divBdr>
    </w:div>
    <w:div w:id="373773580">
      <w:marLeft w:val="0"/>
      <w:marRight w:val="0"/>
      <w:marTop w:val="180"/>
      <w:marBottom w:val="0"/>
      <w:divBdr>
        <w:top w:val="none" w:sz="0" w:space="0" w:color="auto"/>
        <w:left w:val="none" w:sz="0" w:space="0" w:color="auto"/>
        <w:bottom w:val="none" w:sz="0" w:space="0" w:color="auto"/>
        <w:right w:val="none" w:sz="0" w:space="0" w:color="auto"/>
      </w:divBdr>
    </w:div>
    <w:div w:id="374277788">
      <w:marLeft w:val="0"/>
      <w:marRight w:val="0"/>
      <w:marTop w:val="60"/>
      <w:marBottom w:val="0"/>
      <w:divBdr>
        <w:top w:val="none" w:sz="0" w:space="0" w:color="auto"/>
        <w:left w:val="none" w:sz="0" w:space="0" w:color="auto"/>
        <w:bottom w:val="none" w:sz="0" w:space="0" w:color="auto"/>
        <w:right w:val="none" w:sz="0" w:space="0" w:color="auto"/>
      </w:divBdr>
    </w:div>
    <w:div w:id="375129528">
      <w:marLeft w:val="0"/>
      <w:marRight w:val="0"/>
      <w:marTop w:val="180"/>
      <w:marBottom w:val="0"/>
      <w:divBdr>
        <w:top w:val="none" w:sz="0" w:space="0" w:color="auto"/>
        <w:left w:val="none" w:sz="0" w:space="0" w:color="auto"/>
        <w:bottom w:val="none" w:sz="0" w:space="0" w:color="auto"/>
        <w:right w:val="none" w:sz="0" w:space="0" w:color="auto"/>
      </w:divBdr>
    </w:div>
    <w:div w:id="375398253">
      <w:marLeft w:val="0"/>
      <w:marRight w:val="0"/>
      <w:marTop w:val="180"/>
      <w:marBottom w:val="0"/>
      <w:divBdr>
        <w:top w:val="none" w:sz="0" w:space="0" w:color="auto"/>
        <w:left w:val="none" w:sz="0" w:space="0" w:color="auto"/>
        <w:bottom w:val="none" w:sz="0" w:space="0" w:color="auto"/>
        <w:right w:val="none" w:sz="0" w:space="0" w:color="auto"/>
      </w:divBdr>
    </w:div>
    <w:div w:id="377168343">
      <w:marLeft w:val="0"/>
      <w:marRight w:val="0"/>
      <w:marTop w:val="180"/>
      <w:marBottom w:val="0"/>
      <w:divBdr>
        <w:top w:val="none" w:sz="0" w:space="0" w:color="auto"/>
        <w:left w:val="none" w:sz="0" w:space="0" w:color="auto"/>
        <w:bottom w:val="none" w:sz="0" w:space="0" w:color="auto"/>
        <w:right w:val="none" w:sz="0" w:space="0" w:color="auto"/>
      </w:divBdr>
    </w:div>
    <w:div w:id="386270709">
      <w:marLeft w:val="0"/>
      <w:marRight w:val="0"/>
      <w:marTop w:val="180"/>
      <w:marBottom w:val="0"/>
      <w:divBdr>
        <w:top w:val="none" w:sz="0" w:space="0" w:color="auto"/>
        <w:left w:val="none" w:sz="0" w:space="0" w:color="auto"/>
        <w:bottom w:val="none" w:sz="0" w:space="0" w:color="auto"/>
        <w:right w:val="none" w:sz="0" w:space="0" w:color="auto"/>
      </w:divBdr>
    </w:div>
    <w:div w:id="389768803">
      <w:marLeft w:val="0"/>
      <w:marRight w:val="0"/>
      <w:marTop w:val="180"/>
      <w:marBottom w:val="0"/>
      <w:divBdr>
        <w:top w:val="none" w:sz="0" w:space="0" w:color="auto"/>
        <w:left w:val="none" w:sz="0" w:space="0" w:color="auto"/>
        <w:bottom w:val="none" w:sz="0" w:space="0" w:color="auto"/>
        <w:right w:val="none" w:sz="0" w:space="0" w:color="auto"/>
      </w:divBdr>
    </w:div>
    <w:div w:id="392894678">
      <w:marLeft w:val="0"/>
      <w:marRight w:val="0"/>
      <w:marTop w:val="180"/>
      <w:marBottom w:val="120"/>
      <w:divBdr>
        <w:top w:val="none" w:sz="0" w:space="0" w:color="auto"/>
        <w:left w:val="none" w:sz="0" w:space="0" w:color="auto"/>
        <w:bottom w:val="none" w:sz="0" w:space="0" w:color="auto"/>
        <w:right w:val="none" w:sz="0" w:space="0" w:color="auto"/>
      </w:divBdr>
    </w:div>
    <w:div w:id="395278700">
      <w:marLeft w:val="0"/>
      <w:marRight w:val="0"/>
      <w:marTop w:val="120"/>
      <w:marBottom w:val="0"/>
      <w:divBdr>
        <w:top w:val="none" w:sz="0" w:space="0" w:color="auto"/>
        <w:left w:val="none" w:sz="0" w:space="0" w:color="auto"/>
        <w:bottom w:val="none" w:sz="0" w:space="0" w:color="auto"/>
        <w:right w:val="none" w:sz="0" w:space="0" w:color="auto"/>
      </w:divBdr>
    </w:div>
    <w:div w:id="396978612">
      <w:marLeft w:val="0"/>
      <w:marRight w:val="0"/>
      <w:marTop w:val="180"/>
      <w:marBottom w:val="0"/>
      <w:divBdr>
        <w:top w:val="none" w:sz="0" w:space="0" w:color="auto"/>
        <w:left w:val="none" w:sz="0" w:space="0" w:color="auto"/>
        <w:bottom w:val="none" w:sz="0" w:space="0" w:color="auto"/>
        <w:right w:val="none" w:sz="0" w:space="0" w:color="auto"/>
      </w:divBdr>
    </w:div>
    <w:div w:id="397284359">
      <w:marLeft w:val="0"/>
      <w:marRight w:val="0"/>
      <w:marTop w:val="60"/>
      <w:marBottom w:val="0"/>
      <w:divBdr>
        <w:top w:val="none" w:sz="0" w:space="0" w:color="auto"/>
        <w:left w:val="none" w:sz="0" w:space="0" w:color="auto"/>
        <w:bottom w:val="none" w:sz="0" w:space="0" w:color="auto"/>
        <w:right w:val="none" w:sz="0" w:space="0" w:color="auto"/>
      </w:divBdr>
    </w:div>
    <w:div w:id="397942699">
      <w:marLeft w:val="0"/>
      <w:marRight w:val="0"/>
      <w:marTop w:val="180"/>
      <w:marBottom w:val="0"/>
      <w:divBdr>
        <w:top w:val="none" w:sz="0" w:space="0" w:color="auto"/>
        <w:left w:val="none" w:sz="0" w:space="0" w:color="auto"/>
        <w:bottom w:val="none" w:sz="0" w:space="0" w:color="auto"/>
        <w:right w:val="none" w:sz="0" w:space="0" w:color="auto"/>
      </w:divBdr>
    </w:div>
    <w:div w:id="398669488">
      <w:marLeft w:val="0"/>
      <w:marRight w:val="0"/>
      <w:marTop w:val="180"/>
      <w:marBottom w:val="0"/>
      <w:divBdr>
        <w:top w:val="none" w:sz="0" w:space="0" w:color="auto"/>
        <w:left w:val="none" w:sz="0" w:space="0" w:color="auto"/>
        <w:bottom w:val="none" w:sz="0" w:space="0" w:color="auto"/>
        <w:right w:val="none" w:sz="0" w:space="0" w:color="auto"/>
      </w:divBdr>
    </w:div>
    <w:div w:id="399601257">
      <w:marLeft w:val="0"/>
      <w:marRight w:val="0"/>
      <w:marTop w:val="0"/>
      <w:marBottom w:val="0"/>
      <w:divBdr>
        <w:top w:val="none" w:sz="0" w:space="0" w:color="auto"/>
        <w:left w:val="none" w:sz="0" w:space="0" w:color="auto"/>
        <w:bottom w:val="none" w:sz="0" w:space="0" w:color="auto"/>
        <w:right w:val="none" w:sz="0" w:space="0" w:color="auto"/>
      </w:divBdr>
      <w:divsChild>
        <w:div w:id="1038428353">
          <w:marLeft w:val="0"/>
          <w:marRight w:val="0"/>
          <w:marTop w:val="0"/>
          <w:marBottom w:val="0"/>
          <w:divBdr>
            <w:top w:val="none" w:sz="0" w:space="0" w:color="auto"/>
            <w:left w:val="none" w:sz="0" w:space="0" w:color="auto"/>
            <w:bottom w:val="none" w:sz="0" w:space="0" w:color="auto"/>
            <w:right w:val="none" w:sz="0" w:space="0" w:color="auto"/>
          </w:divBdr>
        </w:div>
      </w:divsChild>
    </w:div>
    <w:div w:id="400562034">
      <w:marLeft w:val="0"/>
      <w:marRight w:val="0"/>
      <w:marTop w:val="180"/>
      <w:marBottom w:val="120"/>
      <w:divBdr>
        <w:top w:val="none" w:sz="0" w:space="0" w:color="auto"/>
        <w:left w:val="none" w:sz="0" w:space="0" w:color="auto"/>
        <w:bottom w:val="none" w:sz="0" w:space="0" w:color="auto"/>
        <w:right w:val="none" w:sz="0" w:space="0" w:color="auto"/>
      </w:divBdr>
    </w:div>
    <w:div w:id="401607873">
      <w:marLeft w:val="0"/>
      <w:marRight w:val="0"/>
      <w:marTop w:val="180"/>
      <w:marBottom w:val="0"/>
      <w:divBdr>
        <w:top w:val="none" w:sz="0" w:space="0" w:color="auto"/>
        <w:left w:val="none" w:sz="0" w:space="0" w:color="auto"/>
        <w:bottom w:val="none" w:sz="0" w:space="0" w:color="auto"/>
        <w:right w:val="none" w:sz="0" w:space="0" w:color="auto"/>
      </w:divBdr>
    </w:div>
    <w:div w:id="402718902">
      <w:marLeft w:val="0"/>
      <w:marRight w:val="0"/>
      <w:marTop w:val="180"/>
      <w:marBottom w:val="0"/>
      <w:divBdr>
        <w:top w:val="none" w:sz="0" w:space="0" w:color="auto"/>
        <w:left w:val="none" w:sz="0" w:space="0" w:color="auto"/>
        <w:bottom w:val="none" w:sz="0" w:space="0" w:color="auto"/>
        <w:right w:val="none" w:sz="0" w:space="0" w:color="auto"/>
      </w:divBdr>
    </w:div>
    <w:div w:id="403913412">
      <w:marLeft w:val="0"/>
      <w:marRight w:val="0"/>
      <w:marTop w:val="0"/>
      <w:marBottom w:val="120"/>
      <w:divBdr>
        <w:top w:val="none" w:sz="0" w:space="0" w:color="auto"/>
        <w:left w:val="none" w:sz="0" w:space="0" w:color="auto"/>
        <w:bottom w:val="none" w:sz="0" w:space="0" w:color="auto"/>
        <w:right w:val="none" w:sz="0" w:space="0" w:color="auto"/>
      </w:divBdr>
      <w:divsChild>
        <w:div w:id="987365491">
          <w:marLeft w:val="0"/>
          <w:marRight w:val="0"/>
          <w:marTop w:val="0"/>
          <w:marBottom w:val="0"/>
          <w:divBdr>
            <w:top w:val="none" w:sz="0" w:space="0" w:color="auto"/>
            <w:left w:val="none" w:sz="0" w:space="0" w:color="auto"/>
            <w:bottom w:val="none" w:sz="0" w:space="0" w:color="auto"/>
            <w:right w:val="none" w:sz="0" w:space="0" w:color="auto"/>
          </w:divBdr>
        </w:div>
        <w:div w:id="1412388540">
          <w:marLeft w:val="0"/>
          <w:marRight w:val="0"/>
          <w:marTop w:val="0"/>
          <w:marBottom w:val="0"/>
          <w:divBdr>
            <w:top w:val="none" w:sz="0" w:space="0" w:color="auto"/>
            <w:left w:val="none" w:sz="0" w:space="0" w:color="auto"/>
            <w:bottom w:val="none" w:sz="0" w:space="0" w:color="auto"/>
            <w:right w:val="none" w:sz="0" w:space="0" w:color="auto"/>
          </w:divBdr>
        </w:div>
        <w:div w:id="478811817">
          <w:marLeft w:val="0"/>
          <w:marRight w:val="0"/>
          <w:marTop w:val="0"/>
          <w:marBottom w:val="0"/>
          <w:divBdr>
            <w:top w:val="none" w:sz="0" w:space="0" w:color="auto"/>
            <w:left w:val="none" w:sz="0" w:space="0" w:color="auto"/>
            <w:bottom w:val="none" w:sz="0" w:space="0" w:color="auto"/>
            <w:right w:val="none" w:sz="0" w:space="0" w:color="auto"/>
          </w:divBdr>
        </w:div>
        <w:div w:id="1817794328">
          <w:marLeft w:val="0"/>
          <w:marRight w:val="0"/>
          <w:marTop w:val="0"/>
          <w:marBottom w:val="0"/>
          <w:divBdr>
            <w:top w:val="none" w:sz="0" w:space="0" w:color="auto"/>
            <w:left w:val="none" w:sz="0" w:space="0" w:color="auto"/>
            <w:bottom w:val="none" w:sz="0" w:space="0" w:color="auto"/>
            <w:right w:val="none" w:sz="0" w:space="0" w:color="auto"/>
          </w:divBdr>
        </w:div>
        <w:div w:id="1167787742">
          <w:marLeft w:val="0"/>
          <w:marRight w:val="0"/>
          <w:marTop w:val="0"/>
          <w:marBottom w:val="0"/>
          <w:divBdr>
            <w:top w:val="none" w:sz="0" w:space="0" w:color="auto"/>
            <w:left w:val="none" w:sz="0" w:space="0" w:color="auto"/>
            <w:bottom w:val="none" w:sz="0" w:space="0" w:color="auto"/>
            <w:right w:val="none" w:sz="0" w:space="0" w:color="auto"/>
          </w:divBdr>
        </w:div>
        <w:div w:id="123887805">
          <w:marLeft w:val="0"/>
          <w:marRight w:val="0"/>
          <w:marTop w:val="0"/>
          <w:marBottom w:val="0"/>
          <w:divBdr>
            <w:top w:val="none" w:sz="0" w:space="0" w:color="auto"/>
            <w:left w:val="none" w:sz="0" w:space="0" w:color="auto"/>
            <w:bottom w:val="none" w:sz="0" w:space="0" w:color="auto"/>
            <w:right w:val="none" w:sz="0" w:space="0" w:color="auto"/>
          </w:divBdr>
        </w:div>
        <w:div w:id="1495804899">
          <w:marLeft w:val="0"/>
          <w:marRight w:val="0"/>
          <w:marTop w:val="0"/>
          <w:marBottom w:val="0"/>
          <w:divBdr>
            <w:top w:val="none" w:sz="0" w:space="0" w:color="auto"/>
            <w:left w:val="none" w:sz="0" w:space="0" w:color="auto"/>
            <w:bottom w:val="none" w:sz="0" w:space="0" w:color="auto"/>
            <w:right w:val="none" w:sz="0" w:space="0" w:color="auto"/>
          </w:divBdr>
        </w:div>
        <w:div w:id="848330731">
          <w:marLeft w:val="0"/>
          <w:marRight w:val="0"/>
          <w:marTop w:val="0"/>
          <w:marBottom w:val="0"/>
          <w:divBdr>
            <w:top w:val="none" w:sz="0" w:space="0" w:color="auto"/>
            <w:left w:val="none" w:sz="0" w:space="0" w:color="auto"/>
            <w:bottom w:val="none" w:sz="0" w:space="0" w:color="auto"/>
            <w:right w:val="none" w:sz="0" w:space="0" w:color="auto"/>
          </w:divBdr>
        </w:div>
        <w:div w:id="2081899556">
          <w:marLeft w:val="0"/>
          <w:marRight w:val="0"/>
          <w:marTop w:val="0"/>
          <w:marBottom w:val="0"/>
          <w:divBdr>
            <w:top w:val="none" w:sz="0" w:space="0" w:color="auto"/>
            <w:left w:val="none" w:sz="0" w:space="0" w:color="auto"/>
            <w:bottom w:val="none" w:sz="0" w:space="0" w:color="auto"/>
            <w:right w:val="none" w:sz="0" w:space="0" w:color="auto"/>
          </w:divBdr>
        </w:div>
        <w:div w:id="820780361">
          <w:marLeft w:val="0"/>
          <w:marRight w:val="0"/>
          <w:marTop w:val="0"/>
          <w:marBottom w:val="0"/>
          <w:divBdr>
            <w:top w:val="none" w:sz="0" w:space="0" w:color="auto"/>
            <w:left w:val="none" w:sz="0" w:space="0" w:color="auto"/>
            <w:bottom w:val="none" w:sz="0" w:space="0" w:color="auto"/>
            <w:right w:val="none" w:sz="0" w:space="0" w:color="auto"/>
          </w:divBdr>
        </w:div>
        <w:div w:id="211890966">
          <w:marLeft w:val="0"/>
          <w:marRight w:val="0"/>
          <w:marTop w:val="0"/>
          <w:marBottom w:val="0"/>
          <w:divBdr>
            <w:top w:val="none" w:sz="0" w:space="0" w:color="auto"/>
            <w:left w:val="none" w:sz="0" w:space="0" w:color="auto"/>
            <w:bottom w:val="none" w:sz="0" w:space="0" w:color="auto"/>
            <w:right w:val="none" w:sz="0" w:space="0" w:color="auto"/>
          </w:divBdr>
        </w:div>
        <w:div w:id="1570730405">
          <w:marLeft w:val="0"/>
          <w:marRight w:val="0"/>
          <w:marTop w:val="0"/>
          <w:marBottom w:val="0"/>
          <w:divBdr>
            <w:top w:val="none" w:sz="0" w:space="0" w:color="auto"/>
            <w:left w:val="none" w:sz="0" w:space="0" w:color="auto"/>
            <w:bottom w:val="none" w:sz="0" w:space="0" w:color="auto"/>
            <w:right w:val="none" w:sz="0" w:space="0" w:color="auto"/>
          </w:divBdr>
        </w:div>
        <w:div w:id="1705255255">
          <w:marLeft w:val="0"/>
          <w:marRight w:val="0"/>
          <w:marTop w:val="0"/>
          <w:marBottom w:val="0"/>
          <w:divBdr>
            <w:top w:val="none" w:sz="0" w:space="0" w:color="auto"/>
            <w:left w:val="none" w:sz="0" w:space="0" w:color="auto"/>
            <w:bottom w:val="none" w:sz="0" w:space="0" w:color="auto"/>
            <w:right w:val="none" w:sz="0" w:space="0" w:color="auto"/>
          </w:divBdr>
        </w:div>
      </w:divsChild>
    </w:div>
    <w:div w:id="406272536">
      <w:marLeft w:val="0"/>
      <w:marRight w:val="0"/>
      <w:marTop w:val="180"/>
      <w:marBottom w:val="0"/>
      <w:divBdr>
        <w:top w:val="none" w:sz="0" w:space="0" w:color="auto"/>
        <w:left w:val="none" w:sz="0" w:space="0" w:color="auto"/>
        <w:bottom w:val="none" w:sz="0" w:space="0" w:color="auto"/>
        <w:right w:val="none" w:sz="0" w:space="0" w:color="auto"/>
      </w:divBdr>
    </w:div>
    <w:div w:id="406922807">
      <w:marLeft w:val="0"/>
      <w:marRight w:val="0"/>
      <w:marTop w:val="0"/>
      <w:marBottom w:val="0"/>
      <w:divBdr>
        <w:top w:val="none" w:sz="0" w:space="0" w:color="auto"/>
        <w:left w:val="none" w:sz="0" w:space="0" w:color="auto"/>
        <w:bottom w:val="none" w:sz="0" w:space="0" w:color="auto"/>
        <w:right w:val="none" w:sz="0" w:space="0" w:color="auto"/>
      </w:divBdr>
      <w:divsChild>
        <w:div w:id="523978471">
          <w:marLeft w:val="0"/>
          <w:marRight w:val="0"/>
          <w:marTop w:val="0"/>
          <w:marBottom w:val="0"/>
          <w:divBdr>
            <w:top w:val="none" w:sz="0" w:space="0" w:color="auto"/>
            <w:left w:val="none" w:sz="0" w:space="0" w:color="auto"/>
            <w:bottom w:val="none" w:sz="0" w:space="0" w:color="auto"/>
            <w:right w:val="none" w:sz="0" w:space="0" w:color="auto"/>
          </w:divBdr>
          <w:divsChild>
            <w:div w:id="2628109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10083859">
      <w:marLeft w:val="0"/>
      <w:marRight w:val="0"/>
      <w:marTop w:val="180"/>
      <w:marBottom w:val="0"/>
      <w:divBdr>
        <w:top w:val="none" w:sz="0" w:space="0" w:color="auto"/>
        <w:left w:val="none" w:sz="0" w:space="0" w:color="auto"/>
        <w:bottom w:val="none" w:sz="0" w:space="0" w:color="auto"/>
        <w:right w:val="none" w:sz="0" w:space="0" w:color="auto"/>
      </w:divBdr>
    </w:div>
    <w:div w:id="411316889">
      <w:marLeft w:val="0"/>
      <w:marRight w:val="0"/>
      <w:marTop w:val="160"/>
      <w:marBottom w:val="0"/>
      <w:divBdr>
        <w:top w:val="none" w:sz="0" w:space="0" w:color="auto"/>
        <w:left w:val="none" w:sz="0" w:space="0" w:color="auto"/>
        <w:bottom w:val="none" w:sz="0" w:space="0" w:color="auto"/>
        <w:right w:val="none" w:sz="0" w:space="0" w:color="auto"/>
      </w:divBdr>
    </w:div>
    <w:div w:id="413550183">
      <w:marLeft w:val="0"/>
      <w:marRight w:val="0"/>
      <w:marTop w:val="0"/>
      <w:marBottom w:val="200"/>
      <w:divBdr>
        <w:top w:val="none" w:sz="0" w:space="0" w:color="auto"/>
        <w:left w:val="none" w:sz="0" w:space="0" w:color="auto"/>
        <w:bottom w:val="none" w:sz="0" w:space="0" w:color="auto"/>
        <w:right w:val="none" w:sz="0" w:space="0" w:color="auto"/>
      </w:divBdr>
    </w:div>
    <w:div w:id="415563929">
      <w:marLeft w:val="0"/>
      <w:marRight w:val="0"/>
      <w:marTop w:val="180"/>
      <w:marBottom w:val="120"/>
      <w:divBdr>
        <w:top w:val="none" w:sz="0" w:space="0" w:color="auto"/>
        <w:left w:val="none" w:sz="0" w:space="0" w:color="auto"/>
        <w:bottom w:val="none" w:sz="0" w:space="0" w:color="auto"/>
        <w:right w:val="none" w:sz="0" w:space="0" w:color="auto"/>
      </w:divBdr>
    </w:div>
    <w:div w:id="418215878">
      <w:marLeft w:val="0"/>
      <w:marRight w:val="0"/>
      <w:marTop w:val="180"/>
      <w:marBottom w:val="0"/>
      <w:divBdr>
        <w:top w:val="none" w:sz="0" w:space="0" w:color="auto"/>
        <w:left w:val="none" w:sz="0" w:space="0" w:color="auto"/>
        <w:bottom w:val="none" w:sz="0" w:space="0" w:color="auto"/>
        <w:right w:val="none" w:sz="0" w:space="0" w:color="auto"/>
      </w:divBdr>
    </w:div>
    <w:div w:id="421880402">
      <w:marLeft w:val="0"/>
      <w:marRight w:val="0"/>
      <w:marTop w:val="180"/>
      <w:marBottom w:val="0"/>
      <w:divBdr>
        <w:top w:val="none" w:sz="0" w:space="0" w:color="auto"/>
        <w:left w:val="none" w:sz="0" w:space="0" w:color="auto"/>
        <w:bottom w:val="none" w:sz="0" w:space="0" w:color="auto"/>
        <w:right w:val="none" w:sz="0" w:space="0" w:color="auto"/>
      </w:divBdr>
    </w:div>
    <w:div w:id="422068350">
      <w:marLeft w:val="0"/>
      <w:marRight w:val="0"/>
      <w:marTop w:val="0"/>
      <w:marBottom w:val="0"/>
      <w:divBdr>
        <w:top w:val="none" w:sz="0" w:space="0" w:color="auto"/>
        <w:left w:val="none" w:sz="0" w:space="0" w:color="auto"/>
        <w:bottom w:val="none" w:sz="0" w:space="0" w:color="auto"/>
        <w:right w:val="none" w:sz="0" w:space="0" w:color="auto"/>
      </w:divBdr>
      <w:divsChild>
        <w:div w:id="965627550">
          <w:marLeft w:val="0"/>
          <w:marRight w:val="0"/>
          <w:marTop w:val="180"/>
          <w:marBottom w:val="0"/>
          <w:divBdr>
            <w:top w:val="none" w:sz="0" w:space="0" w:color="auto"/>
            <w:left w:val="none" w:sz="0" w:space="0" w:color="auto"/>
            <w:bottom w:val="none" w:sz="0" w:space="0" w:color="auto"/>
            <w:right w:val="none" w:sz="0" w:space="0" w:color="auto"/>
          </w:divBdr>
        </w:div>
      </w:divsChild>
    </w:div>
    <w:div w:id="422996515">
      <w:marLeft w:val="0"/>
      <w:marRight w:val="0"/>
      <w:marTop w:val="180"/>
      <w:marBottom w:val="0"/>
      <w:divBdr>
        <w:top w:val="none" w:sz="0" w:space="0" w:color="auto"/>
        <w:left w:val="none" w:sz="0" w:space="0" w:color="auto"/>
        <w:bottom w:val="none" w:sz="0" w:space="0" w:color="auto"/>
        <w:right w:val="none" w:sz="0" w:space="0" w:color="auto"/>
      </w:divBdr>
    </w:div>
    <w:div w:id="423575059">
      <w:marLeft w:val="0"/>
      <w:marRight w:val="0"/>
      <w:marTop w:val="180"/>
      <w:marBottom w:val="0"/>
      <w:divBdr>
        <w:top w:val="none" w:sz="0" w:space="0" w:color="auto"/>
        <w:left w:val="none" w:sz="0" w:space="0" w:color="auto"/>
        <w:bottom w:val="none" w:sz="0" w:space="0" w:color="auto"/>
        <w:right w:val="none" w:sz="0" w:space="0" w:color="auto"/>
      </w:divBdr>
    </w:div>
    <w:div w:id="423722572">
      <w:marLeft w:val="0"/>
      <w:marRight w:val="0"/>
      <w:marTop w:val="180"/>
      <w:marBottom w:val="0"/>
      <w:divBdr>
        <w:top w:val="none" w:sz="0" w:space="0" w:color="auto"/>
        <w:left w:val="none" w:sz="0" w:space="0" w:color="auto"/>
        <w:bottom w:val="none" w:sz="0" w:space="0" w:color="auto"/>
        <w:right w:val="none" w:sz="0" w:space="0" w:color="auto"/>
      </w:divBdr>
    </w:div>
    <w:div w:id="424494091">
      <w:marLeft w:val="0"/>
      <w:marRight w:val="0"/>
      <w:marTop w:val="180"/>
      <w:marBottom w:val="0"/>
      <w:divBdr>
        <w:top w:val="none" w:sz="0" w:space="0" w:color="auto"/>
        <w:left w:val="none" w:sz="0" w:space="0" w:color="auto"/>
        <w:bottom w:val="none" w:sz="0" w:space="0" w:color="auto"/>
        <w:right w:val="none" w:sz="0" w:space="0" w:color="auto"/>
      </w:divBdr>
    </w:div>
    <w:div w:id="425200568">
      <w:marLeft w:val="0"/>
      <w:marRight w:val="0"/>
      <w:marTop w:val="0"/>
      <w:marBottom w:val="0"/>
      <w:divBdr>
        <w:top w:val="none" w:sz="0" w:space="0" w:color="auto"/>
        <w:left w:val="none" w:sz="0" w:space="0" w:color="auto"/>
        <w:bottom w:val="none" w:sz="0" w:space="0" w:color="auto"/>
        <w:right w:val="none" w:sz="0" w:space="0" w:color="auto"/>
      </w:divBdr>
    </w:div>
    <w:div w:id="429009048">
      <w:marLeft w:val="0"/>
      <w:marRight w:val="0"/>
      <w:marTop w:val="180"/>
      <w:marBottom w:val="0"/>
      <w:divBdr>
        <w:top w:val="none" w:sz="0" w:space="0" w:color="auto"/>
        <w:left w:val="none" w:sz="0" w:space="0" w:color="auto"/>
        <w:bottom w:val="none" w:sz="0" w:space="0" w:color="auto"/>
        <w:right w:val="none" w:sz="0" w:space="0" w:color="auto"/>
      </w:divBdr>
      <w:divsChild>
        <w:div w:id="1875076173">
          <w:marLeft w:val="0"/>
          <w:marRight w:val="0"/>
          <w:marTop w:val="0"/>
          <w:marBottom w:val="0"/>
          <w:divBdr>
            <w:top w:val="none" w:sz="0" w:space="0" w:color="auto"/>
            <w:left w:val="none" w:sz="0" w:space="0" w:color="auto"/>
            <w:bottom w:val="none" w:sz="0" w:space="0" w:color="auto"/>
            <w:right w:val="none" w:sz="0" w:space="0" w:color="auto"/>
          </w:divBdr>
        </w:div>
        <w:div w:id="295189202">
          <w:marLeft w:val="0"/>
          <w:marRight w:val="0"/>
          <w:marTop w:val="0"/>
          <w:marBottom w:val="0"/>
          <w:divBdr>
            <w:top w:val="none" w:sz="0" w:space="0" w:color="auto"/>
            <w:left w:val="none" w:sz="0" w:space="0" w:color="auto"/>
            <w:bottom w:val="none" w:sz="0" w:space="0" w:color="auto"/>
            <w:right w:val="none" w:sz="0" w:space="0" w:color="auto"/>
          </w:divBdr>
        </w:div>
        <w:div w:id="396703975">
          <w:marLeft w:val="0"/>
          <w:marRight w:val="0"/>
          <w:marTop w:val="0"/>
          <w:marBottom w:val="0"/>
          <w:divBdr>
            <w:top w:val="none" w:sz="0" w:space="0" w:color="auto"/>
            <w:left w:val="none" w:sz="0" w:space="0" w:color="auto"/>
            <w:bottom w:val="none" w:sz="0" w:space="0" w:color="auto"/>
            <w:right w:val="none" w:sz="0" w:space="0" w:color="auto"/>
          </w:divBdr>
        </w:div>
        <w:div w:id="156967716">
          <w:marLeft w:val="0"/>
          <w:marRight w:val="0"/>
          <w:marTop w:val="0"/>
          <w:marBottom w:val="0"/>
          <w:divBdr>
            <w:top w:val="none" w:sz="0" w:space="0" w:color="auto"/>
            <w:left w:val="none" w:sz="0" w:space="0" w:color="auto"/>
            <w:bottom w:val="none" w:sz="0" w:space="0" w:color="auto"/>
            <w:right w:val="none" w:sz="0" w:space="0" w:color="auto"/>
          </w:divBdr>
        </w:div>
      </w:divsChild>
    </w:div>
    <w:div w:id="433522016">
      <w:marLeft w:val="0"/>
      <w:marRight w:val="0"/>
      <w:marTop w:val="180"/>
      <w:marBottom w:val="0"/>
      <w:divBdr>
        <w:top w:val="none" w:sz="0" w:space="0" w:color="auto"/>
        <w:left w:val="none" w:sz="0" w:space="0" w:color="auto"/>
        <w:bottom w:val="none" w:sz="0" w:space="0" w:color="auto"/>
        <w:right w:val="none" w:sz="0" w:space="0" w:color="auto"/>
      </w:divBdr>
    </w:div>
    <w:div w:id="433983895">
      <w:marLeft w:val="0"/>
      <w:marRight w:val="0"/>
      <w:marTop w:val="180"/>
      <w:marBottom w:val="0"/>
      <w:divBdr>
        <w:top w:val="none" w:sz="0" w:space="0" w:color="auto"/>
        <w:left w:val="none" w:sz="0" w:space="0" w:color="auto"/>
        <w:bottom w:val="none" w:sz="0" w:space="0" w:color="auto"/>
        <w:right w:val="none" w:sz="0" w:space="0" w:color="auto"/>
      </w:divBdr>
    </w:div>
    <w:div w:id="434709252">
      <w:marLeft w:val="0"/>
      <w:marRight w:val="0"/>
      <w:marTop w:val="180"/>
      <w:marBottom w:val="0"/>
      <w:divBdr>
        <w:top w:val="none" w:sz="0" w:space="0" w:color="auto"/>
        <w:left w:val="none" w:sz="0" w:space="0" w:color="auto"/>
        <w:bottom w:val="none" w:sz="0" w:space="0" w:color="auto"/>
        <w:right w:val="none" w:sz="0" w:space="0" w:color="auto"/>
      </w:divBdr>
    </w:div>
    <w:div w:id="438336855">
      <w:marLeft w:val="0"/>
      <w:marRight w:val="0"/>
      <w:marTop w:val="0"/>
      <w:marBottom w:val="0"/>
      <w:divBdr>
        <w:top w:val="none" w:sz="0" w:space="0" w:color="auto"/>
        <w:left w:val="none" w:sz="0" w:space="0" w:color="auto"/>
        <w:bottom w:val="none" w:sz="0" w:space="0" w:color="auto"/>
        <w:right w:val="none" w:sz="0" w:space="0" w:color="auto"/>
      </w:divBdr>
      <w:divsChild>
        <w:div w:id="1078207004">
          <w:marLeft w:val="0"/>
          <w:marRight w:val="0"/>
          <w:marTop w:val="0"/>
          <w:marBottom w:val="0"/>
          <w:divBdr>
            <w:top w:val="none" w:sz="0" w:space="0" w:color="auto"/>
            <w:left w:val="none" w:sz="0" w:space="0" w:color="auto"/>
            <w:bottom w:val="none" w:sz="0" w:space="0" w:color="auto"/>
            <w:right w:val="none" w:sz="0" w:space="0" w:color="auto"/>
          </w:divBdr>
          <w:divsChild>
            <w:div w:id="2143379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38725844">
      <w:marLeft w:val="0"/>
      <w:marRight w:val="0"/>
      <w:marTop w:val="0"/>
      <w:marBottom w:val="200"/>
      <w:divBdr>
        <w:top w:val="none" w:sz="0" w:space="0" w:color="auto"/>
        <w:left w:val="none" w:sz="0" w:space="0" w:color="auto"/>
        <w:bottom w:val="none" w:sz="0" w:space="0" w:color="auto"/>
        <w:right w:val="none" w:sz="0" w:space="0" w:color="auto"/>
      </w:divBdr>
    </w:div>
    <w:div w:id="439762004">
      <w:marLeft w:val="0"/>
      <w:marRight w:val="0"/>
      <w:marTop w:val="180"/>
      <w:marBottom w:val="60"/>
      <w:divBdr>
        <w:top w:val="none" w:sz="0" w:space="0" w:color="auto"/>
        <w:left w:val="none" w:sz="0" w:space="0" w:color="auto"/>
        <w:bottom w:val="none" w:sz="0" w:space="0" w:color="auto"/>
        <w:right w:val="none" w:sz="0" w:space="0" w:color="auto"/>
      </w:divBdr>
    </w:div>
    <w:div w:id="441994623">
      <w:marLeft w:val="0"/>
      <w:marRight w:val="0"/>
      <w:marTop w:val="180"/>
      <w:marBottom w:val="0"/>
      <w:divBdr>
        <w:top w:val="none" w:sz="0" w:space="0" w:color="auto"/>
        <w:left w:val="none" w:sz="0" w:space="0" w:color="auto"/>
        <w:bottom w:val="none" w:sz="0" w:space="0" w:color="auto"/>
        <w:right w:val="none" w:sz="0" w:space="0" w:color="auto"/>
      </w:divBdr>
    </w:div>
    <w:div w:id="457534896">
      <w:marLeft w:val="0"/>
      <w:marRight w:val="0"/>
      <w:marTop w:val="0"/>
      <w:marBottom w:val="0"/>
      <w:divBdr>
        <w:top w:val="none" w:sz="0" w:space="0" w:color="auto"/>
        <w:left w:val="none" w:sz="0" w:space="0" w:color="auto"/>
        <w:bottom w:val="none" w:sz="0" w:space="0" w:color="auto"/>
        <w:right w:val="none" w:sz="0" w:space="0" w:color="auto"/>
      </w:divBdr>
      <w:divsChild>
        <w:div w:id="1991397569">
          <w:marLeft w:val="0"/>
          <w:marRight w:val="0"/>
          <w:marTop w:val="0"/>
          <w:marBottom w:val="0"/>
          <w:divBdr>
            <w:top w:val="none" w:sz="0" w:space="0" w:color="auto"/>
            <w:left w:val="none" w:sz="0" w:space="0" w:color="auto"/>
            <w:bottom w:val="none" w:sz="0" w:space="0" w:color="auto"/>
            <w:right w:val="none" w:sz="0" w:space="0" w:color="auto"/>
          </w:divBdr>
          <w:divsChild>
            <w:div w:id="16311330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57990278">
      <w:marLeft w:val="0"/>
      <w:marRight w:val="0"/>
      <w:marTop w:val="180"/>
      <w:marBottom w:val="0"/>
      <w:divBdr>
        <w:top w:val="none" w:sz="0" w:space="0" w:color="auto"/>
        <w:left w:val="none" w:sz="0" w:space="0" w:color="auto"/>
        <w:bottom w:val="none" w:sz="0" w:space="0" w:color="auto"/>
        <w:right w:val="none" w:sz="0" w:space="0" w:color="auto"/>
      </w:divBdr>
    </w:div>
    <w:div w:id="460151560">
      <w:marLeft w:val="0"/>
      <w:marRight w:val="0"/>
      <w:marTop w:val="180"/>
      <w:marBottom w:val="0"/>
      <w:divBdr>
        <w:top w:val="none" w:sz="0" w:space="0" w:color="auto"/>
        <w:left w:val="none" w:sz="0" w:space="0" w:color="auto"/>
        <w:bottom w:val="none" w:sz="0" w:space="0" w:color="auto"/>
        <w:right w:val="none" w:sz="0" w:space="0" w:color="auto"/>
      </w:divBdr>
    </w:div>
    <w:div w:id="465662299">
      <w:marLeft w:val="0"/>
      <w:marRight w:val="0"/>
      <w:marTop w:val="0"/>
      <w:marBottom w:val="200"/>
      <w:divBdr>
        <w:top w:val="none" w:sz="0" w:space="0" w:color="auto"/>
        <w:left w:val="none" w:sz="0" w:space="0" w:color="auto"/>
        <w:bottom w:val="none" w:sz="0" w:space="0" w:color="auto"/>
        <w:right w:val="none" w:sz="0" w:space="0" w:color="auto"/>
      </w:divBdr>
    </w:div>
    <w:div w:id="468090073">
      <w:marLeft w:val="0"/>
      <w:marRight w:val="0"/>
      <w:marTop w:val="180"/>
      <w:marBottom w:val="0"/>
      <w:divBdr>
        <w:top w:val="none" w:sz="0" w:space="0" w:color="auto"/>
        <w:left w:val="none" w:sz="0" w:space="0" w:color="auto"/>
        <w:bottom w:val="none" w:sz="0" w:space="0" w:color="auto"/>
        <w:right w:val="none" w:sz="0" w:space="0" w:color="auto"/>
      </w:divBdr>
    </w:div>
    <w:div w:id="468984693">
      <w:marLeft w:val="0"/>
      <w:marRight w:val="0"/>
      <w:marTop w:val="180"/>
      <w:marBottom w:val="0"/>
      <w:divBdr>
        <w:top w:val="none" w:sz="0" w:space="0" w:color="auto"/>
        <w:left w:val="none" w:sz="0" w:space="0" w:color="auto"/>
        <w:bottom w:val="none" w:sz="0" w:space="0" w:color="auto"/>
        <w:right w:val="none" w:sz="0" w:space="0" w:color="auto"/>
      </w:divBdr>
    </w:div>
    <w:div w:id="470249221">
      <w:marLeft w:val="0"/>
      <w:marRight w:val="0"/>
      <w:marTop w:val="240"/>
      <w:marBottom w:val="0"/>
      <w:divBdr>
        <w:top w:val="none" w:sz="0" w:space="0" w:color="auto"/>
        <w:left w:val="none" w:sz="0" w:space="0" w:color="auto"/>
        <w:bottom w:val="none" w:sz="0" w:space="0" w:color="auto"/>
        <w:right w:val="none" w:sz="0" w:space="0" w:color="auto"/>
      </w:divBdr>
    </w:div>
    <w:div w:id="471410362">
      <w:marLeft w:val="0"/>
      <w:marRight w:val="0"/>
      <w:marTop w:val="180"/>
      <w:marBottom w:val="180"/>
      <w:divBdr>
        <w:top w:val="none" w:sz="0" w:space="0" w:color="auto"/>
        <w:left w:val="none" w:sz="0" w:space="0" w:color="auto"/>
        <w:bottom w:val="none" w:sz="0" w:space="0" w:color="auto"/>
        <w:right w:val="none" w:sz="0" w:space="0" w:color="auto"/>
      </w:divBdr>
    </w:div>
    <w:div w:id="471871547">
      <w:marLeft w:val="0"/>
      <w:marRight w:val="0"/>
      <w:marTop w:val="180"/>
      <w:marBottom w:val="0"/>
      <w:divBdr>
        <w:top w:val="none" w:sz="0" w:space="0" w:color="auto"/>
        <w:left w:val="none" w:sz="0" w:space="0" w:color="auto"/>
        <w:bottom w:val="none" w:sz="0" w:space="0" w:color="auto"/>
        <w:right w:val="none" w:sz="0" w:space="0" w:color="auto"/>
      </w:divBdr>
    </w:div>
    <w:div w:id="472478975">
      <w:marLeft w:val="0"/>
      <w:marRight w:val="0"/>
      <w:marTop w:val="180"/>
      <w:marBottom w:val="0"/>
      <w:divBdr>
        <w:top w:val="none" w:sz="0" w:space="0" w:color="auto"/>
        <w:left w:val="none" w:sz="0" w:space="0" w:color="auto"/>
        <w:bottom w:val="none" w:sz="0" w:space="0" w:color="auto"/>
        <w:right w:val="none" w:sz="0" w:space="0" w:color="auto"/>
      </w:divBdr>
    </w:div>
    <w:div w:id="474218978">
      <w:marLeft w:val="0"/>
      <w:marRight w:val="0"/>
      <w:marTop w:val="0"/>
      <w:marBottom w:val="0"/>
      <w:divBdr>
        <w:top w:val="none" w:sz="0" w:space="0" w:color="auto"/>
        <w:left w:val="none" w:sz="0" w:space="0" w:color="auto"/>
        <w:bottom w:val="none" w:sz="0" w:space="0" w:color="auto"/>
        <w:right w:val="none" w:sz="0" w:space="0" w:color="auto"/>
      </w:divBdr>
      <w:divsChild>
        <w:div w:id="524684086">
          <w:marLeft w:val="0"/>
          <w:marRight w:val="0"/>
          <w:marTop w:val="0"/>
          <w:marBottom w:val="0"/>
          <w:divBdr>
            <w:top w:val="none" w:sz="0" w:space="0" w:color="auto"/>
            <w:left w:val="none" w:sz="0" w:space="0" w:color="auto"/>
            <w:bottom w:val="none" w:sz="0" w:space="0" w:color="auto"/>
            <w:right w:val="none" w:sz="0" w:space="0" w:color="auto"/>
          </w:divBdr>
          <w:divsChild>
            <w:div w:id="18630088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74297119">
      <w:marLeft w:val="0"/>
      <w:marRight w:val="0"/>
      <w:marTop w:val="0"/>
      <w:marBottom w:val="0"/>
      <w:divBdr>
        <w:top w:val="none" w:sz="0" w:space="0" w:color="auto"/>
        <w:left w:val="none" w:sz="0" w:space="0" w:color="auto"/>
        <w:bottom w:val="none" w:sz="0" w:space="0" w:color="auto"/>
        <w:right w:val="none" w:sz="0" w:space="0" w:color="auto"/>
      </w:divBdr>
      <w:divsChild>
        <w:div w:id="1504927528">
          <w:marLeft w:val="0"/>
          <w:marRight w:val="0"/>
          <w:marTop w:val="180"/>
          <w:marBottom w:val="0"/>
          <w:divBdr>
            <w:top w:val="none" w:sz="0" w:space="0" w:color="auto"/>
            <w:left w:val="none" w:sz="0" w:space="0" w:color="auto"/>
            <w:bottom w:val="none" w:sz="0" w:space="0" w:color="auto"/>
            <w:right w:val="none" w:sz="0" w:space="0" w:color="auto"/>
          </w:divBdr>
        </w:div>
      </w:divsChild>
    </w:div>
    <w:div w:id="476071203">
      <w:marLeft w:val="0"/>
      <w:marRight w:val="0"/>
      <w:marTop w:val="180"/>
      <w:marBottom w:val="120"/>
      <w:divBdr>
        <w:top w:val="none" w:sz="0" w:space="0" w:color="auto"/>
        <w:left w:val="none" w:sz="0" w:space="0" w:color="auto"/>
        <w:bottom w:val="none" w:sz="0" w:space="0" w:color="auto"/>
        <w:right w:val="none" w:sz="0" w:space="0" w:color="auto"/>
      </w:divBdr>
      <w:divsChild>
        <w:div w:id="2113163373">
          <w:marLeft w:val="0"/>
          <w:marRight w:val="0"/>
          <w:marTop w:val="0"/>
          <w:marBottom w:val="0"/>
          <w:divBdr>
            <w:top w:val="none" w:sz="0" w:space="0" w:color="auto"/>
            <w:left w:val="none" w:sz="0" w:space="0" w:color="auto"/>
            <w:bottom w:val="none" w:sz="0" w:space="0" w:color="auto"/>
            <w:right w:val="none" w:sz="0" w:space="0" w:color="auto"/>
          </w:divBdr>
        </w:div>
        <w:div w:id="60062243">
          <w:marLeft w:val="0"/>
          <w:marRight w:val="0"/>
          <w:marTop w:val="0"/>
          <w:marBottom w:val="0"/>
          <w:divBdr>
            <w:top w:val="none" w:sz="0" w:space="0" w:color="auto"/>
            <w:left w:val="none" w:sz="0" w:space="0" w:color="auto"/>
            <w:bottom w:val="none" w:sz="0" w:space="0" w:color="auto"/>
            <w:right w:val="none" w:sz="0" w:space="0" w:color="auto"/>
          </w:divBdr>
        </w:div>
        <w:div w:id="1334140377">
          <w:marLeft w:val="0"/>
          <w:marRight w:val="0"/>
          <w:marTop w:val="0"/>
          <w:marBottom w:val="0"/>
          <w:divBdr>
            <w:top w:val="none" w:sz="0" w:space="0" w:color="auto"/>
            <w:left w:val="none" w:sz="0" w:space="0" w:color="auto"/>
            <w:bottom w:val="none" w:sz="0" w:space="0" w:color="auto"/>
            <w:right w:val="none" w:sz="0" w:space="0" w:color="auto"/>
          </w:divBdr>
        </w:div>
        <w:div w:id="1644852363">
          <w:marLeft w:val="0"/>
          <w:marRight w:val="0"/>
          <w:marTop w:val="0"/>
          <w:marBottom w:val="0"/>
          <w:divBdr>
            <w:top w:val="none" w:sz="0" w:space="0" w:color="auto"/>
            <w:left w:val="none" w:sz="0" w:space="0" w:color="auto"/>
            <w:bottom w:val="none" w:sz="0" w:space="0" w:color="auto"/>
            <w:right w:val="none" w:sz="0" w:space="0" w:color="auto"/>
          </w:divBdr>
        </w:div>
        <w:div w:id="687371899">
          <w:marLeft w:val="0"/>
          <w:marRight w:val="0"/>
          <w:marTop w:val="0"/>
          <w:marBottom w:val="0"/>
          <w:divBdr>
            <w:top w:val="none" w:sz="0" w:space="0" w:color="auto"/>
            <w:left w:val="none" w:sz="0" w:space="0" w:color="auto"/>
            <w:bottom w:val="none" w:sz="0" w:space="0" w:color="auto"/>
            <w:right w:val="none" w:sz="0" w:space="0" w:color="auto"/>
          </w:divBdr>
        </w:div>
        <w:div w:id="1753432534">
          <w:marLeft w:val="0"/>
          <w:marRight w:val="0"/>
          <w:marTop w:val="0"/>
          <w:marBottom w:val="0"/>
          <w:divBdr>
            <w:top w:val="none" w:sz="0" w:space="0" w:color="auto"/>
            <w:left w:val="none" w:sz="0" w:space="0" w:color="auto"/>
            <w:bottom w:val="none" w:sz="0" w:space="0" w:color="auto"/>
            <w:right w:val="none" w:sz="0" w:space="0" w:color="auto"/>
          </w:divBdr>
        </w:div>
        <w:div w:id="1567569850">
          <w:marLeft w:val="0"/>
          <w:marRight w:val="0"/>
          <w:marTop w:val="0"/>
          <w:marBottom w:val="0"/>
          <w:divBdr>
            <w:top w:val="none" w:sz="0" w:space="0" w:color="auto"/>
            <w:left w:val="none" w:sz="0" w:space="0" w:color="auto"/>
            <w:bottom w:val="none" w:sz="0" w:space="0" w:color="auto"/>
            <w:right w:val="none" w:sz="0" w:space="0" w:color="auto"/>
          </w:divBdr>
        </w:div>
        <w:div w:id="1788623969">
          <w:marLeft w:val="0"/>
          <w:marRight w:val="0"/>
          <w:marTop w:val="0"/>
          <w:marBottom w:val="0"/>
          <w:divBdr>
            <w:top w:val="none" w:sz="0" w:space="0" w:color="auto"/>
            <w:left w:val="none" w:sz="0" w:space="0" w:color="auto"/>
            <w:bottom w:val="none" w:sz="0" w:space="0" w:color="auto"/>
            <w:right w:val="none" w:sz="0" w:space="0" w:color="auto"/>
          </w:divBdr>
        </w:div>
        <w:div w:id="1722752828">
          <w:marLeft w:val="0"/>
          <w:marRight w:val="0"/>
          <w:marTop w:val="0"/>
          <w:marBottom w:val="0"/>
          <w:divBdr>
            <w:top w:val="none" w:sz="0" w:space="0" w:color="auto"/>
            <w:left w:val="none" w:sz="0" w:space="0" w:color="auto"/>
            <w:bottom w:val="none" w:sz="0" w:space="0" w:color="auto"/>
            <w:right w:val="none" w:sz="0" w:space="0" w:color="auto"/>
          </w:divBdr>
        </w:div>
      </w:divsChild>
    </w:div>
    <w:div w:id="476991782">
      <w:marLeft w:val="0"/>
      <w:marRight w:val="0"/>
      <w:marTop w:val="180"/>
      <w:marBottom w:val="0"/>
      <w:divBdr>
        <w:top w:val="none" w:sz="0" w:space="0" w:color="auto"/>
        <w:left w:val="none" w:sz="0" w:space="0" w:color="auto"/>
        <w:bottom w:val="none" w:sz="0" w:space="0" w:color="auto"/>
        <w:right w:val="none" w:sz="0" w:space="0" w:color="auto"/>
      </w:divBdr>
    </w:div>
    <w:div w:id="484471053">
      <w:marLeft w:val="0"/>
      <w:marRight w:val="0"/>
      <w:marTop w:val="180"/>
      <w:marBottom w:val="120"/>
      <w:divBdr>
        <w:top w:val="none" w:sz="0" w:space="0" w:color="auto"/>
        <w:left w:val="none" w:sz="0" w:space="0" w:color="auto"/>
        <w:bottom w:val="none" w:sz="0" w:space="0" w:color="auto"/>
        <w:right w:val="none" w:sz="0" w:space="0" w:color="auto"/>
      </w:divBdr>
    </w:div>
    <w:div w:id="488249242">
      <w:marLeft w:val="0"/>
      <w:marRight w:val="0"/>
      <w:marTop w:val="180"/>
      <w:marBottom w:val="0"/>
      <w:divBdr>
        <w:top w:val="none" w:sz="0" w:space="0" w:color="auto"/>
        <w:left w:val="none" w:sz="0" w:space="0" w:color="auto"/>
        <w:bottom w:val="none" w:sz="0" w:space="0" w:color="auto"/>
        <w:right w:val="none" w:sz="0" w:space="0" w:color="auto"/>
      </w:divBdr>
    </w:div>
    <w:div w:id="489440466">
      <w:marLeft w:val="0"/>
      <w:marRight w:val="0"/>
      <w:marTop w:val="180"/>
      <w:marBottom w:val="0"/>
      <w:divBdr>
        <w:top w:val="none" w:sz="0" w:space="0" w:color="auto"/>
        <w:left w:val="none" w:sz="0" w:space="0" w:color="auto"/>
        <w:bottom w:val="none" w:sz="0" w:space="0" w:color="auto"/>
        <w:right w:val="none" w:sz="0" w:space="0" w:color="auto"/>
      </w:divBdr>
    </w:div>
    <w:div w:id="490025531">
      <w:marLeft w:val="0"/>
      <w:marRight w:val="0"/>
      <w:marTop w:val="180"/>
      <w:marBottom w:val="0"/>
      <w:divBdr>
        <w:top w:val="none" w:sz="0" w:space="0" w:color="auto"/>
        <w:left w:val="none" w:sz="0" w:space="0" w:color="auto"/>
        <w:bottom w:val="none" w:sz="0" w:space="0" w:color="auto"/>
        <w:right w:val="none" w:sz="0" w:space="0" w:color="auto"/>
      </w:divBdr>
    </w:div>
    <w:div w:id="492840184">
      <w:marLeft w:val="0"/>
      <w:marRight w:val="0"/>
      <w:marTop w:val="180"/>
      <w:marBottom w:val="0"/>
      <w:divBdr>
        <w:top w:val="none" w:sz="0" w:space="0" w:color="auto"/>
        <w:left w:val="none" w:sz="0" w:space="0" w:color="auto"/>
        <w:bottom w:val="none" w:sz="0" w:space="0" w:color="auto"/>
        <w:right w:val="none" w:sz="0" w:space="0" w:color="auto"/>
      </w:divBdr>
    </w:div>
    <w:div w:id="493452579">
      <w:marLeft w:val="0"/>
      <w:marRight w:val="0"/>
      <w:marTop w:val="0"/>
      <w:marBottom w:val="0"/>
      <w:divBdr>
        <w:top w:val="none" w:sz="0" w:space="0" w:color="auto"/>
        <w:left w:val="none" w:sz="0" w:space="0" w:color="auto"/>
        <w:bottom w:val="none" w:sz="0" w:space="0" w:color="auto"/>
        <w:right w:val="none" w:sz="0" w:space="0" w:color="auto"/>
      </w:divBdr>
      <w:divsChild>
        <w:div w:id="581181746">
          <w:marLeft w:val="0"/>
          <w:marRight w:val="0"/>
          <w:marTop w:val="180"/>
          <w:marBottom w:val="0"/>
          <w:divBdr>
            <w:top w:val="none" w:sz="0" w:space="0" w:color="auto"/>
            <w:left w:val="none" w:sz="0" w:space="0" w:color="auto"/>
            <w:bottom w:val="none" w:sz="0" w:space="0" w:color="auto"/>
            <w:right w:val="none" w:sz="0" w:space="0" w:color="auto"/>
          </w:divBdr>
        </w:div>
      </w:divsChild>
    </w:div>
    <w:div w:id="493765312">
      <w:marLeft w:val="0"/>
      <w:marRight w:val="0"/>
      <w:marTop w:val="240"/>
      <w:marBottom w:val="0"/>
      <w:divBdr>
        <w:top w:val="none" w:sz="0" w:space="0" w:color="auto"/>
        <w:left w:val="none" w:sz="0" w:space="0" w:color="auto"/>
        <w:bottom w:val="none" w:sz="0" w:space="0" w:color="auto"/>
        <w:right w:val="none" w:sz="0" w:space="0" w:color="auto"/>
      </w:divBdr>
    </w:div>
    <w:div w:id="496773848">
      <w:marLeft w:val="0"/>
      <w:marRight w:val="0"/>
      <w:marTop w:val="180"/>
      <w:marBottom w:val="0"/>
      <w:divBdr>
        <w:top w:val="none" w:sz="0" w:space="0" w:color="auto"/>
        <w:left w:val="none" w:sz="0" w:space="0" w:color="auto"/>
        <w:bottom w:val="none" w:sz="0" w:space="0" w:color="auto"/>
        <w:right w:val="none" w:sz="0" w:space="0" w:color="auto"/>
      </w:divBdr>
    </w:div>
    <w:div w:id="498930390">
      <w:marLeft w:val="0"/>
      <w:marRight w:val="0"/>
      <w:marTop w:val="180"/>
      <w:marBottom w:val="0"/>
      <w:divBdr>
        <w:top w:val="none" w:sz="0" w:space="0" w:color="auto"/>
        <w:left w:val="none" w:sz="0" w:space="0" w:color="auto"/>
        <w:bottom w:val="none" w:sz="0" w:space="0" w:color="auto"/>
        <w:right w:val="none" w:sz="0" w:space="0" w:color="auto"/>
      </w:divBdr>
    </w:div>
    <w:div w:id="502550870">
      <w:marLeft w:val="0"/>
      <w:marRight w:val="0"/>
      <w:marTop w:val="240"/>
      <w:marBottom w:val="0"/>
      <w:divBdr>
        <w:top w:val="none" w:sz="0" w:space="0" w:color="auto"/>
        <w:left w:val="none" w:sz="0" w:space="0" w:color="auto"/>
        <w:bottom w:val="none" w:sz="0" w:space="0" w:color="auto"/>
        <w:right w:val="none" w:sz="0" w:space="0" w:color="auto"/>
      </w:divBdr>
    </w:div>
    <w:div w:id="503403785">
      <w:marLeft w:val="0"/>
      <w:marRight w:val="0"/>
      <w:marTop w:val="0"/>
      <w:marBottom w:val="0"/>
      <w:divBdr>
        <w:top w:val="none" w:sz="0" w:space="0" w:color="auto"/>
        <w:left w:val="none" w:sz="0" w:space="0" w:color="auto"/>
        <w:bottom w:val="none" w:sz="0" w:space="0" w:color="auto"/>
        <w:right w:val="none" w:sz="0" w:space="0" w:color="auto"/>
      </w:divBdr>
      <w:divsChild>
        <w:div w:id="1993833144">
          <w:marLeft w:val="0"/>
          <w:marRight w:val="0"/>
          <w:marTop w:val="0"/>
          <w:marBottom w:val="0"/>
          <w:divBdr>
            <w:top w:val="none" w:sz="0" w:space="0" w:color="auto"/>
            <w:left w:val="none" w:sz="0" w:space="0" w:color="auto"/>
            <w:bottom w:val="none" w:sz="0" w:space="0" w:color="auto"/>
            <w:right w:val="none" w:sz="0" w:space="0" w:color="auto"/>
          </w:divBdr>
          <w:divsChild>
            <w:div w:id="3820987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03937461">
      <w:marLeft w:val="0"/>
      <w:marRight w:val="0"/>
      <w:marTop w:val="180"/>
      <w:marBottom w:val="0"/>
      <w:divBdr>
        <w:top w:val="none" w:sz="0" w:space="0" w:color="auto"/>
        <w:left w:val="none" w:sz="0" w:space="0" w:color="auto"/>
        <w:bottom w:val="none" w:sz="0" w:space="0" w:color="auto"/>
        <w:right w:val="none" w:sz="0" w:space="0" w:color="auto"/>
      </w:divBdr>
    </w:div>
    <w:div w:id="505248195">
      <w:marLeft w:val="0"/>
      <w:marRight w:val="0"/>
      <w:marTop w:val="180"/>
      <w:marBottom w:val="0"/>
      <w:divBdr>
        <w:top w:val="none" w:sz="0" w:space="0" w:color="auto"/>
        <w:left w:val="none" w:sz="0" w:space="0" w:color="auto"/>
        <w:bottom w:val="none" w:sz="0" w:space="0" w:color="auto"/>
        <w:right w:val="none" w:sz="0" w:space="0" w:color="auto"/>
      </w:divBdr>
    </w:div>
    <w:div w:id="505362602">
      <w:marLeft w:val="0"/>
      <w:marRight w:val="0"/>
      <w:marTop w:val="180"/>
      <w:marBottom w:val="240"/>
      <w:divBdr>
        <w:top w:val="none" w:sz="0" w:space="0" w:color="auto"/>
        <w:left w:val="none" w:sz="0" w:space="0" w:color="auto"/>
        <w:bottom w:val="none" w:sz="0" w:space="0" w:color="auto"/>
        <w:right w:val="none" w:sz="0" w:space="0" w:color="auto"/>
      </w:divBdr>
    </w:div>
    <w:div w:id="508759938">
      <w:marLeft w:val="0"/>
      <w:marRight w:val="0"/>
      <w:marTop w:val="0"/>
      <w:marBottom w:val="0"/>
      <w:divBdr>
        <w:top w:val="none" w:sz="0" w:space="0" w:color="auto"/>
        <w:left w:val="none" w:sz="0" w:space="0" w:color="auto"/>
        <w:bottom w:val="none" w:sz="0" w:space="0" w:color="auto"/>
        <w:right w:val="none" w:sz="0" w:space="0" w:color="auto"/>
      </w:divBdr>
      <w:divsChild>
        <w:div w:id="831533444">
          <w:marLeft w:val="0"/>
          <w:marRight w:val="0"/>
          <w:marTop w:val="180"/>
          <w:marBottom w:val="0"/>
          <w:divBdr>
            <w:top w:val="none" w:sz="0" w:space="0" w:color="auto"/>
            <w:left w:val="none" w:sz="0" w:space="0" w:color="auto"/>
            <w:bottom w:val="none" w:sz="0" w:space="0" w:color="auto"/>
            <w:right w:val="none" w:sz="0" w:space="0" w:color="auto"/>
          </w:divBdr>
        </w:div>
      </w:divsChild>
    </w:div>
    <w:div w:id="510409861">
      <w:marLeft w:val="0"/>
      <w:marRight w:val="0"/>
      <w:marTop w:val="0"/>
      <w:marBottom w:val="0"/>
      <w:divBdr>
        <w:top w:val="none" w:sz="0" w:space="0" w:color="auto"/>
        <w:left w:val="none" w:sz="0" w:space="0" w:color="auto"/>
        <w:bottom w:val="none" w:sz="0" w:space="0" w:color="auto"/>
        <w:right w:val="none" w:sz="0" w:space="0" w:color="auto"/>
      </w:divBdr>
      <w:divsChild>
        <w:div w:id="456528084">
          <w:marLeft w:val="0"/>
          <w:marRight w:val="0"/>
          <w:marTop w:val="180"/>
          <w:marBottom w:val="0"/>
          <w:divBdr>
            <w:top w:val="none" w:sz="0" w:space="0" w:color="auto"/>
            <w:left w:val="none" w:sz="0" w:space="0" w:color="auto"/>
            <w:bottom w:val="none" w:sz="0" w:space="0" w:color="auto"/>
            <w:right w:val="none" w:sz="0" w:space="0" w:color="auto"/>
          </w:divBdr>
        </w:div>
      </w:divsChild>
    </w:div>
    <w:div w:id="513804654">
      <w:marLeft w:val="0"/>
      <w:marRight w:val="0"/>
      <w:marTop w:val="180"/>
      <w:marBottom w:val="0"/>
      <w:divBdr>
        <w:top w:val="none" w:sz="0" w:space="0" w:color="auto"/>
        <w:left w:val="none" w:sz="0" w:space="0" w:color="auto"/>
        <w:bottom w:val="none" w:sz="0" w:space="0" w:color="auto"/>
        <w:right w:val="none" w:sz="0" w:space="0" w:color="auto"/>
      </w:divBdr>
    </w:div>
    <w:div w:id="513804864">
      <w:marLeft w:val="0"/>
      <w:marRight w:val="0"/>
      <w:marTop w:val="180"/>
      <w:marBottom w:val="0"/>
      <w:divBdr>
        <w:top w:val="none" w:sz="0" w:space="0" w:color="auto"/>
        <w:left w:val="none" w:sz="0" w:space="0" w:color="auto"/>
        <w:bottom w:val="none" w:sz="0" w:space="0" w:color="auto"/>
        <w:right w:val="none" w:sz="0" w:space="0" w:color="auto"/>
      </w:divBdr>
    </w:div>
    <w:div w:id="522281270">
      <w:marLeft w:val="0"/>
      <w:marRight w:val="0"/>
      <w:marTop w:val="180"/>
      <w:marBottom w:val="0"/>
      <w:divBdr>
        <w:top w:val="none" w:sz="0" w:space="0" w:color="auto"/>
        <w:left w:val="none" w:sz="0" w:space="0" w:color="auto"/>
        <w:bottom w:val="none" w:sz="0" w:space="0" w:color="auto"/>
        <w:right w:val="none" w:sz="0" w:space="0" w:color="auto"/>
      </w:divBdr>
    </w:div>
    <w:div w:id="522980986">
      <w:marLeft w:val="0"/>
      <w:marRight w:val="0"/>
      <w:marTop w:val="240"/>
      <w:marBottom w:val="0"/>
      <w:divBdr>
        <w:top w:val="none" w:sz="0" w:space="0" w:color="auto"/>
        <w:left w:val="none" w:sz="0" w:space="0" w:color="auto"/>
        <w:bottom w:val="none" w:sz="0" w:space="0" w:color="auto"/>
        <w:right w:val="none" w:sz="0" w:space="0" w:color="auto"/>
      </w:divBdr>
    </w:div>
    <w:div w:id="523710125">
      <w:marLeft w:val="0"/>
      <w:marRight w:val="0"/>
      <w:marTop w:val="0"/>
      <w:marBottom w:val="0"/>
      <w:divBdr>
        <w:top w:val="none" w:sz="0" w:space="0" w:color="auto"/>
        <w:left w:val="none" w:sz="0" w:space="0" w:color="auto"/>
        <w:bottom w:val="none" w:sz="0" w:space="0" w:color="auto"/>
        <w:right w:val="none" w:sz="0" w:space="0" w:color="auto"/>
      </w:divBdr>
    </w:div>
    <w:div w:id="527986925">
      <w:marLeft w:val="0"/>
      <w:marRight w:val="0"/>
      <w:marTop w:val="0"/>
      <w:marBottom w:val="0"/>
      <w:divBdr>
        <w:top w:val="none" w:sz="0" w:space="0" w:color="auto"/>
        <w:left w:val="none" w:sz="0" w:space="0" w:color="auto"/>
        <w:bottom w:val="none" w:sz="0" w:space="0" w:color="auto"/>
        <w:right w:val="none" w:sz="0" w:space="0" w:color="auto"/>
      </w:divBdr>
      <w:divsChild>
        <w:div w:id="868878140">
          <w:marLeft w:val="0"/>
          <w:marRight w:val="0"/>
          <w:marTop w:val="180"/>
          <w:marBottom w:val="0"/>
          <w:divBdr>
            <w:top w:val="none" w:sz="0" w:space="0" w:color="auto"/>
            <w:left w:val="none" w:sz="0" w:space="0" w:color="auto"/>
            <w:bottom w:val="none" w:sz="0" w:space="0" w:color="auto"/>
            <w:right w:val="none" w:sz="0" w:space="0" w:color="auto"/>
          </w:divBdr>
        </w:div>
      </w:divsChild>
    </w:div>
    <w:div w:id="528876272">
      <w:marLeft w:val="0"/>
      <w:marRight w:val="0"/>
      <w:marTop w:val="180"/>
      <w:marBottom w:val="0"/>
      <w:divBdr>
        <w:top w:val="none" w:sz="0" w:space="0" w:color="auto"/>
        <w:left w:val="none" w:sz="0" w:space="0" w:color="auto"/>
        <w:bottom w:val="none" w:sz="0" w:space="0" w:color="auto"/>
        <w:right w:val="none" w:sz="0" w:space="0" w:color="auto"/>
      </w:divBdr>
    </w:div>
    <w:div w:id="529758555">
      <w:marLeft w:val="0"/>
      <w:marRight w:val="0"/>
      <w:marTop w:val="180"/>
      <w:marBottom w:val="180"/>
      <w:divBdr>
        <w:top w:val="none" w:sz="0" w:space="0" w:color="auto"/>
        <w:left w:val="none" w:sz="0" w:space="0" w:color="auto"/>
        <w:bottom w:val="none" w:sz="0" w:space="0" w:color="auto"/>
        <w:right w:val="none" w:sz="0" w:space="0" w:color="auto"/>
      </w:divBdr>
    </w:div>
    <w:div w:id="533154718">
      <w:marLeft w:val="0"/>
      <w:marRight w:val="0"/>
      <w:marTop w:val="180"/>
      <w:marBottom w:val="0"/>
      <w:divBdr>
        <w:top w:val="none" w:sz="0" w:space="0" w:color="auto"/>
        <w:left w:val="none" w:sz="0" w:space="0" w:color="auto"/>
        <w:bottom w:val="none" w:sz="0" w:space="0" w:color="auto"/>
        <w:right w:val="none" w:sz="0" w:space="0" w:color="auto"/>
      </w:divBdr>
    </w:div>
    <w:div w:id="533540248">
      <w:marLeft w:val="0"/>
      <w:marRight w:val="0"/>
      <w:marTop w:val="180"/>
      <w:marBottom w:val="120"/>
      <w:divBdr>
        <w:top w:val="none" w:sz="0" w:space="0" w:color="auto"/>
        <w:left w:val="none" w:sz="0" w:space="0" w:color="auto"/>
        <w:bottom w:val="none" w:sz="0" w:space="0" w:color="auto"/>
        <w:right w:val="none" w:sz="0" w:space="0" w:color="auto"/>
      </w:divBdr>
    </w:div>
    <w:div w:id="537548194">
      <w:marLeft w:val="0"/>
      <w:marRight w:val="0"/>
      <w:marTop w:val="240"/>
      <w:marBottom w:val="0"/>
      <w:divBdr>
        <w:top w:val="none" w:sz="0" w:space="0" w:color="auto"/>
        <w:left w:val="none" w:sz="0" w:space="0" w:color="auto"/>
        <w:bottom w:val="none" w:sz="0" w:space="0" w:color="auto"/>
        <w:right w:val="none" w:sz="0" w:space="0" w:color="auto"/>
      </w:divBdr>
    </w:div>
    <w:div w:id="539629942">
      <w:marLeft w:val="0"/>
      <w:marRight w:val="0"/>
      <w:marTop w:val="180"/>
      <w:marBottom w:val="0"/>
      <w:divBdr>
        <w:top w:val="none" w:sz="0" w:space="0" w:color="auto"/>
        <w:left w:val="none" w:sz="0" w:space="0" w:color="auto"/>
        <w:bottom w:val="none" w:sz="0" w:space="0" w:color="auto"/>
        <w:right w:val="none" w:sz="0" w:space="0" w:color="auto"/>
      </w:divBdr>
    </w:div>
    <w:div w:id="539786250">
      <w:marLeft w:val="0"/>
      <w:marRight w:val="0"/>
      <w:marTop w:val="0"/>
      <w:marBottom w:val="0"/>
      <w:divBdr>
        <w:top w:val="none" w:sz="0" w:space="0" w:color="auto"/>
        <w:left w:val="none" w:sz="0" w:space="0" w:color="auto"/>
        <w:bottom w:val="none" w:sz="0" w:space="0" w:color="auto"/>
        <w:right w:val="none" w:sz="0" w:space="0" w:color="auto"/>
      </w:divBdr>
      <w:divsChild>
        <w:div w:id="3479628">
          <w:marLeft w:val="0"/>
          <w:marRight w:val="0"/>
          <w:marTop w:val="0"/>
          <w:marBottom w:val="0"/>
          <w:divBdr>
            <w:top w:val="none" w:sz="0" w:space="0" w:color="auto"/>
            <w:left w:val="none" w:sz="0" w:space="0" w:color="auto"/>
            <w:bottom w:val="none" w:sz="0" w:space="0" w:color="auto"/>
            <w:right w:val="none" w:sz="0" w:space="0" w:color="auto"/>
          </w:divBdr>
          <w:divsChild>
            <w:div w:id="4382550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1014020">
      <w:marLeft w:val="0"/>
      <w:marRight w:val="0"/>
      <w:marTop w:val="180"/>
      <w:marBottom w:val="0"/>
      <w:divBdr>
        <w:top w:val="none" w:sz="0" w:space="0" w:color="auto"/>
        <w:left w:val="none" w:sz="0" w:space="0" w:color="auto"/>
        <w:bottom w:val="none" w:sz="0" w:space="0" w:color="auto"/>
        <w:right w:val="none" w:sz="0" w:space="0" w:color="auto"/>
      </w:divBdr>
    </w:div>
    <w:div w:id="543566844">
      <w:marLeft w:val="0"/>
      <w:marRight w:val="0"/>
      <w:marTop w:val="180"/>
      <w:marBottom w:val="0"/>
      <w:divBdr>
        <w:top w:val="none" w:sz="0" w:space="0" w:color="auto"/>
        <w:left w:val="none" w:sz="0" w:space="0" w:color="auto"/>
        <w:bottom w:val="none" w:sz="0" w:space="0" w:color="auto"/>
        <w:right w:val="none" w:sz="0" w:space="0" w:color="auto"/>
      </w:divBdr>
    </w:div>
    <w:div w:id="545720498">
      <w:marLeft w:val="0"/>
      <w:marRight w:val="0"/>
      <w:marTop w:val="180"/>
      <w:marBottom w:val="0"/>
      <w:divBdr>
        <w:top w:val="none" w:sz="0" w:space="0" w:color="auto"/>
        <w:left w:val="none" w:sz="0" w:space="0" w:color="auto"/>
        <w:bottom w:val="none" w:sz="0" w:space="0" w:color="auto"/>
        <w:right w:val="none" w:sz="0" w:space="0" w:color="auto"/>
      </w:divBdr>
    </w:div>
    <w:div w:id="546063955">
      <w:marLeft w:val="0"/>
      <w:marRight w:val="0"/>
      <w:marTop w:val="180"/>
      <w:marBottom w:val="0"/>
      <w:divBdr>
        <w:top w:val="none" w:sz="0" w:space="0" w:color="auto"/>
        <w:left w:val="none" w:sz="0" w:space="0" w:color="auto"/>
        <w:bottom w:val="none" w:sz="0" w:space="0" w:color="auto"/>
        <w:right w:val="none" w:sz="0" w:space="0" w:color="auto"/>
      </w:divBdr>
    </w:div>
    <w:div w:id="546917477">
      <w:marLeft w:val="0"/>
      <w:marRight w:val="0"/>
      <w:marTop w:val="180"/>
      <w:marBottom w:val="0"/>
      <w:divBdr>
        <w:top w:val="none" w:sz="0" w:space="0" w:color="auto"/>
        <w:left w:val="none" w:sz="0" w:space="0" w:color="auto"/>
        <w:bottom w:val="none" w:sz="0" w:space="0" w:color="auto"/>
        <w:right w:val="none" w:sz="0" w:space="0" w:color="auto"/>
      </w:divBdr>
    </w:div>
    <w:div w:id="547881419">
      <w:marLeft w:val="0"/>
      <w:marRight w:val="0"/>
      <w:marTop w:val="180"/>
      <w:marBottom w:val="0"/>
      <w:divBdr>
        <w:top w:val="none" w:sz="0" w:space="0" w:color="auto"/>
        <w:left w:val="none" w:sz="0" w:space="0" w:color="auto"/>
        <w:bottom w:val="none" w:sz="0" w:space="0" w:color="auto"/>
        <w:right w:val="none" w:sz="0" w:space="0" w:color="auto"/>
      </w:divBdr>
    </w:div>
    <w:div w:id="548228030">
      <w:marLeft w:val="0"/>
      <w:marRight w:val="0"/>
      <w:marTop w:val="180"/>
      <w:marBottom w:val="0"/>
      <w:divBdr>
        <w:top w:val="none" w:sz="0" w:space="0" w:color="auto"/>
        <w:left w:val="none" w:sz="0" w:space="0" w:color="auto"/>
        <w:bottom w:val="none" w:sz="0" w:space="0" w:color="auto"/>
        <w:right w:val="none" w:sz="0" w:space="0" w:color="auto"/>
      </w:divBdr>
    </w:div>
    <w:div w:id="548230537">
      <w:marLeft w:val="0"/>
      <w:marRight w:val="0"/>
      <w:marTop w:val="180"/>
      <w:marBottom w:val="0"/>
      <w:divBdr>
        <w:top w:val="none" w:sz="0" w:space="0" w:color="auto"/>
        <w:left w:val="none" w:sz="0" w:space="0" w:color="auto"/>
        <w:bottom w:val="none" w:sz="0" w:space="0" w:color="auto"/>
        <w:right w:val="none" w:sz="0" w:space="0" w:color="auto"/>
      </w:divBdr>
    </w:div>
    <w:div w:id="551692077">
      <w:marLeft w:val="0"/>
      <w:marRight w:val="0"/>
      <w:marTop w:val="180"/>
      <w:marBottom w:val="0"/>
      <w:divBdr>
        <w:top w:val="none" w:sz="0" w:space="0" w:color="auto"/>
        <w:left w:val="none" w:sz="0" w:space="0" w:color="auto"/>
        <w:bottom w:val="none" w:sz="0" w:space="0" w:color="auto"/>
        <w:right w:val="none" w:sz="0" w:space="0" w:color="auto"/>
      </w:divBdr>
    </w:div>
    <w:div w:id="551696027">
      <w:marLeft w:val="0"/>
      <w:marRight w:val="0"/>
      <w:marTop w:val="180"/>
      <w:marBottom w:val="120"/>
      <w:divBdr>
        <w:top w:val="none" w:sz="0" w:space="0" w:color="auto"/>
        <w:left w:val="none" w:sz="0" w:space="0" w:color="auto"/>
        <w:bottom w:val="none" w:sz="0" w:space="0" w:color="auto"/>
        <w:right w:val="none" w:sz="0" w:space="0" w:color="auto"/>
      </w:divBdr>
      <w:divsChild>
        <w:div w:id="1603300626">
          <w:marLeft w:val="0"/>
          <w:marRight w:val="0"/>
          <w:marTop w:val="0"/>
          <w:marBottom w:val="0"/>
          <w:divBdr>
            <w:top w:val="none" w:sz="0" w:space="0" w:color="auto"/>
            <w:left w:val="none" w:sz="0" w:space="0" w:color="auto"/>
            <w:bottom w:val="none" w:sz="0" w:space="0" w:color="auto"/>
            <w:right w:val="none" w:sz="0" w:space="0" w:color="auto"/>
          </w:divBdr>
        </w:div>
        <w:div w:id="1718821777">
          <w:marLeft w:val="0"/>
          <w:marRight w:val="0"/>
          <w:marTop w:val="0"/>
          <w:marBottom w:val="0"/>
          <w:divBdr>
            <w:top w:val="none" w:sz="0" w:space="0" w:color="auto"/>
            <w:left w:val="none" w:sz="0" w:space="0" w:color="auto"/>
            <w:bottom w:val="none" w:sz="0" w:space="0" w:color="auto"/>
            <w:right w:val="none" w:sz="0" w:space="0" w:color="auto"/>
          </w:divBdr>
        </w:div>
        <w:div w:id="2072387333">
          <w:marLeft w:val="0"/>
          <w:marRight w:val="0"/>
          <w:marTop w:val="0"/>
          <w:marBottom w:val="0"/>
          <w:divBdr>
            <w:top w:val="none" w:sz="0" w:space="0" w:color="auto"/>
            <w:left w:val="none" w:sz="0" w:space="0" w:color="auto"/>
            <w:bottom w:val="none" w:sz="0" w:space="0" w:color="auto"/>
            <w:right w:val="none" w:sz="0" w:space="0" w:color="auto"/>
          </w:divBdr>
        </w:div>
      </w:divsChild>
    </w:div>
    <w:div w:id="554239939">
      <w:marLeft w:val="0"/>
      <w:marRight w:val="0"/>
      <w:marTop w:val="180"/>
      <w:marBottom w:val="0"/>
      <w:divBdr>
        <w:top w:val="none" w:sz="0" w:space="0" w:color="auto"/>
        <w:left w:val="none" w:sz="0" w:space="0" w:color="auto"/>
        <w:bottom w:val="none" w:sz="0" w:space="0" w:color="auto"/>
        <w:right w:val="none" w:sz="0" w:space="0" w:color="auto"/>
      </w:divBdr>
    </w:div>
    <w:div w:id="555359612">
      <w:marLeft w:val="0"/>
      <w:marRight w:val="0"/>
      <w:marTop w:val="180"/>
      <w:marBottom w:val="0"/>
      <w:divBdr>
        <w:top w:val="none" w:sz="0" w:space="0" w:color="auto"/>
        <w:left w:val="none" w:sz="0" w:space="0" w:color="auto"/>
        <w:bottom w:val="none" w:sz="0" w:space="0" w:color="auto"/>
        <w:right w:val="none" w:sz="0" w:space="0" w:color="auto"/>
      </w:divBdr>
    </w:div>
    <w:div w:id="556749655">
      <w:marLeft w:val="0"/>
      <w:marRight w:val="0"/>
      <w:marTop w:val="180"/>
      <w:marBottom w:val="0"/>
      <w:divBdr>
        <w:top w:val="none" w:sz="0" w:space="0" w:color="auto"/>
        <w:left w:val="none" w:sz="0" w:space="0" w:color="auto"/>
        <w:bottom w:val="none" w:sz="0" w:space="0" w:color="auto"/>
        <w:right w:val="none" w:sz="0" w:space="0" w:color="auto"/>
      </w:divBdr>
    </w:div>
    <w:div w:id="559827735">
      <w:marLeft w:val="0"/>
      <w:marRight w:val="0"/>
      <w:marTop w:val="180"/>
      <w:marBottom w:val="0"/>
      <w:divBdr>
        <w:top w:val="none" w:sz="0" w:space="0" w:color="auto"/>
        <w:left w:val="none" w:sz="0" w:space="0" w:color="auto"/>
        <w:bottom w:val="none" w:sz="0" w:space="0" w:color="auto"/>
        <w:right w:val="none" w:sz="0" w:space="0" w:color="auto"/>
      </w:divBdr>
    </w:div>
    <w:div w:id="563101904">
      <w:marLeft w:val="0"/>
      <w:marRight w:val="0"/>
      <w:marTop w:val="120"/>
      <w:marBottom w:val="0"/>
      <w:divBdr>
        <w:top w:val="none" w:sz="0" w:space="0" w:color="auto"/>
        <w:left w:val="none" w:sz="0" w:space="0" w:color="auto"/>
        <w:bottom w:val="none" w:sz="0" w:space="0" w:color="auto"/>
        <w:right w:val="none" w:sz="0" w:space="0" w:color="auto"/>
      </w:divBdr>
    </w:div>
    <w:div w:id="564678494">
      <w:marLeft w:val="0"/>
      <w:marRight w:val="0"/>
      <w:marTop w:val="180"/>
      <w:marBottom w:val="0"/>
      <w:divBdr>
        <w:top w:val="none" w:sz="0" w:space="0" w:color="auto"/>
        <w:left w:val="none" w:sz="0" w:space="0" w:color="auto"/>
        <w:bottom w:val="none" w:sz="0" w:space="0" w:color="auto"/>
        <w:right w:val="none" w:sz="0" w:space="0" w:color="auto"/>
      </w:divBdr>
    </w:div>
    <w:div w:id="566918196">
      <w:marLeft w:val="0"/>
      <w:marRight w:val="0"/>
      <w:marTop w:val="0"/>
      <w:marBottom w:val="200"/>
      <w:divBdr>
        <w:top w:val="none" w:sz="0" w:space="0" w:color="auto"/>
        <w:left w:val="none" w:sz="0" w:space="0" w:color="auto"/>
        <w:bottom w:val="none" w:sz="0" w:space="0" w:color="auto"/>
        <w:right w:val="none" w:sz="0" w:space="0" w:color="auto"/>
      </w:divBdr>
    </w:div>
    <w:div w:id="569315089">
      <w:marLeft w:val="0"/>
      <w:marRight w:val="0"/>
      <w:marTop w:val="180"/>
      <w:marBottom w:val="0"/>
      <w:divBdr>
        <w:top w:val="none" w:sz="0" w:space="0" w:color="auto"/>
        <w:left w:val="none" w:sz="0" w:space="0" w:color="auto"/>
        <w:bottom w:val="none" w:sz="0" w:space="0" w:color="auto"/>
        <w:right w:val="none" w:sz="0" w:space="0" w:color="auto"/>
      </w:divBdr>
    </w:div>
    <w:div w:id="571935217">
      <w:marLeft w:val="0"/>
      <w:marRight w:val="0"/>
      <w:marTop w:val="180"/>
      <w:marBottom w:val="0"/>
      <w:divBdr>
        <w:top w:val="none" w:sz="0" w:space="0" w:color="auto"/>
        <w:left w:val="none" w:sz="0" w:space="0" w:color="auto"/>
        <w:bottom w:val="none" w:sz="0" w:space="0" w:color="auto"/>
        <w:right w:val="none" w:sz="0" w:space="0" w:color="auto"/>
      </w:divBdr>
    </w:div>
    <w:div w:id="574704340">
      <w:marLeft w:val="0"/>
      <w:marRight w:val="0"/>
      <w:marTop w:val="180"/>
      <w:marBottom w:val="180"/>
      <w:divBdr>
        <w:top w:val="none" w:sz="0" w:space="0" w:color="auto"/>
        <w:left w:val="none" w:sz="0" w:space="0" w:color="auto"/>
        <w:bottom w:val="none" w:sz="0" w:space="0" w:color="auto"/>
        <w:right w:val="none" w:sz="0" w:space="0" w:color="auto"/>
      </w:divBdr>
    </w:div>
    <w:div w:id="575553858">
      <w:marLeft w:val="0"/>
      <w:marRight w:val="0"/>
      <w:marTop w:val="180"/>
      <w:marBottom w:val="0"/>
      <w:divBdr>
        <w:top w:val="none" w:sz="0" w:space="0" w:color="auto"/>
        <w:left w:val="none" w:sz="0" w:space="0" w:color="auto"/>
        <w:bottom w:val="none" w:sz="0" w:space="0" w:color="auto"/>
        <w:right w:val="none" w:sz="0" w:space="0" w:color="auto"/>
      </w:divBdr>
    </w:div>
    <w:div w:id="580678700">
      <w:marLeft w:val="0"/>
      <w:marRight w:val="0"/>
      <w:marTop w:val="300"/>
      <w:marBottom w:val="300"/>
      <w:divBdr>
        <w:top w:val="none" w:sz="0" w:space="0" w:color="auto"/>
        <w:left w:val="none" w:sz="0" w:space="0" w:color="auto"/>
        <w:bottom w:val="none" w:sz="0" w:space="0" w:color="auto"/>
        <w:right w:val="none" w:sz="0" w:space="0" w:color="auto"/>
      </w:divBdr>
    </w:div>
    <w:div w:id="581377353">
      <w:marLeft w:val="0"/>
      <w:marRight w:val="0"/>
      <w:marTop w:val="180"/>
      <w:marBottom w:val="0"/>
      <w:divBdr>
        <w:top w:val="none" w:sz="0" w:space="0" w:color="auto"/>
        <w:left w:val="none" w:sz="0" w:space="0" w:color="auto"/>
        <w:bottom w:val="none" w:sz="0" w:space="0" w:color="auto"/>
        <w:right w:val="none" w:sz="0" w:space="0" w:color="auto"/>
      </w:divBdr>
    </w:div>
    <w:div w:id="583030939">
      <w:marLeft w:val="0"/>
      <w:marRight w:val="0"/>
      <w:marTop w:val="180"/>
      <w:marBottom w:val="0"/>
      <w:divBdr>
        <w:top w:val="none" w:sz="0" w:space="0" w:color="auto"/>
        <w:left w:val="none" w:sz="0" w:space="0" w:color="auto"/>
        <w:bottom w:val="none" w:sz="0" w:space="0" w:color="auto"/>
        <w:right w:val="none" w:sz="0" w:space="0" w:color="auto"/>
      </w:divBdr>
    </w:div>
    <w:div w:id="586042499">
      <w:marLeft w:val="0"/>
      <w:marRight w:val="0"/>
      <w:marTop w:val="180"/>
      <w:marBottom w:val="0"/>
      <w:divBdr>
        <w:top w:val="none" w:sz="0" w:space="0" w:color="auto"/>
        <w:left w:val="none" w:sz="0" w:space="0" w:color="auto"/>
        <w:bottom w:val="none" w:sz="0" w:space="0" w:color="auto"/>
        <w:right w:val="none" w:sz="0" w:space="0" w:color="auto"/>
      </w:divBdr>
    </w:div>
    <w:div w:id="586110465">
      <w:marLeft w:val="0"/>
      <w:marRight w:val="0"/>
      <w:marTop w:val="180"/>
      <w:marBottom w:val="0"/>
      <w:divBdr>
        <w:top w:val="none" w:sz="0" w:space="0" w:color="auto"/>
        <w:left w:val="none" w:sz="0" w:space="0" w:color="auto"/>
        <w:bottom w:val="none" w:sz="0" w:space="0" w:color="auto"/>
        <w:right w:val="none" w:sz="0" w:space="0" w:color="auto"/>
      </w:divBdr>
    </w:div>
    <w:div w:id="588664284">
      <w:marLeft w:val="0"/>
      <w:marRight w:val="0"/>
      <w:marTop w:val="180"/>
      <w:marBottom w:val="0"/>
      <w:divBdr>
        <w:top w:val="none" w:sz="0" w:space="0" w:color="auto"/>
        <w:left w:val="none" w:sz="0" w:space="0" w:color="auto"/>
        <w:bottom w:val="none" w:sz="0" w:space="0" w:color="auto"/>
        <w:right w:val="none" w:sz="0" w:space="0" w:color="auto"/>
      </w:divBdr>
    </w:div>
    <w:div w:id="590546666">
      <w:marLeft w:val="0"/>
      <w:marRight w:val="0"/>
      <w:marTop w:val="180"/>
      <w:marBottom w:val="0"/>
      <w:divBdr>
        <w:top w:val="none" w:sz="0" w:space="0" w:color="auto"/>
        <w:left w:val="none" w:sz="0" w:space="0" w:color="auto"/>
        <w:bottom w:val="none" w:sz="0" w:space="0" w:color="auto"/>
        <w:right w:val="none" w:sz="0" w:space="0" w:color="auto"/>
      </w:divBdr>
    </w:div>
    <w:div w:id="593132806">
      <w:marLeft w:val="0"/>
      <w:marRight w:val="0"/>
      <w:marTop w:val="180"/>
      <w:marBottom w:val="0"/>
      <w:divBdr>
        <w:top w:val="none" w:sz="0" w:space="0" w:color="auto"/>
        <w:left w:val="none" w:sz="0" w:space="0" w:color="auto"/>
        <w:bottom w:val="none" w:sz="0" w:space="0" w:color="auto"/>
        <w:right w:val="none" w:sz="0" w:space="0" w:color="auto"/>
      </w:divBdr>
    </w:div>
    <w:div w:id="597564933">
      <w:marLeft w:val="0"/>
      <w:marRight w:val="0"/>
      <w:marTop w:val="180"/>
      <w:marBottom w:val="0"/>
      <w:divBdr>
        <w:top w:val="none" w:sz="0" w:space="0" w:color="auto"/>
        <w:left w:val="none" w:sz="0" w:space="0" w:color="auto"/>
        <w:bottom w:val="none" w:sz="0" w:space="0" w:color="auto"/>
        <w:right w:val="none" w:sz="0" w:space="0" w:color="auto"/>
      </w:divBdr>
    </w:div>
    <w:div w:id="601231961">
      <w:marLeft w:val="0"/>
      <w:marRight w:val="0"/>
      <w:marTop w:val="180"/>
      <w:marBottom w:val="0"/>
      <w:divBdr>
        <w:top w:val="none" w:sz="0" w:space="0" w:color="auto"/>
        <w:left w:val="none" w:sz="0" w:space="0" w:color="auto"/>
        <w:bottom w:val="none" w:sz="0" w:space="0" w:color="auto"/>
        <w:right w:val="none" w:sz="0" w:space="0" w:color="auto"/>
      </w:divBdr>
    </w:div>
    <w:div w:id="601573832">
      <w:marLeft w:val="0"/>
      <w:marRight w:val="0"/>
      <w:marTop w:val="180"/>
      <w:marBottom w:val="0"/>
      <w:divBdr>
        <w:top w:val="none" w:sz="0" w:space="0" w:color="auto"/>
        <w:left w:val="none" w:sz="0" w:space="0" w:color="auto"/>
        <w:bottom w:val="none" w:sz="0" w:space="0" w:color="auto"/>
        <w:right w:val="none" w:sz="0" w:space="0" w:color="auto"/>
      </w:divBdr>
    </w:div>
    <w:div w:id="601912528">
      <w:marLeft w:val="0"/>
      <w:marRight w:val="0"/>
      <w:marTop w:val="0"/>
      <w:marBottom w:val="0"/>
      <w:divBdr>
        <w:top w:val="none" w:sz="0" w:space="0" w:color="auto"/>
        <w:left w:val="none" w:sz="0" w:space="0" w:color="auto"/>
        <w:bottom w:val="none" w:sz="0" w:space="0" w:color="auto"/>
        <w:right w:val="none" w:sz="0" w:space="0" w:color="auto"/>
      </w:divBdr>
      <w:divsChild>
        <w:div w:id="1056585456">
          <w:marLeft w:val="0"/>
          <w:marRight w:val="0"/>
          <w:marTop w:val="0"/>
          <w:marBottom w:val="0"/>
          <w:divBdr>
            <w:top w:val="none" w:sz="0" w:space="0" w:color="auto"/>
            <w:left w:val="none" w:sz="0" w:space="0" w:color="auto"/>
            <w:bottom w:val="none" w:sz="0" w:space="0" w:color="auto"/>
            <w:right w:val="none" w:sz="0" w:space="0" w:color="auto"/>
          </w:divBdr>
          <w:divsChild>
            <w:div w:id="167367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08664993">
      <w:marLeft w:val="0"/>
      <w:marRight w:val="0"/>
      <w:marTop w:val="0"/>
      <w:marBottom w:val="0"/>
      <w:divBdr>
        <w:top w:val="none" w:sz="0" w:space="0" w:color="auto"/>
        <w:left w:val="none" w:sz="0" w:space="0" w:color="auto"/>
        <w:bottom w:val="none" w:sz="0" w:space="0" w:color="auto"/>
        <w:right w:val="none" w:sz="0" w:space="0" w:color="auto"/>
      </w:divBdr>
      <w:divsChild>
        <w:div w:id="102505088">
          <w:marLeft w:val="0"/>
          <w:marRight w:val="0"/>
          <w:marTop w:val="0"/>
          <w:marBottom w:val="0"/>
          <w:divBdr>
            <w:top w:val="none" w:sz="0" w:space="0" w:color="auto"/>
            <w:left w:val="none" w:sz="0" w:space="0" w:color="auto"/>
            <w:bottom w:val="none" w:sz="0" w:space="0" w:color="auto"/>
            <w:right w:val="none" w:sz="0" w:space="0" w:color="auto"/>
          </w:divBdr>
          <w:divsChild>
            <w:div w:id="12795304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09437828">
      <w:marLeft w:val="0"/>
      <w:marRight w:val="0"/>
      <w:marTop w:val="180"/>
      <w:marBottom w:val="0"/>
      <w:divBdr>
        <w:top w:val="none" w:sz="0" w:space="0" w:color="auto"/>
        <w:left w:val="none" w:sz="0" w:space="0" w:color="auto"/>
        <w:bottom w:val="none" w:sz="0" w:space="0" w:color="auto"/>
        <w:right w:val="none" w:sz="0" w:space="0" w:color="auto"/>
      </w:divBdr>
    </w:div>
    <w:div w:id="609894855">
      <w:marLeft w:val="0"/>
      <w:marRight w:val="0"/>
      <w:marTop w:val="180"/>
      <w:marBottom w:val="0"/>
      <w:divBdr>
        <w:top w:val="none" w:sz="0" w:space="0" w:color="auto"/>
        <w:left w:val="none" w:sz="0" w:space="0" w:color="auto"/>
        <w:bottom w:val="none" w:sz="0" w:space="0" w:color="auto"/>
        <w:right w:val="none" w:sz="0" w:space="0" w:color="auto"/>
      </w:divBdr>
    </w:div>
    <w:div w:id="611203149">
      <w:marLeft w:val="0"/>
      <w:marRight w:val="0"/>
      <w:marTop w:val="180"/>
      <w:marBottom w:val="0"/>
      <w:divBdr>
        <w:top w:val="none" w:sz="0" w:space="0" w:color="auto"/>
        <w:left w:val="none" w:sz="0" w:space="0" w:color="auto"/>
        <w:bottom w:val="none" w:sz="0" w:space="0" w:color="auto"/>
        <w:right w:val="none" w:sz="0" w:space="0" w:color="auto"/>
      </w:divBdr>
    </w:div>
    <w:div w:id="612788878">
      <w:marLeft w:val="0"/>
      <w:marRight w:val="0"/>
      <w:marTop w:val="180"/>
      <w:marBottom w:val="120"/>
      <w:divBdr>
        <w:top w:val="none" w:sz="0" w:space="0" w:color="auto"/>
        <w:left w:val="none" w:sz="0" w:space="0" w:color="auto"/>
        <w:bottom w:val="none" w:sz="0" w:space="0" w:color="auto"/>
        <w:right w:val="none" w:sz="0" w:space="0" w:color="auto"/>
      </w:divBdr>
    </w:div>
    <w:div w:id="617688165">
      <w:marLeft w:val="0"/>
      <w:marRight w:val="0"/>
      <w:marTop w:val="0"/>
      <w:marBottom w:val="0"/>
      <w:divBdr>
        <w:top w:val="none" w:sz="0" w:space="0" w:color="auto"/>
        <w:left w:val="none" w:sz="0" w:space="0" w:color="auto"/>
        <w:bottom w:val="none" w:sz="0" w:space="0" w:color="auto"/>
        <w:right w:val="none" w:sz="0" w:space="0" w:color="auto"/>
      </w:divBdr>
      <w:divsChild>
        <w:div w:id="1656911444">
          <w:marLeft w:val="0"/>
          <w:marRight w:val="0"/>
          <w:marTop w:val="0"/>
          <w:marBottom w:val="0"/>
          <w:divBdr>
            <w:top w:val="none" w:sz="0" w:space="0" w:color="auto"/>
            <w:left w:val="none" w:sz="0" w:space="0" w:color="auto"/>
            <w:bottom w:val="none" w:sz="0" w:space="0" w:color="auto"/>
            <w:right w:val="none" w:sz="0" w:space="0" w:color="auto"/>
          </w:divBdr>
          <w:divsChild>
            <w:div w:id="3558169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19341472">
      <w:marLeft w:val="0"/>
      <w:marRight w:val="0"/>
      <w:marTop w:val="180"/>
      <w:marBottom w:val="120"/>
      <w:divBdr>
        <w:top w:val="none" w:sz="0" w:space="0" w:color="auto"/>
        <w:left w:val="none" w:sz="0" w:space="0" w:color="auto"/>
        <w:bottom w:val="none" w:sz="0" w:space="0" w:color="auto"/>
        <w:right w:val="none" w:sz="0" w:space="0" w:color="auto"/>
      </w:divBdr>
      <w:divsChild>
        <w:div w:id="1218855438">
          <w:marLeft w:val="0"/>
          <w:marRight w:val="0"/>
          <w:marTop w:val="100"/>
          <w:marBottom w:val="100"/>
          <w:divBdr>
            <w:top w:val="none" w:sz="0" w:space="0" w:color="auto"/>
            <w:left w:val="none" w:sz="0" w:space="0" w:color="auto"/>
            <w:bottom w:val="none" w:sz="0" w:space="0" w:color="auto"/>
            <w:right w:val="none" w:sz="0" w:space="0" w:color="auto"/>
          </w:divBdr>
        </w:div>
      </w:divsChild>
    </w:div>
    <w:div w:id="620768736">
      <w:marLeft w:val="0"/>
      <w:marRight w:val="0"/>
      <w:marTop w:val="180"/>
      <w:marBottom w:val="120"/>
      <w:divBdr>
        <w:top w:val="none" w:sz="0" w:space="0" w:color="auto"/>
        <w:left w:val="none" w:sz="0" w:space="0" w:color="auto"/>
        <w:bottom w:val="none" w:sz="0" w:space="0" w:color="auto"/>
        <w:right w:val="none" w:sz="0" w:space="0" w:color="auto"/>
      </w:divBdr>
    </w:div>
    <w:div w:id="622080756">
      <w:marLeft w:val="0"/>
      <w:marRight w:val="0"/>
      <w:marTop w:val="180"/>
      <w:marBottom w:val="0"/>
      <w:divBdr>
        <w:top w:val="none" w:sz="0" w:space="0" w:color="auto"/>
        <w:left w:val="none" w:sz="0" w:space="0" w:color="auto"/>
        <w:bottom w:val="none" w:sz="0" w:space="0" w:color="auto"/>
        <w:right w:val="none" w:sz="0" w:space="0" w:color="auto"/>
      </w:divBdr>
    </w:div>
    <w:div w:id="623728950">
      <w:marLeft w:val="0"/>
      <w:marRight w:val="0"/>
      <w:marTop w:val="180"/>
      <w:marBottom w:val="0"/>
      <w:divBdr>
        <w:top w:val="none" w:sz="0" w:space="0" w:color="auto"/>
        <w:left w:val="none" w:sz="0" w:space="0" w:color="auto"/>
        <w:bottom w:val="none" w:sz="0" w:space="0" w:color="auto"/>
        <w:right w:val="none" w:sz="0" w:space="0" w:color="auto"/>
      </w:divBdr>
    </w:div>
    <w:div w:id="626205911">
      <w:marLeft w:val="0"/>
      <w:marRight w:val="0"/>
      <w:marTop w:val="180"/>
      <w:marBottom w:val="0"/>
      <w:divBdr>
        <w:top w:val="none" w:sz="0" w:space="0" w:color="auto"/>
        <w:left w:val="none" w:sz="0" w:space="0" w:color="auto"/>
        <w:bottom w:val="none" w:sz="0" w:space="0" w:color="auto"/>
        <w:right w:val="none" w:sz="0" w:space="0" w:color="auto"/>
      </w:divBdr>
    </w:div>
    <w:div w:id="626935502">
      <w:marLeft w:val="0"/>
      <w:marRight w:val="0"/>
      <w:marTop w:val="180"/>
      <w:marBottom w:val="0"/>
      <w:divBdr>
        <w:top w:val="none" w:sz="0" w:space="0" w:color="auto"/>
        <w:left w:val="none" w:sz="0" w:space="0" w:color="auto"/>
        <w:bottom w:val="none" w:sz="0" w:space="0" w:color="auto"/>
        <w:right w:val="none" w:sz="0" w:space="0" w:color="auto"/>
      </w:divBdr>
    </w:div>
    <w:div w:id="628977703">
      <w:marLeft w:val="0"/>
      <w:marRight w:val="0"/>
      <w:marTop w:val="0"/>
      <w:marBottom w:val="120"/>
      <w:divBdr>
        <w:top w:val="none" w:sz="0" w:space="0" w:color="auto"/>
        <w:left w:val="none" w:sz="0" w:space="0" w:color="auto"/>
        <w:bottom w:val="none" w:sz="0" w:space="0" w:color="auto"/>
        <w:right w:val="none" w:sz="0" w:space="0" w:color="auto"/>
      </w:divBdr>
    </w:div>
    <w:div w:id="630943593">
      <w:marLeft w:val="0"/>
      <w:marRight w:val="0"/>
      <w:marTop w:val="0"/>
      <w:marBottom w:val="0"/>
      <w:divBdr>
        <w:top w:val="none" w:sz="0" w:space="0" w:color="auto"/>
        <w:left w:val="none" w:sz="0" w:space="0" w:color="auto"/>
        <w:bottom w:val="none" w:sz="0" w:space="0" w:color="auto"/>
        <w:right w:val="none" w:sz="0" w:space="0" w:color="auto"/>
      </w:divBdr>
      <w:divsChild>
        <w:div w:id="1622882532">
          <w:marLeft w:val="0"/>
          <w:marRight w:val="0"/>
          <w:marTop w:val="180"/>
          <w:marBottom w:val="0"/>
          <w:divBdr>
            <w:top w:val="none" w:sz="0" w:space="0" w:color="auto"/>
            <w:left w:val="none" w:sz="0" w:space="0" w:color="auto"/>
            <w:bottom w:val="none" w:sz="0" w:space="0" w:color="auto"/>
            <w:right w:val="none" w:sz="0" w:space="0" w:color="auto"/>
          </w:divBdr>
        </w:div>
      </w:divsChild>
    </w:div>
    <w:div w:id="632175076">
      <w:marLeft w:val="0"/>
      <w:marRight w:val="0"/>
      <w:marTop w:val="180"/>
      <w:marBottom w:val="0"/>
      <w:divBdr>
        <w:top w:val="none" w:sz="0" w:space="0" w:color="auto"/>
        <w:left w:val="none" w:sz="0" w:space="0" w:color="auto"/>
        <w:bottom w:val="none" w:sz="0" w:space="0" w:color="auto"/>
        <w:right w:val="none" w:sz="0" w:space="0" w:color="auto"/>
      </w:divBdr>
    </w:div>
    <w:div w:id="633213596">
      <w:marLeft w:val="0"/>
      <w:marRight w:val="0"/>
      <w:marTop w:val="180"/>
      <w:marBottom w:val="0"/>
      <w:divBdr>
        <w:top w:val="none" w:sz="0" w:space="0" w:color="auto"/>
        <w:left w:val="none" w:sz="0" w:space="0" w:color="auto"/>
        <w:bottom w:val="none" w:sz="0" w:space="0" w:color="auto"/>
        <w:right w:val="none" w:sz="0" w:space="0" w:color="auto"/>
      </w:divBdr>
    </w:div>
    <w:div w:id="633760126">
      <w:marLeft w:val="0"/>
      <w:marRight w:val="0"/>
      <w:marTop w:val="120"/>
      <w:marBottom w:val="120"/>
      <w:divBdr>
        <w:top w:val="none" w:sz="0" w:space="0" w:color="auto"/>
        <w:left w:val="none" w:sz="0" w:space="0" w:color="auto"/>
        <w:bottom w:val="none" w:sz="0" w:space="0" w:color="auto"/>
        <w:right w:val="none" w:sz="0" w:space="0" w:color="auto"/>
      </w:divBdr>
      <w:divsChild>
        <w:div w:id="743188148">
          <w:marLeft w:val="0"/>
          <w:marRight w:val="0"/>
          <w:marTop w:val="0"/>
          <w:marBottom w:val="0"/>
          <w:divBdr>
            <w:top w:val="none" w:sz="0" w:space="0" w:color="auto"/>
            <w:left w:val="none" w:sz="0" w:space="0" w:color="auto"/>
            <w:bottom w:val="none" w:sz="0" w:space="0" w:color="auto"/>
            <w:right w:val="none" w:sz="0" w:space="0" w:color="auto"/>
          </w:divBdr>
        </w:div>
      </w:divsChild>
    </w:div>
    <w:div w:id="637296498">
      <w:marLeft w:val="0"/>
      <w:marRight w:val="0"/>
      <w:marTop w:val="180"/>
      <w:marBottom w:val="0"/>
      <w:divBdr>
        <w:top w:val="none" w:sz="0" w:space="0" w:color="auto"/>
        <w:left w:val="none" w:sz="0" w:space="0" w:color="auto"/>
        <w:bottom w:val="none" w:sz="0" w:space="0" w:color="auto"/>
        <w:right w:val="none" w:sz="0" w:space="0" w:color="auto"/>
      </w:divBdr>
    </w:div>
    <w:div w:id="638340073">
      <w:marLeft w:val="0"/>
      <w:marRight w:val="0"/>
      <w:marTop w:val="180"/>
      <w:marBottom w:val="0"/>
      <w:divBdr>
        <w:top w:val="none" w:sz="0" w:space="0" w:color="auto"/>
        <w:left w:val="none" w:sz="0" w:space="0" w:color="auto"/>
        <w:bottom w:val="none" w:sz="0" w:space="0" w:color="auto"/>
        <w:right w:val="none" w:sz="0" w:space="0" w:color="auto"/>
      </w:divBdr>
    </w:div>
    <w:div w:id="639195168">
      <w:marLeft w:val="0"/>
      <w:marRight w:val="0"/>
      <w:marTop w:val="180"/>
      <w:marBottom w:val="0"/>
      <w:divBdr>
        <w:top w:val="none" w:sz="0" w:space="0" w:color="auto"/>
        <w:left w:val="none" w:sz="0" w:space="0" w:color="auto"/>
        <w:bottom w:val="none" w:sz="0" w:space="0" w:color="auto"/>
        <w:right w:val="none" w:sz="0" w:space="0" w:color="auto"/>
      </w:divBdr>
    </w:div>
    <w:div w:id="639647789">
      <w:marLeft w:val="0"/>
      <w:marRight w:val="0"/>
      <w:marTop w:val="0"/>
      <w:marBottom w:val="0"/>
      <w:divBdr>
        <w:top w:val="none" w:sz="0" w:space="0" w:color="auto"/>
        <w:left w:val="none" w:sz="0" w:space="0" w:color="auto"/>
        <w:bottom w:val="none" w:sz="0" w:space="0" w:color="auto"/>
        <w:right w:val="none" w:sz="0" w:space="0" w:color="auto"/>
      </w:divBdr>
      <w:divsChild>
        <w:div w:id="679625620">
          <w:marLeft w:val="0"/>
          <w:marRight w:val="0"/>
          <w:marTop w:val="0"/>
          <w:marBottom w:val="0"/>
          <w:divBdr>
            <w:top w:val="none" w:sz="0" w:space="0" w:color="auto"/>
            <w:left w:val="none" w:sz="0" w:space="0" w:color="auto"/>
            <w:bottom w:val="none" w:sz="0" w:space="0" w:color="auto"/>
            <w:right w:val="none" w:sz="0" w:space="0" w:color="auto"/>
          </w:divBdr>
          <w:divsChild>
            <w:div w:id="5087887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42006375">
      <w:marLeft w:val="0"/>
      <w:marRight w:val="0"/>
      <w:marTop w:val="240"/>
      <w:marBottom w:val="0"/>
      <w:divBdr>
        <w:top w:val="none" w:sz="0" w:space="0" w:color="auto"/>
        <w:left w:val="none" w:sz="0" w:space="0" w:color="auto"/>
        <w:bottom w:val="none" w:sz="0" w:space="0" w:color="auto"/>
        <w:right w:val="none" w:sz="0" w:space="0" w:color="auto"/>
      </w:divBdr>
    </w:div>
    <w:div w:id="646133231">
      <w:marLeft w:val="0"/>
      <w:marRight w:val="0"/>
      <w:marTop w:val="240"/>
      <w:marBottom w:val="0"/>
      <w:divBdr>
        <w:top w:val="none" w:sz="0" w:space="0" w:color="auto"/>
        <w:left w:val="none" w:sz="0" w:space="0" w:color="auto"/>
        <w:bottom w:val="none" w:sz="0" w:space="0" w:color="auto"/>
        <w:right w:val="none" w:sz="0" w:space="0" w:color="auto"/>
      </w:divBdr>
    </w:div>
    <w:div w:id="649092347">
      <w:marLeft w:val="0"/>
      <w:marRight w:val="0"/>
      <w:marTop w:val="180"/>
      <w:marBottom w:val="0"/>
      <w:divBdr>
        <w:top w:val="none" w:sz="0" w:space="0" w:color="auto"/>
        <w:left w:val="none" w:sz="0" w:space="0" w:color="auto"/>
        <w:bottom w:val="none" w:sz="0" w:space="0" w:color="auto"/>
        <w:right w:val="none" w:sz="0" w:space="0" w:color="auto"/>
      </w:divBdr>
    </w:div>
    <w:div w:id="653533704">
      <w:marLeft w:val="0"/>
      <w:marRight w:val="0"/>
      <w:marTop w:val="0"/>
      <w:marBottom w:val="0"/>
      <w:divBdr>
        <w:top w:val="none" w:sz="0" w:space="0" w:color="auto"/>
        <w:left w:val="none" w:sz="0" w:space="0" w:color="auto"/>
        <w:bottom w:val="none" w:sz="0" w:space="0" w:color="auto"/>
        <w:right w:val="none" w:sz="0" w:space="0" w:color="auto"/>
      </w:divBdr>
    </w:div>
    <w:div w:id="653728272">
      <w:marLeft w:val="0"/>
      <w:marRight w:val="0"/>
      <w:marTop w:val="180"/>
      <w:marBottom w:val="0"/>
      <w:divBdr>
        <w:top w:val="none" w:sz="0" w:space="0" w:color="auto"/>
        <w:left w:val="none" w:sz="0" w:space="0" w:color="auto"/>
        <w:bottom w:val="none" w:sz="0" w:space="0" w:color="auto"/>
        <w:right w:val="none" w:sz="0" w:space="0" w:color="auto"/>
      </w:divBdr>
    </w:div>
    <w:div w:id="653875182">
      <w:marLeft w:val="0"/>
      <w:marRight w:val="0"/>
      <w:marTop w:val="180"/>
      <w:marBottom w:val="0"/>
      <w:divBdr>
        <w:top w:val="none" w:sz="0" w:space="0" w:color="auto"/>
        <w:left w:val="none" w:sz="0" w:space="0" w:color="auto"/>
        <w:bottom w:val="none" w:sz="0" w:space="0" w:color="auto"/>
        <w:right w:val="none" w:sz="0" w:space="0" w:color="auto"/>
      </w:divBdr>
    </w:div>
    <w:div w:id="653875889">
      <w:marLeft w:val="0"/>
      <w:marRight w:val="0"/>
      <w:marTop w:val="0"/>
      <w:marBottom w:val="0"/>
      <w:divBdr>
        <w:top w:val="none" w:sz="0" w:space="0" w:color="auto"/>
        <w:left w:val="none" w:sz="0" w:space="0" w:color="auto"/>
        <w:bottom w:val="none" w:sz="0" w:space="0" w:color="auto"/>
        <w:right w:val="none" w:sz="0" w:space="0" w:color="auto"/>
      </w:divBdr>
      <w:divsChild>
        <w:div w:id="992678210">
          <w:marLeft w:val="0"/>
          <w:marRight w:val="0"/>
          <w:marTop w:val="0"/>
          <w:marBottom w:val="0"/>
          <w:divBdr>
            <w:top w:val="none" w:sz="0" w:space="0" w:color="auto"/>
            <w:left w:val="none" w:sz="0" w:space="0" w:color="auto"/>
            <w:bottom w:val="none" w:sz="0" w:space="0" w:color="auto"/>
            <w:right w:val="none" w:sz="0" w:space="0" w:color="auto"/>
          </w:divBdr>
        </w:div>
      </w:divsChild>
    </w:div>
    <w:div w:id="655183452">
      <w:marLeft w:val="0"/>
      <w:marRight w:val="0"/>
      <w:marTop w:val="240"/>
      <w:marBottom w:val="0"/>
      <w:divBdr>
        <w:top w:val="none" w:sz="0" w:space="0" w:color="auto"/>
        <w:left w:val="none" w:sz="0" w:space="0" w:color="auto"/>
        <w:bottom w:val="none" w:sz="0" w:space="0" w:color="auto"/>
        <w:right w:val="none" w:sz="0" w:space="0" w:color="auto"/>
      </w:divBdr>
    </w:div>
    <w:div w:id="657004864">
      <w:marLeft w:val="0"/>
      <w:marRight w:val="0"/>
      <w:marTop w:val="180"/>
      <w:marBottom w:val="120"/>
      <w:divBdr>
        <w:top w:val="none" w:sz="0" w:space="0" w:color="auto"/>
        <w:left w:val="none" w:sz="0" w:space="0" w:color="auto"/>
        <w:bottom w:val="none" w:sz="0" w:space="0" w:color="auto"/>
        <w:right w:val="none" w:sz="0" w:space="0" w:color="auto"/>
      </w:divBdr>
    </w:div>
    <w:div w:id="658926478">
      <w:marLeft w:val="0"/>
      <w:marRight w:val="0"/>
      <w:marTop w:val="180"/>
      <w:marBottom w:val="0"/>
      <w:divBdr>
        <w:top w:val="none" w:sz="0" w:space="0" w:color="auto"/>
        <w:left w:val="none" w:sz="0" w:space="0" w:color="auto"/>
        <w:bottom w:val="none" w:sz="0" w:space="0" w:color="auto"/>
        <w:right w:val="none" w:sz="0" w:space="0" w:color="auto"/>
      </w:divBdr>
    </w:div>
    <w:div w:id="659846702">
      <w:marLeft w:val="0"/>
      <w:marRight w:val="0"/>
      <w:marTop w:val="180"/>
      <w:marBottom w:val="120"/>
      <w:divBdr>
        <w:top w:val="none" w:sz="0" w:space="0" w:color="auto"/>
        <w:left w:val="none" w:sz="0" w:space="0" w:color="auto"/>
        <w:bottom w:val="none" w:sz="0" w:space="0" w:color="auto"/>
        <w:right w:val="none" w:sz="0" w:space="0" w:color="auto"/>
      </w:divBdr>
    </w:div>
    <w:div w:id="661545037">
      <w:marLeft w:val="0"/>
      <w:marRight w:val="0"/>
      <w:marTop w:val="0"/>
      <w:marBottom w:val="60"/>
      <w:divBdr>
        <w:top w:val="none" w:sz="0" w:space="0" w:color="auto"/>
        <w:left w:val="none" w:sz="0" w:space="0" w:color="auto"/>
        <w:bottom w:val="none" w:sz="0" w:space="0" w:color="auto"/>
        <w:right w:val="none" w:sz="0" w:space="0" w:color="auto"/>
      </w:divBdr>
    </w:div>
    <w:div w:id="665548054">
      <w:marLeft w:val="0"/>
      <w:marRight w:val="0"/>
      <w:marTop w:val="180"/>
      <w:marBottom w:val="0"/>
      <w:divBdr>
        <w:top w:val="none" w:sz="0" w:space="0" w:color="auto"/>
        <w:left w:val="none" w:sz="0" w:space="0" w:color="auto"/>
        <w:bottom w:val="none" w:sz="0" w:space="0" w:color="auto"/>
        <w:right w:val="none" w:sz="0" w:space="0" w:color="auto"/>
      </w:divBdr>
    </w:div>
    <w:div w:id="670958291">
      <w:marLeft w:val="0"/>
      <w:marRight w:val="0"/>
      <w:marTop w:val="180"/>
      <w:marBottom w:val="0"/>
      <w:divBdr>
        <w:top w:val="none" w:sz="0" w:space="0" w:color="auto"/>
        <w:left w:val="none" w:sz="0" w:space="0" w:color="auto"/>
        <w:bottom w:val="none" w:sz="0" w:space="0" w:color="auto"/>
        <w:right w:val="none" w:sz="0" w:space="0" w:color="auto"/>
      </w:divBdr>
    </w:div>
    <w:div w:id="675111883">
      <w:marLeft w:val="0"/>
      <w:marRight w:val="0"/>
      <w:marTop w:val="180"/>
      <w:marBottom w:val="0"/>
      <w:divBdr>
        <w:top w:val="none" w:sz="0" w:space="0" w:color="auto"/>
        <w:left w:val="none" w:sz="0" w:space="0" w:color="auto"/>
        <w:bottom w:val="none" w:sz="0" w:space="0" w:color="auto"/>
        <w:right w:val="none" w:sz="0" w:space="0" w:color="auto"/>
      </w:divBdr>
    </w:div>
    <w:div w:id="676467468">
      <w:marLeft w:val="0"/>
      <w:marRight w:val="0"/>
      <w:marTop w:val="180"/>
      <w:marBottom w:val="0"/>
      <w:divBdr>
        <w:top w:val="none" w:sz="0" w:space="0" w:color="auto"/>
        <w:left w:val="none" w:sz="0" w:space="0" w:color="auto"/>
        <w:bottom w:val="none" w:sz="0" w:space="0" w:color="auto"/>
        <w:right w:val="none" w:sz="0" w:space="0" w:color="auto"/>
      </w:divBdr>
    </w:div>
    <w:div w:id="678042652">
      <w:marLeft w:val="0"/>
      <w:marRight w:val="0"/>
      <w:marTop w:val="180"/>
      <w:marBottom w:val="120"/>
      <w:divBdr>
        <w:top w:val="none" w:sz="0" w:space="0" w:color="auto"/>
        <w:left w:val="none" w:sz="0" w:space="0" w:color="auto"/>
        <w:bottom w:val="none" w:sz="0" w:space="0" w:color="auto"/>
        <w:right w:val="none" w:sz="0" w:space="0" w:color="auto"/>
      </w:divBdr>
    </w:div>
    <w:div w:id="678119971">
      <w:marLeft w:val="0"/>
      <w:marRight w:val="0"/>
      <w:marTop w:val="180"/>
      <w:marBottom w:val="0"/>
      <w:divBdr>
        <w:top w:val="none" w:sz="0" w:space="0" w:color="auto"/>
        <w:left w:val="none" w:sz="0" w:space="0" w:color="auto"/>
        <w:bottom w:val="none" w:sz="0" w:space="0" w:color="auto"/>
        <w:right w:val="none" w:sz="0" w:space="0" w:color="auto"/>
      </w:divBdr>
    </w:div>
    <w:div w:id="679355384">
      <w:marLeft w:val="0"/>
      <w:marRight w:val="0"/>
      <w:marTop w:val="180"/>
      <w:marBottom w:val="0"/>
      <w:divBdr>
        <w:top w:val="none" w:sz="0" w:space="0" w:color="auto"/>
        <w:left w:val="none" w:sz="0" w:space="0" w:color="auto"/>
        <w:bottom w:val="none" w:sz="0" w:space="0" w:color="auto"/>
        <w:right w:val="none" w:sz="0" w:space="0" w:color="auto"/>
      </w:divBdr>
    </w:div>
    <w:div w:id="679428384">
      <w:marLeft w:val="0"/>
      <w:marRight w:val="0"/>
      <w:marTop w:val="240"/>
      <w:marBottom w:val="0"/>
      <w:divBdr>
        <w:top w:val="none" w:sz="0" w:space="0" w:color="auto"/>
        <w:left w:val="none" w:sz="0" w:space="0" w:color="auto"/>
        <w:bottom w:val="none" w:sz="0" w:space="0" w:color="auto"/>
        <w:right w:val="none" w:sz="0" w:space="0" w:color="auto"/>
      </w:divBdr>
    </w:div>
    <w:div w:id="681670074">
      <w:marLeft w:val="0"/>
      <w:marRight w:val="0"/>
      <w:marTop w:val="180"/>
      <w:marBottom w:val="0"/>
      <w:divBdr>
        <w:top w:val="none" w:sz="0" w:space="0" w:color="auto"/>
        <w:left w:val="none" w:sz="0" w:space="0" w:color="auto"/>
        <w:bottom w:val="none" w:sz="0" w:space="0" w:color="auto"/>
        <w:right w:val="none" w:sz="0" w:space="0" w:color="auto"/>
      </w:divBdr>
    </w:div>
    <w:div w:id="683554818">
      <w:marLeft w:val="0"/>
      <w:marRight w:val="0"/>
      <w:marTop w:val="180"/>
      <w:marBottom w:val="0"/>
      <w:divBdr>
        <w:top w:val="none" w:sz="0" w:space="0" w:color="auto"/>
        <w:left w:val="none" w:sz="0" w:space="0" w:color="auto"/>
        <w:bottom w:val="none" w:sz="0" w:space="0" w:color="auto"/>
        <w:right w:val="none" w:sz="0" w:space="0" w:color="auto"/>
      </w:divBdr>
    </w:div>
    <w:div w:id="684747675">
      <w:marLeft w:val="0"/>
      <w:marRight w:val="0"/>
      <w:marTop w:val="180"/>
      <w:marBottom w:val="120"/>
      <w:divBdr>
        <w:top w:val="none" w:sz="0" w:space="0" w:color="auto"/>
        <w:left w:val="none" w:sz="0" w:space="0" w:color="auto"/>
        <w:bottom w:val="none" w:sz="0" w:space="0" w:color="auto"/>
        <w:right w:val="none" w:sz="0" w:space="0" w:color="auto"/>
      </w:divBdr>
    </w:div>
    <w:div w:id="686521102">
      <w:marLeft w:val="0"/>
      <w:marRight w:val="0"/>
      <w:marTop w:val="0"/>
      <w:marBottom w:val="200"/>
      <w:divBdr>
        <w:top w:val="none" w:sz="0" w:space="0" w:color="auto"/>
        <w:left w:val="none" w:sz="0" w:space="0" w:color="auto"/>
        <w:bottom w:val="none" w:sz="0" w:space="0" w:color="auto"/>
        <w:right w:val="none" w:sz="0" w:space="0" w:color="auto"/>
      </w:divBdr>
    </w:div>
    <w:div w:id="688487634">
      <w:marLeft w:val="0"/>
      <w:marRight w:val="0"/>
      <w:marTop w:val="240"/>
      <w:marBottom w:val="0"/>
      <w:divBdr>
        <w:top w:val="none" w:sz="0" w:space="0" w:color="auto"/>
        <w:left w:val="none" w:sz="0" w:space="0" w:color="auto"/>
        <w:bottom w:val="none" w:sz="0" w:space="0" w:color="auto"/>
        <w:right w:val="none" w:sz="0" w:space="0" w:color="auto"/>
      </w:divBdr>
    </w:div>
    <w:div w:id="688682778">
      <w:marLeft w:val="0"/>
      <w:marRight w:val="0"/>
      <w:marTop w:val="0"/>
      <w:marBottom w:val="0"/>
      <w:divBdr>
        <w:top w:val="none" w:sz="0" w:space="0" w:color="auto"/>
        <w:left w:val="none" w:sz="0" w:space="0" w:color="auto"/>
        <w:bottom w:val="none" w:sz="0" w:space="0" w:color="auto"/>
        <w:right w:val="none" w:sz="0" w:space="0" w:color="auto"/>
      </w:divBdr>
      <w:divsChild>
        <w:div w:id="1969580748">
          <w:marLeft w:val="0"/>
          <w:marRight w:val="0"/>
          <w:marTop w:val="0"/>
          <w:marBottom w:val="0"/>
          <w:divBdr>
            <w:top w:val="none" w:sz="0" w:space="0" w:color="auto"/>
            <w:left w:val="none" w:sz="0" w:space="0" w:color="auto"/>
            <w:bottom w:val="none" w:sz="0" w:space="0" w:color="auto"/>
            <w:right w:val="none" w:sz="0" w:space="0" w:color="auto"/>
          </w:divBdr>
          <w:divsChild>
            <w:div w:id="4675568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93656219">
      <w:marLeft w:val="0"/>
      <w:marRight w:val="0"/>
      <w:marTop w:val="0"/>
      <w:marBottom w:val="0"/>
      <w:divBdr>
        <w:top w:val="none" w:sz="0" w:space="0" w:color="auto"/>
        <w:left w:val="none" w:sz="0" w:space="0" w:color="auto"/>
        <w:bottom w:val="none" w:sz="0" w:space="0" w:color="auto"/>
        <w:right w:val="none" w:sz="0" w:space="0" w:color="auto"/>
      </w:divBdr>
    </w:div>
    <w:div w:id="696270539">
      <w:marLeft w:val="0"/>
      <w:marRight w:val="0"/>
      <w:marTop w:val="180"/>
      <w:marBottom w:val="0"/>
      <w:divBdr>
        <w:top w:val="none" w:sz="0" w:space="0" w:color="auto"/>
        <w:left w:val="none" w:sz="0" w:space="0" w:color="auto"/>
        <w:bottom w:val="none" w:sz="0" w:space="0" w:color="auto"/>
        <w:right w:val="none" w:sz="0" w:space="0" w:color="auto"/>
      </w:divBdr>
    </w:div>
    <w:div w:id="696853358">
      <w:marLeft w:val="0"/>
      <w:marRight w:val="0"/>
      <w:marTop w:val="180"/>
      <w:marBottom w:val="0"/>
      <w:divBdr>
        <w:top w:val="none" w:sz="0" w:space="0" w:color="auto"/>
        <w:left w:val="none" w:sz="0" w:space="0" w:color="auto"/>
        <w:bottom w:val="none" w:sz="0" w:space="0" w:color="auto"/>
        <w:right w:val="none" w:sz="0" w:space="0" w:color="auto"/>
      </w:divBdr>
    </w:div>
    <w:div w:id="698968206">
      <w:marLeft w:val="0"/>
      <w:marRight w:val="0"/>
      <w:marTop w:val="60"/>
      <w:marBottom w:val="120"/>
      <w:divBdr>
        <w:top w:val="none" w:sz="0" w:space="0" w:color="auto"/>
        <w:left w:val="none" w:sz="0" w:space="0" w:color="auto"/>
        <w:bottom w:val="none" w:sz="0" w:space="0" w:color="auto"/>
        <w:right w:val="none" w:sz="0" w:space="0" w:color="auto"/>
      </w:divBdr>
      <w:divsChild>
        <w:div w:id="1476143964">
          <w:marLeft w:val="0"/>
          <w:marRight w:val="0"/>
          <w:marTop w:val="0"/>
          <w:marBottom w:val="0"/>
          <w:divBdr>
            <w:top w:val="none" w:sz="0" w:space="0" w:color="auto"/>
            <w:left w:val="none" w:sz="0" w:space="0" w:color="auto"/>
            <w:bottom w:val="none" w:sz="0" w:space="0" w:color="auto"/>
            <w:right w:val="none" w:sz="0" w:space="0" w:color="auto"/>
          </w:divBdr>
        </w:div>
      </w:divsChild>
    </w:div>
    <w:div w:id="700201865">
      <w:marLeft w:val="0"/>
      <w:marRight w:val="0"/>
      <w:marTop w:val="0"/>
      <w:marBottom w:val="0"/>
      <w:divBdr>
        <w:top w:val="none" w:sz="0" w:space="0" w:color="auto"/>
        <w:left w:val="none" w:sz="0" w:space="0" w:color="auto"/>
        <w:bottom w:val="none" w:sz="0" w:space="0" w:color="auto"/>
        <w:right w:val="none" w:sz="0" w:space="0" w:color="auto"/>
      </w:divBdr>
      <w:divsChild>
        <w:div w:id="1175070857">
          <w:marLeft w:val="0"/>
          <w:marRight w:val="0"/>
          <w:marTop w:val="0"/>
          <w:marBottom w:val="0"/>
          <w:divBdr>
            <w:top w:val="none" w:sz="0" w:space="0" w:color="auto"/>
            <w:left w:val="none" w:sz="0" w:space="0" w:color="auto"/>
            <w:bottom w:val="none" w:sz="0" w:space="0" w:color="auto"/>
            <w:right w:val="none" w:sz="0" w:space="0" w:color="auto"/>
          </w:divBdr>
          <w:divsChild>
            <w:div w:id="4347129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03553749">
      <w:marLeft w:val="0"/>
      <w:marRight w:val="0"/>
      <w:marTop w:val="0"/>
      <w:marBottom w:val="120"/>
      <w:divBdr>
        <w:top w:val="none" w:sz="0" w:space="0" w:color="auto"/>
        <w:left w:val="none" w:sz="0" w:space="0" w:color="auto"/>
        <w:bottom w:val="none" w:sz="0" w:space="0" w:color="auto"/>
        <w:right w:val="none" w:sz="0" w:space="0" w:color="auto"/>
      </w:divBdr>
    </w:div>
    <w:div w:id="705911700">
      <w:marLeft w:val="0"/>
      <w:marRight w:val="0"/>
      <w:marTop w:val="180"/>
      <w:marBottom w:val="0"/>
      <w:divBdr>
        <w:top w:val="none" w:sz="0" w:space="0" w:color="auto"/>
        <w:left w:val="none" w:sz="0" w:space="0" w:color="auto"/>
        <w:bottom w:val="none" w:sz="0" w:space="0" w:color="auto"/>
        <w:right w:val="none" w:sz="0" w:space="0" w:color="auto"/>
      </w:divBdr>
    </w:div>
    <w:div w:id="707144857">
      <w:marLeft w:val="0"/>
      <w:marRight w:val="0"/>
      <w:marTop w:val="180"/>
      <w:marBottom w:val="0"/>
      <w:divBdr>
        <w:top w:val="none" w:sz="0" w:space="0" w:color="auto"/>
        <w:left w:val="none" w:sz="0" w:space="0" w:color="auto"/>
        <w:bottom w:val="none" w:sz="0" w:space="0" w:color="auto"/>
        <w:right w:val="none" w:sz="0" w:space="0" w:color="auto"/>
      </w:divBdr>
    </w:div>
    <w:div w:id="707989558">
      <w:marLeft w:val="0"/>
      <w:marRight w:val="0"/>
      <w:marTop w:val="180"/>
      <w:marBottom w:val="0"/>
      <w:divBdr>
        <w:top w:val="none" w:sz="0" w:space="0" w:color="auto"/>
        <w:left w:val="none" w:sz="0" w:space="0" w:color="auto"/>
        <w:bottom w:val="none" w:sz="0" w:space="0" w:color="auto"/>
        <w:right w:val="none" w:sz="0" w:space="0" w:color="auto"/>
      </w:divBdr>
    </w:div>
    <w:div w:id="708536135">
      <w:marLeft w:val="0"/>
      <w:marRight w:val="0"/>
      <w:marTop w:val="180"/>
      <w:marBottom w:val="0"/>
      <w:divBdr>
        <w:top w:val="none" w:sz="0" w:space="0" w:color="auto"/>
        <w:left w:val="none" w:sz="0" w:space="0" w:color="auto"/>
        <w:bottom w:val="none" w:sz="0" w:space="0" w:color="auto"/>
        <w:right w:val="none" w:sz="0" w:space="0" w:color="auto"/>
      </w:divBdr>
    </w:div>
    <w:div w:id="709381323">
      <w:marLeft w:val="0"/>
      <w:marRight w:val="0"/>
      <w:marTop w:val="180"/>
      <w:marBottom w:val="0"/>
      <w:divBdr>
        <w:top w:val="none" w:sz="0" w:space="0" w:color="auto"/>
        <w:left w:val="none" w:sz="0" w:space="0" w:color="auto"/>
        <w:bottom w:val="none" w:sz="0" w:space="0" w:color="auto"/>
        <w:right w:val="none" w:sz="0" w:space="0" w:color="auto"/>
      </w:divBdr>
    </w:div>
    <w:div w:id="712267109">
      <w:marLeft w:val="0"/>
      <w:marRight w:val="0"/>
      <w:marTop w:val="180"/>
      <w:marBottom w:val="0"/>
      <w:divBdr>
        <w:top w:val="none" w:sz="0" w:space="0" w:color="auto"/>
        <w:left w:val="none" w:sz="0" w:space="0" w:color="auto"/>
        <w:bottom w:val="none" w:sz="0" w:space="0" w:color="auto"/>
        <w:right w:val="none" w:sz="0" w:space="0" w:color="auto"/>
      </w:divBdr>
    </w:div>
    <w:div w:id="714085438">
      <w:marLeft w:val="0"/>
      <w:marRight w:val="0"/>
      <w:marTop w:val="180"/>
      <w:marBottom w:val="0"/>
      <w:divBdr>
        <w:top w:val="none" w:sz="0" w:space="0" w:color="auto"/>
        <w:left w:val="none" w:sz="0" w:space="0" w:color="auto"/>
        <w:bottom w:val="none" w:sz="0" w:space="0" w:color="auto"/>
        <w:right w:val="none" w:sz="0" w:space="0" w:color="auto"/>
      </w:divBdr>
    </w:div>
    <w:div w:id="715398423">
      <w:marLeft w:val="0"/>
      <w:marRight w:val="0"/>
      <w:marTop w:val="180"/>
      <w:marBottom w:val="0"/>
      <w:divBdr>
        <w:top w:val="none" w:sz="0" w:space="0" w:color="auto"/>
        <w:left w:val="none" w:sz="0" w:space="0" w:color="auto"/>
        <w:bottom w:val="none" w:sz="0" w:space="0" w:color="auto"/>
        <w:right w:val="none" w:sz="0" w:space="0" w:color="auto"/>
      </w:divBdr>
    </w:div>
    <w:div w:id="715659799">
      <w:marLeft w:val="0"/>
      <w:marRight w:val="0"/>
      <w:marTop w:val="180"/>
      <w:marBottom w:val="0"/>
      <w:divBdr>
        <w:top w:val="none" w:sz="0" w:space="0" w:color="auto"/>
        <w:left w:val="none" w:sz="0" w:space="0" w:color="auto"/>
        <w:bottom w:val="none" w:sz="0" w:space="0" w:color="auto"/>
        <w:right w:val="none" w:sz="0" w:space="0" w:color="auto"/>
      </w:divBdr>
    </w:div>
    <w:div w:id="716049986">
      <w:marLeft w:val="0"/>
      <w:marRight w:val="0"/>
      <w:marTop w:val="0"/>
      <w:marBottom w:val="0"/>
      <w:divBdr>
        <w:top w:val="none" w:sz="0" w:space="0" w:color="auto"/>
        <w:left w:val="none" w:sz="0" w:space="0" w:color="auto"/>
        <w:bottom w:val="none" w:sz="0" w:space="0" w:color="auto"/>
        <w:right w:val="none" w:sz="0" w:space="0" w:color="auto"/>
      </w:divBdr>
    </w:div>
    <w:div w:id="716323145">
      <w:marLeft w:val="0"/>
      <w:marRight w:val="0"/>
      <w:marTop w:val="180"/>
      <w:marBottom w:val="120"/>
      <w:divBdr>
        <w:top w:val="none" w:sz="0" w:space="0" w:color="auto"/>
        <w:left w:val="none" w:sz="0" w:space="0" w:color="auto"/>
        <w:bottom w:val="none" w:sz="0" w:space="0" w:color="auto"/>
        <w:right w:val="none" w:sz="0" w:space="0" w:color="auto"/>
      </w:divBdr>
    </w:div>
    <w:div w:id="718360818">
      <w:marLeft w:val="0"/>
      <w:marRight w:val="0"/>
      <w:marTop w:val="0"/>
      <w:marBottom w:val="0"/>
      <w:divBdr>
        <w:top w:val="none" w:sz="0" w:space="0" w:color="auto"/>
        <w:left w:val="none" w:sz="0" w:space="0" w:color="auto"/>
        <w:bottom w:val="none" w:sz="0" w:space="0" w:color="auto"/>
        <w:right w:val="none" w:sz="0" w:space="0" w:color="auto"/>
      </w:divBdr>
      <w:divsChild>
        <w:div w:id="222565382">
          <w:marLeft w:val="0"/>
          <w:marRight w:val="0"/>
          <w:marTop w:val="0"/>
          <w:marBottom w:val="0"/>
          <w:divBdr>
            <w:top w:val="none" w:sz="0" w:space="0" w:color="auto"/>
            <w:left w:val="none" w:sz="0" w:space="0" w:color="auto"/>
            <w:bottom w:val="none" w:sz="0" w:space="0" w:color="auto"/>
            <w:right w:val="none" w:sz="0" w:space="0" w:color="auto"/>
          </w:divBdr>
        </w:div>
      </w:divsChild>
    </w:div>
    <w:div w:id="719283413">
      <w:marLeft w:val="0"/>
      <w:marRight w:val="0"/>
      <w:marTop w:val="180"/>
      <w:marBottom w:val="120"/>
      <w:divBdr>
        <w:top w:val="none" w:sz="0" w:space="0" w:color="auto"/>
        <w:left w:val="none" w:sz="0" w:space="0" w:color="auto"/>
        <w:bottom w:val="none" w:sz="0" w:space="0" w:color="auto"/>
        <w:right w:val="none" w:sz="0" w:space="0" w:color="auto"/>
      </w:divBdr>
      <w:divsChild>
        <w:div w:id="1168130681">
          <w:marLeft w:val="0"/>
          <w:marRight w:val="0"/>
          <w:marTop w:val="0"/>
          <w:marBottom w:val="0"/>
          <w:divBdr>
            <w:top w:val="none" w:sz="0" w:space="0" w:color="auto"/>
            <w:left w:val="none" w:sz="0" w:space="0" w:color="auto"/>
            <w:bottom w:val="none" w:sz="0" w:space="0" w:color="auto"/>
            <w:right w:val="none" w:sz="0" w:space="0" w:color="auto"/>
          </w:divBdr>
        </w:div>
        <w:div w:id="989096103">
          <w:marLeft w:val="0"/>
          <w:marRight w:val="0"/>
          <w:marTop w:val="0"/>
          <w:marBottom w:val="0"/>
          <w:divBdr>
            <w:top w:val="none" w:sz="0" w:space="0" w:color="auto"/>
            <w:left w:val="none" w:sz="0" w:space="0" w:color="auto"/>
            <w:bottom w:val="none" w:sz="0" w:space="0" w:color="auto"/>
            <w:right w:val="none" w:sz="0" w:space="0" w:color="auto"/>
          </w:divBdr>
        </w:div>
        <w:div w:id="60374875">
          <w:marLeft w:val="0"/>
          <w:marRight w:val="0"/>
          <w:marTop w:val="0"/>
          <w:marBottom w:val="0"/>
          <w:divBdr>
            <w:top w:val="none" w:sz="0" w:space="0" w:color="auto"/>
            <w:left w:val="none" w:sz="0" w:space="0" w:color="auto"/>
            <w:bottom w:val="none" w:sz="0" w:space="0" w:color="auto"/>
            <w:right w:val="none" w:sz="0" w:space="0" w:color="auto"/>
          </w:divBdr>
        </w:div>
        <w:div w:id="855770813">
          <w:marLeft w:val="0"/>
          <w:marRight w:val="0"/>
          <w:marTop w:val="0"/>
          <w:marBottom w:val="0"/>
          <w:divBdr>
            <w:top w:val="none" w:sz="0" w:space="0" w:color="auto"/>
            <w:left w:val="none" w:sz="0" w:space="0" w:color="auto"/>
            <w:bottom w:val="none" w:sz="0" w:space="0" w:color="auto"/>
            <w:right w:val="none" w:sz="0" w:space="0" w:color="auto"/>
          </w:divBdr>
        </w:div>
      </w:divsChild>
    </w:div>
    <w:div w:id="723261225">
      <w:marLeft w:val="0"/>
      <w:marRight w:val="0"/>
      <w:marTop w:val="180"/>
      <w:marBottom w:val="0"/>
      <w:divBdr>
        <w:top w:val="none" w:sz="0" w:space="0" w:color="auto"/>
        <w:left w:val="none" w:sz="0" w:space="0" w:color="auto"/>
        <w:bottom w:val="none" w:sz="0" w:space="0" w:color="auto"/>
        <w:right w:val="none" w:sz="0" w:space="0" w:color="auto"/>
      </w:divBdr>
    </w:div>
    <w:div w:id="725908144">
      <w:marLeft w:val="0"/>
      <w:marRight w:val="0"/>
      <w:marTop w:val="120"/>
      <w:marBottom w:val="0"/>
      <w:divBdr>
        <w:top w:val="none" w:sz="0" w:space="0" w:color="auto"/>
        <w:left w:val="none" w:sz="0" w:space="0" w:color="auto"/>
        <w:bottom w:val="none" w:sz="0" w:space="0" w:color="auto"/>
        <w:right w:val="none" w:sz="0" w:space="0" w:color="auto"/>
      </w:divBdr>
    </w:div>
    <w:div w:id="727194180">
      <w:marLeft w:val="0"/>
      <w:marRight w:val="0"/>
      <w:marTop w:val="0"/>
      <w:marBottom w:val="0"/>
      <w:divBdr>
        <w:top w:val="none" w:sz="0" w:space="0" w:color="auto"/>
        <w:left w:val="none" w:sz="0" w:space="0" w:color="auto"/>
        <w:bottom w:val="none" w:sz="0" w:space="0" w:color="auto"/>
        <w:right w:val="none" w:sz="0" w:space="0" w:color="auto"/>
      </w:divBdr>
      <w:divsChild>
        <w:div w:id="1963346787">
          <w:marLeft w:val="0"/>
          <w:marRight w:val="0"/>
          <w:marTop w:val="0"/>
          <w:marBottom w:val="0"/>
          <w:divBdr>
            <w:top w:val="none" w:sz="0" w:space="0" w:color="auto"/>
            <w:left w:val="none" w:sz="0" w:space="0" w:color="auto"/>
            <w:bottom w:val="none" w:sz="0" w:space="0" w:color="auto"/>
            <w:right w:val="none" w:sz="0" w:space="0" w:color="auto"/>
          </w:divBdr>
          <w:divsChild>
            <w:div w:id="14769872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8384390">
      <w:marLeft w:val="0"/>
      <w:marRight w:val="0"/>
      <w:marTop w:val="240"/>
      <w:marBottom w:val="0"/>
      <w:divBdr>
        <w:top w:val="none" w:sz="0" w:space="0" w:color="auto"/>
        <w:left w:val="none" w:sz="0" w:space="0" w:color="auto"/>
        <w:bottom w:val="none" w:sz="0" w:space="0" w:color="auto"/>
        <w:right w:val="none" w:sz="0" w:space="0" w:color="auto"/>
      </w:divBdr>
    </w:div>
    <w:div w:id="731005835">
      <w:marLeft w:val="0"/>
      <w:marRight w:val="0"/>
      <w:marTop w:val="60"/>
      <w:marBottom w:val="180"/>
      <w:divBdr>
        <w:top w:val="none" w:sz="0" w:space="0" w:color="auto"/>
        <w:left w:val="none" w:sz="0" w:space="0" w:color="auto"/>
        <w:bottom w:val="none" w:sz="0" w:space="0" w:color="auto"/>
        <w:right w:val="none" w:sz="0" w:space="0" w:color="auto"/>
      </w:divBdr>
    </w:div>
    <w:div w:id="734396942">
      <w:marLeft w:val="0"/>
      <w:marRight w:val="0"/>
      <w:marTop w:val="180"/>
      <w:marBottom w:val="120"/>
      <w:divBdr>
        <w:top w:val="none" w:sz="0" w:space="0" w:color="auto"/>
        <w:left w:val="none" w:sz="0" w:space="0" w:color="auto"/>
        <w:bottom w:val="none" w:sz="0" w:space="0" w:color="auto"/>
        <w:right w:val="none" w:sz="0" w:space="0" w:color="auto"/>
      </w:divBdr>
      <w:divsChild>
        <w:div w:id="1570339863">
          <w:marLeft w:val="0"/>
          <w:marRight w:val="0"/>
          <w:marTop w:val="0"/>
          <w:marBottom w:val="0"/>
          <w:divBdr>
            <w:top w:val="none" w:sz="0" w:space="0" w:color="auto"/>
            <w:left w:val="none" w:sz="0" w:space="0" w:color="auto"/>
            <w:bottom w:val="none" w:sz="0" w:space="0" w:color="auto"/>
            <w:right w:val="none" w:sz="0" w:space="0" w:color="auto"/>
          </w:divBdr>
        </w:div>
      </w:divsChild>
    </w:div>
    <w:div w:id="738553522">
      <w:marLeft w:val="0"/>
      <w:marRight w:val="0"/>
      <w:marTop w:val="180"/>
      <w:marBottom w:val="0"/>
      <w:divBdr>
        <w:top w:val="none" w:sz="0" w:space="0" w:color="auto"/>
        <w:left w:val="none" w:sz="0" w:space="0" w:color="auto"/>
        <w:bottom w:val="none" w:sz="0" w:space="0" w:color="auto"/>
        <w:right w:val="none" w:sz="0" w:space="0" w:color="auto"/>
      </w:divBdr>
    </w:div>
    <w:div w:id="740056817">
      <w:marLeft w:val="0"/>
      <w:marRight w:val="0"/>
      <w:marTop w:val="180"/>
      <w:marBottom w:val="0"/>
      <w:divBdr>
        <w:top w:val="none" w:sz="0" w:space="0" w:color="auto"/>
        <w:left w:val="none" w:sz="0" w:space="0" w:color="auto"/>
        <w:bottom w:val="none" w:sz="0" w:space="0" w:color="auto"/>
        <w:right w:val="none" w:sz="0" w:space="0" w:color="auto"/>
      </w:divBdr>
    </w:div>
    <w:div w:id="743256619">
      <w:marLeft w:val="0"/>
      <w:marRight w:val="0"/>
      <w:marTop w:val="180"/>
      <w:marBottom w:val="0"/>
      <w:divBdr>
        <w:top w:val="none" w:sz="0" w:space="0" w:color="auto"/>
        <w:left w:val="none" w:sz="0" w:space="0" w:color="auto"/>
        <w:bottom w:val="none" w:sz="0" w:space="0" w:color="auto"/>
        <w:right w:val="none" w:sz="0" w:space="0" w:color="auto"/>
      </w:divBdr>
    </w:div>
    <w:div w:id="745222705">
      <w:marLeft w:val="0"/>
      <w:marRight w:val="0"/>
      <w:marTop w:val="160"/>
      <w:marBottom w:val="0"/>
      <w:divBdr>
        <w:top w:val="none" w:sz="0" w:space="0" w:color="auto"/>
        <w:left w:val="none" w:sz="0" w:space="0" w:color="auto"/>
        <w:bottom w:val="none" w:sz="0" w:space="0" w:color="auto"/>
        <w:right w:val="none" w:sz="0" w:space="0" w:color="auto"/>
      </w:divBdr>
    </w:div>
    <w:div w:id="745810979">
      <w:marLeft w:val="0"/>
      <w:marRight w:val="0"/>
      <w:marTop w:val="180"/>
      <w:marBottom w:val="0"/>
      <w:divBdr>
        <w:top w:val="none" w:sz="0" w:space="0" w:color="auto"/>
        <w:left w:val="none" w:sz="0" w:space="0" w:color="auto"/>
        <w:bottom w:val="none" w:sz="0" w:space="0" w:color="auto"/>
        <w:right w:val="none" w:sz="0" w:space="0" w:color="auto"/>
      </w:divBdr>
    </w:div>
    <w:div w:id="747581142">
      <w:marLeft w:val="0"/>
      <w:marRight w:val="0"/>
      <w:marTop w:val="180"/>
      <w:marBottom w:val="0"/>
      <w:divBdr>
        <w:top w:val="none" w:sz="0" w:space="0" w:color="auto"/>
        <w:left w:val="none" w:sz="0" w:space="0" w:color="auto"/>
        <w:bottom w:val="none" w:sz="0" w:space="0" w:color="auto"/>
        <w:right w:val="none" w:sz="0" w:space="0" w:color="auto"/>
      </w:divBdr>
    </w:div>
    <w:div w:id="748424190">
      <w:marLeft w:val="0"/>
      <w:marRight w:val="0"/>
      <w:marTop w:val="0"/>
      <w:marBottom w:val="0"/>
      <w:divBdr>
        <w:top w:val="none" w:sz="0" w:space="0" w:color="auto"/>
        <w:left w:val="none" w:sz="0" w:space="0" w:color="auto"/>
        <w:bottom w:val="none" w:sz="0" w:space="0" w:color="auto"/>
        <w:right w:val="none" w:sz="0" w:space="0" w:color="auto"/>
      </w:divBdr>
      <w:divsChild>
        <w:div w:id="1295255800">
          <w:marLeft w:val="0"/>
          <w:marRight w:val="0"/>
          <w:marTop w:val="180"/>
          <w:marBottom w:val="0"/>
          <w:divBdr>
            <w:top w:val="none" w:sz="0" w:space="0" w:color="auto"/>
            <w:left w:val="none" w:sz="0" w:space="0" w:color="auto"/>
            <w:bottom w:val="none" w:sz="0" w:space="0" w:color="auto"/>
            <w:right w:val="none" w:sz="0" w:space="0" w:color="auto"/>
          </w:divBdr>
        </w:div>
      </w:divsChild>
    </w:div>
    <w:div w:id="748619476">
      <w:marLeft w:val="0"/>
      <w:marRight w:val="0"/>
      <w:marTop w:val="0"/>
      <w:marBottom w:val="0"/>
      <w:divBdr>
        <w:top w:val="none" w:sz="0" w:space="0" w:color="auto"/>
        <w:left w:val="none" w:sz="0" w:space="0" w:color="auto"/>
        <w:bottom w:val="none" w:sz="0" w:space="0" w:color="auto"/>
        <w:right w:val="none" w:sz="0" w:space="0" w:color="auto"/>
      </w:divBdr>
      <w:divsChild>
        <w:div w:id="1152601471">
          <w:marLeft w:val="0"/>
          <w:marRight w:val="0"/>
          <w:marTop w:val="0"/>
          <w:marBottom w:val="0"/>
          <w:divBdr>
            <w:top w:val="none" w:sz="0" w:space="0" w:color="auto"/>
            <w:left w:val="none" w:sz="0" w:space="0" w:color="auto"/>
            <w:bottom w:val="none" w:sz="0" w:space="0" w:color="auto"/>
            <w:right w:val="none" w:sz="0" w:space="0" w:color="auto"/>
          </w:divBdr>
          <w:divsChild>
            <w:div w:id="16861760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49275877">
      <w:marLeft w:val="0"/>
      <w:marRight w:val="0"/>
      <w:marTop w:val="0"/>
      <w:marBottom w:val="0"/>
      <w:divBdr>
        <w:top w:val="none" w:sz="0" w:space="0" w:color="auto"/>
        <w:left w:val="none" w:sz="0" w:space="0" w:color="auto"/>
        <w:bottom w:val="none" w:sz="0" w:space="0" w:color="auto"/>
        <w:right w:val="none" w:sz="0" w:space="0" w:color="auto"/>
      </w:divBdr>
    </w:div>
    <w:div w:id="750853128">
      <w:marLeft w:val="0"/>
      <w:marRight w:val="0"/>
      <w:marTop w:val="180"/>
      <w:marBottom w:val="0"/>
      <w:divBdr>
        <w:top w:val="none" w:sz="0" w:space="0" w:color="auto"/>
        <w:left w:val="none" w:sz="0" w:space="0" w:color="auto"/>
        <w:bottom w:val="none" w:sz="0" w:space="0" w:color="auto"/>
        <w:right w:val="none" w:sz="0" w:space="0" w:color="auto"/>
      </w:divBdr>
    </w:div>
    <w:div w:id="754284466">
      <w:marLeft w:val="0"/>
      <w:marRight w:val="0"/>
      <w:marTop w:val="180"/>
      <w:marBottom w:val="0"/>
      <w:divBdr>
        <w:top w:val="none" w:sz="0" w:space="0" w:color="auto"/>
        <w:left w:val="none" w:sz="0" w:space="0" w:color="auto"/>
        <w:bottom w:val="none" w:sz="0" w:space="0" w:color="auto"/>
        <w:right w:val="none" w:sz="0" w:space="0" w:color="auto"/>
      </w:divBdr>
    </w:div>
    <w:div w:id="754938256">
      <w:marLeft w:val="0"/>
      <w:marRight w:val="0"/>
      <w:marTop w:val="0"/>
      <w:marBottom w:val="0"/>
      <w:divBdr>
        <w:top w:val="none" w:sz="0" w:space="0" w:color="auto"/>
        <w:left w:val="none" w:sz="0" w:space="0" w:color="auto"/>
        <w:bottom w:val="none" w:sz="0" w:space="0" w:color="auto"/>
        <w:right w:val="none" w:sz="0" w:space="0" w:color="auto"/>
      </w:divBdr>
      <w:divsChild>
        <w:div w:id="2003702099">
          <w:marLeft w:val="0"/>
          <w:marRight w:val="0"/>
          <w:marTop w:val="180"/>
          <w:marBottom w:val="0"/>
          <w:divBdr>
            <w:top w:val="none" w:sz="0" w:space="0" w:color="auto"/>
            <w:left w:val="none" w:sz="0" w:space="0" w:color="auto"/>
            <w:bottom w:val="none" w:sz="0" w:space="0" w:color="auto"/>
            <w:right w:val="none" w:sz="0" w:space="0" w:color="auto"/>
          </w:divBdr>
        </w:div>
      </w:divsChild>
    </w:div>
    <w:div w:id="756756611">
      <w:marLeft w:val="0"/>
      <w:marRight w:val="0"/>
      <w:marTop w:val="160"/>
      <w:marBottom w:val="0"/>
      <w:divBdr>
        <w:top w:val="none" w:sz="0" w:space="0" w:color="auto"/>
        <w:left w:val="none" w:sz="0" w:space="0" w:color="auto"/>
        <w:bottom w:val="none" w:sz="0" w:space="0" w:color="auto"/>
        <w:right w:val="none" w:sz="0" w:space="0" w:color="auto"/>
      </w:divBdr>
    </w:div>
    <w:div w:id="760570356">
      <w:marLeft w:val="0"/>
      <w:marRight w:val="0"/>
      <w:marTop w:val="180"/>
      <w:marBottom w:val="0"/>
      <w:divBdr>
        <w:top w:val="none" w:sz="0" w:space="0" w:color="auto"/>
        <w:left w:val="none" w:sz="0" w:space="0" w:color="auto"/>
        <w:bottom w:val="none" w:sz="0" w:space="0" w:color="auto"/>
        <w:right w:val="none" w:sz="0" w:space="0" w:color="auto"/>
      </w:divBdr>
    </w:div>
    <w:div w:id="763064582">
      <w:marLeft w:val="0"/>
      <w:marRight w:val="0"/>
      <w:marTop w:val="180"/>
      <w:marBottom w:val="0"/>
      <w:divBdr>
        <w:top w:val="none" w:sz="0" w:space="0" w:color="auto"/>
        <w:left w:val="none" w:sz="0" w:space="0" w:color="auto"/>
        <w:bottom w:val="none" w:sz="0" w:space="0" w:color="auto"/>
        <w:right w:val="none" w:sz="0" w:space="0" w:color="auto"/>
      </w:divBdr>
    </w:div>
    <w:div w:id="763453280">
      <w:marLeft w:val="0"/>
      <w:marRight w:val="0"/>
      <w:marTop w:val="180"/>
      <w:marBottom w:val="0"/>
      <w:divBdr>
        <w:top w:val="none" w:sz="0" w:space="0" w:color="auto"/>
        <w:left w:val="none" w:sz="0" w:space="0" w:color="auto"/>
        <w:bottom w:val="none" w:sz="0" w:space="0" w:color="auto"/>
        <w:right w:val="none" w:sz="0" w:space="0" w:color="auto"/>
      </w:divBdr>
    </w:div>
    <w:div w:id="763497748">
      <w:marLeft w:val="0"/>
      <w:marRight w:val="0"/>
      <w:marTop w:val="180"/>
      <w:marBottom w:val="240"/>
      <w:divBdr>
        <w:top w:val="none" w:sz="0" w:space="0" w:color="auto"/>
        <w:left w:val="none" w:sz="0" w:space="0" w:color="auto"/>
        <w:bottom w:val="none" w:sz="0" w:space="0" w:color="auto"/>
        <w:right w:val="none" w:sz="0" w:space="0" w:color="auto"/>
      </w:divBdr>
    </w:div>
    <w:div w:id="767582283">
      <w:marLeft w:val="0"/>
      <w:marRight w:val="0"/>
      <w:marTop w:val="0"/>
      <w:marBottom w:val="0"/>
      <w:divBdr>
        <w:top w:val="none" w:sz="0" w:space="0" w:color="auto"/>
        <w:left w:val="none" w:sz="0" w:space="0" w:color="auto"/>
        <w:bottom w:val="none" w:sz="0" w:space="0" w:color="auto"/>
        <w:right w:val="none" w:sz="0" w:space="0" w:color="auto"/>
      </w:divBdr>
      <w:divsChild>
        <w:div w:id="1818954193">
          <w:marLeft w:val="0"/>
          <w:marRight w:val="0"/>
          <w:marTop w:val="180"/>
          <w:marBottom w:val="0"/>
          <w:divBdr>
            <w:top w:val="none" w:sz="0" w:space="0" w:color="auto"/>
            <w:left w:val="none" w:sz="0" w:space="0" w:color="auto"/>
            <w:bottom w:val="none" w:sz="0" w:space="0" w:color="auto"/>
            <w:right w:val="none" w:sz="0" w:space="0" w:color="auto"/>
          </w:divBdr>
        </w:div>
      </w:divsChild>
    </w:div>
    <w:div w:id="767778611">
      <w:marLeft w:val="0"/>
      <w:marRight w:val="0"/>
      <w:marTop w:val="180"/>
      <w:marBottom w:val="0"/>
      <w:divBdr>
        <w:top w:val="none" w:sz="0" w:space="0" w:color="auto"/>
        <w:left w:val="none" w:sz="0" w:space="0" w:color="auto"/>
        <w:bottom w:val="none" w:sz="0" w:space="0" w:color="auto"/>
        <w:right w:val="none" w:sz="0" w:space="0" w:color="auto"/>
      </w:divBdr>
    </w:div>
    <w:div w:id="768085366">
      <w:marLeft w:val="0"/>
      <w:marRight w:val="0"/>
      <w:marTop w:val="0"/>
      <w:marBottom w:val="0"/>
      <w:divBdr>
        <w:top w:val="none" w:sz="0" w:space="0" w:color="auto"/>
        <w:left w:val="none" w:sz="0" w:space="0" w:color="auto"/>
        <w:bottom w:val="none" w:sz="0" w:space="0" w:color="auto"/>
        <w:right w:val="none" w:sz="0" w:space="0" w:color="auto"/>
      </w:divBdr>
      <w:divsChild>
        <w:div w:id="288439838">
          <w:marLeft w:val="0"/>
          <w:marRight w:val="0"/>
          <w:marTop w:val="0"/>
          <w:marBottom w:val="0"/>
          <w:divBdr>
            <w:top w:val="none" w:sz="0" w:space="0" w:color="auto"/>
            <w:left w:val="none" w:sz="0" w:space="0" w:color="auto"/>
            <w:bottom w:val="none" w:sz="0" w:space="0" w:color="auto"/>
            <w:right w:val="none" w:sz="0" w:space="0" w:color="auto"/>
          </w:divBdr>
          <w:divsChild>
            <w:div w:id="7536678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8739904">
      <w:marLeft w:val="0"/>
      <w:marRight w:val="0"/>
      <w:marTop w:val="180"/>
      <w:marBottom w:val="0"/>
      <w:divBdr>
        <w:top w:val="none" w:sz="0" w:space="0" w:color="auto"/>
        <w:left w:val="none" w:sz="0" w:space="0" w:color="auto"/>
        <w:bottom w:val="none" w:sz="0" w:space="0" w:color="auto"/>
        <w:right w:val="none" w:sz="0" w:space="0" w:color="auto"/>
      </w:divBdr>
    </w:div>
    <w:div w:id="769080142">
      <w:marLeft w:val="0"/>
      <w:marRight w:val="0"/>
      <w:marTop w:val="60"/>
      <w:marBottom w:val="120"/>
      <w:divBdr>
        <w:top w:val="none" w:sz="0" w:space="0" w:color="auto"/>
        <w:left w:val="none" w:sz="0" w:space="0" w:color="auto"/>
        <w:bottom w:val="none" w:sz="0" w:space="0" w:color="auto"/>
        <w:right w:val="none" w:sz="0" w:space="0" w:color="auto"/>
      </w:divBdr>
    </w:div>
    <w:div w:id="769355041">
      <w:marLeft w:val="0"/>
      <w:marRight w:val="0"/>
      <w:marTop w:val="180"/>
      <w:marBottom w:val="0"/>
      <w:divBdr>
        <w:top w:val="none" w:sz="0" w:space="0" w:color="auto"/>
        <w:left w:val="none" w:sz="0" w:space="0" w:color="auto"/>
        <w:bottom w:val="none" w:sz="0" w:space="0" w:color="auto"/>
        <w:right w:val="none" w:sz="0" w:space="0" w:color="auto"/>
      </w:divBdr>
    </w:div>
    <w:div w:id="770857316">
      <w:marLeft w:val="0"/>
      <w:marRight w:val="0"/>
      <w:marTop w:val="180"/>
      <w:marBottom w:val="0"/>
      <w:divBdr>
        <w:top w:val="none" w:sz="0" w:space="0" w:color="auto"/>
        <w:left w:val="none" w:sz="0" w:space="0" w:color="auto"/>
        <w:bottom w:val="none" w:sz="0" w:space="0" w:color="auto"/>
        <w:right w:val="none" w:sz="0" w:space="0" w:color="auto"/>
      </w:divBdr>
    </w:div>
    <w:div w:id="770901326">
      <w:marLeft w:val="0"/>
      <w:marRight w:val="0"/>
      <w:marTop w:val="120"/>
      <w:marBottom w:val="0"/>
      <w:divBdr>
        <w:top w:val="none" w:sz="0" w:space="0" w:color="auto"/>
        <w:left w:val="none" w:sz="0" w:space="0" w:color="auto"/>
        <w:bottom w:val="none" w:sz="0" w:space="0" w:color="auto"/>
        <w:right w:val="none" w:sz="0" w:space="0" w:color="auto"/>
      </w:divBdr>
    </w:div>
    <w:div w:id="771246074">
      <w:marLeft w:val="0"/>
      <w:marRight w:val="0"/>
      <w:marTop w:val="180"/>
      <w:marBottom w:val="0"/>
      <w:divBdr>
        <w:top w:val="none" w:sz="0" w:space="0" w:color="auto"/>
        <w:left w:val="none" w:sz="0" w:space="0" w:color="auto"/>
        <w:bottom w:val="none" w:sz="0" w:space="0" w:color="auto"/>
        <w:right w:val="none" w:sz="0" w:space="0" w:color="auto"/>
      </w:divBdr>
    </w:div>
    <w:div w:id="771970146">
      <w:marLeft w:val="0"/>
      <w:marRight w:val="0"/>
      <w:marTop w:val="180"/>
      <w:marBottom w:val="120"/>
      <w:divBdr>
        <w:top w:val="none" w:sz="0" w:space="0" w:color="auto"/>
        <w:left w:val="none" w:sz="0" w:space="0" w:color="auto"/>
        <w:bottom w:val="none" w:sz="0" w:space="0" w:color="auto"/>
        <w:right w:val="none" w:sz="0" w:space="0" w:color="auto"/>
      </w:divBdr>
      <w:divsChild>
        <w:div w:id="1049844741">
          <w:marLeft w:val="0"/>
          <w:marRight w:val="0"/>
          <w:marTop w:val="0"/>
          <w:marBottom w:val="0"/>
          <w:divBdr>
            <w:top w:val="none" w:sz="0" w:space="0" w:color="auto"/>
            <w:left w:val="none" w:sz="0" w:space="0" w:color="auto"/>
            <w:bottom w:val="none" w:sz="0" w:space="0" w:color="auto"/>
            <w:right w:val="none" w:sz="0" w:space="0" w:color="auto"/>
          </w:divBdr>
        </w:div>
        <w:div w:id="1278835607">
          <w:marLeft w:val="0"/>
          <w:marRight w:val="0"/>
          <w:marTop w:val="0"/>
          <w:marBottom w:val="0"/>
          <w:divBdr>
            <w:top w:val="none" w:sz="0" w:space="0" w:color="auto"/>
            <w:left w:val="none" w:sz="0" w:space="0" w:color="auto"/>
            <w:bottom w:val="none" w:sz="0" w:space="0" w:color="auto"/>
            <w:right w:val="none" w:sz="0" w:space="0" w:color="auto"/>
          </w:divBdr>
        </w:div>
        <w:div w:id="1984235855">
          <w:marLeft w:val="0"/>
          <w:marRight w:val="0"/>
          <w:marTop w:val="0"/>
          <w:marBottom w:val="0"/>
          <w:divBdr>
            <w:top w:val="none" w:sz="0" w:space="0" w:color="auto"/>
            <w:left w:val="none" w:sz="0" w:space="0" w:color="auto"/>
            <w:bottom w:val="none" w:sz="0" w:space="0" w:color="auto"/>
            <w:right w:val="none" w:sz="0" w:space="0" w:color="auto"/>
          </w:divBdr>
        </w:div>
        <w:div w:id="593170307">
          <w:marLeft w:val="0"/>
          <w:marRight w:val="0"/>
          <w:marTop w:val="0"/>
          <w:marBottom w:val="0"/>
          <w:divBdr>
            <w:top w:val="none" w:sz="0" w:space="0" w:color="auto"/>
            <w:left w:val="none" w:sz="0" w:space="0" w:color="auto"/>
            <w:bottom w:val="none" w:sz="0" w:space="0" w:color="auto"/>
            <w:right w:val="none" w:sz="0" w:space="0" w:color="auto"/>
          </w:divBdr>
        </w:div>
        <w:div w:id="793913289">
          <w:marLeft w:val="0"/>
          <w:marRight w:val="0"/>
          <w:marTop w:val="0"/>
          <w:marBottom w:val="0"/>
          <w:divBdr>
            <w:top w:val="none" w:sz="0" w:space="0" w:color="auto"/>
            <w:left w:val="none" w:sz="0" w:space="0" w:color="auto"/>
            <w:bottom w:val="none" w:sz="0" w:space="0" w:color="auto"/>
            <w:right w:val="none" w:sz="0" w:space="0" w:color="auto"/>
          </w:divBdr>
        </w:div>
        <w:div w:id="1526602171">
          <w:marLeft w:val="0"/>
          <w:marRight w:val="0"/>
          <w:marTop w:val="0"/>
          <w:marBottom w:val="0"/>
          <w:divBdr>
            <w:top w:val="none" w:sz="0" w:space="0" w:color="auto"/>
            <w:left w:val="none" w:sz="0" w:space="0" w:color="auto"/>
            <w:bottom w:val="none" w:sz="0" w:space="0" w:color="auto"/>
            <w:right w:val="none" w:sz="0" w:space="0" w:color="auto"/>
          </w:divBdr>
        </w:div>
        <w:div w:id="560140161">
          <w:marLeft w:val="0"/>
          <w:marRight w:val="0"/>
          <w:marTop w:val="0"/>
          <w:marBottom w:val="0"/>
          <w:divBdr>
            <w:top w:val="none" w:sz="0" w:space="0" w:color="auto"/>
            <w:left w:val="none" w:sz="0" w:space="0" w:color="auto"/>
            <w:bottom w:val="none" w:sz="0" w:space="0" w:color="auto"/>
            <w:right w:val="none" w:sz="0" w:space="0" w:color="auto"/>
          </w:divBdr>
        </w:div>
        <w:div w:id="1356692689">
          <w:marLeft w:val="0"/>
          <w:marRight w:val="0"/>
          <w:marTop w:val="0"/>
          <w:marBottom w:val="0"/>
          <w:divBdr>
            <w:top w:val="none" w:sz="0" w:space="0" w:color="auto"/>
            <w:left w:val="none" w:sz="0" w:space="0" w:color="auto"/>
            <w:bottom w:val="none" w:sz="0" w:space="0" w:color="auto"/>
            <w:right w:val="none" w:sz="0" w:space="0" w:color="auto"/>
          </w:divBdr>
        </w:div>
        <w:div w:id="2107530510">
          <w:marLeft w:val="0"/>
          <w:marRight w:val="0"/>
          <w:marTop w:val="0"/>
          <w:marBottom w:val="0"/>
          <w:divBdr>
            <w:top w:val="none" w:sz="0" w:space="0" w:color="auto"/>
            <w:left w:val="none" w:sz="0" w:space="0" w:color="auto"/>
            <w:bottom w:val="none" w:sz="0" w:space="0" w:color="auto"/>
            <w:right w:val="none" w:sz="0" w:space="0" w:color="auto"/>
          </w:divBdr>
        </w:div>
        <w:div w:id="2047176384">
          <w:marLeft w:val="0"/>
          <w:marRight w:val="0"/>
          <w:marTop w:val="0"/>
          <w:marBottom w:val="0"/>
          <w:divBdr>
            <w:top w:val="none" w:sz="0" w:space="0" w:color="auto"/>
            <w:left w:val="none" w:sz="0" w:space="0" w:color="auto"/>
            <w:bottom w:val="none" w:sz="0" w:space="0" w:color="auto"/>
            <w:right w:val="none" w:sz="0" w:space="0" w:color="auto"/>
          </w:divBdr>
        </w:div>
      </w:divsChild>
    </w:div>
    <w:div w:id="773328917">
      <w:marLeft w:val="0"/>
      <w:marRight w:val="0"/>
      <w:marTop w:val="0"/>
      <w:marBottom w:val="120"/>
      <w:divBdr>
        <w:top w:val="none" w:sz="0" w:space="0" w:color="auto"/>
        <w:left w:val="none" w:sz="0" w:space="0" w:color="auto"/>
        <w:bottom w:val="none" w:sz="0" w:space="0" w:color="auto"/>
        <w:right w:val="none" w:sz="0" w:space="0" w:color="auto"/>
      </w:divBdr>
      <w:divsChild>
        <w:div w:id="2035382371">
          <w:marLeft w:val="0"/>
          <w:marRight w:val="0"/>
          <w:marTop w:val="0"/>
          <w:marBottom w:val="0"/>
          <w:divBdr>
            <w:top w:val="none" w:sz="0" w:space="0" w:color="auto"/>
            <w:left w:val="none" w:sz="0" w:space="0" w:color="auto"/>
            <w:bottom w:val="none" w:sz="0" w:space="0" w:color="auto"/>
            <w:right w:val="none" w:sz="0" w:space="0" w:color="auto"/>
          </w:divBdr>
        </w:div>
        <w:div w:id="629483353">
          <w:marLeft w:val="0"/>
          <w:marRight w:val="0"/>
          <w:marTop w:val="0"/>
          <w:marBottom w:val="0"/>
          <w:divBdr>
            <w:top w:val="none" w:sz="0" w:space="0" w:color="auto"/>
            <w:left w:val="none" w:sz="0" w:space="0" w:color="auto"/>
            <w:bottom w:val="none" w:sz="0" w:space="0" w:color="auto"/>
            <w:right w:val="none" w:sz="0" w:space="0" w:color="auto"/>
          </w:divBdr>
        </w:div>
        <w:div w:id="477259513">
          <w:marLeft w:val="0"/>
          <w:marRight w:val="0"/>
          <w:marTop w:val="0"/>
          <w:marBottom w:val="0"/>
          <w:divBdr>
            <w:top w:val="none" w:sz="0" w:space="0" w:color="auto"/>
            <w:left w:val="none" w:sz="0" w:space="0" w:color="auto"/>
            <w:bottom w:val="none" w:sz="0" w:space="0" w:color="auto"/>
            <w:right w:val="none" w:sz="0" w:space="0" w:color="auto"/>
          </w:divBdr>
        </w:div>
        <w:div w:id="308828698">
          <w:marLeft w:val="0"/>
          <w:marRight w:val="0"/>
          <w:marTop w:val="0"/>
          <w:marBottom w:val="0"/>
          <w:divBdr>
            <w:top w:val="none" w:sz="0" w:space="0" w:color="auto"/>
            <w:left w:val="none" w:sz="0" w:space="0" w:color="auto"/>
            <w:bottom w:val="none" w:sz="0" w:space="0" w:color="auto"/>
            <w:right w:val="none" w:sz="0" w:space="0" w:color="auto"/>
          </w:divBdr>
        </w:div>
        <w:div w:id="1224830225">
          <w:marLeft w:val="0"/>
          <w:marRight w:val="0"/>
          <w:marTop w:val="0"/>
          <w:marBottom w:val="0"/>
          <w:divBdr>
            <w:top w:val="none" w:sz="0" w:space="0" w:color="auto"/>
            <w:left w:val="none" w:sz="0" w:space="0" w:color="auto"/>
            <w:bottom w:val="none" w:sz="0" w:space="0" w:color="auto"/>
            <w:right w:val="none" w:sz="0" w:space="0" w:color="auto"/>
          </w:divBdr>
        </w:div>
        <w:div w:id="1279486847">
          <w:marLeft w:val="0"/>
          <w:marRight w:val="0"/>
          <w:marTop w:val="0"/>
          <w:marBottom w:val="0"/>
          <w:divBdr>
            <w:top w:val="none" w:sz="0" w:space="0" w:color="auto"/>
            <w:left w:val="none" w:sz="0" w:space="0" w:color="auto"/>
            <w:bottom w:val="none" w:sz="0" w:space="0" w:color="auto"/>
            <w:right w:val="none" w:sz="0" w:space="0" w:color="auto"/>
          </w:divBdr>
        </w:div>
        <w:div w:id="230972673">
          <w:marLeft w:val="0"/>
          <w:marRight w:val="0"/>
          <w:marTop w:val="0"/>
          <w:marBottom w:val="0"/>
          <w:divBdr>
            <w:top w:val="none" w:sz="0" w:space="0" w:color="auto"/>
            <w:left w:val="none" w:sz="0" w:space="0" w:color="auto"/>
            <w:bottom w:val="none" w:sz="0" w:space="0" w:color="auto"/>
            <w:right w:val="none" w:sz="0" w:space="0" w:color="auto"/>
          </w:divBdr>
        </w:div>
        <w:div w:id="181163318">
          <w:marLeft w:val="0"/>
          <w:marRight w:val="0"/>
          <w:marTop w:val="0"/>
          <w:marBottom w:val="0"/>
          <w:divBdr>
            <w:top w:val="none" w:sz="0" w:space="0" w:color="auto"/>
            <w:left w:val="none" w:sz="0" w:space="0" w:color="auto"/>
            <w:bottom w:val="none" w:sz="0" w:space="0" w:color="auto"/>
            <w:right w:val="none" w:sz="0" w:space="0" w:color="auto"/>
          </w:divBdr>
        </w:div>
        <w:div w:id="212926867">
          <w:marLeft w:val="0"/>
          <w:marRight w:val="0"/>
          <w:marTop w:val="0"/>
          <w:marBottom w:val="0"/>
          <w:divBdr>
            <w:top w:val="none" w:sz="0" w:space="0" w:color="auto"/>
            <w:left w:val="none" w:sz="0" w:space="0" w:color="auto"/>
            <w:bottom w:val="none" w:sz="0" w:space="0" w:color="auto"/>
            <w:right w:val="none" w:sz="0" w:space="0" w:color="auto"/>
          </w:divBdr>
        </w:div>
        <w:div w:id="1768576142">
          <w:marLeft w:val="0"/>
          <w:marRight w:val="0"/>
          <w:marTop w:val="0"/>
          <w:marBottom w:val="0"/>
          <w:divBdr>
            <w:top w:val="none" w:sz="0" w:space="0" w:color="auto"/>
            <w:left w:val="none" w:sz="0" w:space="0" w:color="auto"/>
            <w:bottom w:val="none" w:sz="0" w:space="0" w:color="auto"/>
            <w:right w:val="none" w:sz="0" w:space="0" w:color="auto"/>
          </w:divBdr>
        </w:div>
        <w:div w:id="2078438010">
          <w:marLeft w:val="0"/>
          <w:marRight w:val="0"/>
          <w:marTop w:val="0"/>
          <w:marBottom w:val="0"/>
          <w:divBdr>
            <w:top w:val="none" w:sz="0" w:space="0" w:color="auto"/>
            <w:left w:val="none" w:sz="0" w:space="0" w:color="auto"/>
            <w:bottom w:val="none" w:sz="0" w:space="0" w:color="auto"/>
            <w:right w:val="none" w:sz="0" w:space="0" w:color="auto"/>
          </w:divBdr>
        </w:div>
      </w:divsChild>
    </w:div>
    <w:div w:id="773551217">
      <w:marLeft w:val="0"/>
      <w:marRight w:val="0"/>
      <w:marTop w:val="180"/>
      <w:marBottom w:val="180"/>
      <w:divBdr>
        <w:top w:val="none" w:sz="0" w:space="0" w:color="auto"/>
        <w:left w:val="none" w:sz="0" w:space="0" w:color="auto"/>
        <w:bottom w:val="none" w:sz="0" w:space="0" w:color="auto"/>
        <w:right w:val="none" w:sz="0" w:space="0" w:color="auto"/>
      </w:divBdr>
    </w:div>
    <w:div w:id="773749085">
      <w:marLeft w:val="0"/>
      <w:marRight w:val="0"/>
      <w:marTop w:val="180"/>
      <w:marBottom w:val="0"/>
      <w:divBdr>
        <w:top w:val="none" w:sz="0" w:space="0" w:color="auto"/>
        <w:left w:val="none" w:sz="0" w:space="0" w:color="auto"/>
        <w:bottom w:val="none" w:sz="0" w:space="0" w:color="auto"/>
        <w:right w:val="none" w:sz="0" w:space="0" w:color="auto"/>
      </w:divBdr>
    </w:div>
    <w:div w:id="774208056">
      <w:marLeft w:val="0"/>
      <w:marRight w:val="0"/>
      <w:marTop w:val="180"/>
      <w:marBottom w:val="0"/>
      <w:divBdr>
        <w:top w:val="none" w:sz="0" w:space="0" w:color="auto"/>
        <w:left w:val="none" w:sz="0" w:space="0" w:color="auto"/>
        <w:bottom w:val="none" w:sz="0" w:space="0" w:color="auto"/>
        <w:right w:val="none" w:sz="0" w:space="0" w:color="auto"/>
      </w:divBdr>
    </w:div>
    <w:div w:id="776677512">
      <w:marLeft w:val="0"/>
      <w:marRight w:val="0"/>
      <w:marTop w:val="0"/>
      <w:marBottom w:val="0"/>
      <w:divBdr>
        <w:top w:val="none" w:sz="0" w:space="0" w:color="auto"/>
        <w:left w:val="none" w:sz="0" w:space="0" w:color="auto"/>
        <w:bottom w:val="none" w:sz="0" w:space="0" w:color="auto"/>
        <w:right w:val="none" w:sz="0" w:space="0" w:color="auto"/>
      </w:divBdr>
      <w:divsChild>
        <w:div w:id="316495282">
          <w:marLeft w:val="0"/>
          <w:marRight w:val="0"/>
          <w:marTop w:val="0"/>
          <w:marBottom w:val="0"/>
          <w:divBdr>
            <w:top w:val="none" w:sz="0" w:space="0" w:color="auto"/>
            <w:left w:val="none" w:sz="0" w:space="0" w:color="auto"/>
            <w:bottom w:val="none" w:sz="0" w:space="0" w:color="auto"/>
            <w:right w:val="none" w:sz="0" w:space="0" w:color="auto"/>
          </w:divBdr>
          <w:divsChild>
            <w:div w:id="1474442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7480615">
      <w:marLeft w:val="0"/>
      <w:marRight w:val="0"/>
      <w:marTop w:val="0"/>
      <w:marBottom w:val="0"/>
      <w:divBdr>
        <w:top w:val="none" w:sz="0" w:space="0" w:color="auto"/>
        <w:left w:val="none" w:sz="0" w:space="0" w:color="auto"/>
        <w:bottom w:val="none" w:sz="0" w:space="0" w:color="auto"/>
        <w:right w:val="none" w:sz="0" w:space="0" w:color="auto"/>
      </w:divBdr>
      <w:divsChild>
        <w:div w:id="191920635">
          <w:marLeft w:val="0"/>
          <w:marRight w:val="0"/>
          <w:marTop w:val="180"/>
          <w:marBottom w:val="0"/>
          <w:divBdr>
            <w:top w:val="none" w:sz="0" w:space="0" w:color="auto"/>
            <w:left w:val="none" w:sz="0" w:space="0" w:color="auto"/>
            <w:bottom w:val="none" w:sz="0" w:space="0" w:color="auto"/>
            <w:right w:val="none" w:sz="0" w:space="0" w:color="auto"/>
          </w:divBdr>
        </w:div>
      </w:divsChild>
    </w:div>
    <w:div w:id="777598716">
      <w:marLeft w:val="0"/>
      <w:marRight w:val="0"/>
      <w:marTop w:val="0"/>
      <w:marBottom w:val="0"/>
      <w:divBdr>
        <w:top w:val="none" w:sz="0" w:space="0" w:color="auto"/>
        <w:left w:val="none" w:sz="0" w:space="0" w:color="auto"/>
        <w:bottom w:val="none" w:sz="0" w:space="0" w:color="auto"/>
        <w:right w:val="none" w:sz="0" w:space="0" w:color="auto"/>
      </w:divBdr>
      <w:divsChild>
        <w:div w:id="240067287">
          <w:marLeft w:val="0"/>
          <w:marRight w:val="0"/>
          <w:marTop w:val="0"/>
          <w:marBottom w:val="0"/>
          <w:divBdr>
            <w:top w:val="none" w:sz="0" w:space="0" w:color="auto"/>
            <w:left w:val="none" w:sz="0" w:space="0" w:color="auto"/>
            <w:bottom w:val="none" w:sz="0" w:space="0" w:color="auto"/>
            <w:right w:val="none" w:sz="0" w:space="0" w:color="auto"/>
          </w:divBdr>
          <w:divsChild>
            <w:div w:id="9955745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7720250">
      <w:marLeft w:val="0"/>
      <w:marRight w:val="0"/>
      <w:marTop w:val="180"/>
      <w:marBottom w:val="0"/>
      <w:divBdr>
        <w:top w:val="none" w:sz="0" w:space="0" w:color="auto"/>
        <w:left w:val="none" w:sz="0" w:space="0" w:color="auto"/>
        <w:bottom w:val="none" w:sz="0" w:space="0" w:color="auto"/>
        <w:right w:val="none" w:sz="0" w:space="0" w:color="auto"/>
      </w:divBdr>
    </w:div>
    <w:div w:id="781069294">
      <w:marLeft w:val="0"/>
      <w:marRight w:val="0"/>
      <w:marTop w:val="0"/>
      <w:marBottom w:val="0"/>
      <w:divBdr>
        <w:top w:val="none" w:sz="0" w:space="0" w:color="auto"/>
        <w:left w:val="none" w:sz="0" w:space="0" w:color="auto"/>
        <w:bottom w:val="none" w:sz="0" w:space="0" w:color="auto"/>
        <w:right w:val="none" w:sz="0" w:space="0" w:color="auto"/>
      </w:divBdr>
      <w:divsChild>
        <w:div w:id="2139837113">
          <w:marLeft w:val="0"/>
          <w:marRight w:val="0"/>
          <w:marTop w:val="0"/>
          <w:marBottom w:val="0"/>
          <w:divBdr>
            <w:top w:val="none" w:sz="0" w:space="0" w:color="auto"/>
            <w:left w:val="none" w:sz="0" w:space="0" w:color="auto"/>
            <w:bottom w:val="none" w:sz="0" w:space="0" w:color="auto"/>
            <w:right w:val="none" w:sz="0" w:space="0" w:color="auto"/>
          </w:divBdr>
          <w:divsChild>
            <w:div w:id="16041923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81146442">
      <w:marLeft w:val="0"/>
      <w:marRight w:val="0"/>
      <w:marTop w:val="120"/>
      <w:marBottom w:val="0"/>
      <w:divBdr>
        <w:top w:val="none" w:sz="0" w:space="0" w:color="auto"/>
        <w:left w:val="none" w:sz="0" w:space="0" w:color="auto"/>
        <w:bottom w:val="none" w:sz="0" w:space="0" w:color="auto"/>
        <w:right w:val="none" w:sz="0" w:space="0" w:color="auto"/>
      </w:divBdr>
    </w:div>
    <w:div w:id="782576616">
      <w:marLeft w:val="0"/>
      <w:marRight w:val="0"/>
      <w:marTop w:val="180"/>
      <w:marBottom w:val="0"/>
      <w:divBdr>
        <w:top w:val="none" w:sz="0" w:space="0" w:color="auto"/>
        <w:left w:val="none" w:sz="0" w:space="0" w:color="auto"/>
        <w:bottom w:val="none" w:sz="0" w:space="0" w:color="auto"/>
        <w:right w:val="none" w:sz="0" w:space="0" w:color="auto"/>
      </w:divBdr>
    </w:div>
    <w:div w:id="782960585">
      <w:marLeft w:val="0"/>
      <w:marRight w:val="0"/>
      <w:marTop w:val="180"/>
      <w:marBottom w:val="0"/>
      <w:divBdr>
        <w:top w:val="none" w:sz="0" w:space="0" w:color="auto"/>
        <w:left w:val="none" w:sz="0" w:space="0" w:color="auto"/>
        <w:bottom w:val="none" w:sz="0" w:space="0" w:color="auto"/>
        <w:right w:val="none" w:sz="0" w:space="0" w:color="auto"/>
      </w:divBdr>
    </w:div>
    <w:div w:id="784734743">
      <w:marLeft w:val="0"/>
      <w:marRight w:val="0"/>
      <w:marTop w:val="0"/>
      <w:marBottom w:val="0"/>
      <w:divBdr>
        <w:top w:val="none" w:sz="0" w:space="0" w:color="auto"/>
        <w:left w:val="none" w:sz="0" w:space="0" w:color="auto"/>
        <w:bottom w:val="none" w:sz="0" w:space="0" w:color="auto"/>
        <w:right w:val="none" w:sz="0" w:space="0" w:color="auto"/>
      </w:divBdr>
      <w:divsChild>
        <w:div w:id="681199052">
          <w:marLeft w:val="0"/>
          <w:marRight w:val="0"/>
          <w:marTop w:val="180"/>
          <w:marBottom w:val="0"/>
          <w:divBdr>
            <w:top w:val="none" w:sz="0" w:space="0" w:color="auto"/>
            <w:left w:val="none" w:sz="0" w:space="0" w:color="auto"/>
            <w:bottom w:val="none" w:sz="0" w:space="0" w:color="auto"/>
            <w:right w:val="none" w:sz="0" w:space="0" w:color="auto"/>
          </w:divBdr>
        </w:div>
      </w:divsChild>
    </w:div>
    <w:div w:id="789471513">
      <w:marLeft w:val="0"/>
      <w:marRight w:val="0"/>
      <w:marTop w:val="0"/>
      <w:marBottom w:val="0"/>
      <w:divBdr>
        <w:top w:val="none" w:sz="0" w:space="0" w:color="auto"/>
        <w:left w:val="none" w:sz="0" w:space="0" w:color="auto"/>
        <w:bottom w:val="none" w:sz="0" w:space="0" w:color="auto"/>
        <w:right w:val="none" w:sz="0" w:space="0" w:color="auto"/>
      </w:divBdr>
      <w:divsChild>
        <w:div w:id="816385540">
          <w:marLeft w:val="0"/>
          <w:marRight w:val="0"/>
          <w:marTop w:val="0"/>
          <w:marBottom w:val="0"/>
          <w:divBdr>
            <w:top w:val="none" w:sz="0" w:space="0" w:color="auto"/>
            <w:left w:val="none" w:sz="0" w:space="0" w:color="auto"/>
            <w:bottom w:val="none" w:sz="0" w:space="0" w:color="auto"/>
            <w:right w:val="none" w:sz="0" w:space="0" w:color="auto"/>
          </w:divBdr>
        </w:div>
      </w:divsChild>
    </w:div>
    <w:div w:id="791753489">
      <w:marLeft w:val="0"/>
      <w:marRight w:val="0"/>
      <w:marTop w:val="180"/>
      <w:marBottom w:val="120"/>
      <w:divBdr>
        <w:top w:val="none" w:sz="0" w:space="0" w:color="auto"/>
        <w:left w:val="none" w:sz="0" w:space="0" w:color="auto"/>
        <w:bottom w:val="none" w:sz="0" w:space="0" w:color="auto"/>
        <w:right w:val="none" w:sz="0" w:space="0" w:color="auto"/>
      </w:divBdr>
    </w:div>
    <w:div w:id="792748719">
      <w:marLeft w:val="0"/>
      <w:marRight w:val="0"/>
      <w:marTop w:val="180"/>
      <w:marBottom w:val="0"/>
      <w:divBdr>
        <w:top w:val="none" w:sz="0" w:space="0" w:color="auto"/>
        <w:left w:val="none" w:sz="0" w:space="0" w:color="auto"/>
        <w:bottom w:val="none" w:sz="0" w:space="0" w:color="auto"/>
        <w:right w:val="none" w:sz="0" w:space="0" w:color="auto"/>
      </w:divBdr>
    </w:div>
    <w:div w:id="794175799">
      <w:marLeft w:val="0"/>
      <w:marRight w:val="0"/>
      <w:marTop w:val="180"/>
      <w:marBottom w:val="0"/>
      <w:divBdr>
        <w:top w:val="none" w:sz="0" w:space="0" w:color="auto"/>
        <w:left w:val="none" w:sz="0" w:space="0" w:color="auto"/>
        <w:bottom w:val="none" w:sz="0" w:space="0" w:color="auto"/>
        <w:right w:val="none" w:sz="0" w:space="0" w:color="auto"/>
      </w:divBdr>
    </w:div>
    <w:div w:id="799231221">
      <w:marLeft w:val="0"/>
      <w:marRight w:val="0"/>
      <w:marTop w:val="180"/>
      <w:marBottom w:val="120"/>
      <w:divBdr>
        <w:top w:val="none" w:sz="0" w:space="0" w:color="auto"/>
        <w:left w:val="none" w:sz="0" w:space="0" w:color="auto"/>
        <w:bottom w:val="none" w:sz="0" w:space="0" w:color="auto"/>
        <w:right w:val="none" w:sz="0" w:space="0" w:color="auto"/>
      </w:divBdr>
    </w:div>
    <w:div w:id="799496518">
      <w:marLeft w:val="0"/>
      <w:marRight w:val="0"/>
      <w:marTop w:val="180"/>
      <w:marBottom w:val="120"/>
      <w:divBdr>
        <w:top w:val="none" w:sz="0" w:space="0" w:color="auto"/>
        <w:left w:val="none" w:sz="0" w:space="0" w:color="auto"/>
        <w:bottom w:val="none" w:sz="0" w:space="0" w:color="auto"/>
        <w:right w:val="none" w:sz="0" w:space="0" w:color="auto"/>
      </w:divBdr>
    </w:div>
    <w:div w:id="800346582">
      <w:marLeft w:val="0"/>
      <w:marRight w:val="0"/>
      <w:marTop w:val="180"/>
      <w:marBottom w:val="0"/>
      <w:divBdr>
        <w:top w:val="none" w:sz="0" w:space="0" w:color="auto"/>
        <w:left w:val="none" w:sz="0" w:space="0" w:color="auto"/>
        <w:bottom w:val="none" w:sz="0" w:space="0" w:color="auto"/>
        <w:right w:val="none" w:sz="0" w:space="0" w:color="auto"/>
      </w:divBdr>
    </w:div>
    <w:div w:id="800347901">
      <w:marLeft w:val="0"/>
      <w:marRight w:val="0"/>
      <w:marTop w:val="180"/>
      <w:marBottom w:val="0"/>
      <w:divBdr>
        <w:top w:val="none" w:sz="0" w:space="0" w:color="auto"/>
        <w:left w:val="none" w:sz="0" w:space="0" w:color="auto"/>
        <w:bottom w:val="none" w:sz="0" w:space="0" w:color="auto"/>
        <w:right w:val="none" w:sz="0" w:space="0" w:color="auto"/>
      </w:divBdr>
    </w:div>
    <w:div w:id="807281341">
      <w:marLeft w:val="0"/>
      <w:marRight w:val="0"/>
      <w:marTop w:val="0"/>
      <w:marBottom w:val="0"/>
      <w:divBdr>
        <w:top w:val="none" w:sz="0" w:space="0" w:color="auto"/>
        <w:left w:val="none" w:sz="0" w:space="0" w:color="auto"/>
        <w:bottom w:val="none" w:sz="0" w:space="0" w:color="auto"/>
        <w:right w:val="none" w:sz="0" w:space="0" w:color="auto"/>
      </w:divBdr>
      <w:divsChild>
        <w:div w:id="264266266">
          <w:marLeft w:val="0"/>
          <w:marRight w:val="0"/>
          <w:marTop w:val="180"/>
          <w:marBottom w:val="0"/>
          <w:divBdr>
            <w:top w:val="none" w:sz="0" w:space="0" w:color="auto"/>
            <w:left w:val="none" w:sz="0" w:space="0" w:color="auto"/>
            <w:bottom w:val="none" w:sz="0" w:space="0" w:color="auto"/>
            <w:right w:val="none" w:sz="0" w:space="0" w:color="auto"/>
          </w:divBdr>
        </w:div>
      </w:divsChild>
    </w:div>
    <w:div w:id="808128174">
      <w:marLeft w:val="0"/>
      <w:marRight w:val="0"/>
      <w:marTop w:val="180"/>
      <w:marBottom w:val="0"/>
      <w:divBdr>
        <w:top w:val="none" w:sz="0" w:space="0" w:color="auto"/>
        <w:left w:val="none" w:sz="0" w:space="0" w:color="auto"/>
        <w:bottom w:val="none" w:sz="0" w:space="0" w:color="auto"/>
        <w:right w:val="none" w:sz="0" w:space="0" w:color="auto"/>
      </w:divBdr>
    </w:div>
    <w:div w:id="810102624">
      <w:marLeft w:val="0"/>
      <w:marRight w:val="0"/>
      <w:marTop w:val="0"/>
      <w:marBottom w:val="0"/>
      <w:divBdr>
        <w:top w:val="none" w:sz="0" w:space="0" w:color="auto"/>
        <w:left w:val="none" w:sz="0" w:space="0" w:color="auto"/>
        <w:bottom w:val="none" w:sz="0" w:space="0" w:color="auto"/>
        <w:right w:val="none" w:sz="0" w:space="0" w:color="auto"/>
      </w:divBdr>
    </w:div>
    <w:div w:id="813982993">
      <w:marLeft w:val="0"/>
      <w:marRight w:val="0"/>
      <w:marTop w:val="180"/>
      <w:marBottom w:val="0"/>
      <w:divBdr>
        <w:top w:val="none" w:sz="0" w:space="0" w:color="auto"/>
        <w:left w:val="none" w:sz="0" w:space="0" w:color="auto"/>
        <w:bottom w:val="none" w:sz="0" w:space="0" w:color="auto"/>
        <w:right w:val="none" w:sz="0" w:space="0" w:color="auto"/>
      </w:divBdr>
    </w:div>
    <w:div w:id="816146187">
      <w:marLeft w:val="0"/>
      <w:marRight w:val="0"/>
      <w:marTop w:val="180"/>
      <w:marBottom w:val="180"/>
      <w:divBdr>
        <w:top w:val="none" w:sz="0" w:space="0" w:color="auto"/>
        <w:left w:val="none" w:sz="0" w:space="0" w:color="auto"/>
        <w:bottom w:val="none" w:sz="0" w:space="0" w:color="auto"/>
        <w:right w:val="none" w:sz="0" w:space="0" w:color="auto"/>
      </w:divBdr>
    </w:div>
    <w:div w:id="818695751">
      <w:marLeft w:val="0"/>
      <w:marRight w:val="0"/>
      <w:marTop w:val="0"/>
      <w:marBottom w:val="0"/>
      <w:divBdr>
        <w:top w:val="none" w:sz="0" w:space="0" w:color="auto"/>
        <w:left w:val="none" w:sz="0" w:space="0" w:color="auto"/>
        <w:bottom w:val="none" w:sz="0" w:space="0" w:color="auto"/>
        <w:right w:val="none" w:sz="0" w:space="0" w:color="auto"/>
      </w:divBdr>
      <w:divsChild>
        <w:div w:id="1588929416">
          <w:marLeft w:val="0"/>
          <w:marRight w:val="0"/>
          <w:marTop w:val="180"/>
          <w:marBottom w:val="0"/>
          <w:divBdr>
            <w:top w:val="none" w:sz="0" w:space="0" w:color="auto"/>
            <w:left w:val="none" w:sz="0" w:space="0" w:color="auto"/>
            <w:bottom w:val="none" w:sz="0" w:space="0" w:color="auto"/>
            <w:right w:val="none" w:sz="0" w:space="0" w:color="auto"/>
          </w:divBdr>
        </w:div>
      </w:divsChild>
    </w:div>
    <w:div w:id="820510957">
      <w:marLeft w:val="0"/>
      <w:marRight w:val="0"/>
      <w:marTop w:val="180"/>
      <w:marBottom w:val="0"/>
      <w:divBdr>
        <w:top w:val="none" w:sz="0" w:space="0" w:color="auto"/>
        <w:left w:val="none" w:sz="0" w:space="0" w:color="auto"/>
        <w:bottom w:val="none" w:sz="0" w:space="0" w:color="auto"/>
        <w:right w:val="none" w:sz="0" w:space="0" w:color="auto"/>
      </w:divBdr>
    </w:div>
    <w:div w:id="821502541">
      <w:marLeft w:val="0"/>
      <w:marRight w:val="0"/>
      <w:marTop w:val="180"/>
      <w:marBottom w:val="0"/>
      <w:divBdr>
        <w:top w:val="none" w:sz="0" w:space="0" w:color="auto"/>
        <w:left w:val="none" w:sz="0" w:space="0" w:color="auto"/>
        <w:bottom w:val="none" w:sz="0" w:space="0" w:color="auto"/>
        <w:right w:val="none" w:sz="0" w:space="0" w:color="auto"/>
      </w:divBdr>
    </w:div>
    <w:div w:id="822356325">
      <w:marLeft w:val="0"/>
      <w:marRight w:val="0"/>
      <w:marTop w:val="180"/>
      <w:marBottom w:val="0"/>
      <w:divBdr>
        <w:top w:val="none" w:sz="0" w:space="0" w:color="auto"/>
        <w:left w:val="none" w:sz="0" w:space="0" w:color="auto"/>
        <w:bottom w:val="none" w:sz="0" w:space="0" w:color="auto"/>
        <w:right w:val="none" w:sz="0" w:space="0" w:color="auto"/>
      </w:divBdr>
    </w:div>
    <w:div w:id="824200625">
      <w:marLeft w:val="0"/>
      <w:marRight w:val="0"/>
      <w:marTop w:val="180"/>
      <w:marBottom w:val="0"/>
      <w:divBdr>
        <w:top w:val="none" w:sz="0" w:space="0" w:color="auto"/>
        <w:left w:val="none" w:sz="0" w:space="0" w:color="auto"/>
        <w:bottom w:val="none" w:sz="0" w:space="0" w:color="auto"/>
        <w:right w:val="none" w:sz="0" w:space="0" w:color="auto"/>
      </w:divBdr>
    </w:div>
    <w:div w:id="827598681">
      <w:marLeft w:val="0"/>
      <w:marRight w:val="0"/>
      <w:marTop w:val="180"/>
      <w:marBottom w:val="0"/>
      <w:divBdr>
        <w:top w:val="none" w:sz="0" w:space="0" w:color="auto"/>
        <w:left w:val="none" w:sz="0" w:space="0" w:color="auto"/>
        <w:bottom w:val="none" w:sz="0" w:space="0" w:color="auto"/>
        <w:right w:val="none" w:sz="0" w:space="0" w:color="auto"/>
      </w:divBdr>
    </w:div>
    <w:div w:id="828524366">
      <w:marLeft w:val="0"/>
      <w:marRight w:val="0"/>
      <w:marTop w:val="180"/>
      <w:marBottom w:val="0"/>
      <w:divBdr>
        <w:top w:val="none" w:sz="0" w:space="0" w:color="auto"/>
        <w:left w:val="none" w:sz="0" w:space="0" w:color="auto"/>
        <w:bottom w:val="none" w:sz="0" w:space="0" w:color="auto"/>
        <w:right w:val="none" w:sz="0" w:space="0" w:color="auto"/>
      </w:divBdr>
    </w:div>
    <w:div w:id="828712215">
      <w:marLeft w:val="0"/>
      <w:marRight w:val="0"/>
      <w:marTop w:val="0"/>
      <w:marBottom w:val="0"/>
      <w:divBdr>
        <w:top w:val="none" w:sz="0" w:space="0" w:color="auto"/>
        <w:left w:val="none" w:sz="0" w:space="0" w:color="auto"/>
        <w:bottom w:val="none" w:sz="0" w:space="0" w:color="auto"/>
        <w:right w:val="none" w:sz="0" w:space="0" w:color="auto"/>
      </w:divBdr>
      <w:divsChild>
        <w:div w:id="949629233">
          <w:marLeft w:val="0"/>
          <w:marRight w:val="0"/>
          <w:marTop w:val="0"/>
          <w:marBottom w:val="0"/>
          <w:divBdr>
            <w:top w:val="none" w:sz="0" w:space="0" w:color="auto"/>
            <w:left w:val="none" w:sz="0" w:space="0" w:color="auto"/>
            <w:bottom w:val="none" w:sz="0" w:space="0" w:color="auto"/>
            <w:right w:val="none" w:sz="0" w:space="0" w:color="auto"/>
          </w:divBdr>
        </w:div>
      </w:divsChild>
    </w:div>
    <w:div w:id="830372975">
      <w:marLeft w:val="0"/>
      <w:marRight w:val="0"/>
      <w:marTop w:val="180"/>
      <w:marBottom w:val="0"/>
      <w:divBdr>
        <w:top w:val="none" w:sz="0" w:space="0" w:color="auto"/>
        <w:left w:val="none" w:sz="0" w:space="0" w:color="auto"/>
        <w:bottom w:val="none" w:sz="0" w:space="0" w:color="auto"/>
        <w:right w:val="none" w:sz="0" w:space="0" w:color="auto"/>
      </w:divBdr>
    </w:div>
    <w:div w:id="832379415">
      <w:marLeft w:val="0"/>
      <w:marRight w:val="0"/>
      <w:marTop w:val="0"/>
      <w:marBottom w:val="0"/>
      <w:divBdr>
        <w:top w:val="none" w:sz="0" w:space="0" w:color="auto"/>
        <w:left w:val="none" w:sz="0" w:space="0" w:color="auto"/>
        <w:bottom w:val="none" w:sz="0" w:space="0" w:color="auto"/>
        <w:right w:val="none" w:sz="0" w:space="0" w:color="auto"/>
      </w:divBdr>
      <w:divsChild>
        <w:div w:id="996614361">
          <w:marLeft w:val="0"/>
          <w:marRight w:val="0"/>
          <w:marTop w:val="0"/>
          <w:marBottom w:val="0"/>
          <w:divBdr>
            <w:top w:val="none" w:sz="0" w:space="0" w:color="auto"/>
            <w:left w:val="none" w:sz="0" w:space="0" w:color="auto"/>
            <w:bottom w:val="none" w:sz="0" w:space="0" w:color="auto"/>
            <w:right w:val="none" w:sz="0" w:space="0" w:color="auto"/>
          </w:divBdr>
          <w:divsChild>
            <w:div w:id="18484020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34414007">
      <w:marLeft w:val="0"/>
      <w:marRight w:val="0"/>
      <w:marTop w:val="180"/>
      <w:marBottom w:val="0"/>
      <w:divBdr>
        <w:top w:val="none" w:sz="0" w:space="0" w:color="auto"/>
        <w:left w:val="none" w:sz="0" w:space="0" w:color="auto"/>
        <w:bottom w:val="none" w:sz="0" w:space="0" w:color="auto"/>
        <w:right w:val="none" w:sz="0" w:space="0" w:color="auto"/>
      </w:divBdr>
    </w:div>
    <w:div w:id="835269101">
      <w:marLeft w:val="0"/>
      <w:marRight w:val="0"/>
      <w:marTop w:val="240"/>
      <w:marBottom w:val="0"/>
      <w:divBdr>
        <w:top w:val="none" w:sz="0" w:space="0" w:color="auto"/>
        <w:left w:val="none" w:sz="0" w:space="0" w:color="auto"/>
        <w:bottom w:val="none" w:sz="0" w:space="0" w:color="auto"/>
        <w:right w:val="none" w:sz="0" w:space="0" w:color="auto"/>
      </w:divBdr>
    </w:div>
    <w:div w:id="835611685">
      <w:marLeft w:val="0"/>
      <w:marRight w:val="0"/>
      <w:marTop w:val="180"/>
      <w:marBottom w:val="0"/>
      <w:divBdr>
        <w:top w:val="none" w:sz="0" w:space="0" w:color="auto"/>
        <w:left w:val="none" w:sz="0" w:space="0" w:color="auto"/>
        <w:bottom w:val="none" w:sz="0" w:space="0" w:color="auto"/>
        <w:right w:val="none" w:sz="0" w:space="0" w:color="auto"/>
      </w:divBdr>
    </w:div>
    <w:div w:id="837771142">
      <w:marLeft w:val="0"/>
      <w:marRight w:val="0"/>
      <w:marTop w:val="0"/>
      <w:marBottom w:val="0"/>
      <w:divBdr>
        <w:top w:val="none" w:sz="0" w:space="0" w:color="auto"/>
        <w:left w:val="none" w:sz="0" w:space="0" w:color="auto"/>
        <w:bottom w:val="none" w:sz="0" w:space="0" w:color="auto"/>
        <w:right w:val="none" w:sz="0" w:space="0" w:color="auto"/>
      </w:divBdr>
    </w:div>
    <w:div w:id="837888914">
      <w:marLeft w:val="0"/>
      <w:marRight w:val="0"/>
      <w:marTop w:val="180"/>
      <w:marBottom w:val="120"/>
      <w:divBdr>
        <w:top w:val="none" w:sz="0" w:space="0" w:color="auto"/>
        <w:left w:val="none" w:sz="0" w:space="0" w:color="auto"/>
        <w:bottom w:val="none" w:sz="0" w:space="0" w:color="auto"/>
        <w:right w:val="none" w:sz="0" w:space="0" w:color="auto"/>
      </w:divBdr>
    </w:div>
    <w:div w:id="837891910">
      <w:marLeft w:val="0"/>
      <w:marRight w:val="0"/>
      <w:marTop w:val="180"/>
      <w:marBottom w:val="0"/>
      <w:divBdr>
        <w:top w:val="none" w:sz="0" w:space="0" w:color="auto"/>
        <w:left w:val="none" w:sz="0" w:space="0" w:color="auto"/>
        <w:bottom w:val="none" w:sz="0" w:space="0" w:color="auto"/>
        <w:right w:val="none" w:sz="0" w:space="0" w:color="auto"/>
      </w:divBdr>
    </w:div>
    <w:div w:id="838812011">
      <w:marLeft w:val="0"/>
      <w:marRight w:val="0"/>
      <w:marTop w:val="180"/>
      <w:marBottom w:val="120"/>
      <w:divBdr>
        <w:top w:val="none" w:sz="0" w:space="0" w:color="auto"/>
        <w:left w:val="none" w:sz="0" w:space="0" w:color="auto"/>
        <w:bottom w:val="none" w:sz="0" w:space="0" w:color="auto"/>
        <w:right w:val="none" w:sz="0" w:space="0" w:color="auto"/>
      </w:divBdr>
    </w:div>
    <w:div w:id="839808170">
      <w:marLeft w:val="0"/>
      <w:marRight w:val="0"/>
      <w:marTop w:val="180"/>
      <w:marBottom w:val="0"/>
      <w:divBdr>
        <w:top w:val="none" w:sz="0" w:space="0" w:color="auto"/>
        <w:left w:val="none" w:sz="0" w:space="0" w:color="auto"/>
        <w:bottom w:val="none" w:sz="0" w:space="0" w:color="auto"/>
        <w:right w:val="none" w:sz="0" w:space="0" w:color="auto"/>
      </w:divBdr>
    </w:div>
    <w:div w:id="840394223">
      <w:marLeft w:val="0"/>
      <w:marRight w:val="0"/>
      <w:marTop w:val="180"/>
      <w:marBottom w:val="0"/>
      <w:divBdr>
        <w:top w:val="none" w:sz="0" w:space="0" w:color="auto"/>
        <w:left w:val="none" w:sz="0" w:space="0" w:color="auto"/>
        <w:bottom w:val="none" w:sz="0" w:space="0" w:color="auto"/>
        <w:right w:val="none" w:sz="0" w:space="0" w:color="auto"/>
      </w:divBdr>
    </w:div>
    <w:div w:id="840897442">
      <w:marLeft w:val="0"/>
      <w:marRight w:val="0"/>
      <w:marTop w:val="180"/>
      <w:marBottom w:val="0"/>
      <w:divBdr>
        <w:top w:val="none" w:sz="0" w:space="0" w:color="auto"/>
        <w:left w:val="none" w:sz="0" w:space="0" w:color="auto"/>
        <w:bottom w:val="none" w:sz="0" w:space="0" w:color="auto"/>
        <w:right w:val="none" w:sz="0" w:space="0" w:color="auto"/>
      </w:divBdr>
    </w:div>
    <w:div w:id="842740600">
      <w:marLeft w:val="0"/>
      <w:marRight w:val="0"/>
      <w:marTop w:val="180"/>
      <w:marBottom w:val="0"/>
      <w:divBdr>
        <w:top w:val="none" w:sz="0" w:space="0" w:color="auto"/>
        <w:left w:val="none" w:sz="0" w:space="0" w:color="auto"/>
        <w:bottom w:val="none" w:sz="0" w:space="0" w:color="auto"/>
        <w:right w:val="none" w:sz="0" w:space="0" w:color="auto"/>
      </w:divBdr>
    </w:div>
    <w:div w:id="849294889">
      <w:marLeft w:val="0"/>
      <w:marRight w:val="0"/>
      <w:marTop w:val="120"/>
      <w:marBottom w:val="0"/>
      <w:divBdr>
        <w:top w:val="none" w:sz="0" w:space="0" w:color="auto"/>
        <w:left w:val="none" w:sz="0" w:space="0" w:color="auto"/>
        <w:bottom w:val="none" w:sz="0" w:space="0" w:color="auto"/>
        <w:right w:val="none" w:sz="0" w:space="0" w:color="auto"/>
      </w:divBdr>
    </w:div>
    <w:div w:id="855852074">
      <w:marLeft w:val="0"/>
      <w:marRight w:val="0"/>
      <w:marTop w:val="180"/>
      <w:marBottom w:val="0"/>
      <w:divBdr>
        <w:top w:val="none" w:sz="0" w:space="0" w:color="auto"/>
        <w:left w:val="none" w:sz="0" w:space="0" w:color="auto"/>
        <w:bottom w:val="none" w:sz="0" w:space="0" w:color="auto"/>
        <w:right w:val="none" w:sz="0" w:space="0" w:color="auto"/>
      </w:divBdr>
    </w:div>
    <w:div w:id="856890034">
      <w:marLeft w:val="0"/>
      <w:marRight w:val="0"/>
      <w:marTop w:val="0"/>
      <w:marBottom w:val="0"/>
      <w:divBdr>
        <w:top w:val="none" w:sz="0" w:space="0" w:color="auto"/>
        <w:left w:val="none" w:sz="0" w:space="0" w:color="auto"/>
        <w:bottom w:val="none" w:sz="0" w:space="0" w:color="auto"/>
        <w:right w:val="none" w:sz="0" w:space="0" w:color="auto"/>
      </w:divBdr>
      <w:divsChild>
        <w:div w:id="1416633804">
          <w:marLeft w:val="0"/>
          <w:marRight w:val="0"/>
          <w:marTop w:val="0"/>
          <w:marBottom w:val="0"/>
          <w:divBdr>
            <w:top w:val="none" w:sz="0" w:space="0" w:color="auto"/>
            <w:left w:val="none" w:sz="0" w:space="0" w:color="auto"/>
            <w:bottom w:val="none" w:sz="0" w:space="0" w:color="auto"/>
            <w:right w:val="none" w:sz="0" w:space="0" w:color="auto"/>
          </w:divBdr>
          <w:divsChild>
            <w:div w:id="13336086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57699801">
      <w:marLeft w:val="0"/>
      <w:marRight w:val="0"/>
      <w:marTop w:val="180"/>
      <w:marBottom w:val="0"/>
      <w:divBdr>
        <w:top w:val="none" w:sz="0" w:space="0" w:color="auto"/>
        <w:left w:val="none" w:sz="0" w:space="0" w:color="auto"/>
        <w:bottom w:val="none" w:sz="0" w:space="0" w:color="auto"/>
        <w:right w:val="none" w:sz="0" w:space="0" w:color="auto"/>
      </w:divBdr>
    </w:div>
    <w:div w:id="859273510">
      <w:marLeft w:val="0"/>
      <w:marRight w:val="0"/>
      <w:marTop w:val="180"/>
      <w:marBottom w:val="0"/>
      <w:divBdr>
        <w:top w:val="none" w:sz="0" w:space="0" w:color="auto"/>
        <w:left w:val="none" w:sz="0" w:space="0" w:color="auto"/>
        <w:bottom w:val="none" w:sz="0" w:space="0" w:color="auto"/>
        <w:right w:val="none" w:sz="0" w:space="0" w:color="auto"/>
      </w:divBdr>
    </w:div>
    <w:div w:id="860126980">
      <w:marLeft w:val="0"/>
      <w:marRight w:val="0"/>
      <w:marTop w:val="0"/>
      <w:marBottom w:val="60"/>
      <w:divBdr>
        <w:top w:val="none" w:sz="0" w:space="0" w:color="auto"/>
        <w:left w:val="none" w:sz="0" w:space="0" w:color="auto"/>
        <w:bottom w:val="none" w:sz="0" w:space="0" w:color="auto"/>
        <w:right w:val="none" w:sz="0" w:space="0" w:color="auto"/>
      </w:divBdr>
    </w:div>
    <w:div w:id="860585702">
      <w:marLeft w:val="0"/>
      <w:marRight w:val="0"/>
      <w:marTop w:val="120"/>
      <w:marBottom w:val="0"/>
      <w:divBdr>
        <w:top w:val="none" w:sz="0" w:space="0" w:color="auto"/>
        <w:left w:val="none" w:sz="0" w:space="0" w:color="auto"/>
        <w:bottom w:val="none" w:sz="0" w:space="0" w:color="auto"/>
        <w:right w:val="none" w:sz="0" w:space="0" w:color="auto"/>
      </w:divBdr>
    </w:div>
    <w:div w:id="861670812">
      <w:marLeft w:val="0"/>
      <w:marRight w:val="0"/>
      <w:marTop w:val="180"/>
      <w:marBottom w:val="0"/>
      <w:divBdr>
        <w:top w:val="none" w:sz="0" w:space="0" w:color="auto"/>
        <w:left w:val="none" w:sz="0" w:space="0" w:color="auto"/>
        <w:bottom w:val="none" w:sz="0" w:space="0" w:color="auto"/>
        <w:right w:val="none" w:sz="0" w:space="0" w:color="auto"/>
      </w:divBdr>
    </w:div>
    <w:div w:id="862016661">
      <w:marLeft w:val="0"/>
      <w:marRight w:val="0"/>
      <w:marTop w:val="0"/>
      <w:marBottom w:val="0"/>
      <w:divBdr>
        <w:top w:val="none" w:sz="0" w:space="0" w:color="auto"/>
        <w:left w:val="none" w:sz="0" w:space="0" w:color="auto"/>
        <w:bottom w:val="none" w:sz="0" w:space="0" w:color="auto"/>
        <w:right w:val="none" w:sz="0" w:space="0" w:color="auto"/>
      </w:divBdr>
      <w:divsChild>
        <w:div w:id="1746800462">
          <w:marLeft w:val="0"/>
          <w:marRight w:val="0"/>
          <w:marTop w:val="0"/>
          <w:marBottom w:val="0"/>
          <w:divBdr>
            <w:top w:val="none" w:sz="0" w:space="0" w:color="auto"/>
            <w:left w:val="none" w:sz="0" w:space="0" w:color="auto"/>
            <w:bottom w:val="none" w:sz="0" w:space="0" w:color="auto"/>
            <w:right w:val="none" w:sz="0" w:space="0" w:color="auto"/>
          </w:divBdr>
          <w:divsChild>
            <w:div w:id="4754195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7136227">
      <w:marLeft w:val="0"/>
      <w:marRight w:val="0"/>
      <w:marTop w:val="60"/>
      <w:marBottom w:val="240"/>
      <w:divBdr>
        <w:top w:val="none" w:sz="0" w:space="0" w:color="auto"/>
        <w:left w:val="none" w:sz="0" w:space="0" w:color="auto"/>
        <w:bottom w:val="none" w:sz="0" w:space="0" w:color="auto"/>
        <w:right w:val="none" w:sz="0" w:space="0" w:color="auto"/>
      </w:divBdr>
    </w:div>
    <w:div w:id="868105439">
      <w:marLeft w:val="0"/>
      <w:marRight w:val="0"/>
      <w:marTop w:val="60"/>
      <w:marBottom w:val="240"/>
      <w:divBdr>
        <w:top w:val="none" w:sz="0" w:space="0" w:color="auto"/>
        <w:left w:val="none" w:sz="0" w:space="0" w:color="auto"/>
        <w:bottom w:val="none" w:sz="0" w:space="0" w:color="auto"/>
        <w:right w:val="none" w:sz="0" w:space="0" w:color="auto"/>
      </w:divBdr>
    </w:div>
    <w:div w:id="868253455">
      <w:marLeft w:val="0"/>
      <w:marRight w:val="0"/>
      <w:marTop w:val="180"/>
      <w:marBottom w:val="180"/>
      <w:divBdr>
        <w:top w:val="none" w:sz="0" w:space="0" w:color="auto"/>
        <w:left w:val="none" w:sz="0" w:space="0" w:color="auto"/>
        <w:bottom w:val="none" w:sz="0" w:space="0" w:color="auto"/>
        <w:right w:val="none" w:sz="0" w:space="0" w:color="auto"/>
      </w:divBdr>
    </w:div>
    <w:div w:id="868488250">
      <w:marLeft w:val="0"/>
      <w:marRight w:val="0"/>
      <w:marTop w:val="180"/>
      <w:marBottom w:val="120"/>
      <w:divBdr>
        <w:top w:val="none" w:sz="0" w:space="0" w:color="auto"/>
        <w:left w:val="none" w:sz="0" w:space="0" w:color="auto"/>
        <w:bottom w:val="none" w:sz="0" w:space="0" w:color="auto"/>
        <w:right w:val="none" w:sz="0" w:space="0" w:color="auto"/>
      </w:divBdr>
    </w:div>
    <w:div w:id="868957482">
      <w:marLeft w:val="0"/>
      <w:marRight w:val="0"/>
      <w:marTop w:val="180"/>
      <w:marBottom w:val="0"/>
      <w:divBdr>
        <w:top w:val="none" w:sz="0" w:space="0" w:color="auto"/>
        <w:left w:val="none" w:sz="0" w:space="0" w:color="auto"/>
        <w:bottom w:val="none" w:sz="0" w:space="0" w:color="auto"/>
        <w:right w:val="none" w:sz="0" w:space="0" w:color="auto"/>
      </w:divBdr>
    </w:div>
    <w:div w:id="869417283">
      <w:marLeft w:val="0"/>
      <w:marRight w:val="0"/>
      <w:marTop w:val="180"/>
      <w:marBottom w:val="120"/>
      <w:divBdr>
        <w:top w:val="none" w:sz="0" w:space="0" w:color="auto"/>
        <w:left w:val="none" w:sz="0" w:space="0" w:color="auto"/>
        <w:bottom w:val="none" w:sz="0" w:space="0" w:color="auto"/>
        <w:right w:val="none" w:sz="0" w:space="0" w:color="auto"/>
      </w:divBdr>
    </w:div>
    <w:div w:id="869606625">
      <w:marLeft w:val="0"/>
      <w:marRight w:val="0"/>
      <w:marTop w:val="180"/>
      <w:marBottom w:val="0"/>
      <w:divBdr>
        <w:top w:val="none" w:sz="0" w:space="0" w:color="auto"/>
        <w:left w:val="none" w:sz="0" w:space="0" w:color="auto"/>
        <w:bottom w:val="none" w:sz="0" w:space="0" w:color="auto"/>
        <w:right w:val="none" w:sz="0" w:space="0" w:color="auto"/>
      </w:divBdr>
    </w:div>
    <w:div w:id="871379975">
      <w:marLeft w:val="0"/>
      <w:marRight w:val="0"/>
      <w:marTop w:val="180"/>
      <w:marBottom w:val="0"/>
      <w:divBdr>
        <w:top w:val="none" w:sz="0" w:space="0" w:color="auto"/>
        <w:left w:val="none" w:sz="0" w:space="0" w:color="auto"/>
        <w:bottom w:val="none" w:sz="0" w:space="0" w:color="auto"/>
        <w:right w:val="none" w:sz="0" w:space="0" w:color="auto"/>
      </w:divBdr>
    </w:div>
    <w:div w:id="879050157">
      <w:marLeft w:val="0"/>
      <w:marRight w:val="0"/>
      <w:marTop w:val="0"/>
      <w:marBottom w:val="0"/>
      <w:divBdr>
        <w:top w:val="none" w:sz="0" w:space="0" w:color="auto"/>
        <w:left w:val="none" w:sz="0" w:space="0" w:color="auto"/>
        <w:bottom w:val="none" w:sz="0" w:space="0" w:color="auto"/>
        <w:right w:val="none" w:sz="0" w:space="0" w:color="auto"/>
      </w:divBdr>
    </w:div>
    <w:div w:id="881552514">
      <w:marLeft w:val="0"/>
      <w:marRight w:val="0"/>
      <w:marTop w:val="0"/>
      <w:marBottom w:val="0"/>
      <w:divBdr>
        <w:top w:val="none" w:sz="0" w:space="0" w:color="auto"/>
        <w:left w:val="none" w:sz="0" w:space="0" w:color="auto"/>
        <w:bottom w:val="none" w:sz="0" w:space="0" w:color="auto"/>
        <w:right w:val="none" w:sz="0" w:space="0" w:color="auto"/>
      </w:divBdr>
    </w:div>
    <w:div w:id="884175487">
      <w:marLeft w:val="0"/>
      <w:marRight w:val="0"/>
      <w:marTop w:val="180"/>
      <w:marBottom w:val="180"/>
      <w:divBdr>
        <w:top w:val="none" w:sz="0" w:space="0" w:color="auto"/>
        <w:left w:val="none" w:sz="0" w:space="0" w:color="auto"/>
        <w:bottom w:val="none" w:sz="0" w:space="0" w:color="auto"/>
        <w:right w:val="none" w:sz="0" w:space="0" w:color="auto"/>
      </w:divBdr>
    </w:div>
    <w:div w:id="884373991">
      <w:marLeft w:val="0"/>
      <w:marRight w:val="0"/>
      <w:marTop w:val="180"/>
      <w:marBottom w:val="0"/>
      <w:divBdr>
        <w:top w:val="none" w:sz="0" w:space="0" w:color="auto"/>
        <w:left w:val="none" w:sz="0" w:space="0" w:color="auto"/>
        <w:bottom w:val="none" w:sz="0" w:space="0" w:color="auto"/>
        <w:right w:val="none" w:sz="0" w:space="0" w:color="auto"/>
      </w:divBdr>
    </w:div>
    <w:div w:id="884488637">
      <w:marLeft w:val="0"/>
      <w:marRight w:val="0"/>
      <w:marTop w:val="180"/>
      <w:marBottom w:val="0"/>
      <w:divBdr>
        <w:top w:val="none" w:sz="0" w:space="0" w:color="auto"/>
        <w:left w:val="none" w:sz="0" w:space="0" w:color="auto"/>
        <w:bottom w:val="none" w:sz="0" w:space="0" w:color="auto"/>
        <w:right w:val="none" w:sz="0" w:space="0" w:color="auto"/>
      </w:divBdr>
    </w:div>
    <w:div w:id="885944529">
      <w:marLeft w:val="0"/>
      <w:marRight w:val="0"/>
      <w:marTop w:val="180"/>
      <w:marBottom w:val="0"/>
      <w:divBdr>
        <w:top w:val="none" w:sz="0" w:space="0" w:color="auto"/>
        <w:left w:val="none" w:sz="0" w:space="0" w:color="auto"/>
        <w:bottom w:val="none" w:sz="0" w:space="0" w:color="auto"/>
        <w:right w:val="none" w:sz="0" w:space="0" w:color="auto"/>
      </w:divBdr>
    </w:div>
    <w:div w:id="886186753">
      <w:marLeft w:val="0"/>
      <w:marRight w:val="0"/>
      <w:marTop w:val="180"/>
      <w:marBottom w:val="0"/>
      <w:divBdr>
        <w:top w:val="none" w:sz="0" w:space="0" w:color="auto"/>
        <w:left w:val="none" w:sz="0" w:space="0" w:color="auto"/>
        <w:bottom w:val="none" w:sz="0" w:space="0" w:color="auto"/>
        <w:right w:val="none" w:sz="0" w:space="0" w:color="auto"/>
      </w:divBdr>
    </w:div>
    <w:div w:id="895505136">
      <w:marLeft w:val="0"/>
      <w:marRight w:val="0"/>
      <w:marTop w:val="180"/>
      <w:marBottom w:val="0"/>
      <w:divBdr>
        <w:top w:val="none" w:sz="0" w:space="0" w:color="auto"/>
        <w:left w:val="none" w:sz="0" w:space="0" w:color="auto"/>
        <w:bottom w:val="none" w:sz="0" w:space="0" w:color="auto"/>
        <w:right w:val="none" w:sz="0" w:space="0" w:color="auto"/>
      </w:divBdr>
    </w:div>
    <w:div w:id="897596785">
      <w:marLeft w:val="0"/>
      <w:marRight w:val="0"/>
      <w:marTop w:val="180"/>
      <w:marBottom w:val="0"/>
      <w:divBdr>
        <w:top w:val="none" w:sz="0" w:space="0" w:color="auto"/>
        <w:left w:val="none" w:sz="0" w:space="0" w:color="auto"/>
        <w:bottom w:val="none" w:sz="0" w:space="0" w:color="auto"/>
        <w:right w:val="none" w:sz="0" w:space="0" w:color="auto"/>
      </w:divBdr>
    </w:div>
    <w:div w:id="898785378">
      <w:marLeft w:val="0"/>
      <w:marRight w:val="0"/>
      <w:marTop w:val="180"/>
      <w:marBottom w:val="0"/>
      <w:divBdr>
        <w:top w:val="none" w:sz="0" w:space="0" w:color="auto"/>
        <w:left w:val="none" w:sz="0" w:space="0" w:color="auto"/>
        <w:bottom w:val="none" w:sz="0" w:space="0" w:color="auto"/>
        <w:right w:val="none" w:sz="0" w:space="0" w:color="auto"/>
      </w:divBdr>
    </w:div>
    <w:div w:id="899101316">
      <w:marLeft w:val="0"/>
      <w:marRight w:val="0"/>
      <w:marTop w:val="0"/>
      <w:marBottom w:val="0"/>
      <w:divBdr>
        <w:top w:val="none" w:sz="0" w:space="0" w:color="auto"/>
        <w:left w:val="none" w:sz="0" w:space="0" w:color="auto"/>
        <w:bottom w:val="none" w:sz="0" w:space="0" w:color="auto"/>
        <w:right w:val="none" w:sz="0" w:space="0" w:color="auto"/>
      </w:divBdr>
      <w:divsChild>
        <w:div w:id="1600219625">
          <w:marLeft w:val="0"/>
          <w:marRight w:val="0"/>
          <w:marTop w:val="0"/>
          <w:marBottom w:val="0"/>
          <w:divBdr>
            <w:top w:val="none" w:sz="0" w:space="0" w:color="auto"/>
            <w:left w:val="none" w:sz="0" w:space="0" w:color="auto"/>
            <w:bottom w:val="none" w:sz="0" w:space="0" w:color="auto"/>
            <w:right w:val="none" w:sz="0" w:space="0" w:color="auto"/>
          </w:divBdr>
          <w:divsChild>
            <w:div w:id="13480202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9439924">
      <w:marLeft w:val="0"/>
      <w:marRight w:val="0"/>
      <w:marTop w:val="0"/>
      <w:marBottom w:val="0"/>
      <w:divBdr>
        <w:top w:val="none" w:sz="0" w:space="0" w:color="auto"/>
        <w:left w:val="none" w:sz="0" w:space="0" w:color="auto"/>
        <w:bottom w:val="none" w:sz="0" w:space="0" w:color="auto"/>
        <w:right w:val="none" w:sz="0" w:space="0" w:color="auto"/>
      </w:divBdr>
      <w:divsChild>
        <w:div w:id="1701272514">
          <w:marLeft w:val="0"/>
          <w:marRight w:val="0"/>
          <w:marTop w:val="0"/>
          <w:marBottom w:val="0"/>
          <w:divBdr>
            <w:top w:val="none" w:sz="0" w:space="0" w:color="auto"/>
            <w:left w:val="none" w:sz="0" w:space="0" w:color="auto"/>
            <w:bottom w:val="none" w:sz="0" w:space="0" w:color="auto"/>
            <w:right w:val="none" w:sz="0" w:space="0" w:color="auto"/>
          </w:divBdr>
          <w:divsChild>
            <w:div w:id="11816963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3838857">
      <w:marLeft w:val="0"/>
      <w:marRight w:val="0"/>
      <w:marTop w:val="180"/>
      <w:marBottom w:val="0"/>
      <w:divBdr>
        <w:top w:val="none" w:sz="0" w:space="0" w:color="auto"/>
        <w:left w:val="none" w:sz="0" w:space="0" w:color="auto"/>
        <w:bottom w:val="none" w:sz="0" w:space="0" w:color="auto"/>
        <w:right w:val="none" w:sz="0" w:space="0" w:color="auto"/>
      </w:divBdr>
    </w:div>
    <w:div w:id="905721826">
      <w:marLeft w:val="0"/>
      <w:marRight w:val="0"/>
      <w:marTop w:val="180"/>
      <w:marBottom w:val="0"/>
      <w:divBdr>
        <w:top w:val="none" w:sz="0" w:space="0" w:color="auto"/>
        <w:left w:val="none" w:sz="0" w:space="0" w:color="auto"/>
        <w:bottom w:val="none" w:sz="0" w:space="0" w:color="auto"/>
        <w:right w:val="none" w:sz="0" w:space="0" w:color="auto"/>
      </w:divBdr>
    </w:div>
    <w:div w:id="905804691">
      <w:marLeft w:val="0"/>
      <w:marRight w:val="0"/>
      <w:marTop w:val="0"/>
      <w:marBottom w:val="0"/>
      <w:divBdr>
        <w:top w:val="none" w:sz="0" w:space="0" w:color="auto"/>
        <w:left w:val="none" w:sz="0" w:space="0" w:color="auto"/>
        <w:bottom w:val="none" w:sz="0" w:space="0" w:color="auto"/>
        <w:right w:val="none" w:sz="0" w:space="0" w:color="auto"/>
      </w:divBdr>
      <w:divsChild>
        <w:div w:id="13697462">
          <w:marLeft w:val="0"/>
          <w:marRight w:val="0"/>
          <w:marTop w:val="0"/>
          <w:marBottom w:val="0"/>
          <w:divBdr>
            <w:top w:val="none" w:sz="0" w:space="0" w:color="auto"/>
            <w:left w:val="none" w:sz="0" w:space="0" w:color="auto"/>
            <w:bottom w:val="none" w:sz="0" w:space="0" w:color="auto"/>
            <w:right w:val="none" w:sz="0" w:space="0" w:color="auto"/>
          </w:divBdr>
          <w:divsChild>
            <w:div w:id="7971462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8543900">
      <w:marLeft w:val="0"/>
      <w:marRight w:val="0"/>
      <w:marTop w:val="180"/>
      <w:marBottom w:val="120"/>
      <w:divBdr>
        <w:top w:val="none" w:sz="0" w:space="0" w:color="auto"/>
        <w:left w:val="none" w:sz="0" w:space="0" w:color="auto"/>
        <w:bottom w:val="none" w:sz="0" w:space="0" w:color="auto"/>
        <w:right w:val="none" w:sz="0" w:space="0" w:color="auto"/>
      </w:divBdr>
    </w:div>
    <w:div w:id="909920712">
      <w:marLeft w:val="0"/>
      <w:marRight w:val="0"/>
      <w:marTop w:val="180"/>
      <w:marBottom w:val="0"/>
      <w:divBdr>
        <w:top w:val="none" w:sz="0" w:space="0" w:color="auto"/>
        <w:left w:val="none" w:sz="0" w:space="0" w:color="auto"/>
        <w:bottom w:val="none" w:sz="0" w:space="0" w:color="auto"/>
        <w:right w:val="none" w:sz="0" w:space="0" w:color="auto"/>
      </w:divBdr>
    </w:div>
    <w:div w:id="910431090">
      <w:marLeft w:val="0"/>
      <w:marRight w:val="0"/>
      <w:marTop w:val="180"/>
      <w:marBottom w:val="240"/>
      <w:divBdr>
        <w:top w:val="none" w:sz="0" w:space="0" w:color="auto"/>
        <w:left w:val="none" w:sz="0" w:space="0" w:color="auto"/>
        <w:bottom w:val="none" w:sz="0" w:space="0" w:color="auto"/>
        <w:right w:val="none" w:sz="0" w:space="0" w:color="auto"/>
      </w:divBdr>
    </w:div>
    <w:div w:id="911504148">
      <w:marLeft w:val="0"/>
      <w:marRight w:val="0"/>
      <w:marTop w:val="180"/>
      <w:marBottom w:val="0"/>
      <w:divBdr>
        <w:top w:val="none" w:sz="0" w:space="0" w:color="auto"/>
        <w:left w:val="none" w:sz="0" w:space="0" w:color="auto"/>
        <w:bottom w:val="none" w:sz="0" w:space="0" w:color="auto"/>
        <w:right w:val="none" w:sz="0" w:space="0" w:color="auto"/>
      </w:divBdr>
    </w:div>
    <w:div w:id="913010590">
      <w:marLeft w:val="0"/>
      <w:marRight w:val="0"/>
      <w:marTop w:val="180"/>
      <w:marBottom w:val="180"/>
      <w:divBdr>
        <w:top w:val="none" w:sz="0" w:space="0" w:color="auto"/>
        <w:left w:val="none" w:sz="0" w:space="0" w:color="auto"/>
        <w:bottom w:val="none" w:sz="0" w:space="0" w:color="auto"/>
        <w:right w:val="none" w:sz="0" w:space="0" w:color="auto"/>
      </w:divBdr>
    </w:div>
    <w:div w:id="915943485">
      <w:marLeft w:val="0"/>
      <w:marRight w:val="0"/>
      <w:marTop w:val="180"/>
      <w:marBottom w:val="0"/>
      <w:divBdr>
        <w:top w:val="none" w:sz="0" w:space="0" w:color="auto"/>
        <w:left w:val="none" w:sz="0" w:space="0" w:color="auto"/>
        <w:bottom w:val="none" w:sz="0" w:space="0" w:color="auto"/>
        <w:right w:val="none" w:sz="0" w:space="0" w:color="auto"/>
      </w:divBdr>
    </w:div>
    <w:div w:id="917522136">
      <w:marLeft w:val="0"/>
      <w:marRight w:val="0"/>
      <w:marTop w:val="0"/>
      <w:marBottom w:val="200"/>
      <w:divBdr>
        <w:top w:val="none" w:sz="0" w:space="0" w:color="auto"/>
        <w:left w:val="none" w:sz="0" w:space="0" w:color="auto"/>
        <w:bottom w:val="none" w:sz="0" w:space="0" w:color="auto"/>
        <w:right w:val="none" w:sz="0" w:space="0" w:color="auto"/>
      </w:divBdr>
    </w:div>
    <w:div w:id="919406842">
      <w:marLeft w:val="0"/>
      <w:marRight w:val="0"/>
      <w:marTop w:val="180"/>
      <w:marBottom w:val="0"/>
      <w:divBdr>
        <w:top w:val="none" w:sz="0" w:space="0" w:color="auto"/>
        <w:left w:val="none" w:sz="0" w:space="0" w:color="auto"/>
        <w:bottom w:val="none" w:sz="0" w:space="0" w:color="auto"/>
        <w:right w:val="none" w:sz="0" w:space="0" w:color="auto"/>
      </w:divBdr>
    </w:div>
    <w:div w:id="919560939">
      <w:marLeft w:val="0"/>
      <w:marRight w:val="0"/>
      <w:marTop w:val="180"/>
      <w:marBottom w:val="0"/>
      <w:divBdr>
        <w:top w:val="none" w:sz="0" w:space="0" w:color="auto"/>
        <w:left w:val="none" w:sz="0" w:space="0" w:color="auto"/>
        <w:bottom w:val="none" w:sz="0" w:space="0" w:color="auto"/>
        <w:right w:val="none" w:sz="0" w:space="0" w:color="auto"/>
      </w:divBdr>
    </w:div>
    <w:div w:id="920068642">
      <w:marLeft w:val="0"/>
      <w:marRight w:val="0"/>
      <w:marTop w:val="180"/>
      <w:marBottom w:val="0"/>
      <w:divBdr>
        <w:top w:val="none" w:sz="0" w:space="0" w:color="auto"/>
        <w:left w:val="none" w:sz="0" w:space="0" w:color="auto"/>
        <w:bottom w:val="none" w:sz="0" w:space="0" w:color="auto"/>
        <w:right w:val="none" w:sz="0" w:space="0" w:color="auto"/>
      </w:divBdr>
    </w:div>
    <w:div w:id="925262871">
      <w:marLeft w:val="0"/>
      <w:marRight w:val="0"/>
      <w:marTop w:val="0"/>
      <w:marBottom w:val="0"/>
      <w:divBdr>
        <w:top w:val="none" w:sz="0" w:space="0" w:color="auto"/>
        <w:left w:val="none" w:sz="0" w:space="0" w:color="auto"/>
        <w:bottom w:val="none" w:sz="0" w:space="0" w:color="auto"/>
        <w:right w:val="none" w:sz="0" w:space="0" w:color="auto"/>
      </w:divBdr>
      <w:divsChild>
        <w:div w:id="2099977169">
          <w:marLeft w:val="0"/>
          <w:marRight w:val="0"/>
          <w:marTop w:val="0"/>
          <w:marBottom w:val="0"/>
          <w:divBdr>
            <w:top w:val="none" w:sz="0" w:space="0" w:color="auto"/>
            <w:left w:val="none" w:sz="0" w:space="0" w:color="auto"/>
            <w:bottom w:val="none" w:sz="0" w:space="0" w:color="auto"/>
            <w:right w:val="none" w:sz="0" w:space="0" w:color="auto"/>
          </w:divBdr>
        </w:div>
      </w:divsChild>
    </w:div>
    <w:div w:id="925962494">
      <w:marLeft w:val="0"/>
      <w:marRight w:val="0"/>
      <w:marTop w:val="180"/>
      <w:marBottom w:val="0"/>
      <w:divBdr>
        <w:top w:val="none" w:sz="0" w:space="0" w:color="auto"/>
        <w:left w:val="none" w:sz="0" w:space="0" w:color="auto"/>
        <w:bottom w:val="none" w:sz="0" w:space="0" w:color="auto"/>
        <w:right w:val="none" w:sz="0" w:space="0" w:color="auto"/>
      </w:divBdr>
    </w:div>
    <w:div w:id="926500110">
      <w:marLeft w:val="0"/>
      <w:marRight w:val="0"/>
      <w:marTop w:val="180"/>
      <w:marBottom w:val="0"/>
      <w:divBdr>
        <w:top w:val="none" w:sz="0" w:space="0" w:color="auto"/>
        <w:left w:val="none" w:sz="0" w:space="0" w:color="auto"/>
        <w:bottom w:val="none" w:sz="0" w:space="0" w:color="auto"/>
        <w:right w:val="none" w:sz="0" w:space="0" w:color="auto"/>
      </w:divBdr>
    </w:div>
    <w:div w:id="927732603">
      <w:marLeft w:val="0"/>
      <w:marRight w:val="0"/>
      <w:marTop w:val="180"/>
      <w:marBottom w:val="0"/>
      <w:divBdr>
        <w:top w:val="none" w:sz="0" w:space="0" w:color="auto"/>
        <w:left w:val="none" w:sz="0" w:space="0" w:color="auto"/>
        <w:bottom w:val="none" w:sz="0" w:space="0" w:color="auto"/>
        <w:right w:val="none" w:sz="0" w:space="0" w:color="auto"/>
      </w:divBdr>
    </w:div>
    <w:div w:id="930242482">
      <w:marLeft w:val="0"/>
      <w:marRight w:val="0"/>
      <w:marTop w:val="0"/>
      <w:marBottom w:val="0"/>
      <w:divBdr>
        <w:top w:val="none" w:sz="0" w:space="0" w:color="auto"/>
        <w:left w:val="none" w:sz="0" w:space="0" w:color="auto"/>
        <w:bottom w:val="none" w:sz="0" w:space="0" w:color="auto"/>
        <w:right w:val="none" w:sz="0" w:space="0" w:color="auto"/>
      </w:divBdr>
      <w:divsChild>
        <w:div w:id="1047291362">
          <w:marLeft w:val="0"/>
          <w:marRight w:val="0"/>
          <w:marTop w:val="0"/>
          <w:marBottom w:val="0"/>
          <w:divBdr>
            <w:top w:val="none" w:sz="0" w:space="0" w:color="auto"/>
            <w:left w:val="none" w:sz="0" w:space="0" w:color="auto"/>
            <w:bottom w:val="none" w:sz="0" w:space="0" w:color="auto"/>
            <w:right w:val="none" w:sz="0" w:space="0" w:color="auto"/>
          </w:divBdr>
          <w:divsChild>
            <w:div w:id="6523671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1621374">
      <w:marLeft w:val="0"/>
      <w:marRight w:val="0"/>
      <w:marTop w:val="0"/>
      <w:marBottom w:val="0"/>
      <w:divBdr>
        <w:top w:val="none" w:sz="0" w:space="0" w:color="auto"/>
        <w:left w:val="none" w:sz="0" w:space="0" w:color="auto"/>
        <w:bottom w:val="none" w:sz="0" w:space="0" w:color="auto"/>
        <w:right w:val="none" w:sz="0" w:space="0" w:color="auto"/>
      </w:divBdr>
      <w:divsChild>
        <w:div w:id="2012101931">
          <w:marLeft w:val="0"/>
          <w:marRight w:val="0"/>
          <w:marTop w:val="0"/>
          <w:marBottom w:val="0"/>
          <w:divBdr>
            <w:top w:val="none" w:sz="0" w:space="0" w:color="auto"/>
            <w:left w:val="none" w:sz="0" w:space="0" w:color="auto"/>
            <w:bottom w:val="none" w:sz="0" w:space="0" w:color="auto"/>
            <w:right w:val="none" w:sz="0" w:space="0" w:color="auto"/>
          </w:divBdr>
          <w:divsChild>
            <w:div w:id="15972032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2127844">
      <w:marLeft w:val="0"/>
      <w:marRight w:val="0"/>
      <w:marTop w:val="60"/>
      <w:marBottom w:val="0"/>
      <w:divBdr>
        <w:top w:val="none" w:sz="0" w:space="0" w:color="auto"/>
        <w:left w:val="none" w:sz="0" w:space="0" w:color="auto"/>
        <w:bottom w:val="none" w:sz="0" w:space="0" w:color="auto"/>
        <w:right w:val="none" w:sz="0" w:space="0" w:color="auto"/>
      </w:divBdr>
    </w:div>
    <w:div w:id="932129881">
      <w:marLeft w:val="0"/>
      <w:marRight w:val="0"/>
      <w:marTop w:val="180"/>
      <w:marBottom w:val="0"/>
      <w:divBdr>
        <w:top w:val="none" w:sz="0" w:space="0" w:color="auto"/>
        <w:left w:val="none" w:sz="0" w:space="0" w:color="auto"/>
        <w:bottom w:val="none" w:sz="0" w:space="0" w:color="auto"/>
        <w:right w:val="none" w:sz="0" w:space="0" w:color="auto"/>
      </w:divBdr>
    </w:div>
    <w:div w:id="932281697">
      <w:marLeft w:val="0"/>
      <w:marRight w:val="0"/>
      <w:marTop w:val="180"/>
      <w:marBottom w:val="0"/>
      <w:divBdr>
        <w:top w:val="none" w:sz="0" w:space="0" w:color="auto"/>
        <w:left w:val="none" w:sz="0" w:space="0" w:color="auto"/>
        <w:bottom w:val="none" w:sz="0" w:space="0" w:color="auto"/>
        <w:right w:val="none" w:sz="0" w:space="0" w:color="auto"/>
      </w:divBdr>
    </w:div>
    <w:div w:id="932737917">
      <w:marLeft w:val="0"/>
      <w:marRight w:val="0"/>
      <w:marTop w:val="60"/>
      <w:marBottom w:val="120"/>
      <w:divBdr>
        <w:top w:val="none" w:sz="0" w:space="0" w:color="auto"/>
        <w:left w:val="none" w:sz="0" w:space="0" w:color="auto"/>
        <w:bottom w:val="none" w:sz="0" w:space="0" w:color="auto"/>
        <w:right w:val="none" w:sz="0" w:space="0" w:color="auto"/>
      </w:divBdr>
      <w:divsChild>
        <w:div w:id="846675240">
          <w:marLeft w:val="0"/>
          <w:marRight w:val="0"/>
          <w:marTop w:val="0"/>
          <w:marBottom w:val="0"/>
          <w:divBdr>
            <w:top w:val="none" w:sz="0" w:space="0" w:color="auto"/>
            <w:left w:val="none" w:sz="0" w:space="0" w:color="auto"/>
            <w:bottom w:val="none" w:sz="0" w:space="0" w:color="auto"/>
            <w:right w:val="none" w:sz="0" w:space="0" w:color="auto"/>
          </w:divBdr>
        </w:div>
      </w:divsChild>
    </w:div>
    <w:div w:id="935796527">
      <w:marLeft w:val="0"/>
      <w:marRight w:val="0"/>
      <w:marTop w:val="180"/>
      <w:marBottom w:val="0"/>
      <w:divBdr>
        <w:top w:val="none" w:sz="0" w:space="0" w:color="auto"/>
        <w:left w:val="none" w:sz="0" w:space="0" w:color="auto"/>
        <w:bottom w:val="none" w:sz="0" w:space="0" w:color="auto"/>
        <w:right w:val="none" w:sz="0" w:space="0" w:color="auto"/>
      </w:divBdr>
    </w:div>
    <w:div w:id="938027835">
      <w:marLeft w:val="0"/>
      <w:marRight w:val="0"/>
      <w:marTop w:val="0"/>
      <w:marBottom w:val="200"/>
      <w:divBdr>
        <w:top w:val="none" w:sz="0" w:space="0" w:color="auto"/>
        <w:left w:val="none" w:sz="0" w:space="0" w:color="auto"/>
        <w:bottom w:val="none" w:sz="0" w:space="0" w:color="auto"/>
        <w:right w:val="none" w:sz="0" w:space="0" w:color="auto"/>
      </w:divBdr>
    </w:div>
    <w:div w:id="947204475">
      <w:marLeft w:val="0"/>
      <w:marRight w:val="0"/>
      <w:marTop w:val="180"/>
      <w:marBottom w:val="0"/>
      <w:divBdr>
        <w:top w:val="none" w:sz="0" w:space="0" w:color="auto"/>
        <w:left w:val="none" w:sz="0" w:space="0" w:color="auto"/>
        <w:bottom w:val="none" w:sz="0" w:space="0" w:color="auto"/>
        <w:right w:val="none" w:sz="0" w:space="0" w:color="auto"/>
      </w:divBdr>
    </w:div>
    <w:div w:id="947539775">
      <w:marLeft w:val="0"/>
      <w:marRight w:val="0"/>
      <w:marTop w:val="180"/>
      <w:marBottom w:val="0"/>
      <w:divBdr>
        <w:top w:val="none" w:sz="0" w:space="0" w:color="auto"/>
        <w:left w:val="none" w:sz="0" w:space="0" w:color="auto"/>
        <w:bottom w:val="none" w:sz="0" w:space="0" w:color="auto"/>
        <w:right w:val="none" w:sz="0" w:space="0" w:color="auto"/>
      </w:divBdr>
    </w:div>
    <w:div w:id="947614377">
      <w:marLeft w:val="0"/>
      <w:marRight w:val="0"/>
      <w:marTop w:val="180"/>
      <w:marBottom w:val="0"/>
      <w:divBdr>
        <w:top w:val="none" w:sz="0" w:space="0" w:color="auto"/>
        <w:left w:val="none" w:sz="0" w:space="0" w:color="auto"/>
        <w:bottom w:val="none" w:sz="0" w:space="0" w:color="auto"/>
        <w:right w:val="none" w:sz="0" w:space="0" w:color="auto"/>
      </w:divBdr>
    </w:div>
    <w:div w:id="949050327">
      <w:marLeft w:val="0"/>
      <w:marRight w:val="0"/>
      <w:marTop w:val="180"/>
      <w:marBottom w:val="0"/>
      <w:divBdr>
        <w:top w:val="none" w:sz="0" w:space="0" w:color="auto"/>
        <w:left w:val="none" w:sz="0" w:space="0" w:color="auto"/>
        <w:bottom w:val="none" w:sz="0" w:space="0" w:color="auto"/>
        <w:right w:val="none" w:sz="0" w:space="0" w:color="auto"/>
      </w:divBdr>
    </w:div>
    <w:div w:id="950825070">
      <w:marLeft w:val="0"/>
      <w:marRight w:val="0"/>
      <w:marTop w:val="0"/>
      <w:marBottom w:val="0"/>
      <w:divBdr>
        <w:top w:val="none" w:sz="0" w:space="0" w:color="auto"/>
        <w:left w:val="none" w:sz="0" w:space="0" w:color="auto"/>
        <w:bottom w:val="none" w:sz="0" w:space="0" w:color="auto"/>
        <w:right w:val="none" w:sz="0" w:space="0" w:color="auto"/>
      </w:divBdr>
      <w:divsChild>
        <w:div w:id="674307179">
          <w:marLeft w:val="0"/>
          <w:marRight w:val="0"/>
          <w:marTop w:val="180"/>
          <w:marBottom w:val="0"/>
          <w:divBdr>
            <w:top w:val="none" w:sz="0" w:space="0" w:color="auto"/>
            <w:left w:val="none" w:sz="0" w:space="0" w:color="auto"/>
            <w:bottom w:val="none" w:sz="0" w:space="0" w:color="auto"/>
            <w:right w:val="none" w:sz="0" w:space="0" w:color="auto"/>
          </w:divBdr>
        </w:div>
      </w:divsChild>
    </w:div>
    <w:div w:id="953944928">
      <w:marLeft w:val="0"/>
      <w:marRight w:val="0"/>
      <w:marTop w:val="180"/>
      <w:marBottom w:val="0"/>
      <w:divBdr>
        <w:top w:val="none" w:sz="0" w:space="0" w:color="auto"/>
        <w:left w:val="none" w:sz="0" w:space="0" w:color="auto"/>
        <w:bottom w:val="none" w:sz="0" w:space="0" w:color="auto"/>
        <w:right w:val="none" w:sz="0" w:space="0" w:color="auto"/>
      </w:divBdr>
    </w:div>
    <w:div w:id="954211647">
      <w:marLeft w:val="0"/>
      <w:marRight w:val="0"/>
      <w:marTop w:val="0"/>
      <w:marBottom w:val="0"/>
      <w:divBdr>
        <w:top w:val="none" w:sz="0" w:space="0" w:color="auto"/>
        <w:left w:val="none" w:sz="0" w:space="0" w:color="auto"/>
        <w:bottom w:val="none" w:sz="0" w:space="0" w:color="auto"/>
        <w:right w:val="none" w:sz="0" w:space="0" w:color="auto"/>
      </w:divBdr>
      <w:divsChild>
        <w:div w:id="1592658389">
          <w:marLeft w:val="0"/>
          <w:marRight w:val="0"/>
          <w:marTop w:val="0"/>
          <w:marBottom w:val="0"/>
          <w:divBdr>
            <w:top w:val="none" w:sz="0" w:space="0" w:color="auto"/>
            <w:left w:val="none" w:sz="0" w:space="0" w:color="auto"/>
            <w:bottom w:val="none" w:sz="0" w:space="0" w:color="auto"/>
            <w:right w:val="none" w:sz="0" w:space="0" w:color="auto"/>
          </w:divBdr>
          <w:divsChild>
            <w:div w:id="13171501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5985299">
      <w:marLeft w:val="0"/>
      <w:marRight w:val="0"/>
      <w:marTop w:val="0"/>
      <w:marBottom w:val="0"/>
      <w:divBdr>
        <w:top w:val="none" w:sz="0" w:space="0" w:color="auto"/>
        <w:left w:val="none" w:sz="0" w:space="0" w:color="auto"/>
        <w:bottom w:val="none" w:sz="0" w:space="0" w:color="auto"/>
        <w:right w:val="none" w:sz="0" w:space="0" w:color="auto"/>
      </w:divBdr>
      <w:divsChild>
        <w:div w:id="324674734">
          <w:marLeft w:val="0"/>
          <w:marRight w:val="0"/>
          <w:marTop w:val="180"/>
          <w:marBottom w:val="0"/>
          <w:divBdr>
            <w:top w:val="none" w:sz="0" w:space="0" w:color="auto"/>
            <w:left w:val="none" w:sz="0" w:space="0" w:color="auto"/>
            <w:bottom w:val="none" w:sz="0" w:space="0" w:color="auto"/>
            <w:right w:val="none" w:sz="0" w:space="0" w:color="auto"/>
          </w:divBdr>
        </w:div>
      </w:divsChild>
    </w:div>
    <w:div w:id="959340828">
      <w:marLeft w:val="0"/>
      <w:marRight w:val="0"/>
      <w:marTop w:val="180"/>
      <w:marBottom w:val="0"/>
      <w:divBdr>
        <w:top w:val="none" w:sz="0" w:space="0" w:color="auto"/>
        <w:left w:val="none" w:sz="0" w:space="0" w:color="auto"/>
        <w:bottom w:val="none" w:sz="0" w:space="0" w:color="auto"/>
        <w:right w:val="none" w:sz="0" w:space="0" w:color="auto"/>
      </w:divBdr>
    </w:div>
    <w:div w:id="960767340">
      <w:marLeft w:val="0"/>
      <w:marRight w:val="0"/>
      <w:marTop w:val="0"/>
      <w:marBottom w:val="0"/>
      <w:divBdr>
        <w:top w:val="none" w:sz="0" w:space="0" w:color="auto"/>
        <w:left w:val="none" w:sz="0" w:space="0" w:color="auto"/>
        <w:bottom w:val="none" w:sz="0" w:space="0" w:color="auto"/>
        <w:right w:val="none" w:sz="0" w:space="0" w:color="auto"/>
      </w:divBdr>
      <w:divsChild>
        <w:div w:id="1693914629">
          <w:marLeft w:val="0"/>
          <w:marRight w:val="0"/>
          <w:marTop w:val="0"/>
          <w:marBottom w:val="0"/>
          <w:divBdr>
            <w:top w:val="none" w:sz="0" w:space="0" w:color="auto"/>
            <w:left w:val="none" w:sz="0" w:space="0" w:color="auto"/>
            <w:bottom w:val="none" w:sz="0" w:space="0" w:color="auto"/>
            <w:right w:val="none" w:sz="0" w:space="0" w:color="auto"/>
          </w:divBdr>
          <w:divsChild>
            <w:div w:id="19020571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64197845">
      <w:marLeft w:val="0"/>
      <w:marRight w:val="0"/>
      <w:marTop w:val="120"/>
      <w:marBottom w:val="0"/>
      <w:divBdr>
        <w:top w:val="none" w:sz="0" w:space="0" w:color="auto"/>
        <w:left w:val="none" w:sz="0" w:space="0" w:color="auto"/>
        <w:bottom w:val="none" w:sz="0" w:space="0" w:color="auto"/>
        <w:right w:val="none" w:sz="0" w:space="0" w:color="auto"/>
      </w:divBdr>
    </w:div>
    <w:div w:id="964314258">
      <w:marLeft w:val="0"/>
      <w:marRight w:val="0"/>
      <w:marTop w:val="180"/>
      <w:marBottom w:val="0"/>
      <w:divBdr>
        <w:top w:val="none" w:sz="0" w:space="0" w:color="auto"/>
        <w:left w:val="none" w:sz="0" w:space="0" w:color="auto"/>
        <w:bottom w:val="none" w:sz="0" w:space="0" w:color="auto"/>
        <w:right w:val="none" w:sz="0" w:space="0" w:color="auto"/>
      </w:divBdr>
    </w:div>
    <w:div w:id="965693581">
      <w:marLeft w:val="0"/>
      <w:marRight w:val="0"/>
      <w:marTop w:val="0"/>
      <w:marBottom w:val="120"/>
      <w:divBdr>
        <w:top w:val="none" w:sz="0" w:space="0" w:color="auto"/>
        <w:left w:val="none" w:sz="0" w:space="0" w:color="auto"/>
        <w:bottom w:val="none" w:sz="0" w:space="0" w:color="auto"/>
        <w:right w:val="none" w:sz="0" w:space="0" w:color="auto"/>
      </w:divBdr>
    </w:div>
    <w:div w:id="966278732">
      <w:marLeft w:val="0"/>
      <w:marRight w:val="0"/>
      <w:marTop w:val="180"/>
      <w:marBottom w:val="0"/>
      <w:divBdr>
        <w:top w:val="none" w:sz="0" w:space="0" w:color="auto"/>
        <w:left w:val="none" w:sz="0" w:space="0" w:color="auto"/>
        <w:bottom w:val="none" w:sz="0" w:space="0" w:color="auto"/>
        <w:right w:val="none" w:sz="0" w:space="0" w:color="auto"/>
      </w:divBdr>
    </w:div>
    <w:div w:id="968785865">
      <w:marLeft w:val="0"/>
      <w:marRight w:val="0"/>
      <w:marTop w:val="180"/>
      <w:marBottom w:val="120"/>
      <w:divBdr>
        <w:top w:val="none" w:sz="0" w:space="0" w:color="auto"/>
        <w:left w:val="none" w:sz="0" w:space="0" w:color="auto"/>
        <w:bottom w:val="none" w:sz="0" w:space="0" w:color="auto"/>
        <w:right w:val="none" w:sz="0" w:space="0" w:color="auto"/>
      </w:divBdr>
      <w:divsChild>
        <w:div w:id="521625485">
          <w:marLeft w:val="0"/>
          <w:marRight w:val="0"/>
          <w:marTop w:val="0"/>
          <w:marBottom w:val="0"/>
          <w:divBdr>
            <w:top w:val="none" w:sz="0" w:space="0" w:color="auto"/>
            <w:left w:val="none" w:sz="0" w:space="0" w:color="auto"/>
            <w:bottom w:val="none" w:sz="0" w:space="0" w:color="auto"/>
            <w:right w:val="none" w:sz="0" w:space="0" w:color="auto"/>
          </w:divBdr>
        </w:div>
      </w:divsChild>
    </w:div>
    <w:div w:id="969436035">
      <w:marLeft w:val="0"/>
      <w:marRight w:val="0"/>
      <w:marTop w:val="180"/>
      <w:marBottom w:val="0"/>
      <w:divBdr>
        <w:top w:val="none" w:sz="0" w:space="0" w:color="auto"/>
        <w:left w:val="none" w:sz="0" w:space="0" w:color="auto"/>
        <w:bottom w:val="none" w:sz="0" w:space="0" w:color="auto"/>
        <w:right w:val="none" w:sz="0" w:space="0" w:color="auto"/>
      </w:divBdr>
    </w:div>
    <w:div w:id="970554930">
      <w:marLeft w:val="0"/>
      <w:marRight w:val="0"/>
      <w:marTop w:val="180"/>
      <w:marBottom w:val="0"/>
      <w:divBdr>
        <w:top w:val="none" w:sz="0" w:space="0" w:color="auto"/>
        <w:left w:val="none" w:sz="0" w:space="0" w:color="auto"/>
        <w:bottom w:val="none" w:sz="0" w:space="0" w:color="auto"/>
        <w:right w:val="none" w:sz="0" w:space="0" w:color="auto"/>
      </w:divBdr>
    </w:div>
    <w:div w:id="974412390">
      <w:marLeft w:val="0"/>
      <w:marRight w:val="0"/>
      <w:marTop w:val="180"/>
      <w:marBottom w:val="0"/>
      <w:divBdr>
        <w:top w:val="none" w:sz="0" w:space="0" w:color="auto"/>
        <w:left w:val="none" w:sz="0" w:space="0" w:color="auto"/>
        <w:bottom w:val="none" w:sz="0" w:space="0" w:color="auto"/>
        <w:right w:val="none" w:sz="0" w:space="0" w:color="auto"/>
      </w:divBdr>
    </w:div>
    <w:div w:id="974723405">
      <w:marLeft w:val="0"/>
      <w:marRight w:val="0"/>
      <w:marTop w:val="120"/>
      <w:marBottom w:val="120"/>
      <w:divBdr>
        <w:top w:val="none" w:sz="0" w:space="0" w:color="auto"/>
        <w:left w:val="none" w:sz="0" w:space="0" w:color="auto"/>
        <w:bottom w:val="none" w:sz="0" w:space="0" w:color="auto"/>
        <w:right w:val="none" w:sz="0" w:space="0" w:color="auto"/>
      </w:divBdr>
    </w:div>
    <w:div w:id="975372625">
      <w:marLeft w:val="0"/>
      <w:marRight w:val="0"/>
      <w:marTop w:val="240"/>
      <w:marBottom w:val="0"/>
      <w:divBdr>
        <w:top w:val="none" w:sz="0" w:space="0" w:color="auto"/>
        <w:left w:val="none" w:sz="0" w:space="0" w:color="auto"/>
        <w:bottom w:val="none" w:sz="0" w:space="0" w:color="auto"/>
        <w:right w:val="none" w:sz="0" w:space="0" w:color="auto"/>
      </w:divBdr>
    </w:div>
    <w:div w:id="978800987">
      <w:marLeft w:val="0"/>
      <w:marRight w:val="0"/>
      <w:marTop w:val="180"/>
      <w:marBottom w:val="0"/>
      <w:divBdr>
        <w:top w:val="none" w:sz="0" w:space="0" w:color="auto"/>
        <w:left w:val="none" w:sz="0" w:space="0" w:color="auto"/>
        <w:bottom w:val="none" w:sz="0" w:space="0" w:color="auto"/>
        <w:right w:val="none" w:sz="0" w:space="0" w:color="auto"/>
      </w:divBdr>
    </w:div>
    <w:div w:id="981155713">
      <w:marLeft w:val="0"/>
      <w:marRight w:val="0"/>
      <w:marTop w:val="180"/>
      <w:marBottom w:val="0"/>
      <w:divBdr>
        <w:top w:val="none" w:sz="0" w:space="0" w:color="auto"/>
        <w:left w:val="none" w:sz="0" w:space="0" w:color="auto"/>
        <w:bottom w:val="none" w:sz="0" w:space="0" w:color="auto"/>
        <w:right w:val="none" w:sz="0" w:space="0" w:color="auto"/>
      </w:divBdr>
    </w:div>
    <w:div w:id="981158672">
      <w:marLeft w:val="0"/>
      <w:marRight w:val="0"/>
      <w:marTop w:val="180"/>
      <w:marBottom w:val="0"/>
      <w:divBdr>
        <w:top w:val="none" w:sz="0" w:space="0" w:color="auto"/>
        <w:left w:val="none" w:sz="0" w:space="0" w:color="auto"/>
        <w:bottom w:val="none" w:sz="0" w:space="0" w:color="auto"/>
        <w:right w:val="none" w:sz="0" w:space="0" w:color="auto"/>
      </w:divBdr>
    </w:div>
    <w:div w:id="981815830">
      <w:marLeft w:val="0"/>
      <w:marRight w:val="0"/>
      <w:marTop w:val="180"/>
      <w:marBottom w:val="0"/>
      <w:divBdr>
        <w:top w:val="none" w:sz="0" w:space="0" w:color="auto"/>
        <w:left w:val="none" w:sz="0" w:space="0" w:color="auto"/>
        <w:bottom w:val="none" w:sz="0" w:space="0" w:color="auto"/>
        <w:right w:val="none" w:sz="0" w:space="0" w:color="auto"/>
      </w:divBdr>
    </w:div>
    <w:div w:id="985935470">
      <w:marLeft w:val="0"/>
      <w:marRight w:val="0"/>
      <w:marTop w:val="180"/>
      <w:marBottom w:val="0"/>
      <w:divBdr>
        <w:top w:val="none" w:sz="0" w:space="0" w:color="auto"/>
        <w:left w:val="none" w:sz="0" w:space="0" w:color="auto"/>
        <w:bottom w:val="none" w:sz="0" w:space="0" w:color="auto"/>
        <w:right w:val="none" w:sz="0" w:space="0" w:color="auto"/>
      </w:divBdr>
    </w:div>
    <w:div w:id="986282494">
      <w:marLeft w:val="0"/>
      <w:marRight w:val="0"/>
      <w:marTop w:val="180"/>
      <w:marBottom w:val="0"/>
      <w:divBdr>
        <w:top w:val="none" w:sz="0" w:space="0" w:color="auto"/>
        <w:left w:val="none" w:sz="0" w:space="0" w:color="auto"/>
        <w:bottom w:val="none" w:sz="0" w:space="0" w:color="auto"/>
        <w:right w:val="none" w:sz="0" w:space="0" w:color="auto"/>
      </w:divBdr>
    </w:div>
    <w:div w:id="986399304">
      <w:marLeft w:val="0"/>
      <w:marRight w:val="0"/>
      <w:marTop w:val="180"/>
      <w:marBottom w:val="120"/>
      <w:divBdr>
        <w:top w:val="none" w:sz="0" w:space="0" w:color="auto"/>
        <w:left w:val="none" w:sz="0" w:space="0" w:color="auto"/>
        <w:bottom w:val="none" w:sz="0" w:space="0" w:color="auto"/>
        <w:right w:val="none" w:sz="0" w:space="0" w:color="auto"/>
      </w:divBdr>
    </w:div>
    <w:div w:id="986586800">
      <w:marLeft w:val="0"/>
      <w:marRight w:val="0"/>
      <w:marTop w:val="240"/>
      <w:marBottom w:val="0"/>
      <w:divBdr>
        <w:top w:val="none" w:sz="0" w:space="0" w:color="auto"/>
        <w:left w:val="none" w:sz="0" w:space="0" w:color="auto"/>
        <w:bottom w:val="none" w:sz="0" w:space="0" w:color="auto"/>
        <w:right w:val="none" w:sz="0" w:space="0" w:color="auto"/>
      </w:divBdr>
      <w:divsChild>
        <w:div w:id="260072698">
          <w:marLeft w:val="0"/>
          <w:marRight w:val="0"/>
          <w:marTop w:val="0"/>
          <w:marBottom w:val="0"/>
          <w:divBdr>
            <w:top w:val="none" w:sz="0" w:space="0" w:color="auto"/>
            <w:left w:val="none" w:sz="0" w:space="0" w:color="auto"/>
            <w:bottom w:val="none" w:sz="0" w:space="0" w:color="auto"/>
            <w:right w:val="none" w:sz="0" w:space="0" w:color="auto"/>
          </w:divBdr>
        </w:div>
      </w:divsChild>
    </w:div>
    <w:div w:id="986976969">
      <w:marLeft w:val="0"/>
      <w:marRight w:val="0"/>
      <w:marTop w:val="180"/>
      <w:marBottom w:val="0"/>
      <w:divBdr>
        <w:top w:val="none" w:sz="0" w:space="0" w:color="auto"/>
        <w:left w:val="none" w:sz="0" w:space="0" w:color="auto"/>
        <w:bottom w:val="none" w:sz="0" w:space="0" w:color="auto"/>
        <w:right w:val="none" w:sz="0" w:space="0" w:color="auto"/>
      </w:divBdr>
    </w:div>
    <w:div w:id="986979897">
      <w:marLeft w:val="0"/>
      <w:marRight w:val="0"/>
      <w:marTop w:val="240"/>
      <w:marBottom w:val="0"/>
      <w:divBdr>
        <w:top w:val="none" w:sz="0" w:space="0" w:color="auto"/>
        <w:left w:val="none" w:sz="0" w:space="0" w:color="auto"/>
        <w:bottom w:val="none" w:sz="0" w:space="0" w:color="auto"/>
        <w:right w:val="none" w:sz="0" w:space="0" w:color="auto"/>
      </w:divBdr>
    </w:div>
    <w:div w:id="987127825">
      <w:marLeft w:val="0"/>
      <w:marRight w:val="0"/>
      <w:marTop w:val="180"/>
      <w:marBottom w:val="0"/>
      <w:divBdr>
        <w:top w:val="none" w:sz="0" w:space="0" w:color="auto"/>
        <w:left w:val="none" w:sz="0" w:space="0" w:color="auto"/>
        <w:bottom w:val="none" w:sz="0" w:space="0" w:color="auto"/>
        <w:right w:val="none" w:sz="0" w:space="0" w:color="auto"/>
      </w:divBdr>
    </w:div>
    <w:div w:id="987251507">
      <w:marLeft w:val="0"/>
      <w:marRight w:val="0"/>
      <w:marTop w:val="180"/>
      <w:marBottom w:val="0"/>
      <w:divBdr>
        <w:top w:val="none" w:sz="0" w:space="0" w:color="auto"/>
        <w:left w:val="none" w:sz="0" w:space="0" w:color="auto"/>
        <w:bottom w:val="none" w:sz="0" w:space="0" w:color="auto"/>
        <w:right w:val="none" w:sz="0" w:space="0" w:color="auto"/>
      </w:divBdr>
    </w:div>
    <w:div w:id="988052740">
      <w:marLeft w:val="0"/>
      <w:marRight w:val="0"/>
      <w:marTop w:val="0"/>
      <w:marBottom w:val="0"/>
      <w:divBdr>
        <w:top w:val="none" w:sz="0" w:space="0" w:color="auto"/>
        <w:left w:val="none" w:sz="0" w:space="0" w:color="auto"/>
        <w:bottom w:val="none" w:sz="0" w:space="0" w:color="auto"/>
        <w:right w:val="none" w:sz="0" w:space="0" w:color="auto"/>
      </w:divBdr>
      <w:divsChild>
        <w:div w:id="1764062731">
          <w:marLeft w:val="0"/>
          <w:marRight w:val="0"/>
          <w:marTop w:val="0"/>
          <w:marBottom w:val="0"/>
          <w:divBdr>
            <w:top w:val="none" w:sz="0" w:space="0" w:color="auto"/>
            <w:left w:val="none" w:sz="0" w:space="0" w:color="auto"/>
            <w:bottom w:val="none" w:sz="0" w:space="0" w:color="auto"/>
            <w:right w:val="none" w:sz="0" w:space="0" w:color="auto"/>
          </w:divBdr>
        </w:div>
      </w:divsChild>
    </w:div>
    <w:div w:id="988558468">
      <w:marLeft w:val="0"/>
      <w:marRight w:val="0"/>
      <w:marTop w:val="180"/>
      <w:marBottom w:val="0"/>
      <w:divBdr>
        <w:top w:val="none" w:sz="0" w:space="0" w:color="auto"/>
        <w:left w:val="none" w:sz="0" w:space="0" w:color="auto"/>
        <w:bottom w:val="none" w:sz="0" w:space="0" w:color="auto"/>
        <w:right w:val="none" w:sz="0" w:space="0" w:color="auto"/>
      </w:divBdr>
    </w:div>
    <w:div w:id="988677522">
      <w:marLeft w:val="0"/>
      <w:marRight w:val="0"/>
      <w:marTop w:val="240"/>
      <w:marBottom w:val="0"/>
      <w:divBdr>
        <w:top w:val="none" w:sz="0" w:space="0" w:color="auto"/>
        <w:left w:val="none" w:sz="0" w:space="0" w:color="auto"/>
        <w:bottom w:val="none" w:sz="0" w:space="0" w:color="auto"/>
        <w:right w:val="none" w:sz="0" w:space="0" w:color="auto"/>
      </w:divBdr>
    </w:div>
    <w:div w:id="988823159">
      <w:marLeft w:val="0"/>
      <w:marRight w:val="0"/>
      <w:marTop w:val="180"/>
      <w:marBottom w:val="0"/>
      <w:divBdr>
        <w:top w:val="none" w:sz="0" w:space="0" w:color="auto"/>
        <w:left w:val="none" w:sz="0" w:space="0" w:color="auto"/>
        <w:bottom w:val="none" w:sz="0" w:space="0" w:color="auto"/>
        <w:right w:val="none" w:sz="0" w:space="0" w:color="auto"/>
      </w:divBdr>
    </w:div>
    <w:div w:id="992752603">
      <w:marLeft w:val="0"/>
      <w:marRight w:val="0"/>
      <w:marTop w:val="180"/>
      <w:marBottom w:val="0"/>
      <w:divBdr>
        <w:top w:val="none" w:sz="0" w:space="0" w:color="auto"/>
        <w:left w:val="none" w:sz="0" w:space="0" w:color="auto"/>
        <w:bottom w:val="none" w:sz="0" w:space="0" w:color="auto"/>
        <w:right w:val="none" w:sz="0" w:space="0" w:color="auto"/>
      </w:divBdr>
    </w:div>
    <w:div w:id="993098586">
      <w:marLeft w:val="0"/>
      <w:marRight w:val="0"/>
      <w:marTop w:val="180"/>
      <w:marBottom w:val="0"/>
      <w:divBdr>
        <w:top w:val="none" w:sz="0" w:space="0" w:color="auto"/>
        <w:left w:val="none" w:sz="0" w:space="0" w:color="auto"/>
        <w:bottom w:val="none" w:sz="0" w:space="0" w:color="auto"/>
        <w:right w:val="none" w:sz="0" w:space="0" w:color="auto"/>
      </w:divBdr>
    </w:div>
    <w:div w:id="993872940">
      <w:marLeft w:val="0"/>
      <w:marRight w:val="0"/>
      <w:marTop w:val="180"/>
      <w:marBottom w:val="0"/>
      <w:divBdr>
        <w:top w:val="none" w:sz="0" w:space="0" w:color="auto"/>
        <w:left w:val="none" w:sz="0" w:space="0" w:color="auto"/>
        <w:bottom w:val="none" w:sz="0" w:space="0" w:color="auto"/>
        <w:right w:val="none" w:sz="0" w:space="0" w:color="auto"/>
      </w:divBdr>
    </w:div>
    <w:div w:id="994181918">
      <w:marLeft w:val="0"/>
      <w:marRight w:val="0"/>
      <w:marTop w:val="0"/>
      <w:marBottom w:val="0"/>
      <w:divBdr>
        <w:top w:val="none" w:sz="0" w:space="0" w:color="auto"/>
        <w:left w:val="none" w:sz="0" w:space="0" w:color="auto"/>
        <w:bottom w:val="none" w:sz="0" w:space="0" w:color="auto"/>
        <w:right w:val="none" w:sz="0" w:space="0" w:color="auto"/>
      </w:divBdr>
    </w:div>
    <w:div w:id="994917551">
      <w:marLeft w:val="0"/>
      <w:marRight w:val="0"/>
      <w:marTop w:val="180"/>
      <w:marBottom w:val="60"/>
      <w:divBdr>
        <w:top w:val="none" w:sz="0" w:space="0" w:color="auto"/>
        <w:left w:val="none" w:sz="0" w:space="0" w:color="auto"/>
        <w:bottom w:val="none" w:sz="0" w:space="0" w:color="auto"/>
        <w:right w:val="none" w:sz="0" w:space="0" w:color="auto"/>
      </w:divBdr>
    </w:div>
    <w:div w:id="995380629">
      <w:marLeft w:val="0"/>
      <w:marRight w:val="0"/>
      <w:marTop w:val="180"/>
      <w:marBottom w:val="0"/>
      <w:divBdr>
        <w:top w:val="none" w:sz="0" w:space="0" w:color="auto"/>
        <w:left w:val="none" w:sz="0" w:space="0" w:color="auto"/>
        <w:bottom w:val="none" w:sz="0" w:space="0" w:color="auto"/>
        <w:right w:val="none" w:sz="0" w:space="0" w:color="auto"/>
      </w:divBdr>
    </w:div>
    <w:div w:id="995568231">
      <w:marLeft w:val="0"/>
      <w:marRight w:val="0"/>
      <w:marTop w:val="180"/>
      <w:marBottom w:val="120"/>
      <w:divBdr>
        <w:top w:val="none" w:sz="0" w:space="0" w:color="auto"/>
        <w:left w:val="none" w:sz="0" w:space="0" w:color="auto"/>
        <w:bottom w:val="none" w:sz="0" w:space="0" w:color="auto"/>
        <w:right w:val="none" w:sz="0" w:space="0" w:color="auto"/>
      </w:divBdr>
    </w:div>
    <w:div w:id="997076626">
      <w:marLeft w:val="0"/>
      <w:marRight w:val="0"/>
      <w:marTop w:val="120"/>
      <w:marBottom w:val="0"/>
      <w:divBdr>
        <w:top w:val="none" w:sz="0" w:space="0" w:color="auto"/>
        <w:left w:val="none" w:sz="0" w:space="0" w:color="auto"/>
        <w:bottom w:val="none" w:sz="0" w:space="0" w:color="auto"/>
        <w:right w:val="none" w:sz="0" w:space="0" w:color="auto"/>
      </w:divBdr>
    </w:div>
    <w:div w:id="997727082">
      <w:marLeft w:val="0"/>
      <w:marRight w:val="0"/>
      <w:marTop w:val="180"/>
      <w:marBottom w:val="0"/>
      <w:divBdr>
        <w:top w:val="none" w:sz="0" w:space="0" w:color="auto"/>
        <w:left w:val="none" w:sz="0" w:space="0" w:color="auto"/>
        <w:bottom w:val="none" w:sz="0" w:space="0" w:color="auto"/>
        <w:right w:val="none" w:sz="0" w:space="0" w:color="auto"/>
      </w:divBdr>
    </w:div>
    <w:div w:id="1001659132">
      <w:marLeft w:val="0"/>
      <w:marRight w:val="0"/>
      <w:marTop w:val="120"/>
      <w:marBottom w:val="0"/>
      <w:divBdr>
        <w:top w:val="none" w:sz="0" w:space="0" w:color="auto"/>
        <w:left w:val="none" w:sz="0" w:space="0" w:color="auto"/>
        <w:bottom w:val="none" w:sz="0" w:space="0" w:color="auto"/>
        <w:right w:val="none" w:sz="0" w:space="0" w:color="auto"/>
      </w:divBdr>
    </w:div>
    <w:div w:id="1004240310">
      <w:marLeft w:val="0"/>
      <w:marRight w:val="0"/>
      <w:marTop w:val="180"/>
      <w:marBottom w:val="0"/>
      <w:divBdr>
        <w:top w:val="none" w:sz="0" w:space="0" w:color="auto"/>
        <w:left w:val="none" w:sz="0" w:space="0" w:color="auto"/>
        <w:bottom w:val="none" w:sz="0" w:space="0" w:color="auto"/>
        <w:right w:val="none" w:sz="0" w:space="0" w:color="auto"/>
      </w:divBdr>
    </w:div>
    <w:div w:id="1005129144">
      <w:marLeft w:val="0"/>
      <w:marRight w:val="0"/>
      <w:marTop w:val="240"/>
      <w:marBottom w:val="0"/>
      <w:divBdr>
        <w:top w:val="none" w:sz="0" w:space="0" w:color="auto"/>
        <w:left w:val="none" w:sz="0" w:space="0" w:color="auto"/>
        <w:bottom w:val="none" w:sz="0" w:space="0" w:color="auto"/>
        <w:right w:val="none" w:sz="0" w:space="0" w:color="auto"/>
      </w:divBdr>
    </w:div>
    <w:div w:id="1005858390">
      <w:marLeft w:val="0"/>
      <w:marRight w:val="0"/>
      <w:marTop w:val="180"/>
      <w:marBottom w:val="0"/>
      <w:divBdr>
        <w:top w:val="none" w:sz="0" w:space="0" w:color="auto"/>
        <w:left w:val="none" w:sz="0" w:space="0" w:color="auto"/>
        <w:bottom w:val="none" w:sz="0" w:space="0" w:color="auto"/>
        <w:right w:val="none" w:sz="0" w:space="0" w:color="auto"/>
      </w:divBdr>
    </w:div>
    <w:div w:id="1005979311">
      <w:marLeft w:val="0"/>
      <w:marRight w:val="0"/>
      <w:marTop w:val="240"/>
      <w:marBottom w:val="120"/>
      <w:divBdr>
        <w:top w:val="none" w:sz="0" w:space="0" w:color="auto"/>
        <w:left w:val="none" w:sz="0" w:space="0" w:color="auto"/>
        <w:bottom w:val="none" w:sz="0" w:space="0" w:color="auto"/>
        <w:right w:val="none" w:sz="0" w:space="0" w:color="auto"/>
      </w:divBdr>
      <w:divsChild>
        <w:div w:id="991521570">
          <w:marLeft w:val="0"/>
          <w:marRight w:val="0"/>
          <w:marTop w:val="0"/>
          <w:marBottom w:val="0"/>
          <w:divBdr>
            <w:top w:val="none" w:sz="0" w:space="0" w:color="auto"/>
            <w:left w:val="none" w:sz="0" w:space="0" w:color="auto"/>
            <w:bottom w:val="none" w:sz="0" w:space="0" w:color="auto"/>
            <w:right w:val="none" w:sz="0" w:space="0" w:color="auto"/>
          </w:divBdr>
        </w:div>
        <w:div w:id="276722582">
          <w:marLeft w:val="0"/>
          <w:marRight w:val="0"/>
          <w:marTop w:val="0"/>
          <w:marBottom w:val="0"/>
          <w:divBdr>
            <w:top w:val="none" w:sz="0" w:space="0" w:color="auto"/>
            <w:left w:val="none" w:sz="0" w:space="0" w:color="auto"/>
            <w:bottom w:val="none" w:sz="0" w:space="0" w:color="auto"/>
            <w:right w:val="none" w:sz="0" w:space="0" w:color="auto"/>
          </w:divBdr>
        </w:div>
        <w:div w:id="1797747941">
          <w:marLeft w:val="0"/>
          <w:marRight w:val="0"/>
          <w:marTop w:val="0"/>
          <w:marBottom w:val="0"/>
          <w:divBdr>
            <w:top w:val="none" w:sz="0" w:space="0" w:color="auto"/>
            <w:left w:val="none" w:sz="0" w:space="0" w:color="auto"/>
            <w:bottom w:val="none" w:sz="0" w:space="0" w:color="auto"/>
            <w:right w:val="none" w:sz="0" w:space="0" w:color="auto"/>
          </w:divBdr>
        </w:div>
        <w:div w:id="565842220">
          <w:marLeft w:val="0"/>
          <w:marRight w:val="0"/>
          <w:marTop w:val="0"/>
          <w:marBottom w:val="0"/>
          <w:divBdr>
            <w:top w:val="none" w:sz="0" w:space="0" w:color="auto"/>
            <w:left w:val="none" w:sz="0" w:space="0" w:color="auto"/>
            <w:bottom w:val="none" w:sz="0" w:space="0" w:color="auto"/>
            <w:right w:val="none" w:sz="0" w:space="0" w:color="auto"/>
          </w:divBdr>
        </w:div>
      </w:divsChild>
    </w:div>
    <w:div w:id="1006437953">
      <w:marLeft w:val="0"/>
      <w:marRight w:val="0"/>
      <w:marTop w:val="180"/>
      <w:marBottom w:val="0"/>
      <w:divBdr>
        <w:top w:val="none" w:sz="0" w:space="0" w:color="auto"/>
        <w:left w:val="none" w:sz="0" w:space="0" w:color="auto"/>
        <w:bottom w:val="none" w:sz="0" w:space="0" w:color="auto"/>
        <w:right w:val="none" w:sz="0" w:space="0" w:color="auto"/>
      </w:divBdr>
    </w:div>
    <w:div w:id="1006664977">
      <w:marLeft w:val="0"/>
      <w:marRight w:val="0"/>
      <w:marTop w:val="180"/>
      <w:marBottom w:val="0"/>
      <w:divBdr>
        <w:top w:val="none" w:sz="0" w:space="0" w:color="auto"/>
        <w:left w:val="none" w:sz="0" w:space="0" w:color="auto"/>
        <w:bottom w:val="none" w:sz="0" w:space="0" w:color="auto"/>
        <w:right w:val="none" w:sz="0" w:space="0" w:color="auto"/>
      </w:divBdr>
    </w:div>
    <w:div w:id="1007446081">
      <w:marLeft w:val="0"/>
      <w:marRight w:val="0"/>
      <w:marTop w:val="180"/>
      <w:marBottom w:val="0"/>
      <w:divBdr>
        <w:top w:val="none" w:sz="0" w:space="0" w:color="auto"/>
        <w:left w:val="none" w:sz="0" w:space="0" w:color="auto"/>
        <w:bottom w:val="none" w:sz="0" w:space="0" w:color="auto"/>
        <w:right w:val="none" w:sz="0" w:space="0" w:color="auto"/>
      </w:divBdr>
    </w:div>
    <w:div w:id="1009990852">
      <w:marLeft w:val="0"/>
      <w:marRight w:val="0"/>
      <w:marTop w:val="0"/>
      <w:marBottom w:val="300"/>
      <w:divBdr>
        <w:top w:val="none" w:sz="0" w:space="0" w:color="auto"/>
        <w:left w:val="none" w:sz="0" w:space="0" w:color="auto"/>
        <w:bottom w:val="none" w:sz="0" w:space="0" w:color="auto"/>
        <w:right w:val="none" w:sz="0" w:space="0" w:color="auto"/>
      </w:divBdr>
    </w:div>
    <w:div w:id="1011640207">
      <w:marLeft w:val="0"/>
      <w:marRight w:val="0"/>
      <w:marTop w:val="180"/>
      <w:marBottom w:val="0"/>
      <w:divBdr>
        <w:top w:val="none" w:sz="0" w:space="0" w:color="auto"/>
        <w:left w:val="none" w:sz="0" w:space="0" w:color="auto"/>
        <w:bottom w:val="none" w:sz="0" w:space="0" w:color="auto"/>
        <w:right w:val="none" w:sz="0" w:space="0" w:color="auto"/>
      </w:divBdr>
    </w:div>
    <w:div w:id="1012222084">
      <w:marLeft w:val="0"/>
      <w:marRight w:val="0"/>
      <w:marTop w:val="0"/>
      <w:marBottom w:val="0"/>
      <w:divBdr>
        <w:top w:val="none" w:sz="0" w:space="0" w:color="auto"/>
        <w:left w:val="none" w:sz="0" w:space="0" w:color="auto"/>
        <w:bottom w:val="none" w:sz="0" w:space="0" w:color="auto"/>
        <w:right w:val="none" w:sz="0" w:space="0" w:color="auto"/>
      </w:divBdr>
      <w:divsChild>
        <w:div w:id="1300184800">
          <w:marLeft w:val="0"/>
          <w:marRight w:val="0"/>
          <w:marTop w:val="0"/>
          <w:marBottom w:val="0"/>
          <w:divBdr>
            <w:top w:val="none" w:sz="0" w:space="0" w:color="auto"/>
            <w:left w:val="none" w:sz="0" w:space="0" w:color="auto"/>
            <w:bottom w:val="none" w:sz="0" w:space="0" w:color="auto"/>
            <w:right w:val="none" w:sz="0" w:space="0" w:color="auto"/>
          </w:divBdr>
          <w:divsChild>
            <w:div w:id="18320603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16465847">
      <w:marLeft w:val="0"/>
      <w:marRight w:val="0"/>
      <w:marTop w:val="180"/>
      <w:marBottom w:val="0"/>
      <w:divBdr>
        <w:top w:val="none" w:sz="0" w:space="0" w:color="auto"/>
        <w:left w:val="none" w:sz="0" w:space="0" w:color="auto"/>
        <w:bottom w:val="none" w:sz="0" w:space="0" w:color="auto"/>
        <w:right w:val="none" w:sz="0" w:space="0" w:color="auto"/>
      </w:divBdr>
    </w:div>
    <w:div w:id="1016539875">
      <w:marLeft w:val="0"/>
      <w:marRight w:val="0"/>
      <w:marTop w:val="0"/>
      <w:marBottom w:val="0"/>
      <w:divBdr>
        <w:top w:val="none" w:sz="0" w:space="0" w:color="auto"/>
        <w:left w:val="none" w:sz="0" w:space="0" w:color="auto"/>
        <w:bottom w:val="none" w:sz="0" w:space="0" w:color="auto"/>
        <w:right w:val="none" w:sz="0" w:space="0" w:color="auto"/>
      </w:divBdr>
      <w:divsChild>
        <w:div w:id="479855194">
          <w:marLeft w:val="0"/>
          <w:marRight w:val="0"/>
          <w:marTop w:val="0"/>
          <w:marBottom w:val="0"/>
          <w:divBdr>
            <w:top w:val="none" w:sz="0" w:space="0" w:color="auto"/>
            <w:left w:val="none" w:sz="0" w:space="0" w:color="auto"/>
            <w:bottom w:val="none" w:sz="0" w:space="0" w:color="auto"/>
            <w:right w:val="none" w:sz="0" w:space="0" w:color="auto"/>
          </w:divBdr>
          <w:divsChild>
            <w:div w:id="14607563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20424838">
      <w:marLeft w:val="0"/>
      <w:marRight w:val="0"/>
      <w:marTop w:val="180"/>
      <w:marBottom w:val="60"/>
      <w:divBdr>
        <w:top w:val="none" w:sz="0" w:space="0" w:color="auto"/>
        <w:left w:val="none" w:sz="0" w:space="0" w:color="auto"/>
        <w:bottom w:val="none" w:sz="0" w:space="0" w:color="auto"/>
        <w:right w:val="none" w:sz="0" w:space="0" w:color="auto"/>
      </w:divBdr>
    </w:div>
    <w:div w:id="1020935695">
      <w:marLeft w:val="0"/>
      <w:marRight w:val="0"/>
      <w:marTop w:val="180"/>
      <w:marBottom w:val="0"/>
      <w:divBdr>
        <w:top w:val="none" w:sz="0" w:space="0" w:color="auto"/>
        <w:left w:val="none" w:sz="0" w:space="0" w:color="auto"/>
        <w:bottom w:val="none" w:sz="0" w:space="0" w:color="auto"/>
        <w:right w:val="none" w:sz="0" w:space="0" w:color="auto"/>
      </w:divBdr>
    </w:div>
    <w:div w:id="1023482740">
      <w:marLeft w:val="0"/>
      <w:marRight w:val="0"/>
      <w:marTop w:val="180"/>
      <w:marBottom w:val="0"/>
      <w:divBdr>
        <w:top w:val="none" w:sz="0" w:space="0" w:color="auto"/>
        <w:left w:val="none" w:sz="0" w:space="0" w:color="auto"/>
        <w:bottom w:val="none" w:sz="0" w:space="0" w:color="auto"/>
        <w:right w:val="none" w:sz="0" w:space="0" w:color="auto"/>
      </w:divBdr>
    </w:div>
    <w:div w:id="1023895828">
      <w:marLeft w:val="0"/>
      <w:marRight w:val="0"/>
      <w:marTop w:val="180"/>
      <w:marBottom w:val="120"/>
      <w:divBdr>
        <w:top w:val="none" w:sz="0" w:space="0" w:color="auto"/>
        <w:left w:val="none" w:sz="0" w:space="0" w:color="auto"/>
        <w:bottom w:val="none" w:sz="0" w:space="0" w:color="auto"/>
        <w:right w:val="none" w:sz="0" w:space="0" w:color="auto"/>
      </w:divBdr>
    </w:div>
    <w:div w:id="1027172574">
      <w:marLeft w:val="0"/>
      <w:marRight w:val="0"/>
      <w:marTop w:val="180"/>
      <w:marBottom w:val="0"/>
      <w:divBdr>
        <w:top w:val="none" w:sz="0" w:space="0" w:color="auto"/>
        <w:left w:val="none" w:sz="0" w:space="0" w:color="auto"/>
        <w:bottom w:val="none" w:sz="0" w:space="0" w:color="auto"/>
        <w:right w:val="none" w:sz="0" w:space="0" w:color="auto"/>
      </w:divBdr>
    </w:div>
    <w:div w:id="1031295677">
      <w:marLeft w:val="0"/>
      <w:marRight w:val="0"/>
      <w:marTop w:val="180"/>
      <w:marBottom w:val="0"/>
      <w:divBdr>
        <w:top w:val="none" w:sz="0" w:space="0" w:color="auto"/>
        <w:left w:val="none" w:sz="0" w:space="0" w:color="auto"/>
        <w:bottom w:val="none" w:sz="0" w:space="0" w:color="auto"/>
        <w:right w:val="none" w:sz="0" w:space="0" w:color="auto"/>
      </w:divBdr>
    </w:div>
    <w:div w:id="1035304950">
      <w:marLeft w:val="0"/>
      <w:marRight w:val="0"/>
      <w:marTop w:val="180"/>
      <w:marBottom w:val="0"/>
      <w:divBdr>
        <w:top w:val="none" w:sz="0" w:space="0" w:color="auto"/>
        <w:left w:val="none" w:sz="0" w:space="0" w:color="auto"/>
        <w:bottom w:val="none" w:sz="0" w:space="0" w:color="auto"/>
        <w:right w:val="none" w:sz="0" w:space="0" w:color="auto"/>
      </w:divBdr>
    </w:div>
    <w:div w:id="1035354854">
      <w:marLeft w:val="0"/>
      <w:marRight w:val="0"/>
      <w:marTop w:val="180"/>
      <w:marBottom w:val="0"/>
      <w:divBdr>
        <w:top w:val="none" w:sz="0" w:space="0" w:color="auto"/>
        <w:left w:val="none" w:sz="0" w:space="0" w:color="auto"/>
        <w:bottom w:val="none" w:sz="0" w:space="0" w:color="auto"/>
        <w:right w:val="none" w:sz="0" w:space="0" w:color="auto"/>
      </w:divBdr>
    </w:div>
    <w:div w:id="1039087614">
      <w:marLeft w:val="0"/>
      <w:marRight w:val="0"/>
      <w:marTop w:val="180"/>
      <w:marBottom w:val="120"/>
      <w:divBdr>
        <w:top w:val="none" w:sz="0" w:space="0" w:color="auto"/>
        <w:left w:val="none" w:sz="0" w:space="0" w:color="auto"/>
        <w:bottom w:val="none" w:sz="0" w:space="0" w:color="auto"/>
        <w:right w:val="none" w:sz="0" w:space="0" w:color="auto"/>
      </w:divBdr>
    </w:div>
    <w:div w:id="1045174395">
      <w:marLeft w:val="0"/>
      <w:marRight w:val="0"/>
      <w:marTop w:val="180"/>
      <w:marBottom w:val="0"/>
      <w:divBdr>
        <w:top w:val="none" w:sz="0" w:space="0" w:color="auto"/>
        <w:left w:val="none" w:sz="0" w:space="0" w:color="auto"/>
        <w:bottom w:val="none" w:sz="0" w:space="0" w:color="auto"/>
        <w:right w:val="none" w:sz="0" w:space="0" w:color="auto"/>
      </w:divBdr>
    </w:div>
    <w:div w:id="1046874576">
      <w:marLeft w:val="0"/>
      <w:marRight w:val="0"/>
      <w:marTop w:val="120"/>
      <w:marBottom w:val="0"/>
      <w:divBdr>
        <w:top w:val="none" w:sz="0" w:space="0" w:color="auto"/>
        <w:left w:val="none" w:sz="0" w:space="0" w:color="auto"/>
        <w:bottom w:val="none" w:sz="0" w:space="0" w:color="auto"/>
        <w:right w:val="none" w:sz="0" w:space="0" w:color="auto"/>
      </w:divBdr>
    </w:div>
    <w:div w:id="1048064089">
      <w:marLeft w:val="0"/>
      <w:marRight w:val="0"/>
      <w:marTop w:val="180"/>
      <w:marBottom w:val="0"/>
      <w:divBdr>
        <w:top w:val="none" w:sz="0" w:space="0" w:color="auto"/>
        <w:left w:val="none" w:sz="0" w:space="0" w:color="auto"/>
        <w:bottom w:val="none" w:sz="0" w:space="0" w:color="auto"/>
        <w:right w:val="none" w:sz="0" w:space="0" w:color="auto"/>
      </w:divBdr>
    </w:div>
    <w:div w:id="1048065929">
      <w:marLeft w:val="0"/>
      <w:marRight w:val="0"/>
      <w:marTop w:val="0"/>
      <w:marBottom w:val="0"/>
      <w:divBdr>
        <w:top w:val="none" w:sz="0" w:space="0" w:color="auto"/>
        <w:left w:val="none" w:sz="0" w:space="0" w:color="auto"/>
        <w:bottom w:val="none" w:sz="0" w:space="0" w:color="auto"/>
        <w:right w:val="none" w:sz="0" w:space="0" w:color="auto"/>
      </w:divBdr>
      <w:divsChild>
        <w:div w:id="1124690316">
          <w:marLeft w:val="0"/>
          <w:marRight w:val="0"/>
          <w:marTop w:val="0"/>
          <w:marBottom w:val="0"/>
          <w:divBdr>
            <w:top w:val="none" w:sz="0" w:space="0" w:color="auto"/>
            <w:left w:val="none" w:sz="0" w:space="0" w:color="auto"/>
            <w:bottom w:val="none" w:sz="0" w:space="0" w:color="auto"/>
            <w:right w:val="none" w:sz="0" w:space="0" w:color="auto"/>
          </w:divBdr>
          <w:divsChild>
            <w:div w:id="9698703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51003828">
      <w:marLeft w:val="0"/>
      <w:marRight w:val="0"/>
      <w:marTop w:val="180"/>
      <w:marBottom w:val="0"/>
      <w:divBdr>
        <w:top w:val="none" w:sz="0" w:space="0" w:color="auto"/>
        <w:left w:val="none" w:sz="0" w:space="0" w:color="auto"/>
        <w:bottom w:val="none" w:sz="0" w:space="0" w:color="auto"/>
        <w:right w:val="none" w:sz="0" w:space="0" w:color="auto"/>
      </w:divBdr>
    </w:div>
    <w:div w:id="1051610003">
      <w:marLeft w:val="0"/>
      <w:marRight w:val="0"/>
      <w:marTop w:val="180"/>
      <w:marBottom w:val="0"/>
      <w:divBdr>
        <w:top w:val="none" w:sz="0" w:space="0" w:color="auto"/>
        <w:left w:val="none" w:sz="0" w:space="0" w:color="auto"/>
        <w:bottom w:val="none" w:sz="0" w:space="0" w:color="auto"/>
        <w:right w:val="none" w:sz="0" w:space="0" w:color="auto"/>
      </w:divBdr>
    </w:div>
    <w:div w:id="1052265763">
      <w:marLeft w:val="0"/>
      <w:marRight w:val="0"/>
      <w:marTop w:val="180"/>
      <w:marBottom w:val="0"/>
      <w:divBdr>
        <w:top w:val="none" w:sz="0" w:space="0" w:color="auto"/>
        <w:left w:val="none" w:sz="0" w:space="0" w:color="auto"/>
        <w:bottom w:val="none" w:sz="0" w:space="0" w:color="auto"/>
        <w:right w:val="none" w:sz="0" w:space="0" w:color="auto"/>
      </w:divBdr>
    </w:div>
    <w:div w:id="1053576366">
      <w:marLeft w:val="0"/>
      <w:marRight w:val="0"/>
      <w:marTop w:val="180"/>
      <w:marBottom w:val="0"/>
      <w:divBdr>
        <w:top w:val="none" w:sz="0" w:space="0" w:color="auto"/>
        <w:left w:val="none" w:sz="0" w:space="0" w:color="auto"/>
        <w:bottom w:val="none" w:sz="0" w:space="0" w:color="auto"/>
        <w:right w:val="none" w:sz="0" w:space="0" w:color="auto"/>
      </w:divBdr>
    </w:div>
    <w:div w:id="1053622542">
      <w:marLeft w:val="0"/>
      <w:marRight w:val="0"/>
      <w:marTop w:val="240"/>
      <w:marBottom w:val="0"/>
      <w:divBdr>
        <w:top w:val="none" w:sz="0" w:space="0" w:color="auto"/>
        <w:left w:val="none" w:sz="0" w:space="0" w:color="auto"/>
        <w:bottom w:val="none" w:sz="0" w:space="0" w:color="auto"/>
        <w:right w:val="none" w:sz="0" w:space="0" w:color="auto"/>
      </w:divBdr>
    </w:div>
    <w:div w:id="1055817522">
      <w:marLeft w:val="0"/>
      <w:marRight w:val="0"/>
      <w:marTop w:val="0"/>
      <w:marBottom w:val="0"/>
      <w:divBdr>
        <w:top w:val="none" w:sz="0" w:space="0" w:color="auto"/>
        <w:left w:val="none" w:sz="0" w:space="0" w:color="auto"/>
        <w:bottom w:val="none" w:sz="0" w:space="0" w:color="auto"/>
        <w:right w:val="none" w:sz="0" w:space="0" w:color="auto"/>
      </w:divBdr>
      <w:divsChild>
        <w:div w:id="266622093">
          <w:marLeft w:val="0"/>
          <w:marRight w:val="0"/>
          <w:marTop w:val="0"/>
          <w:marBottom w:val="0"/>
          <w:divBdr>
            <w:top w:val="none" w:sz="0" w:space="0" w:color="auto"/>
            <w:left w:val="none" w:sz="0" w:space="0" w:color="auto"/>
            <w:bottom w:val="none" w:sz="0" w:space="0" w:color="auto"/>
            <w:right w:val="none" w:sz="0" w:space="0" w:color="auto"/>
          </w:divBdr>
        </w:div>
      </w:divsChild>
    </w:div>
    <w:div w:id="1056313994">
      <w:marLeft w:val="0"/>
      <w:marRight w:val="0"/>
      <w:marTop w:val="0"/>
      <w:marBottom w:val="120"/>
      <w:divBdr>
        <w:top w:val="none" w:sz="0" w:space="0" w:color="auto"/>
        <w:left w:val="none" w:sz="0" w:space="0" w:color="auto"/>
        <w:bottom w:val="none" w:sz="0" w:space="0" w:color="auto"/>
        <w:right w:val="none" w:sz="0" w:space="0" w:color="auto"/>
      </w:divBdr>
      <w:divsChild>
        <w:div w:id="239750398">
          <w:marLeft w:val="0"/>
          <w:marRight w:val="0"/>
          <w:marTop w:val="0"/>
          <w:marBottom w:val="60"/>
          <w:divBdr>
            <w:top w:val="none" w:sz="0" w:space="0" w:color="auto"/>
            <w:left w:val="none" w:sz="0" w:space="0" w:color="auto"/>
            <w:bottom w:val="none" w:sz="0" w:space="0" w:color="auto"/>
            <w:right w:val="none" w:sz="0" w:space="0" w:color="auto"/>
          </w:divBdr>
        </w:div>
        <w:div w:id="1292639359">
          <w:marLeft w:val="0"/>
          <w:marRight w:val="0"/>
          <w:marTop w:val="0"/>
          <w:marBottom w:val="60"/>
          <w:divBdr>
            <w:top w:val="none" w:sz="0" w:space="0" w:color="auto"/>
            <w:left w:val="none" w:sz="0" w:space="0" w:color="auto"/>
            <w:bottom w:val="none" w:sz="0" w:space="0" w:color="auto"/>
            <w:right w:val="none" w:sz="0" w:space="0" w:color="auto"/>
          </w:divBdr>
        </w:div>
        <w:div w:id="1216814060">
          <w:marLeft w:val="0"/>
          <w:marRight w:val="0"/>
          <w:marTop w:val="0"/>
          <w:marBottom w:val="60"/>
          <w:divBdr>
            <w:top w:val="none" w:sz="0" w:space="0" w:color="auto"/>
            <w:left w:val="none" w:sz="0" w:space="0" w:color="auto"/>
            <w:bottom w:val="none" w:sz="0" w:space="0" w:color="auto"/>
            <w:right w:val="none" w:sz="0" w:space="0" w:color="auto"/>
          </w:divBdr>
        </w:div>
        <w:div w:id="781460012">
          <w:marLeft w:val="0"/>
          <w:marRight w:val="0"/>
          <w:marTop w:val="0"/>
          <w:marBottom w:val="60"/>
          <w:divBdr>
            <w:top w:val="none" w:sz="0" w:space="0" w:color="auto"/>
            <w:left w:val="none" w:sz="0" w:space="0" w:color="auto"/>
            <w:bottom w:val="none" w:sz="0" w:space="0" w:color="auto"/>
            <w:right w:val="none" w:sz="0" w:space="0" w:color="auto"/>
          </w:divBdr>
        </w:div>
        <w:div w:id="135029189">
          <w:marLeft w:val="0"/>
          <w:marRight w:val="0"/>
          <w:marTop w:val="0"/>
          <w:marBottom w:val="60"/>
          <w:divBdr>
            <w:top w:val="none" w:sz="0" w:space="0" w:color="auto"/>
            <w:left w:val="none" w:sz="0" w:space="0" w:color="auto"/>
            <w:bottom w:val="none" w:sz="0" w:space="0" w:color="auto"/>
            <w:right w:val="none" w:sz="0" w:space="0" w:color="auto"/>
          </w:divBdr>
        </w:div>
        <w:div w:id="1977836137">
          <w:marLeft w:val="0"/>
          <w:marRight w:val="0"/>
          <w:marTop w:val="0"/>
          <w:marBottom w:val="60"/>
          <w:divBdr>
            <w:top w:val="none" w:sz="0" w:space="0" w:color="auto"/>
            <w:left w:val="none" w:sz="0" w:space="0" w:color="auto"/>
            <w:bottom w:val="none" w:sz="0" w:space="0" w:color="auto"/>
            <w:right w:val="none" w:sz="0" w:space="0" w:color="auto"/>
          </w:divBdr>
        </w:div>
      </w:divsChild>
    </w:div>
    <w:div w:id="1060514160">
      <w:marLeft w:val="0"/>
      <w:marRight w:val="0"/>
      <w:marTop w:val="180"/>
      <w:marBottom w:val="0"/>
      <w:divBdr>
        <w:top w:val="none" w:sz="0" w:space="0" w:color="auto"/>
        <w:left w:val="none" w:sz="0" w:space="0" w:color="auto"/>
        <w:bottom w:val="none" w:sz="0" w:space="0" w:color="auto"/>
        <w:right w:val="none" w:sz="0" w:space="0" w:color="auto"/>
      </w:divBdr>
    </w:div>
    <w:div w:id="1061363720">
      <w:marLeft w:val="0"/>
      <w:marRight w:val="0"/>
      <w:marTop w:val="180"/>
      <w:marBottom w:val="0"/>
      <w:divBdr>
        <w:top w:val="none" w:sz="0" w:space="0" w:color="auto"/>
        <w:left w:val="none" w:sz="0" w:space="0" w:color="auto"/>
        <w:bottom w:val="none" w:sz="0" w:space="0" w:color="auto"/>
        <w:right w:val="none" w:sz="0" w:space="0" w:color="auto"/>
      </w:divBdr>
    </w:div>
    <w:div w:id="1061367328">
      <w:marLeft w:val="0"/>
      <w:marRight w:val="0"/>
      <w:marTop w:val="240"/>
      <w:marBottom w:val="0"/>
      <w:divBdr>
        <w:top w:val="none" w:sz="0" w:space="0" w:color="auto"/>
        <w:left w:val="none" w:sz="0" w:space="0" w:color="auto"/>
        <w:bottom w:val="none" w:sz="0" w:space="0" w:color="auto"/>
        <w:right w:val="none" w:sz="0" w:space="0" w:color="auto"/>
      </w:divBdr>
    </w:div>
    <w:div w:id="1062143936">
      <w:marLeft w:val="0"/>
      <w:marRight w:val="0"/>
      <w:marTop w:val="180"/>
      <w:marBottom w:val="0"/>
      <w:divBdr>
        <w:top w:val="none" w:sz="0" w:space="0" w:color="auto"/>
        <w:left w:val="none" w:sz="0" w:space="0" w:color="auto"/>
        <w:bottom w:val="none" w:sz="0" w:space="0" w:color="auto"/>
        <w:right w:val="none" w:sz="0" w:space="0" w:color="auto"/>
      </w:divBdr>
    </w:div>
    <w:div w:id="1062756438">
      <w:marLeft w:val="0"/>
      <w:marRight w:val="0"/>
      <w:marTop w:val="0"/>
      <w:marBottom w:val="0"/>
      <w:divBdr>
        <w:top w:val="none" w:sz="0" w:space="0" w:color="auto"/>
        <w:left w:val="none" w:sz="0" w:space="0" w:color="auto"/>
        <w:bottom w:val="none" w:sz="0" w:space="0" w:color="auto"/>
        <w:right w:val="none" w:sz="0" w:space="0" w:color="auto"/>
      </w:divBdr>
      <w:divsChild>
        <w:div w:id="722481007">
          <w:marLeft w:val="0"/>
          <w:marRight w:val="0"/>
          <w:marTop w:val="0"/>
          <w:marBottom w:val="0"/>
          <w:divBdr>
            <w:top w:val="none" w:sz="0" w:space="0" w:color="auto"/>
            <w:left w:val="none" w:sz="0" w:space="0" w:color="auto"/>
            <w:bottom w:val="none" w:sz="0" w:space="0" w:color="auto"/>
            <w:right w:val="none" w:sz="0" w:space="0" w:color="auto"/>
          </w:divBdr>
          <w:divsChild>
            <w:div w:id="6260816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66077060">
      <w:marLeft w:val="0"/>
      <w:marRight w:val="0"/>
      <w:marTop w:val="180"/>
      <w:marBottom w:val="0"/>
      <w:divBdr>
        <w:top w:val="none" w:sz="0" w:space="0" w:color="auto"/>
        <w:left w:val="none" w:sz="0" w:space="0" w:color="auto"/>
        <w:bottom w:val="none" w:sz="0" w:space="0" w:color="auto"/>
        <w:right w:val="none" w:sz="0" w:space="0" w:color="auto"/>
      </w:divBdr>
    </w:div>
    <w:div w:id="1066533425">
      <w:marLeft w:val="0"/>
      <w:marRight w:val="0"/>
      <w:marTop w:val="180"/>
      <w:marBottom w:val="0"/>
      <w:divBdr>
        <w:top w:val="none" w:sz="0" w:space="0" w:color="auto"/>
        <w:left w:val="none" w:sz="0" w:space="0" w:color="auto"/>
        <w:bottom w:val="none" w:sz="0" w:space="0" w:color="auto"/>
        <w:right w:val="none" w:sz="0" w:space="0" w:color="auto"/>
      </w:divBdr>
    </w:div>
    <w:div w:id="1068380235">
      <w:marLeft w:val="0"/>
      <w:marRight w:val="0"/>
      <w:marTop w:val="0"/>
      <w:marBottom w:val="120"/>
      <w:divBdr>
        <w:top w:val="none" w:sz="0" w:space="0" w:color="auto"/>
        <w:left w:val="none" w:sz="0" w:space="0" w:color="auto"/>
        <w:bottom w:val="none" w:sz="0" w:space="0" w:color="auto"/>
        <w:right w:val="none" w:sz="0" w:space="0" w:color="auto"/>
      </w:divBdr>
    </w:div>
    <w:div w:id="1069620388">
      <w:marLeft w:val="0"/>
      <w:marRight w:val="0"/>
      <w:marTop w:val="180"/>
      <w:marBottom w:val="0"/>
      <w:divBdr>
        <w:top w:val="none" w:sz="0" w:space="0" w:color="auto"/>
        <w:left w:val="none" w:sz="0" w:space="0" w:color="auto"/>
        <w:bottom w:val="none" w:sz="0" w:space="0" w:color="auto"/>
        <w:right w:val="none" w:sz="0" w:space="0" w:color="auto"/>
      </w:divBdr>
    </w:div>
    <w:div w:id="1076822547">
      <w:marLeft w:val="0"/>
      <w:marRight w:val="0"/>
      <w:marTop w:val="180"/>
      <w:marBottom w:val="0"/>
      <w:divBdr>
        <w:top w:val="none" w:sz="0" w:space="0" w:color="auto"/>
        <w:left w:val="none" w:sz="0" w:space="0" w:color="auto"/>
        <w:bottom w:val="none" w:sz="0" w:space="0" w:color="auto"/>
        <w:right w:val="none" w:sz="0" w:space="0" w:color="auto"/>
      </w:divBdr>
    </w:div>
    <w:div w:id="1077172944">
      <w:marLeft w:val="0"/>
      <w:marRight w:val="0"/>
      <w:marTop w:val="180"/>
      <w:marBottom w:val="0"/>
      <w:divBdr>
        <w:top w:val="none" w:sz="0" w:space="0" w:color="auto"/>
        <w:left w:val="none" w:sz="0" w:space="0" w:color="auto"/>
        <w:bottom w:val="none" w:sz="0" w:space="0" w:color="auto"/>
        <w:right w:val="none" w:sz="0" w:space="0" w:color="auto"/>
      </w:divBdr>
    </w:div>
    <w:div w:id="1078094598">
      <w:marLeft w:val="0"/>
      <w:marRight w:val="0"/>
      <w:marTop w:val="0"/>
      <w:marBottom w:val="200"/>
      <w:divBdr>
        <w:top w:val="none" w:sz="0" w:space="0" w:color="auto"/>
        <w:left w:val="none" w:sz="0" w:space="0" w:color="auto"/>
        <w:bottom w:val="none" w:sz="0" w:space="0" w:color="auto"/>
        <w:right w:val="none" w:sz="0" w:space="0" w:color="auto"/>
      </w:divBdr>
    </w:div>
    <w:div w:id="1080369177">
      <w:marLeft w:val="0"/>
      <w:marRight w:val="0"/>
      <w:marTop w:val="180"/>
      <w:marBottom w:val="0"/>
      <w:divBdr>
        <w:top w:val="none" w:sz="0" w:space="0" w:color="auto"/>
        <w:left w:val="none" w:sz="0" w:space="0" w:color="auto"/>
        <w:bottom w:val="none" w:sz="0" w:space="0" w:color="auto"/>
        <w:right w:val="none" w:sz="0" w:space="0" w:color="auto"/>
      </w:divBdr>
    </w:div>
    <w:div w:id="1082869464">
      <w:marLeft w:val="0"/>
      <w:marRight w:val="0"/>
      <w:marTop w:val="180"/>
      <w:marBottom w:val="0"/>
      <w:divBdr>
        <w:top w:val="none" w:sz="0" w:space="0" w:color="auto"/>
        <w:left w:val="none" w:sz="0" w:space="0" w:color="auto"/>
        <w:bottom w:val="none" w:sz="0" w:space="0" w:color="auto"/>
        <w:right w:val="none" w:sz="0" w:space="0" w:color="auto"/>
      </w:divBdr>
    </w:div>
    <w:div w:id="1083800706">
      <w:marLeft w:val="0"/>
      <w:marRight w:val="0"/>
      <w:marTop w:val="180"/>
      <w:marBottom w:val="120"/>
      <w:divBdr>
        <w:top w:val="none" w:sz="0" w:space="0" w:color="auto"/>
        <w:left w:val="none" w:sz="0" w:space="0" w:color="auto"/>
        <w:bottom w:val="none" w:sz="0" w:space="0" w:color="auto"/>
        <w:right w:val="none" w:sz="0" w:space="0" w:color="auto"/>
      </w:divBdr>
    </w:div>
    <w:div w:id="1083919646">
      <w:marLeft w:val="0"/>
      <w:marRight w:val="0"/>
      <w:marTop w:val="180"/>
      <w:marBottom w:val="0"/>
      <w:divBdr>
        <w:top w:val="none" w:sz="0" w:space="0" w:color="auto"/>
        <w:left w:val="none" w:sz="0" w:space="0" w:color="auto"/>
        <w:bottom w:val="none" w:sz="0" w:space="0" w:color="auto"/>
        <w:right w:val="none" w:sz="0" w:space="0" w:color="auto"/>
      </w:divBdr>
    </w:div>
    <w:div w:id="1083987835">
      <w:marLeft w:val="0"/>
      <w:marRight w:val="0"/>
      <w:marTop w:val="180"/>
      <w:marBottom w:val="0"/>
      <w:divBdr>
        <w:top w:val="none" w:sz="0" w:space="0" w:color="auto"/>
        <w:left w:val="none" w:sz="0" w:space="0" w:color="auto"/>
        <w:bottom w:val="none" w:sz="0" w:space="0" w:color="auto"/>
        <w:right w:val="none" w:sz="0" w:space="0" w:color="auto"/>
      </w:divBdr>
    </w:div>
    <w:div w:id="1088649837">
      <w:marLeft w:val="0"/>
      <w:marRight w:val="0"/>
      <w:marTop w:val="180"/>
      <w:marBottom w:val="60"/>
      <w:divBdr>
        <w:top w:val="none" w:sz="0" w:space="0" w:color="auto"/>
        <w:left w:val="none" w:sz="0" w:space="0" w:color="auto"/>
        <w:bottom w:val="none" w:sz="0" w:space="0" w:color="auto"/>
        <w:right w:val="none" w:sz="0" w:space="0" w:color="auto"/>
      </w:divBdr>
    </w:div>
    <w:div w:id="1088696649">
      <w:marLeft w:val="0"/>
      <w:marRight w:val="0"/>
      <w:marTop w:val="300"/>
      <w:marBottom w:val="0"/>
      <w:divBdr>
        <w:top w:val="none" w:sz="0" w:space="0" w:color="auto"/>
        <w:left w:val="none" w:sz="0" w:space="0" w:color="auto"/>
        <w:bottom w:val="none" w:sz="0" w:space="0" w:color="auto"/>
        <w:right w:val="none" w:sz="0" w:space="0" w:color="auto"/>
      </w:divBdr>
    </w:div>
    <w:div w:id="1088964276">
      <w:marLeft w:val="0"/>
      <w:marRight w:val="0"/>
      <w:marTop w:val="0"/>
      <w:marBottom w:val="0"/>
      <w:divBdr>
        <w:top w:val="none" w:sz="0" w:space="0" w:color="auto"/>
        <w:left w:val="none" w:sz="0" w:space="0" w:color="auto"/>
        <w:bottom w:val="none" w:sz="0" w:space="0" w:color="auto"/>
        <w:right w:val="none" w:sz="0" w:space="0" w:color="auto"/>
      </w:divBdr>
      <w:divsChild>
        <w:div w:id="1728727734">
          <w:marLeft w:val="0"/>
          <w:marRight w:val="0"/>
          <w:marTop w:val="180"/>
          <w:marBottom w:val="0"/>
          <w:divBdr>
            <w:top w:val="none" w:sz="0" w:space="0" w:color="auto"/>
            <w:left w:val="none" w:sz="0" w:space="0" w:color="auto"/>
            <w:bottom w:val="none" w:sz="0" w:space="0" w:color="auto"/>
            <w:right w:val="none" w:sz="0" w:space="0" w:color="auto"/>
          </w:divBdr>
        </w:div>
      </w:divsChild>
    </w:div>
    <w:div w:id="1090352797">
      <w:marLeft w:val="0"/>
      <w:marRight w:val="0"/>
      <w:marTop w:val="180"/>
      <w:marBottom w:val="0"/>
      <w:divBdr>
        <w:top w:val="none" w:sz="0" w:space="0" w:color="auto"/>
        <w:left w:val="none" w:sz="0" w:space="0" w:color="auto"/>
        <w:bottom w:val="none" w:sz="0" w:space="0" w:color="auto"/>
        <w:right w:val="none" w:sz="0" w:space="0" w:color="auto"/>
      </w:divBdr>
    </w:div>
    <w:div w:id="1090465347">
      <w:marLeft w:val="0"/>
      <w:marRight w:val="0"/>
      <w:marTop w:val="180"/>
      <w:marBottom w:val="0"/>
      <w:divBdr>
        <w:top w:val="none" w:sz="0" w:space="0" w:color="auto"/>
        <w:left w:val="none" w:sz="0" w:space="0" w:color="auto"/>
        <w:bottom w:val="none" w:sz="0" w:space="0" w:color="auto"/>
        <w:right w:val="none" w:sz="0" w:space="0" w:color="auto"/>
      </w:divBdr>
    </w:div>
    <w:div w:id="1095975926">
      <w:marLeft w:val="0"/>
      <w:marRight w:val="0"/>
      <w:marTop w:val="240"/>
      <w:marBottom w:val="0"/>
      <w:divBdr>
        <w:top w:val="none" w:sz="0" w:space="0" w:color="auto"/>
        <w:left w:val="none" w:sz="0" w:space="0" w:color="auto"/>
        <w:bottom w:val="none" w:sz="0" w:space="0" w:color="auto"/>
        <w:right w:val="none" w:sz="0" w:space="0" w:color="auto"/>
      </w:divBdr>
    </w:div>
    <w:div w:id="1096634281">
      <w:marLeft w:val="0"/>
      <w:marRight w:val="0"/>
      <w:marTop w:val="180"/>
      <w:marBottom w:val="0"/>
      <w:divBdr>
        <w:top w:val="none" w:sz="0" w:space="0" w:color="auto"/>
        <w:left w:val="none" w:sz="0" w:space="0" w:color="auto"/>
        <w:bottom w:val="none" w:sz="0" w:space="0" w:color="auto"/>
        <w:right w:val="none" w:sz="0" w:space="0" w:color="auto"/>
      </w:divBdr>
    </w:div>
    <w:div w:id="1096711990">
      <w:marLeft w:val="0"/>
      <w:marRight w:val="0"/>
      <w:marTop w:val="0"/>
      <w:marBottom w:val="200"/>
      <w:divBdr>
        <w:top w:val="none" w:sz="0" w:space="0" w:color="auto"/>
        <w:left w:val="none" w:sz="0" w:space="0" w:color="auto"/>
        <w:bottom w:val="none" w:sz="0" w:space="0" w:color="auto"/>
        <w:right w:val="none" w:sz="0" w:space="0" w:color="auto"/>
      </w:divBdr>
    </w:div>
    <w:div w:id="1098332305">
      <w:marLeft w:val="0"/>
      <w:marRight w:val="0"/>
      <w:marTop w:val="0"/>
      <w:marBottom w:val="0"/>
      <w:divBdr>
        <w:top w:val="none" w:sz="0" w:space="0" w:color="auto"/>
        <w:left w:val="none" w:sz="0" w:space="0" w:color="auto"/>
        <w:bottom w:val="none" w:sz="0" w:space="0" w:color="auto"/>
        <w:right w:val="none" w:sz="0" w:space="0" w:color="auto"/>
      </w:divBdr>
      <w:divsChild>
        <w:div w:id="186532023">
          <w:marLeft w:val="0"/>
          <w:marRight w:val="0"/>
          <w:marTop w:val="0"/>
          <w:marBottom w:val="0"/>
          <w:divBdr>
            <w:top w:val="none" w:sz="0" w:space="0" w:color="auto"/>
            <w:left w:val="none" w:sz="0" w:space="0" w:color="auto"/>
            <w:bottom w:val="none" w:sz="0" w:space="0" w:color="auto"/>
            <w:right w:val="none" w:sz="0" w:space="0" w:color="auto"/>
          </w:divBdr>
          <w:divsChild>
            <w:div w:id="17634546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98646913">
      <w:marLeft w:val="0"/>
      <w:marRight w:val="0"/>
      <w:marTop w:val="0"/>
      <w:marBottom w:val="0"/>
      <w:divBdr>
        <w:top w:val="none" w:sz="0" w:space="0" w:color="auto"/>
        <w:left w:val="none" w:sz="0" w:space="0" w:color="auto"/>
        <w:bottom w:val="none" w:sz="0" w:space="0" w:color="auto"/>
        <w:right w:val="none" w:sz="0" w:space="0" w:color="auto"/>
      </w:divBdr>
      <w:divsChild>
        <w:div w:id="1529947954">
          <w:marLeft w:val="0"/>
          <w:marRight w:val="0"/>
          <w:marTop w:val="0"/>
          <w:marBottom w:val="0"/>
          <w:divBdr>
            <w:top w:val="none" w:sz="0" w:space="0" w:color="auto"/>
            <w:left w:val="none" w:sz="0" w:space="0" w:color="auto"/>
            <w:bottom w:val="none" w:sz="0" w:space="0" w:color="auto"/>
            <w:right w:val="none" w:sz="0" w:space="0" w:color="auto"/>
          </w:divBdr>
        </w:div>
      </w:divsChild>
    </w:div>
    <w:div w:id="1099563740">
      <w:marLeft w:val="0"/>
      <w:marRight w:val="0"/>
      <w:marTop w:val="180"/>
      <w:marBottom w:val="0"/>
      <w:divBdr>
        <w:top w:val="none" w:sz="0" w:space="0" w:color="auto"/>
        <w:left w:val="none" w:sz="0" w:space="0" w:color="auto"/>
        <w:bottom w:val="none" w:sz="0" w:space="0" w:color="auto"/>
        <w:right w:val="none" w:sz="0" w:space="0" w:color="auto"/>
      </w:divBdr>
    </w:div>
    <w:div w:id="1100175067">
      <w:marLeft w:val="0"/>
      <w:marRight w:val="0"/>
      <w:marTop w:val="180"/>
      <w:marBottom w:val="0"/>
      <w:divBdr>
        <w:top w:val="none" w:sz="0" w:space="0" w:color="auto"/>
        <w:left w:val="none" w:sz="0" w:space="0" w:color="auto"/>
        <w:bottom w:val="none" w:sz="0" w:space="0" w:color="auto"/>
        <w:right w:val="none" w:sz="0" w:space="0" w:color="auto"/>
      </w:divBdr>
    </w:div>
    <w:div w:id="1101073455">
      <w:marLeft w:val="0"/>
      <w:marRight w:val="0"/>
      <w:marTop w:val="180"/>
      <w:marBottom w:val="0"/>
      <w:divBdr>
        <w:top w:val="none" w:sz="0" w:space="0" w:color="auto"/>
        <w:left w:val="none" w:sz="0" w:space="0" w:color="auto"/>
        <w:bottom w:val="none" w:sz="0" w:space="0" w:color="auto"/>
        <w:right w:val="none" w:sz="0" w:space="0" w:color="auto"/>
      </w:divBdr>
    </w:div>
    <w:div w:id="1101530621">
      <w:marLeft w:val="0"/>
      <w:marRight w:val="0"/>
      <w:marTop w:val="60"/>
      <w:marBottom w:val="120"/>
      <w:divBdr>
        <w:top w:val="none" w:sz="0" w:space="0" w:color="auto"/>
        <w:left w:val="none" w:sz="0" w:space="0" w:color="auto"/>
        <w:bottom w:val="none" w:sz="0" w:space="0" w:color="auto"/>
        <w:right w:val="none" w:sz="0" w:space="0" w:color="auto"/>
      </w:divBdr>
    </w:div>
    <w:div w:id="1102456172">
      <w:marLeft w:val="0"/>
      <w:marRight w:val="0"/>
      <w:marTop w:val="180"/>
      <w:marBottom w:val="0"/>
      <w:divBdr>
        <w:top w:val="none" w:sz="0" w:space="0" w:color="auto"/>
        <w:left w:val="none" w:sz="0" w:space="0" w:color="auto"/>
        <w:bottom w:val="none" w:sz="0" w:space="0" w:color="auto"/>
        <w:right w:val="none" w:sz="0" w:space="0" w:color="auto"/>
      </w:divBdr>
    </w:div>
    <w:div w:id="1105534369">
      <w:marLeft w:val="0"/>
      <w:marRight w:val="0"/>
      <w:marTop w:val="180"/>
      <w:marBottom w:val="240"/>
      <w:divBdr>
        <w:top w:val="none" w:sz="0" w:space="0" w:color="auto"/>
        <w:left w:val="none" w:sz="0" w:space="0" w:color="auto"/>
        <w:bottom w:val="none" w:sz="0" w:space="0" w:color="auto"/>
        <w:right w:val="none" w:sz="0" w:space="0" w:color="auto"/>
      </w:divBdr>
    </w:div>
    <w:div w:id="1108311282">
      <w:marLeft w:val="0"/>
      <w:marRight w:val="0"/>
      <w:marTop w:val="180"/>
      <w:marBottom w:val="0"/>
      <w:divBdr>
        <w:top w:val="none" w:sz="0" w:space="0" w:color="auto"/>
        <w:left w:val="none" w:sz="0" w:space="0" w:color="auto"/>
        <w:bottom w:val="none" w:sz="0" w:space="0" w:color="auto"/>
        <w:right w:val="none" w:sz="0" w:space="0" w:color="auto"/>
      </w:divBdr>
    </w:div>
    <w:div w:id="1108698744">
      <w:marLeft w:val="0"/>
      <w:marRight w:val="0"/>
      <w:marTop w:val="180"/>
      <w:marBottom w:val="180"/>
      <w:divBdr>
        <w:top w:val="none" w:sz="0" w:space="0" w:color="auto"/>
        <w:left w:val="none" w:sz="0" w:space="0" w:color="auto"/>
        <w:bottom w:val="none" w:sz="0" w:space="0" w:color="auto"/>
        <w:right w:val="none" w:sz="0" w:space="0" w:color="auto"/>
      </w:divBdr>
    </w:div>
    <w:div w:id="1111782425">
      <w:marLeft w:val="0"/>
      <w:marRight w:val="0"/>
      <w:marTop w:val="180"/>
      <w:marBottom w:val="0"/>
      <w:divBdr>
        <w:top w:val="none" w:sz="0" w:space="0" w:color="auto"/>
        <w:left w:val="none" w:sz="0" w:space="0" w:color="auto"/>
        <w:bottom w:val="none" w:sz="0" w:space="0" w:color="auto"/>
        <w:right w:val="none" w:sz="0" w:space="0" w:color="auto"/>
      </w:divBdr>
    </w:div>
    <w:div w:id="1112476556">
      <w:marLeft w:val="0"/>
      <w:marRight w:val="0"/>
      <w:marTop w:val="240"/>
      <w:marBottom w:val="0"/>
      <w:divBdr>
        <w:top w:val="none" w:sz="0" w:space="0" w:color="auto"/>
        <w:left w:val="none" w:sz="0" w:space="0" w:color="auto"/>
        <w:bottom w:val="none" w:sz="0" w:space="0" w:color="auto"/>
        <w:right w:val="none" w:sz="0" w:space="0" w:color="auto"/>
      </w:divBdr>
    </w:div>
    <w:div w:id="1112625470">
      <w:marLeft w:val="0"/>
      <w:marRight w:val="0"/>
      <w:marTop w:val="180"/>
      <w:marBottom w:val="0"/>
      <w:divBdr>
        <w:top w:val="none" w:sz="0" w:space="0" w:color="auto"/>
        <w:left w:val="none" w:sz="0" w:space="0" w:color="auto"/>
        <w:bottom w:val="none" w:sz="0" w:space="0" w:color="auto"/>
        <w:right w:val="none" w:sz="0" w:space="0" w:color="auto"/>
      </w:divBdr>
    </w:div>
    <w:div w:id="1113212071">
      <w:marLeft w:val="0"/>
      <w:marRight w:val="0"/>
      <w:marTop w:val="0"/>
      <w:marBottom w:val="0"/>
      <w:divBdr>
        <w:top w:val="none" w:sz="0" w:space="0" w:color="auto"/>
        <w:left w:val="none" w:sz="0" w:space="0" w:color="auto"/>
        <w:bottom w:val="none" w:sz="0" w:space="0" w:color="auto"/>
        <w:right w:val="none" w:sz="0" w:space="0" w:color="auto"/>
      </w:divBdr>
      <w:divsChild>
        <w:div w:id="61677749">
          <w:marLeft w:val="0"/>
          <w:marRight w:val="0"/>
          <w:marTop w:val="180"/>
          <w:marBottom w:val="0"/>
          <w:divBdr>
            <w:top w:val="none" w:sz="0" w:space="0" w:color="auto"/>
            <w:left w:val="none" w:sz="0" w:space="0" w:color="auto"/>
            <w:bottom w:val="none" w:sz="0" w:space="0" w:color="auto"/>
            <w:right w:val="none" w:sz="0" w:space="0" w:color="auto"/>
          </w:divBdr>
        </w:div>
      </w:divsChild>
    </w:div>
    <w:div w:id="1113666559">
      <w:marLeft w:val="0"/>
      <w:marRight w:val="0"/>
      <w:marTop w:val="180"/>
      <w:marBottom w:val="0"/>
      <w:divBdr>
        <w:top w:val="none" w:sz="0" w:space="0" w:color="auto"/>
        <w:left w:val="none" w:sz="0" w:space="0" w:color="auto"/>
        <w:bottom w:val="none" w:sz="0" w:space="0" w:color="auto"/>
        <w:right w:val="none" w:sz="0" w:space="0" w:color="auto"/>
      </w:divBdr>
    </w:div>
    <w:div w:id="1113745120">
      <w:marLeft w:val="0"/>
      <w:marRight w:val="0"/>
      <w:marTop w:val="180"/>
      <w:marBottom w:val="0"/>
      <w:divBdr>
        <w:top w:val="none" w:sz="0" w:space="0" w:color="auto"/>
        <w:left w:val="none" w:sz="0" w:space="0" w:color="auto"/>
        <w:bottom w:val="none" w:sz="0" w:space="0" w:color="auto"/>
        <w:right w:val="none" w:sz="0" w:space="0" w:color="auto"/>
      </w:divBdr>
    </w:div>
    <w:div w:id="1113938535">
      <w:marLeft w:val="0"/>
      <w:marRight w:val="0"/>
      <w:marTop w:val="180"/>
      <w:marBottom w:val="120"/>
      <w:divBdr>
        <w:top w:val="none" w:sz="0" w:space="0" w:color="auto"/>
        <w:left w:val="none" w:sz="0" w:space="0" w:color="auto"/>
        <w:bottom w:val="none" w:sz="0" w:space="0" w:color="auto"/>
        <w:right w:val="none" w:sz="0" w:space="0" w:color="auto"/>
      </w:divBdr>
    </w:div>
    <w:div w:id="1115443995">
      <w:marLeft w:val="0"/>
      <w:marRight w:val="0"/>
      <w:marTop w:val="180"/>
      <w:marBottom w:val="0"/>
      <w:divBdr>
        <w:top w:val="none" w:sz="0" w:space="0" w:color="auto"/>
        <w:left w:val="none" w:sz="0" w:space="0" w:color="auto"/>
        <w:bottom w:val="none" w:sz="0" w:space="0" w:color="auto"/>
        <w:right w:val="none" w:sz="0" w:space="0" w:color="auto"/>
      </w:divBdr>
    </w:div>
    <w:div w:id="1115753527">
      <w:marLeft w:val="0"/>
      <w:marRight w:val="0"/>
      <w:marTop w:val="180"/>
      <w:marBottom w:val="0"/>
      <w:divBdr>
        <w:top w:val="none" w:sz="0" w:space="0" w:color="auto"/>
        <w:left w:val="none" w:sz="0" w:space="0" w:color="auto"/>
        <w:bottom w:val="none" w:sz="0" w:space="0" w:color="auto"/>
        <w:right w:val="none" w:sz="0" w:space="0" w:color="auto"/>
      </w:divBdr>
    </w:div>
    <w:div w:id="1116099397">
      <w:marLeft w:val="0"/>
      <w:marRight w:val="0"/>
      <w:marTop w:val="240"/>
      <w:marBottom w:val="0"/>
      <w:divBdr>
        <w:top w:val="none" w:sz="0" w:space="0" w:color="auto"/>
        <w:left w:val="none" w:sz="0" w:space="0" w:color="auto"/>
        <w:bottom w:val="none" w:sz="0" w:space="0" w:color="auto"/>
        <w:right w:val="none" w:sz="0" w:space="0" w:color="auto"/>
      </w:divBdr>
    </w:div>
    <w:div w:id="1118648912">
      <w:marLeft w:val="0"/>
      <w:marRight w:val="0"/>
      <w:marTop w:val="180"/>
      <w:marBottom w:val="0"/>
      <w:divBdr>
        <w:top w:val="none" w:sz="0" w:space="0" w:color="auto"/>
        <w:left w:val="none" w:sz="0" w:space="0" w:color="auto"/>
        <w:bottom w:val="none" w:sz="0" w:space="0" w:color="auto"/>
        <w:right w:val="none" w:sz="0" w:space="0" w:color="auto"/>
      </w:divBdr>
    </w:div>
    <w:div w:id="1120033435">
      <w:marLeft w:val="0"/>
      <w:marRight w:val="0"/>
      <w:marTop w:val="180"/>
      <w:marBottom w:val="120"/>
      <w:divBdr>
        <w:top w:val="none" w:sz="0" w:space="0" w:color="auto"/>
        <w:left w:val="none" w:sz="0" w:space="0" w:color="auto"/>
        <w:bottom w:val="none" w:sz="0" w:space="0" w:color="auto"/>
        <w:right w:val="none" w:sz="0" w:space="0" w:color="auto"/>
      </w:divBdr>
    </w:div>
    <w:div w:id="1120614072">
      <w:marLeft w:val="0"/>
      <w:marRight w:val="0"/>
      <w:marTop w:val="180"/>
      <w:marBottom w:val="0"/>
      <w:divBdr>
        <w:top w:val="none" w:sz="0" w:space="0" w:color="auto"/>
        <w:left w:val="none" w:sz="0" w:space="0" w:color="auto"/>
        <w:bottom w:val="none" w:sz="0" w:space="0" w:color="auto"/>
        <w:right w:val="none" w:sz="0" w:space="0" w:color="auto"/>
      </w:divBdr>
    </w:div>
    <w:div w:id="1121845587">
      <w:marLeft w:val="0"/>
      <w:marRight w:val="0"/>
      <w:marTop w:val="0"/>
      <w:marBottom w:val="0"/>
      <w:divBdr>
        <w:top w:val="none" w:sz="0" w:space="0" w:color="auto"/>
        <w:left w:val="none" w:sz="0" w:space="0" w:color="auto"/>
        <w:bottom w:val="none" w:sz="0" w:space="0" w:color="auto"/>
        <w:right w:val="none" w:sz="0" w:space="0" w:color="auto"/>
      </w:divBdr>
      <w:divsChild>
        <w:div w:id="2015329804">
          <w:marLeft w:val="0"/>
          <w:marRight w:val="0"/>
          <w:marTop w:val="180"/>
          <w:marBottom w:val="0"/>
          <w:divBdr>
            <w:top w:val="none" w:sz="0" w:space="0" w:color="auto"/>
            <w:left w:val="none" w:sz="0" w:space="0" w:color="auto"/>
            <w:bottom w:val="none" w:sz="0" w:space="0" w:color="auto"/>
            <w:right w:val="none" w:sz="0" w:space="0" w:color="auto"/>
          </w:divBdr>
        </w:div>
      </w:divsChild>
    </w:div>
    <w:div w:id="1122043445">
      <w:marLeft w:val="0"/>
      <w:marRight w:val="0"/>
      <w:marTop w:val="180"/>
      <w:marBottom w:val="0"/>
      <w:divBdr>
        <w:top w:val="none" w:sz="0" w:space="0" w:color="auto"/>
        <w:left w:val="none" w:sz="0" w:space="0" w:color="auto"/>
        <w:bottom w:val="none" w:sz="0" w:space="0" w:color="auto"/>
        <w:right w:val="none" w:sz="0" w:space="0" w:color="auto"/>
      </w:divBdr>
    </w:div>
    <w:div w:id="1122773428">
      <w:marLeft w:val="0"/>
      <w:marRight w:val="0"/>
      <w:marTop w:val="0"/>
      <w:marBottom w:val="340"/>
      <w:divBdr>
        <w:top w:val="none" w:sz="0" w:space="0" w:color="auto"/>
        <w:left w:val="none" w:sz="0" w:space="0" w:color="auto"/>
        <w:bottom w:val="none" w:sz="0" w:space="0" w:color="auto"/>
        <w:right w:val="none" w:sz="0" w:space="0" w:color="auto"/>
      </w:divBdr>
    </w:div>
    <w:div w:id="1123888546">
      <w:marLeft w:val="0"/>
      <w:marRight w:val="0"/>
      <w:marTop w:val="180"/>
      <w:marBottom w:val="0"/>
      <w:divBdr>
        <w:top w:val="none" w:sz="0" w:space="0" w:color="auto"/>
        <w:left w:val="none" w:sz="0" w:space="0" w:color="auto"/>
        <w:bottom w:val="none" w:sz="0" w:space="0" w:color="auto"/>
        <w:right w:val="none" w:sz="0" w:space="0" w:color="auto"/>
      </w:divBdr>
    </w:div>
    <w:div w:id="1124541780">
      <w:marLeft w:val="0"/>
      <w:marRight w:val="0"/>
      <w:marTop w:val="180"/>
      <w:marBottom w:val="0"/>
      <w:divBdr>
        <w:top w:val="none" w:sz="0" w:space="0" w:color="auto"/>
        <w:left w:val="none" w:sz="0" w:space="0" w:color="auto"/>
        <w:bottom w:val="none" w:sz="0" w:space="0" w:color="auto"/>
        <w:right w:val="none" w:sz="0" w:space="0" w:color="auto"/>
      </w:divBdr>
    </w:div>
    <w:div w:id="1125546095">
      <w:marLeft w:val="0"/>
      <w:marRight w:val="0"/>
      <w:marTop w:val="180"/>
      <w:marBottom w:val="0"/>
      <w:divBdr>
        <w:top w:val="none" w:sz="0" w:space="0" w:color="auto"/>
        <w:left w:val="none" w:sz="0" w:space="0" w:color="auto"/>
        <w:bottom w:val="none" w:sz="0" w:space="0" w:color="auto"/>
        <w:right w:val="none" w:sz="0" w:space="0" w:color="auto"/>
      </w:divBdr>
    </w:div>
    <w:div w:id="1128401061">
      <w:marLeft w:val="0"/>
      <w:marRight w:val="0"/>
      <w:marTop w:val="180"/>
      <w:marBottom w:val="0"/>
      <w:divBdr>
        <w:top w:val="none" w:sz="0" w:space="0" w:color="auto"/>
        <w:left w:val="none" w:sz="0" w:space="0" w:color="auto"/>
        <w:bottom w:val="none" w:sz="0" w:space="0" w:color="auto"/>
        <w:right w:val="none" w:sz="0" w:space="0" w:color="auto"/>
      </w:divBdr>
    </w:div>
    <w:div w:id="1132021636">
      <w:marLeft w:val="0"/>
      <w:marRight w:val="0"/>
      <w:marTop w:val="240"/>
      <w:marBottom w:val="0"/>
      <w:divBdr>
        <w:top w:val="none" w:sz="0" w:space="0" w:color="auto"/>
        <w:left w:val="none" w:sz="0" w:space="0" w:color="auto"/>
        <w:bottom w:val="none" w:sz="0" w:space="0" w:color="auto"/>
        <w:right w:val="none" w:sz="0" w:space="0" w:color="auto"/>
      </w:divBdr>
    </w:div>
    <w:div w:id="1132406994">
      <w:marLeft w:val="0"/>
      <w:marRight w:val="0"/>
      <w:marTop w:val="240"/>
      <w:marBottom w:val="0"/>
      <w:divBdr>
        <w:top w:val="none" w:sz="0" w:space="0" w:color="auto"/>
        <w:left w:val="none" w:sz="0" w:space="0" w:color="auto"/>
        <w:bottom w:val="none" w:sz="0" w:space="0" w:color="auto"/>
        <w:right w:val="none" w:sz="0" w:space="0" w:color="auto"/>
      </w:divBdr>
    </w:div>
    <w:div w:id="1133714215">
      <w:marLeft w:val="0"/>
      <w:marRight w:val="0"/>
      <w:marTop w:val="180"/>
      <w:marBottom w:val="0"/>
      <w:divBdr>
        <w:top w:val="none" w:sz="0" w:space="0" w:color="auto"/>
        <w:left w:val="none" w:sz="0" w:space="0" w:color="auto"/>
        <w:bottom w:val="none" w:sz="0" w:space="0" w:color="auto"/>
        <w:right w:val="none" w:sz="0" w:space="0" w:color="auto"/>
      </w:divBdr>
    </w:div>
    <w:div w:id="1134447881">
      <w:marLeft w:val="0"/>
      <w:marRight w:val="0"/>
      <w:marTop w:val="180"/>
      <w:marBottom w:val="0"/>
      <w:divBdr>
        <w:top w:val="none" w:sz="0" w:space="0" w:color="auto"/>
        <w:left w:val="none" w:sz="0" w:space="0" w:color="auto"/>
        <w:bottom w:val="none" w:sz="0" w:space="0" w:color="auto"/>
        <w:right w:val="none" w:sz="0" w:space="0" w:color="auto"/>
      </w:divBdr>
    </w:div>
    <w:div w:id="1136220781">
      <w:marLeft w:val="0"/>
      <w:marRight w:val="0"/>
      <w:marTop w:val="180"/>
      <w:marBottom w:val="240"/>
      <w:divBdr>
        <w:top w:val="none" w:sz="0" w:space="0" w:color="auto"/>
        <w:left w:val="none" w:sz="0" w:space="0" w:color="auto"/>
        <w:bottom w:val="none" w:sz="0" w:space="0" w:color="auto"/>
        <w:right w:val="none" w:sz="0" w:space="0" w:color="auto"/>
      </w:divBdr>
    </w:div>
    <w:div w:id="1136336807">
      <w:marLeft w:val="0"/>
      <w:marRight w:val="0"/>
      <w:marTop w:val="180"/>
      <w:marBottom w:val="0"/>
      <w:divBdr>
        <w:top w:val="none" w:sz="0" w:space="0" w:color="auto"/>
        <w:left w:val="none" w:sz="0" w:space="0" w:color="auto"/>
        <w:bottom w:val="none" w:sz="0" w:space="0" w:color="auto"/>
        <w:right w:val="none" w:sz="0" w:space="0" w:color="auto"/>
      </w:divBdr>
    </w:div>
    <w:div w:id="1138110228">
      <w:marLeft w:val="0"/>
      <w:marRight w:val="0"/>
      <w:marTop w:val="180"/>
      <w:marBottom w:val="0"/>
      <w:divBdr>
        <w:top w:val="none" w:sz="0" w:space="0" w:color="auto"/>
        <w:left w:val="none" w:sz="0" w:space="0" w:color="auto"/>
        <w:bottom w:val="none" w:sz="0" w:space="0" w:color="auto"/>
        <w:right w:val="none" w:sz="0" w:space="0" w:color="auto"/>
      </w:divBdr>
    </w:div>
    <w:div w:id="1138844129">
      <w:marLeft w:val="0"/>
      <w:marRight w:val="0"/>
      <w:marTop w:val="180"/>
      <w:marBottom w:val="0"/>
      <w:divBdr>
        <w:top w:val="none" w:sz="0" w:space="0" w:color="auto"/>
        <w:left w:val="none" w:sz="0" w:space="0" w:color="auto"/>
        <w:bottom w:val="none" w:sz="0" w:space="0" w:color="auto"/>
        <w:right w:val="none" w:sz="0" w:space="0" w:color="auto"/>
      </w:divBdr>
    </w:div>
    <w:div w:id="1142036799">
      <w:marLeft w:val="0"/>
      <w:marRight w:val="0"/>
      <w:marTop w:val="240"/>
      <w:marBottom w:val="0"/>
      <w:divBdr>
        <w:top w:val="none" w:sz="0" w:space="0" w:color="auto"/>
        <w:left w:val="none" w:sz="0" w:space="0" w:color="auto"/>
        <w:bottom w:val="none" w:sz="0" w:space="0" w:color="auto"/>
        <w:right w:val="none" w:sz="0" w:space="0" w:color="auto"/>
      </w:divBdr>
    </w:div>
    <w:div w:id="1143111530">
      <w:marLeft w:val="0"/>
      <w:marRight w:val="0"/>
      <w:marTop w:val="180"/>
      <w:marBottom w:val="0"/>
      <w:divBdr>
        <w:top w:val="none" w:sz="0" w:space="0" w:color="auto"/>
        <w:left w:val="none" w:sz="0" w:space="0" w:color="auto"/>
        <w:bottom w:val="none" w:sz="0" w:space="0" w:color="auto"/>
        <w:right w:val="none" w:sz="0" w:space="0" w:color="auto"/>
      </w:divBdr>
    </w:div>
    <w:div w:id="1145466664">
      <w:marLeft w:val="0"/>
      <w:marRight w:val="0"/>
      <w:marTop w:val="240"/>
      <w:marBottom w:val="0"/>
      <w:divBdr>
        <w:top w:val="none" w:sz="0" w:space="0" w:color="auto"/>
        <w:left w:val="none" w:sz="0" w:space="0" w:color="auto"/>
        <w:bottom w:val="none" w:sz="0" w:space="0" w:color="auto"/>
        <w:right w:val="none" w:sz="0" w:space="0" w:color="auto"/>
      </w:divBdr>
    </w:div>
    <w:div w:id="1145513969">
      <w:marLeft w:val="0"/>
      <w:marRight w:val="0"/>
      <w:marTop w:val="180"/>
      <w:marBottom w:val="0"/>
      <w:divBdr>
        <w:top w:val="none" w:sz="0" w:space="0" w:color="auto"/>
        <w:left w:val="none" w:sz="0" w:space="0" w:color="auto"/>
        <w:bottom w:val="none" w:sz="0" w:space="0" w:color="auto"/>
        <w:right w:val="none" w:sz="0" w:space="0" w:color="auto"/>
      </w:divBdr>
    </w:div>
    <w:div w:id="1147085325">
      <w:marLeft w:val="0"/>
      <w:marRight w:val="0"/>
      <w:marTop w:val="180"/>
      <w:marBottom w:val="0"/>
      <w:divBdr>
        <w:top w:val="none" w:sz="0" w:space="0" w:color="auto"/>
        <w:left w:val="none" w:sz="0" w:space="0" w:color="auto"/>
        <w:bottom w:val="none" w:sz="0" w:space="0" w:color="auto"/>
        <w:right w:val="none" w:sz="0" w:space="0" w:color="auto"/>
      </w:divBdr>
    </w:div>
    <w:div w:id="1148471585">
      <w:marLeft w:val="0"/>
      <w:marRight w:val="0"/>
      <w:marTop w:val="120"/>
      <w:marBottom w:val="0"/>
      <w:divBdr>
        <w:top w:val="none" w:sz="0" w:space="0" w:color="auto"/>
        <w:left w:val="none" w:sz="0" w:space="0" w:color="auto"/>
        <w:bottom w:val="none" w:sz="0" w:space="0" w:color="auto"/>
        <w:right w:val="none" w:sz="0" w:space="0" w:color="auto"/>
      </w:divBdr>
    </w:div>
    <w:div w:id="1148588861">
      <w:marLeft w:val="0"/>
      <w:marRight w:val="0"/>
      <w:marTop w:val="180"/>
      <w:marBottom w:val="120"/>
      <w:divBdr>
        <w:top w:val="none" w:sz="0" w:space="0" w:color="auto"/>
        <w:left w:val="none" w:sz="0" w:space="0" w:color="auto"/>
        <w:bottom w:val="none" w:sz="0" w:space="0" w:color="auto"/>
        <w:right w:val="none" w:sz="0" w:space="0" w:color="auto"/>
      </w:divBdr>
      <w:divsChild>
        <w:div w:id="475297316">
          <w:marLeft w:val="0"/>
          <w:marRight w:val="0"/>
          <w:marTop w:val="0"/>
          <w:marBottom w:val="0"/>
          <w:divBdr>
            <w:top w:val="none" w:sz="0" w:space="0" w:color="auto"/>
            <w:left w:val="none" w:sz="0" w:space="0" w:color="auto"/>
            <w:bottom w:val="none" w:sz="0" w:space="0" w:color="auto"/>
            <w:right w:val="none" w:sz="0" w:space="0" w:color="auto"/>
          </w:divBdr>
        </w:div>
        <w:div w:id="17584159">
          <w:marLeft w:val="0"/>
          <w:marRight w:val="0"/>
          <w:marTop w:val="60"/>
          <w:marBottom w:val="0"/>
          <w:divBdr>
            <w:top w:val="none" w:sz="0" w:space="0" w:color="auto"/>
            <w:left w:val="none" w:sz="0" w:space="0" w:color="auto"/>
            <w:bottom w:val="none" w:sz="0" w:space="0" w:color="auto"/>
            <w:right w:val="none" w:sz="0" w:space="0" w:color="auto"/>
          </w:divBdr>
        </w:div>
        <w:div w:id="1694529559">
          <w:marLeft w:val="0"/>
          <w:marRight w:val="0"/>
          <w:marTop w:val="60"/>
          <w:marBottom w:val="0"/>
          <w:divBdr>
            <w:top w:val="none" w:sz="0" w:space="0" w:color="auto"/>
            <w:left w:val="none" w:sz="0" w:space="0" w:color="auto"/>
            <w:bottom w:val="none" w:sz="0" w:space="0" w:color="auto"/>
            <w:right w:val="none" w:sz="0" w:space="0" w:color="auto"/>
          </w:divBdr>
        </w:div>
      </w:divsChild>
    </w:div>
    <w:div w:id="1148979516">
      <w:marLeft w:val="0"/>
      <w:marRight w:val="0"/>
      <w:marTop w:val="0"/>
      <w:marBottom w:val="0"/>
      <w:divBdr>
        <w:top w:val="none" w:sz="0" w:space="0" w:color="auto"/>
        <w:left w:val="none" w:sz="0" w:space="0" w:color="auto"/>
        <w:bottom w:val="none" w:sz="0" w:space="0" w:color="auto"/>
        <w:right w:val="none" w:sz="0" w:space="0" w:color="auto"/>
      </w:divBdr>
      <w:divsChild>
        <w:div w:id="1252930662">
          <w:marLeft w:val="0"/>
          <w:marRight w:val="0"/>
          <w:marTop w:val="180"/>
          <w:marBottom w:val="0"/>
          <w:divBdr>
            <w:top w:val="none" w:sz="0" w:space="0" w:color="auto"/>
            <w:left w:val="none" w:sz="0" w:space="0" w:color="auto"/>
            <w:bottom w:val="none" w:sz="0" w:space="0" w:color="auto"/>
            <w:right w:val="none" w:sz="0" w:space="0" w:color="auto"/>
          </w:divBdr>
        </w:div>
      </w:divsChild>
    </w:div>
    <w:div w:id="1153256941">
      <w:marLeft w:val="0"/>
      <w:marRight w:val="0"/>
      <w:marTop w:val="120"/>
      <w:marBottom w:val="0"/>
      <w:divBdr>
        <w:top w:val="none" w:sz="0" w:space="0" w:color="auto"/>
        <w:left w:val="none" w:sz="0" w:space="0" w:color="auto"/>
        <w:bottom w:val="none" w:sz="0" w:space="0" w:color="auto"/>
        <w:right w:val="none" w:sz="0" w:space="0" w:color="auto"/>
      </w:divBdr>
    </w:div>
    <w:div w:id="1160972450">
      <w:marLeft w:val="0"/>
      <w:marRight w:val="0"/>
      <w:marTop w:val="0"/>
      <w:marBottom w:val="0"/>
      <w:divBdr>
        <w:top w:val="none" w:sz="0" w:space="0" w:color="auto"/>
        <w:left w:val="none" w:sz="0" w:space="0" w:color="auto"/>
        <w:bottom w:val="none" w:sz="0" w:space="0" w:color="auto"/>
        <w:right w:val="none" w:sz="0" w:space="0" w:color="auto"/>
      </w:divBdr>
      <w:divsChild>
        <w:div w:id="648553306">
          <w:marLeft w:val="0"/>
          <w:marRight w:val="0"/>
          <w:marTop w:val="0"/>
          <w:marBottom w:val="0"/>
          <w:divBdr>
            <w:top w:val="none" w:sz="0" w:space="0" w:color="auto"/>
            <w:left w:val="none" w:sz="0" w:space="0" w:color="auto"/>
            <w:bottom w:val="none" w:sz="0" w:space="0" w:color="auto"/>
            <w:right w:val="none" w:sz="0" w:space="0" w:color="auto"/>
          </w:divBdr>
        </w:div>
      </w:divsChild>
    </w:div>
    <w:div w:id="1162505186">
      <w:marLeft w:val="0"/>
      <w:marRight w:val="0"/>
      <w:marTop w:val="0"/>
      <w:marBottom w:val="0"/>
      <w:divBdr>
        <w:top w:val="none" w:sz="0" w:space="0" w:color="auto"/>
        <w:left w:val="none" w:sz="0" w:space="0" w:color="auto"/>
        <w:bottom w:val="none" w:sz="0" w:space="0" w:color="auto"/>
        <w:right w:val="none" w:sz="0" w:space="0" w:color="auto"/>
      </w:divBdr>
      <w:divsChild>
        <w:div w:id="31466770">
          <w:marLeft w:val="0"/>
          <w:marRight w:val="0"/>
          <w:marTop w:val="0"/>
          <w:marBottom w:val="0"/>
          <w:divBdr>
            <w:top w:val="none" w:sz="0" w:space="0" w:color="auto"/>
            <w:left w:val="none" w:sz="0" w:space="0" w:color="auto"/>
            <w:bottom w:val="none" w:sz="0" w:space="0" w:color="auto"/>
            <w:right w:val="none" w:sz="0" w:space="0" w:color="auto"/>
          </w:divBdr>
          <w:divsChild>
            <w:div w:id="10796417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8911704">
      <w:marLeft w:val="0"/>
      <w:marRight w:val="0"/>
      <w:marTop w:val="60"/>
      <w:marBottom w:val="120"/>
      <w:divBdr>
        <w:top w:val="none" w:sz="0" w:space="0" w:color="auto"/>
        <w:left w:val="none" w:sz="0" w:space="0" w:color="auto"/>
        <w:bottom w:val="none" w:sz="0" w:space="0" w:color="auto"/>
        <w:right w:val="none" w:sz="0" w:space="0" w:color="auto"/>
      </w:divBdr>
    </w:div>
    <w:div w:id="1175265437">
      <w:marLeft w:val="0"/>
      <w:marRight w:val="0"/>
      <w:marTop w:val="180"/>
      <w:marBottom w:val="0"/>
      <w:divBdr>
        <w:top w:val="none" w:sz="0" w:space="0" w:color="auto"/>
        <w:left w:val="none" w:sz="0" w:space="0" w:color="auto"/>
        <w:bottom w:val="none" w:sz="0" w:space="0" w:color="auto"/>
        <w:right w:val="none" w:sz="0" w:space="0" w:color="auto"/>
      </w:divBdr>
    </w:div>
    <w:div w:id="1175680973">
      <w:marLeft w:val="0"/>
      <w:marRight w:val="0"/>
      <w:marTop w:val="180"/>
      <w:marBottom w:val="0"/>
      <w:divBdr>
        <w:top w:val="none" w:sz="0" w:space="0" w:color="auto"/>
        <w:left w:val="none" w:sz="0" w:space="0" w:color="auto"/>
        <w:bottom w:val="none" w:sz="0" w:space="0" w:color="auto"/>
        <w:right w:val="none" w:sz="0" w:space="0" w:color="auto"/>
      </w:divBdr>
    </w:div>
    <w:div w:id="1175919224">
      <w:marLeft w:val="0"/>
      <w:marRight w:val="0"/>
      <w:marTop w:val="180"/>
      <w:marBottom w:val="0"/>
      <w:divBdr>
        <w:top w:val="none" w:sz="0" w:space="0" w:color="auto"/>
        <w:left w:val="none" w:sz="0" w:space="0" w:color="auto"/>
        <w:bottom w:val="none" w:sz="0" w:space="0" w:color="auto"/>
        <w:right w:val="none" w:sz="0" w:space="0" w:color="auto"/>
      </w:divBdr>
    </w:div>
    <w:div w:id="1179659983">
      <w:marLeft w:val="0"/>
      <w:marRight w:val="0"/>
      <w:marTop w:val="180"/>
      <w:marBottom w:val="0"/>
      <w:divBdr>
        <w:top w:val="none" w:sz="0" w:space="0" w:color="auto"/>
        <w:left w:val="none" w:sz="0" w:space="0" w:color="auto"/>
        <w:bottom w:val="none" w:sz="0" w:space="0" w:color="auto"/>
        <w:right w:val="none" w:sz="0" w:space="0" w:color="auto"/>
      </w:divBdr>
    </w:div>
    <w:div w:id="1179808451">
      <w:marLeft w:val="0"/>
      <w:marRight w:val="0"/>
      <w:marTop w:val="0"/>
      <w:marBottom w:val="0"/>
      <w:divBdr>
        <w:top w:val="none" w:sz="0" w:space="0" w:color="auto"/>
        <w:left w:val="none" w:sz="0" w:space="0" w:color="auto"/>
        <w:bottom w:val="none" w:sz="0" w:space="0" w:color="auto"/>
        <w:right w:val="none" w:sz="0" w:space="0" w:color="auto"/>
      </w:divBdr>
      <w:divsChild>
        <w:div w:id="1459690520">
          <w:marLeft w:val="0"/>
          <w:marRight w:val="0"/>
          <w:marTop w:val="180"/>
          <w:marBottom w:val="0"/>
          <w:divBdr>
            <w:top w:val="none" w:sz="0" w:space="0" w:color="auto"/>
            <w:left w:val="none" w:sz="0" w:space="0" w:color="auto"/>
            <w:bottom w:val="none" w:sz="0" w:space="0" w:color="auto"/>
            <w:right w:val="none" w:sz="0" w:space="0" w:color="auto"/>
          </w:divBdr>
        </w:div>
      </w:divsChild>
    </w:div>
    <w:div w:id="1180043191">
      <w:marLeft w:val="0"/>
      <w:marRight w:val="0"/>
      <w:marTop w:val="180"/>
      <w:marBottom w:val="0"/>
      <w:divBdr>
        <w:top w:val="none" w:sz="0" w:space="0" w:color="auto"/>
        <w:left w:val="none" w:sz="0" w:space="0" w:color="auto"/>
        <w:bottom w:val="none" w:sz="0" w:space="0" w:color="auto"/>
        <w:right w:val="none" w:sz="0" w:space="0" w:color="auto"/>
      </w:divBdr>
    </w:div>
    <w:div w:id="1180662778">
      <w:marLeft w:val="0"/>
      <w:marRight w:val="0"/>
      <w:marTop w:val="180"/>
      <w:marBottom w:val="0"/>
      <w:divBdr>
        <w:top w:val="none" w:sz="0" w:space="0" w:color="auto"/>
        <w:left w:val="none" w:sz="0" w:space="0" w:color="auto"/>
        <w:bottom w:val="none" w:sz="0" w:space="0" w:color="auto"/>
        <w:right w:val="none" w:sz="0" w:space="0" w:color="auto"/>
      </w:divBdr>
    </w:div>
    <w:div w:id="1181620887">
      <w:marLeft w:val="0"/>
      <w:marRight w:val="0"/>
      <w:marTop w:val="120"/>
      <w:marBottom w:val="0"/>
      <w:divBdr>
        <w:top w:val="none" w:sz="0" w:space="0" w:color="auto"/>
        <w:left w:val="none" w:sz="0" w:space="0" w:color="auto"/>
        <w:bottom w:val="none" w:sz="0" w:space="0" w:color="auto"/>
        <w:right w:val="none" w:sz="0" w:space="0" w:color="auto"/>
      </w:divBdr>
    </w:div>
    <w:div w:id="1183860895">
      <w:marLeft w:val="0"/>
      <w:marRight w:val="0"/>
      <w:marTop w:val="180"/>
      <w:marBottom w:val="0"/>
      <w:divBdr>
        <w:top w:val="none" w:sz="0" w:space="0" w:color="auto"/>
        <w:left w:val="none" w:sz="0" w:space="0" w:color="auto"/>
        <w:bottom w:val="none" w:sz="0" w:space="0" w:color="auto"/>
        <w:right w:val="none" w:sz="0" w:space="0" w:color="auto"/>
      </w:divBdr>
    </w:div>
    <w:div w:id="1185512091">
      <w:marLeft w:val="0"/>
      <w:marRight w:val="0"/>
      <w:marTop w:val="0"/>
      <w:marBottom w:val="200"/>
      <w:divBdr>
        <w:top w:val="none" w:sz="0" w:space="0" w:color="auto"/>
        <w:left w:val="none" w:sz="0" w:space="0" w:color="auto"/>
        <w:bottom w:val="none" w:sz="0" w:space="0" w:color="auto"/>
        <w:right w:val="none" w:sz="0" w:space="0" w:color="auto"/>
      </w:divBdr>
    </w:div>
    <w:div w:id="1187721144">
      <w:marLeft w:val="0"/>
      <w:marRight w:val="0"/>
      <w:marTop w:val="0"/>
      <w:marBottom w:val="200"/>
      <w:divBdr>
        <w:top w:val="none" w:sz="0" w:space="0" w:color="auto"/>
        <w:left w:val="none" w:sz="0" w:space="0" w:color="auto"/>
        <w:bottom w:val="none" w:sz="0" w:space="0" w:color="auto"/>
        <w:right w:val="none" w:sz="0" w:space="0" w:color="auto"/>
      </w:divBdr>
    </w:div>
    <w:div w:id="1188174806">
      <w:marLeft w:val="0"/>
      <w:marRight w:val="0"/>
      <w:marTop w:val="180"/>
      <w:marBottom w:val="0"/>
      <w:divBdr>
        <w:top w:val="none" w:sz="0" w:space="0" w:color="auto"/>
        <w:left w:val="none" w:sz="0" w:space="0" w:color="auto"/>
        <w:bottom w:val="none" w:sz="0" w:space="0" w:color="auto"/>
        <w:right w:val="none" w:sz="0" w:space="0" w:color="auto"/>
      </w:divBdr>
    </w:div>
    <w:div w:id="1189488116">
      <w:marLeft w:val="0"/>
      <w:marRight w:val="0"/>
      <w:marTop w:val="0"/>
      <w:marBottom w:val="0"/>
      <w:divBdr>
        <w:top w:val="none" w:sz="0" w:space="0" w:color="auto"/>
        <w:left w:val="none" w:sz="0" w:space="0" w:color="auto"/>
        <w:bottom w:val="none" w:sz="0" w:space="0" w:color="auto"/>
        <w:right w:val="none" w:sz="0" w:space="0" w:color="auto"/>
      </w:divBdr>
      <w:divsChild>
        <w:div w:id="1060249180">
          <w:marLeft w:val="0"/>
          <w:marRight w:val="0"/>
          <w:marTop w:val="0"/>
          <w:marBottom w:val="0"/>
          <w:divBdr>
            <w:top w:val="none" w:sz="0" w:space="0" w:color="auto"/>
            <w:left w:val="none" w:sz="0" w:space="0" w:color="auto"/>
            <w:bottom w:val="none" w:sz="0" w:space="0" w:color="auto"/>
            <w:right w:val="none" w:sz="0" w:space="0" w:color="auto"/>
          </w:divBdr>
        </w:div>
      </w:divsChild>
    </w:div>
    <w:div w:id="1191144585">
      <w:marLeft w:val="0"/>
      <w:marRight w:val="0"/>
      <w:marTop w:val="180"/>
      <w:marBottom w:val="120"/>
      <w:divBdr>
        <w:top w:val="none" w:sz="0" w:space="0" w:color="auto"/>
        <w:left w:val="none" w:sz="0" w:space="0" w:color="auto"/>
        <w:bottom w:val="none" w:sz="0" w:space="0" w:color="auto"/>
        <w:right w:val="none" w:sz="0" w:space="0" w:color="auto"/>
      </w:divBdr>
    </w:div>
    <w:div w:id="1191186066">
      <w:marLeft w:val="0"/>
      <w:marRight w:val="0"/>
      <w:marTop w:val="180"/>
      <w:marBottom w:val="0"/>
      <w:divBdr>
        <w:top w:val="none" w:sz="0" w:space="0" w:color="auto"/>
        <w:left w:val="none" w:sz="0" w:space="0" w:color="auto"/>
        <w:bottom w:val="none" w:sz="0" w:space="0" w:color="auto"/>
        <w:right w:val="none" w:sz="0" w:space="0" w:color="auto"/>
      </w:divBdr>
    </w:div>
    <w:div w:id="1194657199">
      <w:marLeft w:val="0"/>
      <w:marRight w:val="0"/>
      <w:marTop w:val="180"/>
      <w:marBottom w:val="0"/>
      <w:divBdr>
        <w:top w:val="none" w:sz="0" w:space="0" w:color="auto"/>
        <w:left w:val="none" w:sz="0" w:space="0" w:color="auto"/>
        <w:bottom w:val="none" w:sz="0" w:space="0" w:color="auto"/>
        <w:right w:val="none" w:sz="0" w:space="0" w:color="auto"/>
      </w:divBdr>
    </w:div>
    <w:div w:id="1195970274">
      <w:marLeft w:val="0"/>
      <w:marRight w:val="0"/>
      <w:marTop w:val="180"/>
      <w:marBottom w:val="120"/>
      <w:divBdr>
        <w:top w:val="none" w:sz="0" w:space="0" w:color="auto"/>
        <w:left w:val="none" w:sz="0" w:space="0" w:color="auto"/>
        <w:bottom w:val="none" w:sz="0" w:space="0" w:color="auto"/>
        <w:right w:val="none" w:sz="0" w:space="0" w:color="auto"/>
      </w:divBdr>
      <w:divsChild>
        <w:div w:id="2111198086">
          <w:marLeft w:val="0"/>
          <w:marRight w:val="0"/>
          <w:marTop w:val="120"/>
          <w:marBottom w:val="120"/>
          <w:divBdr>
            <w:top w:val="none" w:sz="0" w:space="0" w:color="auto"/>
            <w:left w:val="none" w:sz="0" w:space="0" w:color="auto"/>
            <w:bottom w:val="none" w:sz="0" w:space="0" w:color="auto"/>
            <w:right w:val="none" w:sz="0" w:space="0" w:color="auto"/>
          </w:divBdr>
        </w:div>
        <w:div w:id="1657032555">
          <w:marLeft w:val="0"/>
          <w:marRight w:val="0"/>
          <w:marTop w:val="120"/>
          <w:marBottom w:val="120"/>
          <w:divBdr>
            <w:top w:val="none" w:sz="0" w:space="0" w:color="auto"/>
            <w:left w:val="none" w:sz="0" w:space="0" w:color="auto"/>
            <w:bottom w:val="none" w:sz="0" w:space="0" w:color="auto"/>
            <w:right w:val="none" w:sz="0" w:space="0" w:color="auto"/>
          </w:divBdr>
        </w:div>
        <w:div w:id="1239099222">
          <w:marLeft w:val="0"/>
          <w:marRight w:val="0"/>
          <w:marTop w:val="120"/>
          <w:marBottom w:val="120"/>
          <w:divBdr>
            <w:top w:val="none" w:sz="0" w:space="0" w:color="auto"/>
            <w:left w:val="none" w:sz="0" w:space="0" w:color="auto"/>
            <w:bottom w:val="none" w:sz="0" w:space="0" w:color="auto"/>
            <w:right w:val="none" w:sz="0" w:space="0" w:color="auto"/>
          </w:divBdr>
        </w:div>
        <w:div w:id="628433117">
          <w:marLeft w:val="0"/>
          <w:marRight w:val="0"/>
          <w:marTop w:val="120"/>
          <w:marBottom w:val="120"/>
          <w:divBdr>
            <w:top w:val="none" w:sz="0" w:space="0" w:color="auto"/>
            <w:left w:val="none" w:sz="0" w:space="0" w:color="auto"/>
            <w:bottom w:val="none" w:sz="0" w:space="0" w:color="auto"/>
            <w:right w:val="none" w:sz="0" w:space="0" w:color="auto"/>
          </w:divBdr>
        </w:div>
      </w:divsChild>
    </w:div>
    <w:div w:id="1196046403">
      <w:marLeft w:val="0"/>
      <w:marRight w:val="0"/>
      <w:marTop w:val="180"/>
      <w:marBottom w:val="0"/>
      <w:divBdr>
        <w:top w:val="none" w:sz="0" w:space="0" w:color="auto"/>
        <w:left w:val="none" w:sz="0" w:space="0" w:color="auto"/>
        <w:bottom w:val="none" w:sz="0" w:space="0" w:color="auto"/>
        <w:right w:val="none" w:sz="0" w:space="0" w:color="auto"/>
      </w:divBdr>
    </w:div>
    <w:div w:id="1200970447">
      <w:marLeft w:val="0"/>
      <w:marRight w:val="0"/>
      <w:marTop w:val="0"/>
      <w:marBottom w:val="0"/>
      <w:divBdr>
        <w:top w:val="none" w:sz="0" w:space="0" w:color="auto"/>
        <w:left w:val="none" w:sz="0" w:space="0" w:color="auto"/>
        <w:bottom w:val="none" w:sz="0" w:space="0" w:color="auto"/>
        <w:right w:val="none" w:sz="0" w:space="0" w:color="auto"/>
      </w:divBdr>
      <w:divsChild>
        <w:div w:id="1376540216">
          <w:marLeft w:val="0"/>
          <w:marRight w:val="0"/>
          <w:marTop w:val="0"/>
          <w:marBottom w:val="0"/>
          <w:divBdr>
            <w:top w:val="none" w:sz="0" w:space="0" w:color="auto"/>
            <w:left w:val="none" w:sz="0" w:space="0" w:color="auto"/>
            <w:bottom w:val="none" w:sz="0" w:space="0" w:color="auto"/>
            <w:right w:val="none" w:sz="0" w:space="0" w:color="auto"/>
          </w:divBdr>
          <w:divsChild>
            <w:div w:id="2569900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2547791">
      <w:marLeft w:val="0"/>
      <w:marRight w:val="0"/>
      <w:marTop w:val="0"/>
      <w:marBottom w:val="0"/>
      <w:divBdr>
        <w:top w:val="none" w:sz="0" w:space="0" w:color="auto"/>
        <w:left w:val="none" w:sz="0" w:space="0" w:color="auto"/>
        <w:bottom w:val="none" w:sz="0" w:space="0" w:color="auto"/>
        <w:right w:val="none" w:sz="0" w:space="0" w:color="auto"/>
      </w:divBdr>
      <w:divsChild>
        <w:div w:id="181364938">
          <w:marLeft w:val="0"/>
          <w:marRight w:val="0"/>
          <w:marTop w:val="0"/>
          <w:marBottom w:val="0"/>
          <w:divBdr>
            <w:top w:val="none" w:sz="0" w:space="0" w:color="auto"/>
            <w:left w:val="none" w:sz="0" w:space="0" w:color="auto"/>
            <w:bottom w:val="none" w:sz="0" w:space="0" w:color="auto"/>
            <w:right w:val="none" w:sz="0" w:space="0" w:color="auto"/>
          </w:divBdr>
          <w:divsChild>
            <w:div w:id="5939795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4291352">
      <w:marLeft w:val="0"/>
      <w:marRight w:val="0"/>
      <w:marTop w:val="180"/>
      <w:marBottom w:val="0"/>
      <w:divBdr>
        <w:top w:val="none" w:sz="0" w:space="0" w:color="auto"/>
        <w:left w:val="none" w:sz="0" w:space="0" w:color="auto"/>
        <w:bottom w:val="none" w:sz="0" w:space="0" w:color="auto"/>
        <w:right w:val="none" w:sz="0" w:space="0" w:color="auto"/>
      </w:divBdr>
    </w:div>
    <w:div w:id="1204444224">
      <w:marLeft w:val="0"/>
      <w:marRight w:val="0"/>
      <w:marTop w:val="0"/>
      <w:marBottom w:val="0"/>
      <w:divBdr>
        <w:top w:val="none" w:sz="0" w:space="0" w:color="auto"/>
        <w:left w:val="none" w:sz="0" w:space="0" w:color="auto"/>
        <w:bottom w:val="none" w:sz="0" w:space="0" w:color="auto"/>
        <w:right w:val="none" w:sz="0" w:space="0" w:color="auto"/>
      </w:divBdr>
      <w:divsChild>
        <w:div w:id="971902588">
          <w:marLeft w:val="0"/>
          <w:marRight w:val="0"/>
          <w:marTop w:val="0"/>
          <w:marBottom w:val="0"/>
          <w:divBdr>
            <w:top w:val="none" w:sz="0" w:space="0" w:color="auto"/>
            <w:left w:val="none" w:sz="0" w:space="0" w:color="auto"/>
            <w:bottom w:val="none" w:sz="0" w:space="0" w:color="auto"/>
            <w:right w:val="none" w:sz="0" w:space="0" w:color="auto"/>
          </w:divBdr>
          <w:divsChild>
            <w:div w:id="16711323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5827233">
      <w:marLeft w:val="0"/>
      <w:marRight w:val="0"/>
      <w:marTop w:val="180"/>
      <w:marBottom w:val="0"/>
      <w:divBdr>
        <w:top w:val="none" w:sz="0" w:space="0" w:color="auto"/>
        <w:left w:val="none" w:sz="0" w:space="0" w:color="auto"/>
        <w:bottom w:val="none" w:sz="0" w:space="0" w:color="auto"/>
        <w:right w:val="none" w:sz="0" w:space="0" w:color="auto"/>
      </w:divBdr>
    </w:div>
    <w:div w:id="1207058447">
      <w:marLeft w:val="0"/>
      <w:marRight w:val="0"/>
      <w:marTop w:val="180"/>
      <w:marBottom w:val="0"/>
      <w:divBdr>
        <w:top w:val="none" w:sz="0" w:space="0" w:color="auto"/>
        <w:left w:val="none" w:sz="0" w:space="0" w:color="auto"/>
        <w:bottom w:val="none" w:sz="0" w:space="0" w:color="auto"/>
        <w:right w:val="none" w:sz="0" w:space="0" w:color="auto"/>
      </w:divBdr>
    </w:div>
    <w:div w:id="1213346268">
      <w:marLeft w:val="0"/>
      <w:marRight w:val="0"/>
      <w:marTop w:val="180"/>
      <w:marBottom w:val="0"/>
      <w:divBdr>
        <w:top w:val="none" w:sz="0" w:space="0" w:color="auto"/>
        <w:left w:val="none" w:sz="0" w:space="0" w:color="auto"/>
        <w:bottom w:val="none" w:sz="0" w:space="0" w:color="auto"/>
        <w:right w:val="none" w:sz="0" w:space="0" w:color="auto"/>
      </w:divBdr>
    </w:div>
    <w:div w:id="1213956021">
      <w:marLeft w:val="0"/>
      <w:marRight w:val="0"/>
      <w:marTop w:val="180"/>
      <w:marBottom w:val="240"/>
      <w:divBdr>
        <w:top w:val="none" w:sz="0" w:space="0" w:color="auto"/>
        <w:left w:val="none" w:sz="0" w:space="0" w:color="auto"/>
        <w:bottom w:val="none" w:sz="0" w:space="0" w:color="auto"/>
        <w:right w:val="none" w:sz="0" w:space="0" w:color="auto"/>
      </w:divBdr>
    </w:div>
    <w:div w:id="1214121827">
      <w:marLeft w:val="0"/>
      <w:marRight w:val="0"/>
      <w:marTop w:val="0"/>
      <w:marBottom w:val="0"/>
      <w:divBdr>
        <w:top w:val="none" w:sz="0" w:space="0" w:color="auto"/>
        <w:left w:val="none" w:sz="0" w:space="0" w:color="auto"/>
        <w:bottom w:val="none" w:sz="0" w:space="0" w:color="auto"/>
        <w:right w:val="none" w:sz="0" w:space="0" w:color="auto"/>
      </w:divBdr>
      <w:divsChild>
        <w:div w:id="1359357286">
          <w:marLeft w:val="0"/>
          <w:marRight w:val="0"/>
          <w:marTop w:val="0"/>
          <w:marBottom w:val="0"/>
          <w:divBdr>
            <w:top w:val="none" w:sz="0" w:space="0" w:color="auto"/>
            <w:left w:val="none" w:sz="0" w:space="0" w:color="auto"/>
            <w:bottom w:val="none" w:sz="0" w:space="0" w:color="auto"/>
            <w:right w:val="none" w:sz="0" w:space="0" w:color="auto"/>
          </w:divBdr>
          <w:divsChild>
            <w:div w:id="1580778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14661514">
      <w:marLeft w:val="0"/>
      <w:marRight w:val="0"/>
      <w:marTop w:val="180"/>
      <w:marBottom w:val="0"/>
      <w:divBdr>
        <w:top w:val="none" w:sz="0" w:space="0" w:color="auto"/>
        <w:left w:val="none" w:sz="0" w:space="0" w:color="auto"/>
        <w:bottom w:val="none" w:sz="0" w:space="0" w:color="auto"/>
        <w:right w:val="none" w:sz="0" w:space="0" w:color="auto"/>
      </w:divBdr>
    </w:div>
    <w:div w:id="1219902196">
      <w:marLeft w:val="0"/>
      <w:marRight w:val="0"/>
      <w:marTop w:val="180"/>
      <w:marBottom w:val="0"/>
      <w:divBdr>
        <w:top w:val="none" w:sz="0" w:space="0" w:color="auto"/>
        <w:left w:val="none" w:sz="0" w:space="0" w:color="auto"/>
        <w:bottom w:val="none" w:sz="0" w:space="0" w:color="auto"/>
        <w:right w:val="none" w:sz="0" w:space="0" w:color="auto"/>
      </w:divBdr>
    </w:div>
    <w:div w:id="1220632130">
      <w:marLeft w:val="0"/>
      <w:marRight w:val="0"/>
      <w:marTop w:val="0"/>
      <w:marBottom w:val="0"/>
      <w:divBdr>
        <w:top w:val="none" w:sz="0" w:space="0" w:color="auto"/>
        <w:left w:val="none" w:sz="0" w:space="0" w:color="auto"/>
        <w:bottom w:val="none" w:sz="0" w:space="0" w:color="auto"/>
        <w:right w:val="none" w:sz="0" w:space="0" w:color="auto"/>
      </w:divBdr>
      <w:divsChild>
        <w:div w:id="2116824382">
          <w:marLeft w:val="0"/>
          <w:marRight w:val="0"/>
          <w:marTop w:val="0"/>
          <w:marBottom w:val="0"/>
          <w:divBdr>
            <w:top w:val="none" w:sz="0" w:space="0" w:color="auto"/>
            <w:left w:val="none" w:sz="0" w:space="0" w:color="auto"/>
            <w:bottom w:val="none" w:sz="0" w:space="0" w:color="auto"/>
            <w:right w:val="none" w:sz="0" w:space="0" w:color="auto"/>
          </w:divBdr>
        </w:div>
      </w:divsChild>
    </w:div>
    <w:div w:id="1220635469">
      <w:marLeft w:val="0"/>
      <w:marRight w:val="0"/>
      <w:marTop w:val="180"/>
      <w:marBottom w:val="0"/>
      <w:divBdr>
        <w:top w:val="none" w:sz="0" w:space="0" w:color="auto"/>
        <w:left w:val="none" w:sz="0" w:space="0" w:color="auto"/>
        <w:bottom w:val="none" w:sz="0" w:space="0" w:color="auto"/>
        <w:right w:val="none" w:sz="0" w:space="0" w:color="auto"/>
      </w:divBdr>
    </w:div>
    <w:div w:id="1220674902">
      <w:marLeft w:val="0"/>
      <w:marRight w:val="0"/>
      <w:marTop w:val="0"/>
      <w:marBottom w:val="0"/>
      <w:divBdr>
        <w:top w:val="none" w:sz="0" w:space="0" w:color="auto"/>
        <w:left w:val="none" w:sz="0" w:space="0" w:color="auto"/>
        <w:bottom w:val="none" w:sz="0" w:space="0" w:color="auto"/>
        <w:right w:val="none" w:sz="0" w:space="0" w:color="auto"/>
      </w:divBdr>
      <w:divsChild>
        <w:div w:id="1497919124">
          <w:marLeft w:val="0"/>
          <w:marRight w:val="0"/>
          <w:marTop w:val="0"/>
          <w:marBottom w:val="0"/>
          <w:divBdr>
            <w:top w:val="none" w:sz="0" w:space="0" w:color="auto"/>
            <w:left w:val="none" w:sz="0" w:space="0" w:color="auto"/>
            <w:bottom w:val="none" w:sz="0" w:space="0" w:color="auto"/>
            <w:right w:val="none" w:sz="0" w:space="0" w:color="auto"/>
          </w:divBdr>
          <w:divsChild>
            <w:div w:id="16287796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21287920">
      <w:marLeft w:val="0"/>
      <w:marRight w:val="0"/>
      <w:marTop w:val="0"/>
      <w:marBottom w:val="0"/>
      <w:divBdr>
        <w:top w:val="none" w:sz="0" w:space="0" w:color="auto"/>
        <w:left w:val="none" w:sz="0" w:space="0" w:color="auto"/>
        <w:bottom w:val="none" w:sz="0" w:space="0" w:color="auto"/>
        <w:right w:val="none" w:sz="0" w:space="0" w:color="auto"/>
      </w:divBdr>
      <w:divsChild>
        <w:div w:id="1154295132">
          <w:marLeft w:val="0"/>
          <w:marRight w:val="0"/>
          <w:marTop w:val="0"/>
          <w:marBottom w:val="0"/>
          <w:divBdr>
            <w:top w:val="none" w:sz="0" w:space="0" w:color="auto"/>
            <w:left w:val="none" w:sz="0" w:space="0" w:color="auto"/>
            <w:bottom w:val="none" w:sz="0" w:space="0" w:color="auto"/>
            <w:right w:val="none" w:sz="0" w:space="0" w:color="auto"/>
          </w:divBdr>
          <w:divsChild>
            <w:div w:id="15656772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22211798">
      <w:marLeft w:val="0"/>
      <w:marRight w:val="0"/>
      <w:marTop w:val="180"/>
      <w:marBottom w:val="0"/>
      <w:divBdr>
        <w:top w:val="none" w:sz="0" w:space="0" w:color="auto"/>
        <w:left w:val="none" w:sz="0" w:space="0" w:color="auto"/>
        <w:bottom w:val="none" w:sz="0" w:space="0" w:color="auto"/>
        <w:right w:val="none" w:sz="0" w:space="0" w:color="auto"/>
      </w:divBdr>
    </w:div>
    <w:div w:id="1225487842">
      <w:marLeft w:val="0"/>
      <w:marRight w:val="0"/>
      <w:marTop w:val="180"/>
      <w:marBottom w:val="0"/>
      <w:divBdr>
        <w:top w:val="none" w:sz="0" w:space="0" w:color="auto"/>
        <w:left w:val="none" w:sz="0" w:space="0" w:color="auto"/>
        <w:bottom w:val="none" w:sz="0" w:space="0" w:color="auto"/>
        <w:right w:val="none" w:sz="0" w:space="0" w:color="auto"/>
      </w:divBdr>
    </w:div>
    <w:div w:id="1227494391">
      <w:marLeft w:val="0"/>
      <w:marRight w:val="0"/>
      <w:marTop w:val="120"/>
      <w:marBottom w:val="60"/>
      <w:divBdr>
        <w:top w:val="none" w:sz="0" w:space="0" w:color="auto"/>
        <w:left w:val="none" w:sz="0" w:space="0" w:color="auto"/>
        <w:bottom w:val="none" w:sz="0" w:space="0" w:color="auto"/>
        <w:right w:val="none" w:sz="0" w:space="0" w:color="auto"/>
      </w:divBdr>
    </w:div>
    <w:div w:id="1227955087">
      <w:marLeft w:val="0"/>
      <w:marRight w:val="0"/>
      <w:marTop w:val="0"/>
      <w:marBottom w:val="200"/>
      <w:divBdr>
        <w:top w:val="none" w:sz="0" w:space="0" w:color="auto"/>
        <w:left w:val="none" w:sz="0" w:space="0" w:color="auto"/>
        <w:bottom w:val="none" w:sz="0" w:space="0" w:color="auto"/>
        <w:right w:val="none" w:sz="0" w:space="0" w:color="auto"/>
      </w:divBdr>
    </w:div>
    <w:div w:id="1228803029">
      <w:marLeft w:val="0"/>
      <w:marRight w:val="0"/>
      <w:marTop w:val="180"/>
      <w:marBottom w:val="0"/>
      <w:divBdr>
        <w:top w:val="none" w:sz="0" w:space="0" w:color="auto"/>
        <w:left w:val="none" w:sz="0" w:space="0" w:color="auto"/>
        <w:bottom w:val="none" w:sz="0" w:space="0" w:color="auto"/>
        <w:right w:val="none" w:sz="0" w:space="0" w:color="auto"/>
      </w:divBdr>
    </w:div>
    <w:div w:id="1230110868">
      <w:marLeft w:val="0"/>
      <w:marRight w:val="0"/>
      <w:marTop w:val="180"/>
      <w:marBottom w:val="0"/>
      <w:divBdr>
        <w:top w:val="none" w:sz="0" w:space="0" w:color="auto"/>
        <w:left w:val="none" w:sz="0" w:space="0" w:color="auto"/>
        <w:bottom w:val="none" w:sz="0" w:space="0" w:color="auto"/>
        <w:right w:val="none" w:sz="0" w:space="0" w:color="auto"/>
      </w:divBdr>
    </w:div>
    <w:div w:id="1231624253">
      <w:marLeft w:val="0"/>
      <w:marRight w:val="0"/>
      <w:marTop w:val="0"/>
      <w:marBottom w:val="0"/>
      <w:divBdr>
        <w:top w:val="none" w:sz="0" w:space="0" w:color="auto"/>
        <w:left w:val="none" w:sz="0" w:space="0" w:color="auto"/>
        <w:bottom w:val="none" w:sz="0" w:space="0" w:color="auto"/>
        <w:right w:val="none" w:sz="0" w:space="0" w:color="auto"/>
      </w:divBdr>
      <w:divsChild>
        <w:div w:id="685520158">
          <w:marLeft w:val="0"/>
          <w:marRight w:val="0"/>
          <w:marTop w:val="0"/>
          <w:marBottom w:val="0"/>
          <w:divBdr>
            <w:top w:val="none" w:sz="0" w:space="0" w:color="auto"/>
            <w:left w:val="none" w:sz="0" w:space="0" w:color="auto"/>
            <w:bottom w:val="none" w:sz="0" w:space="0" w:color="auto"/>
            <w:right w:val="none" w:sz="0" w:space="0" w:color="auto"/>
          </w:divBdr>
          <w:divsChild>
            <w:div w:id="12244912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2354638">
      <w:marLeft w:val="0"/>
      <w:marRight w:val="0"/>
      <w:marTop w:val="180"/>
      <w:marBottom w:val="0"/>
      <w:divBdr>
        <w:top w:val="none" w:sz="0" w:space="0" w:color="auto"/>
        <w:left w:val="none" w:sz="0" w:space="0" w:color="auto"/>
        <w:bottom w:val="none" w:sz="0" w:space="0" w:color="auto"/>
        <w:right w:val="none" w:sz="0" w:space="0" w:color="auto"/>
      </w:divBdr>
    </w:div>
    <w:div w:id="1232958061">
      <w:marLeft w:val="0"/>
      <w:marRight w:val="0"/>
      <w:marTop w:val="180"/>
      <w:marBottom w:val="0"/>
      <w:divBdr>
        <w:top w:val="none" w:sz="0" w:space="0" w:color="auto"/>
        <w:left w:val="none" w:sz="0" w:space="0" w:color="auto"/>
        <w:bottom w:val="none" w:sz="0" w:space="0" w:color="auto"/>
        <w:right w:val="none" w:sz="0" w:space="0" w:color="auto"/>
      </w:divBdr>
    </w:div>
    <w:div w:id="1233269073">
      <w:marLeft w:val="0"/>
      <w:marRight w:val="0"/>
      <w:marTop w:val="0"/>
      <w:marBottom w:val="0"/>
      <w:divBdr>
        <w:top w:val="none" w:sz="0" w:space="0" w:color="auto"/>
        <w:left w:val="none" w:sz="0" w:space="0" w:color="auto"/>
        <w:bottom w:val="none" w:sz="0" w:space="0" w:color="auto"/>
        <w:right w:val="none" w:sz="0" w:space="0" w:color="auto"/>
      </w:divBdr>
      <w:divsChild>
        <w:div w:id="1760372911">
          <w:marLeft w:val="0"/>
          <w:marRight w:val="0"/>
          <w:marTop w:val="180"/>
          <w:marBottom w:val="0"/>
          <w:divBdr>
            <w:top w:val="none" w:sz="0" w:space="0" w:color="auto"/>
            <w:left w:val="none" w:sz="0" w:space="0" w:color="auto"/>
            <w:bottom w:val="none" w:sz="0" w:space="0" w:color="auto"/>
            <w:right w:val="none" w:sz="0" w:space="0" w:color="auto"/>
          </w:divBdr>
        </w:div>
      </w:divsChild>
    </w:div>
    <w:div w:id="1234123463">
      <w:marLeft w:val="0"/>
      <w:marRight w:val="0"/>
      <w:marTop w:val="200"/>
      <w:marBottom w:val="400"/>
      <w:divBdr>
        <w:top w:val="none" w:sz="0" w:space="0" w:color="auto"/>
        <w:left w:val="none" w:sz="0" w:space="0" w:color="auto"/>
        <w:bottom w:val="none" w:sz="0" w:space="0" w:color="auto"/>
        <w:right w:val="none" w:sz="0" w:space="0" w:color="auto"/>
      </w:divBdr>
    </w:div>
    <w:div w:id="1234315954">
      <w:marLeft w:val="0"/>
      <w:marRight w:val="0"/>
      <w:marTop w:val="180"/>
      <w:marBottom w:val="240"/>
      <w:divBdr>
        <w:top w:val="none" w:sz="0" w:space="0" w:color="auto"/>
        <w:left w:val="none" w:sz="0" w:space="0" w:color="auto"/>
        <w:bottom w:val="none" w:sz="0" w:space="0" w:color="auto"/>
        <w:right w:val="none" w:sz="0" w:space="0" w:color="auto"/>
      </w:divBdr>
    </w:div>
    <w:div w:id="1236167490">
      <w:marLeft w:val="0"/>
      <w:marRight w:val="0"/>
      <w:marTop w:val="180"/>
      <w:marBottom w:val="0"/>
      <w:divBdr>
        <w:top w:val="none" w:sz="0" w:space="0" w:color="auto"/>
        <w:left w:val="none" w:sz="0" w:space="0" w:color="auto"/>
        <w:bottom w:val="none" w:sz="0" w:space="0" w:color="auto"/>
        <w:right w:val="none" w:sz="0" w:space="0" w:color="auto"/>
      </w:divBdr>
    </w:div>
    <w:div w:id="1239169416">
      <w:marLeft w:val="0"/>
      <w:marRight w:val="0"/>
      <w:marTop w:val="120"/>
      <w:marBottom w:val="120"/>
      <w:divBdr>
        <w:top w:val="none" w:sz="0" w:space="0" w:color="auto"/>
        <w:left w:val="none" w:sz="0" w:space="0" w:color="auto"/>
        <w:bottom w:val="none" w:sz="0" w:space="0" w:color="auto"/>
        <w:right w:val="none" w:sz="0" w:space="0" w:color="auto"/>
      </w:divBdr>
    </w:div>
    <w:div w:id="1239364400">
      <w:marLeft w:val="0"/>
      <w:marRight w:val="0"/>
      <w:marTop w:val="0"/>
      <w:marBottom w:val="200"/>
      <w:divBdr>
        <w:top w:val="none" w:sz="0" w:space="0" w:color="auto"/>
        <w:left w:val="none" w:sz="0" w:space="0" w:color="auto"/>
        <w:bottom w:val="none" w:sz="0" w:space="0" w:color="auto"/>
        <w:right w:val="none" w:sz="0" w:space="0" w:color="auto"/>
      </w:divBdr>
    </w:div>
    <w:div w:id="1243298310">
      <w:marLeft w:val="0"/>
      <w:marRight w:val="0"/>
      <w:marTop w:val="180"/>
      <w:marBottom w:val="120"/>
      <w:divBdr>
        <w:top w:val="none" w:sz="0" w:space="0" w:color="auto"/>
        <w:left w:val="none" w:sz="0" w:space="0" w:color="auto"/>
        <w:bottom w:val="none" w:sz="0" w:space="0" w:color="auto"/>
        <w:right w:val="none" w:sz="0" w:space="0" w:color="auto"/>
      </w:divBdr>
    </w:div>
    <w:div w:id="1243446381">
      <w:marLeft w:val="0"/>
      <w:marRight w:val="0"/>
      <w:marTop w:val="180"/>
      <w:marBottom w:val="0"/>
      <w:divBdr>
        <w:top w:val="none" w:sz="0" w:space="0" w:color="auto"/>
        <w:left w:val="none" w:sz="0" w:space="0" w:color="auto"/>
        <w:bottom w:val="none" w:sz="0" w:space="0" w:color="auto"/>
        <w:right w:val="none" w:sz="0" w:space="0" w:color="auto"/>
      </w:divBdr>
    </w:div>
    <w:div w:id="1253474265">
      <w:marLeft w:val="0"/>
      <w:marRight w:val="0"/>
      <w:marTop w:val="180"/>
      <w:marBottom w:val="0"/>
      <w:divBdr>
        <w:top w:val="none" w:sz="0" w:space="0" w:color="auto"/>
        <w:left w:val="none" w:sz="0" w:space="0" w:color="auto"/>
        <w:bottom w:val="none" w:sz="0" w:space="0" w:color="auto"/>
        <w:right w:val="none" w:sz="0" w:space="0" w:color="auto"/>
      </w:divBdr>
    </w:div>
    <w:div w:id="1253776167">
      <w:marLeft w:val="0"/>
      <w:marRight w:val="0"/>
      <w:marTop w:val="180"/>
      <w:marBottom w:val="120"/>
      <w:divBdr>
        <w:top w:val="none" w:sz="0" w:space="0" w:color="auto"/>
        <w:left w:val="none" w:sz="0" w:space="0" w:color="auto"/>
        <w:bottom w:val="none" w:sz="0" w:space="0" w:color="auto"/>
        <w:right w:val="none" w:sz="0" w:space="0" w:color="auto"/>
      </w:divBdr>
    </w:div>
    <w:div w:id="1255357669">
      <w:marLeft w:val="0"/>
      <w:marRight w:val="0"/>
      <w:marTop w:val="60"/>
      <w:marBottom w:val="60"/>
      <w:divBdr>
        <w:top w:val="none" w:sz="0" w:space="0" w:color="auto"/>
        <w:left w:val="none" w:sz="0" w:space="0" w:color="auto"/>
        <w:bottom w:val="none" w:sz="0" w:space="0" w:color="auto"/>
        <w:right w:val="none" w:sz="0" w:space="0" w:color="auto"/>
      </w:divBdr>
    </w:div>
    <w:div w:id="1260259673">
      <w:marLeft w:val="0"/>
      <w:marRight w:val="0"/>
      <w:marTop w:val="180"/>
      <w:marBottom w:val="0"/>
      <w:divBdr>
        <w:top w:val="none" w:sz="0" w:space="0" w:color="auto"/>
        <w:left w:val="none" w:sz="0" w:space="0" w:color="auto"/>
        <w:bottom w:val="none" w:sz="0" w:space="0" w:color="auto"/>
        <w:right w:val="none" w:sz="0" w:space="0" w:color="auto"/>
      </w:divBdr>
    </w:div>
    <w:div w:id="1261718994">
      <w:marLeft w:val="0"/>
      <w:marRight w:val="0"/>
      <w:marTop w:val="180"/>
      <w:marBottom w:val="0"/>
      <w:divBdr>
        <w:top w:val="none" w:sz="0" w:space="0" w:color="auto"/>
        <w:left w:val="none" w:sz="0" w:space="0" w:color="auto"/>
        <w:bottom w:val="none" w:sz="0" w:space="0" w:color="auto"/>
        <w:right w:val="none" w:sz="0" w:space="0" w:color="auto"/>
      </w:divBdr>
    </w:div>
    <w:div w:id="1263222829">
      <w:marLeft w:val="0"/>
      <w:marRight w:val="0"/>
      <w:marTop w:val="180"/>
      <w:marBottom w:val="120"/>
      <w:divBdr>
        <w:top w:val="none" w:sz="0" w:space="0" w:color="auto"/>
        <w:left w:val="none" w:sz="0" w:space="0" w:color="auto"/>
        <w:bottom w:val="none" w:sz="0" w:space="0" w:color="auto"/>
        <w:right w:val="none" w:sz="0" w:space="0" w:color="auto"/>
      </w:divBdr>
      <w:divsChild>
        <w:div w:id="496652870">
          <w:marLeft w:val="0"/>
          <w:marRight w:val="0"/>
          <w:marTop w:val="0"/>
          <w:marBottom w:val="0"/>
          <w:divBdr>
            <w:top w:val="none" w:sz="0" w:space="0" w:color="auto"/>
            <w:left w:val="none" w:sz="0" w:space="0" w:color="auto"/>
            <w:bottom w:val="none" w:sz="0" w:space="0" w:color="auto"/>
            <w:right w:val="none" w:sz="0" w:space="0" w:color="auto"/>
          </w:divBdr>
        </w:div>
      </w:divsChild>
    </w:div>
    <w:div w:id="1266814642">
      <w:marLeft w:val="0"/>
      <w:marRight w:val="0"/>
      <w:marTop w:val="0"/>
      <w:marBottom w:val="0"/>
      <w:divBdr>
        <w:top w:val="none" w:sz="0" w:space="0" w:color="auto"/>
        <w:left w:val="none" w:sz="0" w:space="0" w:color="auto"/>
        <w:bottom w:val="none" w:sz="0" w:space="0" w:color="auto"/>
        <w:right w:val="none" w:sz="0" w:space="0" w:color="auto"/>
      </w:divBdr>
      <w:divsChild>
        <w:div w:id="1646809529">
          <w:marLeft w:val="0"/>
          <w:marRight w:val="0"/>
          <w:marTop w:val="180"/>
          <w:marBottom w:val="0"/>
          <w:divBdr>
            <w:top w:val="none" w:sz="0" w:space="0" w:color="auto"/>
            <w:left w:val="none" w:sz="0" w:space="0" w:color="auto"/>
            <w:bottom w:val="none" w:sz="0" w:space="0" w:color="auto"/>
            <w:right w:val="none" w:sz="0" w:space="0" w:color="auto"/>
          </w:divBdr>
        </w:div>
      </w:divsChild>
    </w:div>
    <w:div w:id="1267613833">
      <w:marLeft w:val="0"/>
      <w:marRight w:val="0"/>
      <w:marTop w:val="180"/>
      <w:marBottom w:val="60"/>
      <w:divBdr>
        <w:top w:val="none" w:sz="0" w:space="0" w:color="auto"/>
        <w:left w:val="none" w:sz="0" w:space="0" w:color="auto"/>
        <w:bottom w:val="none" w:sz="0" w:space="0" w:color="auto"/>
        <w:right w:val="none" w:sz="0" w:space="0" w:color="auto"/>
      </w:divBdr>
    </w:div>
    <w:div w:id="1268348146">
      <w:marLeft w:val="0"/>
      <w:marRight w:val="0"/>
      <w:marTop w:val="180"/>
      <w:marBottom w:val="0"/>
      <w:divBdr>
        <w:top w:val="none" w:sz="0" w:space="0" w:color="auto"/>
        <w:left w:val="none" w:sz="0" w:space="0" w:color="auto"/>
        <w:bottom w:val="none" w:sz="0" w:space="0" w:color="auto"/>
        <w:right w:val="none" w:sz="0" w:space="0" w:color="auto"/>
      </w:divBdr>
    </w:div>
    <w:div w:id="1268586894">
      <w:marLeft w:val="0"/>
      <w:marRight w:val="0"/>
      <w:marTop w:val="180"/>
      <w:marBottom w:val="0"/>
      <w:divBdr>
        <w:top w:val="none" w:sz="0" w:space="0" w:color="auto"/>
        <w:left w:val="none" w:sz="0" w:space="0" w:color="auto"/>
        <w:bottom w:val="none" w:sz="0" w:space="0" w:color="auto"/>
        <w:right w:val="none" w:sz="0" w:space="0" w:color="auto"/>
      </w:divBdr>
    </w:div>
    <w:div w:id="1269312240">
      <w:marLeft w:val="0"/>
      <w:marRight w:val="0"/>
      <w:marTop w:val="180"/>
      <w:marBottom w:val="0"/>
      <w:divBdr>
        <w:top w:val="none" w:sz="0" w:space="0" w:color="auto"/>
        <w:left w:val="none" w:sz="0" w:space="0" w:color="auto"/>
        <w:bottom w:val="none" w:sz="0" w:space="0" w:color="auto"/>
        <w:right w:val="none" w:sz="0" w:space="0" w:color="auto"/>
      </w:divBdr>
    </w:div>
    <w:div w:id="1270628228">
      <w:marLeft w:val="0"/>
      <w:marRight w:val="0"/>
      <w:marTop w:val="180"/>
      <w:marBottom w:val="0"/>
      <w:divBdr>
        <w:top w:val="none" w:sz="0" w:space="0" w:color="auto"/>
        <w:left w:val="none" w:sz="0" w:space="0" w:color="auto"/>
        <w:bottom w:val="none" w:sz="0" w:space="0" w:color="auto"/>
        <w:right w:val="none" w:sz="0" w:space="0" w:color="auto"/>
      </w:divBdr>
    </w:div>
    <w:div w:id="1276132981">
      <w:marLeft w:val="0"/>
      <w:marRight w:val="0"/>
      <w:marTop w:val="180"/>
      <w:marBottom w:val="0"/>
      <w:divBdr>
        <w:top w:val="none" w:sz="0" w:space="0" w:color="auto"/>
        <w:left w:val="none" w:sz="0" w:space="0" w:color="auto"/>
        <w:bottom w:val="none" w:sz="0" w:space="0" w:color="auto"/>
        <w:right w:val="none" w:sz="0" w:space="0" w:color="auto"/>
      </w:divBdr>
    </w:div>
    <w:div w:id="1276248635">
      <w:marLeft w:val="0"/>
      <w:marRight w:val="0"/>
      <w:marTop w:val="180"/>
      <w:marBottom w:val="0"/>
      <w:divBdr>
        <w:top w:val="none" w:sz="0" w:space="0" w:color="auto"/>
        <w:left w:val="none" w:sz="0" w:space="0" w:color="auto"/>
        <w:bottom w:val="none" w:sz="0" w:space="0" w:color="auto"/>
        <w:right w:val="none" w:sz="0" w:space="0" w:color="auto"/>
      </w:divBdr>
    </w:div>
    <w:div w:id="1276599245">
      <w:marLeft w:val="0"/>
      <w:marRight w:val="0"/>
      <w:marTop w:val="180"/>
      <w:marBottom w:val="0"/>
      <w:divBdr>
        <w:top w:val="none" w:sz="0" w:space="0" w:color="auto"/>
        <w:left w:val="none" w:sz="0" w:space="0" w:color="auto"/>
        <w:bottom w:val="none" w:sz="0" w:space="0" w:color="auto"/>
        <w:right w:val="none" w:sz="0" w:space="0" w:color="auto"/>
      </w:divBdr>
    </w:div>
    <w:div w:id="1276717704">
      <w:marLeft w:val="0"/>
      <w:marRight w:val="0"/>
      <w:marTop w:val="180"/>
      <w:marBottom w:val="0"/>
      <w:divBdr>
        <w:top w:val="none" w:sz="0" w:space="0" w:color="auto"/>
        <w:left w:val="none" w:sz="0" w:space="0" w:color="auto"/>
        <w:bottom w:val="none" w:sz="0" w:space="0" w:color="auto"/>
        <w:right w:val="none" w:sz="0" w:space="0" w:color="auto"/>
      </w:divBdr>
    </w:div>
    <w:div w:id="1276866778">
      <w:marLeft w:val="0"/>
      <w:marRight w:val="0"/>
      <w:marTop w:val="180"/>
      <w:marBottom w:val="0"/>
      <w:divBdr>
        <w:top w:val="none" w:sz="0" w:space="0" w:color="auto"/>
        <w:left w:val="none" w:sz="0" w:space="0" w:color="auto"/>
        <w:bottom w:val="none" w:sz="0" w:space="0" w:color="auto"/>
        <w:right w:val="none" w:sz="0" w:space="0" w:color="auto"/>
      </w:divBdr>
    </w:div>
    <w:div w:id="1279066833">
      <w:marLeft w:val="0"/>
      <w:marRight w:val="0"/>
      <w:marTop w:val="180"/>
      <w:marBottom w:val="0"/>
      <w:divBdr>
        <w:top w:val="none" w:sz="0" w:space="0" w:color="auto"/>
        <w:left w:val="none" w:sz="0" w:space="0" w:color="auto"/>
        <w:bottom w:val="none" w:sz="0" w:space="0" w:color="auto"/>
        <w:right w:val="none" w:sz="0" w:space="0" w:color="auto"/>
      </w:divBdr>
    </w:div>
    <w:div w:id="1282879725">
      <w:marLeft w:val="0"/>
      <w:marRight w:val="0"/>
      <w:marTop w:val="180"/>
      <w:marBottom w:val="0"/>
      <w:divBdr>
        <w:top w:val="none" w:sz="0" w:space="0" w:color="auto"/>
        <w:left w:val="none" w:sz="0" w:space="0" w:color="auto"/>
        <w:bottom w:val="none" w:sz="0" w:space="0" w:color="auto"/>
        <w:right w:val="none" w:sz="0" w:space="0" w:color="auto"/>
      </w:divBdr>
    </w:div>
    <w:div w:id="1285959957">
      <w:marLeft w:val="0"/>
      <w:marRight w:val="0"/>
      <w:marTop w:val="0"/>
      <w:marBottom w:val="200"/>
      <w:divBdr>
        <w:top w:val="none" w:sz="0" w:space="0" w:color="auto"/>
        <w:left w:val="none" w:sz="0" w:space="0" w:color="auto"/>
        <w:bottom w:val="none" w:sz="0" w:space="0" w:color="auto"/>
        <w:right w:val="none" w:sz="0" w:space="0" w:color="auto"/>
      </w:divBdr>
    </w:div>
    <w:div w:id="1286691771">
      <w:marLeft w:val="0"/>
      <w:marRight w:val="0"/>
      <w:marTop w:val="180"/>
      <w:marBottom w:val="0"/>
      <w:divBdr>
        <w:top w:val="none" w:sz="0" w:space="0" w:color="auto"/>
        <w:left w:val="none" w:sz="0" w:space="0" w:color="auto"/>
        <w:bottom w:val="none" w:sz="0" w:space="0" w:color="auto"/>
        <w:right w:val="none" w:sz="0" w:space="0" w:color="auto"/>
      </w:divBdr>
    </w:div>
    <w:div w:id="1286883414">
      <w:marLeft w:val="0"/>
      <w:marRight w:val="0"/>
      <w:marTop w:val="180"/>
      <w:marBottom w:val="0"/>
      <w:divBdr>
        <w:top w:val="none" w:sz="0" w:space="0" w:color="auto"/>
        <w:left w:val="none" w:sz="0" w:space="0" w:color="auto"/>
        <w:bottom w:val="none" w:sz="0" w:space="0" w:color="auto"/>
        <w:right w:val="none" w:sz="0" w:space="0" w:color="auto"/>
      </w:divBdr>
    </w:div>
    <w:div w:id="1287004732">
      <w:marLeft w:val="0"/>
      <w:marRight w:val="0"/>
      <w:marTop w:val="0"/>
      <w:marBottom w:val="0"/>
      <w:divBdr>
        <w:top w:val="none" w:sz="0" w:space="0" w:color="auto"/>
        <w:left w:val="none" w:sz="0" w:space="0" w:color="auto"/>
        <w:bottom w:val="none" w:sz="0" w:space="0" w:color="auto"/>
        <w:right w:val="none" w:sz="0" w:space="0" w:color="auto"/>
      </w:divBdr>
      <w:divsChild>
        <w:div w:id="1780564929">
          <w:marLeft w:val="0"/>
          <w:marRight w:val="0"/>
          <w:marTop w:val="0"/>
          <w:marBottom w:val="0"/>
          <w:divBdr>
            <w:top w:val="none" w:sz="0" w:space="0" w:color="auto"/>
            <w:left w:val="none" w:sz="0" w:space="0" w:color="auto"/>
            <w:bottom w:val="none" w:sz="0" w:space="0" w:color="auto"/>
            <w:right w:val="none" w:sz="0" w:space="0" w:color="auto"/>
          </w:divBdr>
          <w:divsChild>
            <w:div w:id="20780427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7617883">
      <w:marLeft w:val="0"/>
      <w:marRight w:val="0"/>
      <w:marTop w:val="0"/>
      <w:marBottom w:val="0"/>
      <w:divBdr>
        <w:top w:val="none" w:sz="0" w:space="0" w:color="auto"/>
        <w:left w:val="none" w:sz="0" w:space="0" w:color="auto"/>
        <w:bottom w:val="none" w:sz="0" w:space="0" w:color="auto"/>
        <w:right w:val="none" w:sz="0" w:space="0" w:color="auto"/>
      </w:divBdr>
      <w:divsChild>
        <w:div w:id="787091042">
          <w:marLeft w:val="0"/>
          <w:marRight w:val="0"/>
          <w:marTop w:val="180"/>
          <w:marBottom w:val="0"/>
          <w:divBdr>
            <w:top w:val="none" w:sz="0" w:space="0" w:color="auto"/>
            <w:left w:val="none" w:sz="0" w:space="0" w:color="auto"/>
            <w:bottom w:val="none" w:sz="0" w:space="0" w:color="auto"/>
            <w:right w:val="none" w:sz="0" w:space="0" w:color="auto"/>
          </w:divBdr>
        </w:div>
      </w:divsChild>
    </w:div>
    <w:div w:id="1288588920">
      <w:marLeft w:val="0"/>
      <w:marRight w:val="0"/>
      <w:marTop w:val="200"/>
      <w:marBottom w:val="400"/>
      <w:divBdr>
        <w:top w:val="none" w:sz="0" w:space="0" w:color="auto"/>
        <w:left w:val="none" w:sz="0" w:space="0" w:color="auto"/>
        <w:bottom w:val="none" w:sz="0" w:space="0" w:color="auto"/>
        <w:right w:val="none" w:sz="0" w:space="0" w:color="auto"/>
      </w:divBdr>
    </w:div>
    <w:div w:id="1292442063">
      <w:marLeft w:val="0"/>
      <w:marRight w:val="0"/>
      <w:marTop w:val="0"/>
      <w:marBottom w:val="200"/>
      <w:divBdr>
        <w:top w:val="none" w:sz="0" w:space="0" w:color="auto"/>
        <w:left w:val="none" w:sz="0" w:space="0" w:color="auto"/>
        <w:bottom w:val="none" w:sz="0" w:space="0" w:color="auto"/>
        <w:right w:val="none" w:sz="0" w:space="0" w:color="auto"/>
      </w:divBdr>
    </w:div>
    <w:div w:id="1294293646">
      <w:marLeft w:val="0"/>
      <w:marRight w:val="0"/>
      <w:marTop w:val="180"/>
      <w:marBottom w:val="0"/>
      <w:divBdr>
        <w:top w:val="none" w:sz="0" w:space="0" w:color="auto"/>
        <w:left w:val="none" w:sz="0" w:space="0" w:color="auto"/>
        <w:bottom w:val="none" w:sz="0" w:space="0" w:color="auto"/>
        <w:right w:val="none" w:sz="0" w:space="0" w:color="auto"/>
      </w:divBdr>
    </w:div>
    <w:div w:id="1294558272">
      <w:marLeft w:val="0"/>
      <w:marRight w:val="0"/>
      <w:marTop w:val="0"/>
      <w:marBottom w:val="0"/>
      <w:divBdr>
        <w:top w:val="none" w:sz="0" w:space="0" w:color="auto"/>
        <w:left w:val="none" w:sz="0" w:space="0" w:color="auto"/>
        <w:bottom w:val="none" w:sz="0" w:space="0" w:color="auto"/>
        <w:right w:val="none" w:sz="0" w:space="0" w:color="auto"/>
      </w:divBdr>
      <w:divsChild>
        <w:div w:id="1040782136">
          <w:marLeft w:val="0"/>
          <w:marRight w:val="0"/>
          <w:marTop w:val="0"/>
          <w:marBottom w:val="0"/>
          <w:divBdr>
            <w:top w:val="none" w:sz="0" w:space="0" w:color="auto"/>
            <w:left w:val="none" w:sz="0" w:space="0" w:color="auto"/>
            <w:bottom w:val="none" w:sz="0" w:space="0" w:color="auto"/>
            <w:right w:val="none" w:sz="0" w:space="0" w:color="auto"/>
          </w:divBdr>
          <w:divsChild>
            <w:div w:id="6891802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6528281">
      <w:marLeft w:val="0"/>
      <w:marRight w:val="0"/>
      <w:marTop w:val="180"/>
      <w:marBottom w:val="0"/>
      <w:divBdr>
        <w:top w:val="none" w:sz="0" w:space="0" w:color="auto"/>
        <w:left w:val="none" w:sz="0" w:space="0" w:color="auto"/>
        <w:bottom w:val="none" w:sz="0" w:space="0" w:color="auto"/>
        <w:right w:val="none" w:sz="0" w:space="0" w:color="auto"/>
      </w:divBdr>
    </w:div>
    <w:div w:id="1298727221">
      <w:marLeft w:val="0"/>
      <w:marRight w:val="0"/>
      <w:marTop w:val="180"/>
      <w:marBottom w:val="0"/>
      <w:divBdr>
        <w:top w:val="none" w:sz="0" w:space="0" w:color="auto"/>
        <w:left w:val="none" w:sz="0" w:space="0" w:color="auto"/>
        <w:bottom w:val="none" w:sz="0" w:space="0" w:color="auto"/>
        <w:right w:val="none" w:sz="0" w:space="0" w:color="auto"/>
      </w:divBdr>
    </w:div>
    <w:div w:id="1300301949">
      <w:marLeft w:val="0"/>
      <w:marRight w:val="0"/>
      <w:marTop w:val="180"/>
      <w:marBottom w:val="0"/>
      <w:divBdr>
        <w:top w:val="none" w:sz="0" w:space="0" w:color="auto"/>
        <w:left w:val="none" w:sz="0" w:space="0" w:color="auto"/>
        <w:bottom w:val="none" w:sz="0" w:space="0" w:color="auto"/>
        <w:right w:val="none" w:sz="0" w:space="0" w:color="auto"/>
      </w:divBdr>
    </w:div>
    <w:div w:id="1300453499">
      <w:marLeft w:val="0"/>
      <w:marRight w:val="0"/>
      <w:marTop w:val="180"/>
      <w:marBottom w:val="0"/>
      <w:divBdr>
        <w:top w:val="none" w:sz="0" w:space="0" w:color="auto"/>
        <w:left w:val="none" w:sz="0" w:space="0" w:color="auto"/>
        <w:bottom w:val="none" w:sz="0" w:space="0" w:color="auto"/>
        <w:right w:val="none" w:sz="0" w:space="0" w:color="auto"/>
      </w:divBdr>
    </w:div>
    <w:div w:id="1300921810">
      <w:marLeft w:val="0"/>
      <w:marRight w:val="0"/>
      <w:marTop w:val="0"/>
      <w:marBottom w:val="0"/>
      <w:divBdr>
        <w:top w:val="none" w:sz="0" w:space="0" w:color="auto"/>
        <w:left w:val="none" w:sz="0" w:space="0" w:color="auto"/>
        <w:bottom w:val="none" w:sz="0" w:space="0" w:color="auto"/>
        <w:right w:val="none" w:sz="0" w:space="0" w:color="auto"/>
      </w:divBdr>
      <w:divsChild>
        <w:div w:id="155340217">
          <w:marLeft w:val="0"/>
          <w:marRight w:val="0"/>
          <w:marTop w:val="0"/>
          <w:marBottom w:val="0"/>
          <w:divBdr>
            <w:top w:val="none" w:sz="0" w:space="0" w:color="auto"/>
            <w:left w:val="none" w:sz="0" w:space="0" w:color="auto"/>
            <w:bottom w:val="none" w:sz="0" w:space="0" w:color="auto"/>
            <w:right w:val="none" w:sz="0" w:space="0" w:color="auto"/>
          </w:divBdr>
          <w:divsChild>
            <w:div w:id="540151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1109835">
      <w:marLeft w:val="0"/>
      <w:marRight w:val="0"/>
      <w:marTop w:val="240"/>
      <w:marBottom w:val="0"/>
      <w:divBdr>
        <w:top w:val="none" w:sz="0" w:space="0" w:color="auto"/>
        <w:left w:val="none" w:sz="0" w:space="0" w:color="auto"/>
        <w:bottom w:val="none" w:sz="0" w:space="0" w:color="auto"/>
        <w:right w:val="none" w:sz="0" w:space="0" w:color="auto"/>
      </w:divBdr>
    </w:div>
    <w:div w:id="1301569662">
      <w:marLeft w:val="0"/>
      <w:marRight w:val="0"/>
      <w:marTop w:val="180"/>
      <w:marBottom w:val="0"/>
      <w:divBdr>
        <w:top w:val="none" w:sz="0" w:space="0" w:color="auto"/>
        <w:left w:val="none" w:sz="0" w:space="0" w:color="auto"/>
        <w:bottom w:val="none" w:sz="0" w:space="0" w:color="auto"/>
        <w:right w:val="none" w:sz="0" w:space="0" w:color="auto"/>
      </w:divBdr>
    </w:div>
    <w:div w:id="1303079360">
      <w:marLeft w:val="0"/>
      <w:marRight w:val="0"/>
      <w:marTop w:val="0"/>
      <w:marBottom w:val="0"/>
      <w:divBdr>
        <w:top w:val="none" w:sz="0" w:space="0" w:color="auto"/>
        <w:left w:val="none" w:sz="0" w:space="0" w:color="auto"/>
        <w:bottom w:val="none" w:sz="0" w:space="0" w:color="auto"/>
        <w:right w:val="none" w:sz="0" w:space="0" w:color="auto"/>
      </w:divBdr>
    </w:div>
    <w:div w:id="1303998230">
      <w:marLeft w:val="0"/>
      <w:marRight w:val="0"/>
      <w:marTop w:val="180"/>
      <w:marBottom w:val="0"/>
      <w:divBdr>
        <w:top w:val="none" w:sz="0" w:space="0" w:color="auto"/>
        <w:left w:val="none" w:sz="0" w:space="0" w:color="auto"/>
        <w:bottom w:val="none" w:sz="0" w:space="0" w:color="auto"/>
        <w:right w:val="none" w:sz="0" w:space="0" w:color="auto"/>
      </w:divBdr>
    </w:div>
    <w:div w:id="1306085057">
      <w:marLeft w:val="0"/>
      <w:marRight w:val="0"/>
      <w:marTop w:val="180"/>
      <w:marBottom w:val="0"/>
      <w:divBdr>
        <w:top w:val="none" w:sz="0" w:space="0" w:color="auto"/>
        <w:left w:val="none" w:sz="0" w:space="0" w:color="auto"/>
        <w:bottom w:val="none" w:sz="0" w:space="0" w:color="auto"/>
        <w:right w:val="none" w:sz="0" w:space="0" w:color="auto"/>
      </w:divBdr>
    </w:div>
    <w:div w:id="1306398269">
      <w:marLeft w:val="0"/>
      <w:marRight w:val="0"/>
      <w:marTop w:val="180"/>
      <w:marBottom w:val="0"/>
      <w:divBdr>
        <w:top w:val="none" w:sz="0" w:space="0" w:color="auto"/>
        <w:left w:val="none" w:sz="0" w:space="0" w:color="auto"/>
        <w:bottom w:val="none" w:sz="0" w:space="0" w:color="auto"/>
        <w:right w:val="none" w:sz="0" w:space="0" w:color="auto"/>
      </w:divBdr>
    </w:div>
    <w:div w:id="1310354985">
      <w:marLeft w:val="0"/>
      <w:marRight w:val="0"/>
      <w:marTop w:val="180"/>
      <w:marBottom w:val="0"/>
      <w:divBdr>
        <w:top w:val="none" w:sz="0" w:space="0" w:color="auto"/>
        <w:left w:val="none" w:sz="0" w:space="0" w:color="auto"/>
        <w:bottom w:val="none" w:sz="0" w:space="0" w:color="auto"/>
        <w:right w:val="none" w:sz="0" w:space="0" w:color="auto"/>
      </w:divBdr>
    </w:div>
    <w:div w:id="1311255287">
      <w:marLeft w:val="0"/>
      <w:marRight w:val="0"/>
      <w:marTop w:val="180"/>
      <w:marBottom w:val="0"/>
      <w:divBdr>
        <w:top w:val="none" w:sz="0" w:space="0" w:color="auto"/>
        <w:left w:val="none" w:sz="0" w:space="0" w:color="auto"/>
        <w:bottom w:val="none" w:sz="0" w:space="0" w:color="auto"/>
        <w:right w:val="none" w:sz="0" w:space="0" w:color="auto"/>
      </w:divBdr>
    </w:div>
    <w:div w:id="1311322196">
      <w:marLeft w:val="0"/>
      <w:marRight w:val="0"/>
      <w:marTop w:val="180"/>
      <w:marBottom w:val="0"/>
      <w:divBdr>
        <w:top w:val="none" w:sz="0" w:space="0" w:color="auto"/>
        <w:left w:val="none" w:sz="0" w:space="0" w:color="auto"/>
        <w:bottom w:val="none" w:sz="0" w:space="0" w:color="auto"/>
        <w:right w:val="none" w:sz="0" w:space="0" w:color="auto"/>
      </w:divBdr>
    </w:div>
    <w:div w:id="1311521130">
      <w:marLeft w:val="0"/>
      <w:marRight w:val="0"/>
      <w:marTop w:val="0"/>
      <w:marBottom w:val="0"/>
      <w:divBdr>
        <w:top w:val="none" w:sz="0" w:space="0" w:color="auto"/>
        <w:left w:val="none" w:sz="0" w:space="0" w:color="auto"/>
        <w:bottom w:val="none" w:sz="0" w:space="0" w:color="auto"/>
        <w:right w:val="none" w:sz="0" w:space="0" w:color="auto"/>
      </w:divBdr>
      <w:divsChild>
        <w:div w:id="270749216">
          <w:marLeft w:val="0"/>
          <w:marRight w:val="0"/>
          <w:marTop w:val="0"/>
          <w:marBottom w:val="0"/>
          <w:divBdr>
            <w:top w:val="none" w:sz="0" w:space="0" w:color="auto"/>
            <w:left w:val="none" w:sz="0" w:space="0" w:color="auto"/>
            <w:bottom w:val="none" w:sz="0" w:space="0" w:color="auto"/>
            <w:right w:val="none" w:sz="0" w:space="0" w:color="auto"/>
          </w:divBdr>
          <w:divsChild>
            <w:div w:id="2677851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11907179">
      <w:marLeft w:val="0"/>
      <w:marRight w:val="0"/>
      <w:marTop w:val="0"/>
      <w:marBottom w:val="0"/>
      <w:divBdr>
        <w:top w:val="none" w:sz="0" w:space="0" w:color="auto"/>
        <w:left w:val="none" w:sz="0" w:space="0" w:color="auto"/>
        <w:bottom w:val="none" w:sz="0" w:space="0" w:color="auto"/>
        <w:right w:val="none" w:sz="0" w:space="0" w:color="auto"/>
      </w:divBdr>
      <w:divsChild>
        <w:div w:id="235559567">
          <w:marLeft w:val="0"/>
          <w:marRight w:val="0"/>
          <w:marTop w:val="0"/>
          <w:marBottom w:val="0"/>
          <w:divBdr>
            <w:top w:val="none" w:sz="0" w:space="0" w:color="auto"/>
            <w:left w:val="none" w:sz="0" w:space="0" w:color="auto"/>
            <w:bottom w:val="none" w:sz="0" w:space="0" w:color="auto"/>
            <w:right w:val="none" w:sz="0" w:space="0" w:color="auto"/>
          </w:divBdr>
          <w:divsChild>
            <w:div w:id="7755638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15254401">
      <w:marLeft w:val="0"/>
      <w:marRight w:val="0"/>
      <w:marTop w:val="180"/>
      <w:marBottom w:val="0"/>
      <w:divBdr>
        <w:top w:val="none" w:sz="0" w:space="0" w:color="auto"/>
        <w:left w:val="none" w:sz="0" w:space="0" w:color="auto"/>
        <w:bottom w:val="none" w:sz="0" w:space="0" w:color="auto"/>
        <w:right w:val="none" w:sz="0" w:space="0" w:color="auto"/>
      </w:divBdr>
    </w:div>
    <w:div w:id="1326933873">
      <w:marLeft w:val="0"/>
      <w:marRight w:val="0"/>
      <w:marTop w:val="180"/>
      <w:marBottom w:val="0"/>
      <w:divBdr>
        <w:top w:val="none" w:sz="0" w:space="0" w:color="auto"/>
        <w:left w:val="none" w:sz="0" w:space="0" w:color="auto"/>
        <w:bottom w:val="none" w:sz="0" w:space="0" w:color="auto"/>
        <w:right w:val="none" w:sz="0" w:space="0" w:color="auto"/>
      </w:divBdr>
    </w:div>
    <w:div w:id="1331133192">
      <w:marLeft w:val="0"/>
      <w:marRight w:val="0"/>
      <w:marTop w:val="180"/>
      <w:marBottom w:val="0"/>
      <w:divBdr>
        <w:top w:val="none" w:sz="0" w:space="0" w:color="auto"/>
        <w:left w:val="none" w:sz="0" w:space="0" w:color="auto"/>
        <w:bottom w:val="none" w:sz="0" w:space="0" w:color="auto"/>
        <w:right w:val="none" w:sz="0" w:space="0" w:color="auto"/>
      </w:divBdr>
    </w:div>
    <w:div w:id="1332874175">
      <w:marLeft w:val="0"/>
      <w:marRight w:val="0"/>
      <w:marTop w:val="180"/>
      <w:marBottom w:val="0"/>
      <w:divBdr>
        <w:top w:val="none" w:sz="0" w:space="0" w:color="auto"/>
        <w:left w:val="none" w:sz="0" w:space="0" w:color="auto"/>
        <w:bottom w:val="none" w:sz="0" w:space="0" w:color="auto"/>
        <w:right w:val="none" w:sz="0" w:space="0" w:color="auto"/>
      </w:divBdr>
    </w:div>
    <w:div w:id="1339194854">
      <w:marLeft w:val="0"/>
      <w:marRight w:val="0"/>
      <w:marTop w:val="180"/>
      <w:marBottom w:val="0"/>
      <w:divBdr>
        <w:top w:val="none" w:sz="0" w:space="0" w:color="auto"/>
        <w:left w:val="none" w:sz="0" w:space="0" w:color="auto"/>
        <w:bottom w:val="none" w:sz="0" w:space="0" w:color="auto"/>
        <w:right w:val="none" w:sz="0" w:space="0" w:color="auto"/>
      </w:divBdr>
    </w:div>
    <w:div w:id="1344012447">
      <w:marLeft w:val="0"/>
      <w:marRight w:val="0"/>
      <w:marTop w:val="180"/>
      <w:marBottom w:val="0"/>
      <w:divBdr>
        <w:top w:val="none" w:sz="0" w:space="0" w:color="auto"/>
        <w:left w:val="none" w:sz="0" w:space="0" w:color="auto"/>
        <w:bottom w:val="none" w:sz="0" w:space="0" w:color="auto"/>
        <w:right w:val="none" w:sz="0" w:space="0" w:color="auto"/>
      </w:divBdr>
    </w:div>
    <w:div w:id="1345203280">
      <w:marLeft w:val="0"/>
      <w:marRight w:val="0"/>
      <w:marTop w:val="180"/>
      <w:marBottom w:val="0"/>
      <w:divBdr>
        <w:top w:val="none" w:sz="0" w:space="0" w:color="auto"/>
        <w:left w:val="none" w:sz="0" w:space="0" w:color="auto"/>
        <w:bottom w:val="none" w:sz="0" w:space="0" w:color="auto"/>
        <w:right w:val="none" w:sz="0" w:space="0" w:color="auto"/>
      </w:divBdr>
    </w:div>
    <w:div w:id="1346130234">
      <w:marLeft w:val="0"/>
      <w:marRight w:val="0"/>
      <w:marTop w:val="0"/>
      <w:marBottom w:val="0"/>
      <w:divBdr>
        <w:top w:val="none" w:sz="0" w:space="0" w:color="auto"/>
        <w:left w:val="none" w:sz="0" w:space="0" w:color="auto"/>
        <w:bottom w:val="none" w:sz="0" w:space="0" w:color="auto"/>
        <w:right w:val="none" w:sz="0" w:space="0" w:color="auto"/>
      </w:divBdr>
      <w:divsChild>
        <w:div w:id="902133210">
          <w:marLeft w:val="0"/>
          <w:marRight w:val="0"/>
          <w:marTop w:val="180"/>
          <w:marBottom w:val="0"/>
          <w:divBdr>
            <w:top w:val="none" w:sz="0" w:space="0" w:color="auto"/>
            <w:left w:val="none" w:sz="0" w:space="0" w:color="auto"/>
            <w:bottom w:val="none" w:sz="0" w:space="0" w:color="auto"/>
            <w:right w:val="none" w:sz="0" w:space="0" w:color="auto"/>
          </w:divBdr>
        </w:div>
      </w:divsChild>
    </w:div>
    <w:div w:id="1347369616">
      <w:marLeft w:val="0"/>
      <w:marRight w:val="0"/>
      <w:marTop w:val="180"/>
      <w:marBottom w:val="0"/>
      <w:divBdr>
        <w:top w:val="none" w:sz="0" w:space="0" w:color="auto"/>
        <w:left w:val="none" w:sz="0" w:space="0" w:color="auto"/>
        <w:bottom w:val="none" w:sz="0" w:space="0" w:color="auto"/>
        <w:right w:val="none" w:sz="0" w:space="0" w:color="auto"/>
      </w:divBdr>
    </w:div>
    <w:div w:id="1348797314">
      <w:marLeft w:val="0"/>
      <w:marRight w:val="0"/>
      <w:marTop w:val="0"/>
      <w:marBottom w:val="0"/>
      <w:divBdr>
        <w:top w:val="none" w:sz="0" w:space="0" w:color="auto"/>
        <w:left w:val="none" w:sz="0" w:space="0" w:color="auto"/>
        <w:bottom w:val="none" w:sz="0" w:space="0" w:color="auto"/>
        <w:right w:val="none" w:sz="0" w:space="0" w:color="auto"/>
      </w:divBdr>
      <w:divsChild>
        <w:div w:id="1283538904">
          <w:marLeft w:val="0"/>
          <w:marRight w:val="0"/>
          <w:marTop w:val="0"/>
          <w:marBottom w:val="0"/>
          <w:divBdr>
            <w:top w:val="none" w:sz="0" w:space="0" w:color="auto"/>
            <w:left w:val="none" w:sz="0" w:space="0" w:color="auto"/>
            <w:bottom w:val="none" w:sz="0" w:space="0" w:color="auto"/>
            <w:right w:val="none" w:sz="0" w:space="0" w:color="auto"/>
          </w:divBdr>
          <w:divsChild>
            <w:div w:id="19382513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55686453">
      <w:marLeft w:val="0"/>
      <w:marRight w:val="0"/>
      <w:marTop w:val="180"/>
      <w:marBottom w:val="0"/>
      <w:divBdr>
        <w:top w:val="none" w:sz="0" w:space="0" w:color="auto"/>
        <w:left w:val="none" w:sz="0" w:space="0" w:color="auto"/>
        <w:bottom w:val="none" w:sz="0" w:space="0" w:color="auto"/>
        <w:right w:val="none" w:sz="0" w:space="0" w:color="auto"/>
      </w:divBdr>
    </w:div>
    <w:div w:id="1359114193">
      <w:marLeft w:val="0"/>
      <w:marRight w:val="0"/>
      <w:marTop w:val="180"/>
      <w:marBottom w:val="240"/>
      <w:divBdr>
        <w:top w:val="none" w:sz="0" w:space="0" w:color="auto"/>
        <w:left w:val="none" w:sz="0" w:space="0" w:color="auto"/>
        <w:bottom w:val="none" w:sz="0" w:space="0" w:color="auto"/>
        <w:right w:val="none" w:sz="0" w:space="0" w:color="auto"/>
      </w:divBdr>
    </w:div>
    <w:div w:id="1365011632">
      <w:marLeft w:val="0"/>
      <w:marRight w:val="0"/>
      <w:marTop w:val="180"/>
      <w:marBottom w:val="0"/>
      <w:divBdr>
        <w:top w:val="none" w:sz="0" w:space="0" w:color="auto"/>
        <w:left w:val="none" w:sz="0" w:space="0" w:color="auto"/>
        <w:bottom w:val="none" w:sz="0" w:space="0" w:color="auto"/>
        <w:right w:val="none" w:sz="0" w:space="0" w:color="auto"/>
      </w:divBdr>
    </w:div>
    <w:div w:id="1368026558">
      <w:marLeft w:val="0"/>
      <w:marRight w:val="0"/>
      <w:marTop w:val="180"/>
      <w:marBottom w:val="0"/>
      <w:divBdr>
        <w:top w:val="none" w:sz="0" w:space="0" w:color="auto"/>
        <w:left w:val="none" w:sz="0" w:space="0" w:color="auto"/>
        <w:bottom w:val="none" w:sz="0" w:space="0" w:color="auto"/>
        <w:right w:val="none" w:sz="0" w:space="0" w:color="auto"/>
      </w:divBdr>
    </w:div>
    <w:div w:id="1372028625">
      <w:marLeft w:val="0"/>
      <w:marRight w:val="0"/>
      <w:marTop w:val="0"/>
      <w:marBottom w:val="200"/>
      <w:divBdr>
        <w:top w:val="none" w:sz="0" w:space="0" w:color="auto"/>
        <w:left w:val="none" w:sz="0" w:space="0" w:color="auto"/>
        <w:bottom w:val="none" w:sz="0" w:space="0" w:color="auto"/>
        <w:right w:val="none" w:sz="0" w:space="0" w:color="auto"/>
      </w:divBdr>
    </w:div>
    <w:div w:id="1375425076">
      <w:marLeft w:val="0"/>
      <w:marRight w:val="0"/>
      <w:marTop w:val="0"/>
      <w:marBottom w:val="0"/>
      <w:divBdr>
        <w:top w:val="none" w:sz="0" w:space="0" w:color="auto"/>
        <w:left w:val="none" w:sz="0" w:space="0" w:color="auto"/>
        <w:bottom w:val="none" w:sz="0" w:space="0" w:color="auto"/>
        <w:right w:val="none" w:sz="0" w:space="0" w:color="auto"/>
      </w:divBdr>
      <w:divsChild>
        <w:div w:id="488135819">
          <w:marLeft w:val="0"/>
          <w:marRight w:val="0"/>
          <w:marTop w:val="0"/>
          <w:marBottom w:val="0"/>
          <w:divBdr>
            <w:top w:val="none" w:sz="0" w:space="0" w:color="auto"/>
            <w:left w:val="none" w:sz="0" w:space="0" w:color="auto"/>
            <w:bottom w:val="none" w:sz="0" w:space="0" w:color="auto"/>
            <w:right w:val="none" w:sz="0" w:space="0" w:color="auto"/>
          </w:divBdr>
        </w:div>
      </w:divsChild>
    </w:div>
    <w:div w:id="1377126310">
      <w:marLeft w:val="0"/>
      <w:marRight w:val="0"/>
      <w:marTop w:val="180"/>
      <w:marBottom w:val="0"/>
      <w:divBdr>
        <w:top w:val="none" w:sz="0" w:space="0" w:color="auto"/>
        <w:left w:val="none" w:sz="0" w:space="0" w:color="auto"/>
        <w:bottom w:val="none" w:sz="0" w:space="0" w:color="auto"/>
        <w:right w:val="none" w:sz="0" w:space="0" w:color="auto"/>
      </w:divBdr>
    </w:div>
    <w:div w:id="1378965305">
      <w:marLeft w:val="0"/>
      <w:marRight w:val="0"/>
      <w:marTop w:val="180"/>
      <w:marBottom w:val="0"/>
      <w:divBdr>
        <w:top w:val="none" w:sz="0" w:space="0" w:color="auto"/>
        <w:left w:val="none" w:sz="0" w:space="0" w:color="auto"/>
        <w:bottom w:val="none" w:sz="0" w:space="0" w:color="auto"/>
        <w:right w:val="none" w:sz="0" w:space="0" w:color="auto"/>
      </w:divBdr>
    </w:div>
    <w:div w:id="1379089335">
      <w:marLeft w:val="0"/>
      <w:marRight w:val="0"/>
      <w:marTop w:val="180"/>
      <w:marBottom w:val="0"/>
      <w:divBdr>
        <w:top w:val="none" w:sz="0" w:space="0" w:color="auto"/>
        <w:left w:val="none" w:sz="0" w:space="0" w:color="auto"/>
        <w:bottom w:val="none" w:sz="0" w:space="0" w:color="auto"/>
        <w:right w:val="none" w:sz="0" w:space="0" w:color="auto"/>
      </w:divBdr>
    </w:div>
    <w:div w:id="1380058146">
      <w:marLeft w:val="0"/>
      <w:marRight w:val="0"/>
      <w:marTop w:val="120"/>
      <w:marBottom w:val="0"/>
      <w:divBdr>
        <w:top w:val="none" w:sz="0" w:space="0" w:color="auto"/>
        <w:left w:val="none" w:sz="0" w:space="0" w:color="auto"/>
        <w:bottom w:val="none" w:sz="0" w:space="0" w:color="auto"/>
        <w:right w:val="none" w:sz="0" w:space="0" w:color="auto"/>
      </w:divBdr>
    </w:div>
    <w:div w:id="1381439689">
      <w:marLeft w:val="0"/>
      <w:marRight w:val="0"/>
      <w:marTop w:val="0"/>
      <w:marBottom w:val="0"/>
      <w:divBdr>
        <w:top w:val="none" w:sz="0" w:space="0" w:color="auto"/>
        <w:left w:val="none" w:sz="0" w:space="0" w:color="auto"/>
        <w:bottom w:val="none" w:sz="0" w:space="0" w:color="auto"/>
        <w:right w:val="none" w:sz="0" w:space="0" w:color="auto"/>
      </w:divBdr>
      <w:divsChild>
        <w:div w:id="1681735923">
          <w:marLeft w:val="0"/>
          <w:marRight w:val="0"/>
          <w:marTop w:val="0"/>
          <w:marBottom w:val="0"/>
          <w:divBdr>
            <w:top w:val="none" w:sz="0" w:space="0" w:color="auto"/>
            <w:left w:val="none" w:sz="0" w:space="0" w:color="auto"/>
            <w:bottom w:val="none" w:sz="0" w:space="0" w:color="auto"/>
            <w:right w:val="none" w:sz="0" w:space="0" w:color="auto"/>
          </w:divBdr>
        </w:div>
      </w:divsChild>
    </w:div>
    <w:div w:id="1381588211">
      <w:marLeft w:val="0"/>
      <w:marRight w:val="0"/>
      <w:marTop w:val="0"/>
      <w:marBottom w:val="0"/>
      <w:divBdr>
        <w:top w:val="none" w:sz="0" w:space="0" w:color="auto"/>
        <w:left w:val="none" w:sz="0" w:space="0" w:color="auto"/>
        <w:bottom w:val="none" w:sz="0" w:space="0" w:color="auto"/>
        <w:right w:val="none" w:sz="0" w:space="0" w:color="auto"/>
      </w:divBdr>
      <w:divsChild>
        <w:div w:id="1440831977">
          <w:marLeft w:val="0"/>
          <w:marRight w:val="0"/>
          <w:marTop w:val="180"/>
          <w:marBottom w:val="0"/>
          <w:divBdr>
            <w:top w:val="none" w:sz="0" w:space="0" w:color="auto"/>
            <w:left w:val="none" w:sz="0" w:space="0" w:color="auto"/>
            <w:bottom w:val="none" w:sz="0" w:space="0" w:color="auto"/>
            <w:right w:val="none" w:sz="0" w:space="0" w:color="auto"/>
          </w:divBdr>
        </w:div>
      </w:divsChild>
    </w:div>
    <w:div w:id="1383096343">
      <w:marLeft w:val="0"/>
      <w:marRight w:val="0"/>
      <w:marTop w:val="180"/>
      <w:marBottom w:val="0"/>
      <w:divBdr>
        <w:top w:val="none" w:sz="0" w:space="0" w:color="auto"/>
        <w:left w:val="none" w:sz="0" w:space="0" w:color="auto"/>
        <w:bottom w:val="none" w:sz="0" w:space="0" w:color="auto"/>
        <w:right w:val="none" w:sz="0" w:space="0" w:color="auto"/>
      </w:divBdr>
    </w:div>
    <w:div w:id="1383212057">
      <w:marLeft w:val="0"/>
      <w:marRight w:val="0"/>
      <w:marTop w:val="180"/>
      <w:marBottom w:val="120"/>
      <w:divBdr>
        <w:top w:val="none" w:sz="0" w:space="0" w:color="auto"/>
        <w:left w:val="none" w:sz="0" w:space="0" w:color="auto"/>
        <w:bottom w:val="none" w:sz="0" w:space="0" w:color="auto"/>
        <w:right w:val="none" w:sz="0" w:space="0" w:color="auto"/>
      </w:divBdr>
      <w:divsChild>
        <w:div w:id="525680902">
          <w:marLeft w:val="0"/>
          <w:marRight w:val="0"/>
          <w:marTop w:val="0"/>
          <w:marBottom w:val="0"/>
          <w:divBdr>
            <w:top w:val="none" w:sz="0" w:space="0" w:color="auto"/>
            <w:left w:val="none" w:sz="0" w:space="0" w:color="auto"/>
            <w:bottom w:val="none" w:sz="0" w:space="0" w:color="auto"/>
            <w:right w:val="none" w:sz="0" w:space="0" w:color="auto"/>
          </w:divBdr>
        </w:div>
        <w:div w:id="673655694">
          <w:marLeft w:val="0"/>
          <w:marRight w:val="0"/>
          <w:marTop w:val="0"/>
          <w:marBottom w:val="0"/>
          <w:divBdr>
            <w:top w:val="none" w:sz="0" w:space="0" w:color="auto"/>
            <w:left w:val="none" w:sz="0" w:space="0" w:color="auto"/>
            <w:bottom w:val="none" w:sz="0" w:space="0" w:color="auto"/>
            <w:right w:val="none" w:sz="0" w:space="0" w:color="auto"/>
          </w:divBdr>
        </w:div>
        <w:div w:id="50008657">
          <w:marLeft w:val="0"/>
          <w:marRight w:val="0"/>
          <w:marTop w:val="0"/>
          <w:marBottom w:val="0"/>
          <w:divBdr>
            <w:top w:val="none" w:sz="0" w:space="0" w:color="auto"/>
            <w:left w:val="none" w:sz="0" w:space="0" w:color="auto"/>
            <w:bottom w:val="none" w:sz="0" w:space="0" w:color="auto"/>
            <w:right w:val="none" w:sz="0" w:space="0" w:color="auto"/>
          </w:divBdr>
        </w:div>
        <w:div w:id="1088575986">
          <w:marLeft w:val="0"/>
          <w:marRight w:val="0"/>
          <w:marTop w:val="0"/>
          <w:marBottom w:val="0"/>
          <w:divBdr>
            <w:top w:val="none" w:sz="0" w:space="0" w:color="auto"/>
            <w:left w:val="none" w:sz="0" w:space="0" w:color="auto"/>
            <w:bottom w:val="none" w:sz="0" w:space="0" w:color="auto"/>
            <w:right w:val="none" w:sz="0" w:space="0" w:color="auto"/>
          </w:divBdr>
        </w:div>
        <w:div w:id="1314027293">
          <w:marLeft w:val="0"/>
          <w:marRight w:val="0"/>
          <w:marTop w:val="0"/>
          <w:marBottom w:val="0"/>
          <w:divBdr>
            <w:top w:val="none" w:sz="0" w:space="0" w:color="auto"/>
            <w:left w:val="none" w:sz="0" w:space="0" w:color="auto"/>
            <w:bottom w:val="none" w:sz="0" w:space="0" w:color="auto"/>
            <w:right w:val="none" w:sz="0" w:space="0" w:color="auto"/>
          </w:divBdr>
        </w:div>
        <w:div w:id="1174568720">
          <w:marLeft w:val="0"/>
          <w:marRight w:val="0"/>
          <w:marTop w:val="0"/>
          <w:marBottom w:val="0"/>
          <w:divBdr>
            <w:top w:val="none" w:sz="0" w:space="0" w:color="auto"/>
            <w:left w:val="none" w:sz="0" w:space="0" w:color="auto"/>
            <w:bottom w:val="none" w:sz="0" w:space="0" w:color="auto"/>
            <w:right w:val="none" w:sz="0" w:space="0" w:color="auto"/>
          </w:divBdr>
        </w:div>
        <w:div w:id="883371646">
          <w:marLeft w:val="0"/>
          <w:marRight w:val="0"/>
          <w:marTop w:val="0"/>
          <w:marBottom w:val="0"/>
          <w:divBdr>
            <w:top w:val="none" w:sz="0" w:space="0" w:color="auto"/>
            <w:left w:val="none" w:sz="0" w:space="0" w:color="auto"/>
            <w:bottom w:val="none" w:sz="0" w:space="0" w:color="auto"/>
            <w:right w:val="none" w:sz="0" w:space="0" w:color="auto"/>
          </w:divBdr>
        </w:div>
        <w:div w:id="1062174568">
          <w:marLeft w:val="0"/>
          <w:marRight w:val="0"/>
          <w:marTop w:val="0"/>
          <w:marBottom w:val="0"/>
          <w:divBdr>
            <w:top w:val="none" w:sz="0" w:space="0" w:color="auto"/>
            <w:left w:val="none" w:sz="0" w:space="0" w:color="auto"/>
            <w:bottom w:val="none" w:sz="0" w:space="0" w:color="auto"/>
            <w:right w:val="none" w:sz="0" w:space="0" w:color="auto"/>
          </w:divBdr>
        </w:div>
      </w:divsChild>
    </w:div>
    <w:div w:id="1383866430">
      <w:marLeft w:val="0"/>
      <w:marRight w:val="0"/>
      <w:marTop w:val="0"/>
      <w:marBottom w:val="0"/>
      <w:divBdr>
        <w:top w:val="none" w:sz="0" w:space="0" w:color="auto"/>
        <w:left w:val="none" w:sz="0" w:space="0" w:color="auto"/>
        <w:bottom w:val="none" w:sz="0" w:space="0" w:color="auto"/>
        <w:right w:val="none" w:sz="0" w:space="0" w:color="auto"/>
      </w:divBdr>
      <w:divsChild>
        <w:div w:id="372195605">
          <w:marLeft w:val="0"/>
          <w:marRight w:val="0"/>
          <w:marTop w:val="180"/>
          <w:marBottom w:val="0"/>
          <w:divBdr>
            <w:top w:val="none" w:sz="0" w:space="0" w:color="auto"/>
            <w:left w:val="none" w:sz="0" w:space="0" w:color="auto"/>
            <w:bottom w:val="none" w:sz="0" w:space="0" w:color="auto"/>
            <w:right w:val="none" w:sz="0" w:space="0" w:color="auto"/>
          </w:divBdr>
        </w:div>
      </w:divsChild>
    </w:div>
    <w:div w:id="1385831978">
      <w:marLeft w:val="0"/>
      <w:marRight w:val="0"/>
      <w:marTop w:val="0"/>
      <w:marBottom w:val="0"/>
      <w:divBdr>
        <w:top w:val="none" w:sz="0" w:space="0" w:color="auto"/>
        <w:left w:val="none" w:sz="0" w:space="0" w:color="auto"/>
        <w:bottom w:val="none" w:sz="0" w:space="0" w:color="auto"/>
        <w:right w:val="none" w:sz="0" w:space="0" w:color="auto"/>
      </w:divBdr>
      <w:divsChild>
        <w:div w:id="327054683">
          <w:marLeft w:val="0"/>
          <w:marRight w:val="0"/>
          <w:marTop w:val="0"/>
          <w:marBottom w:val="0"/>
          <w:divBdr>
            <w:top w:val="none" w:sz="0" w:space="0" w:color="auto"/>
            <w:left w:val="none" w:sz="0" w:space="0" w:color="auto"/>
            <w:bottom w:val="none" w:sz="0" w:space="0" w:color="auto"/>
            <w:right w:val="none" w:sz="0" w:space="0" w:color="auto"/>
          </w:divBdr>
        </w:div>
      </w:divsChild>
    </w:div>
    <w:div w:id="1388795126">
      <w:marLeft w:val="0"/>
      <w:marRight w:val="0"/>
      <w:marTop w:val="180"/>
      <w:marBottom w:val="0"/>
      <w:divBdr>
        <w:top w:val="none" w:sz="0" w:space="0" w:color="auto"/>
        <w:left w:val="none" w:sz="0" w:space="0" w:color="auto"/>
        <w:bottom w:val="none" w:sz="0" w:space="0" w:color="auto"/>
        <w:right w:val="none" w:sz="0" w:space="0" w:color="auto"/>
      </w:divBdr>
    </w:div>
    <w:div w:id="1389376206">
      <w:marLeft w:val="0"/>
      <w:marRight w:val="0"/>
      <w:marTop w:val="0"/>
      <w:marBottom w:val="0"/>
      <w:divBdr>
        <w:top w:val="none" w:sz="0" w:space="0" w:color="auto"/>
        <w:left w:val="none" w:sz="0" w:space="0" w:color="auto"/>
        <w:bottom w:val="none" w:sz="0" w:space="0" w:color="auto"/>
        <w:right w:val="none" w:sz="0" w:space="0" w:color="auto"/>
      </w:divBdr>
      <w:divsChild>
        <w:div w:id="1657801197">
          <w:marLeft w:val="0"/>
          <w:marRight w:val="0"/>
          <w:marTop w:val="0"/>
          <w:marBottom w:val="0"/>
          <w:divBdr>
            <w:top w:val="none" w:sz="0" w:space="0" w:color="auto"/>
            <w:left w:val="none" w:sz="0" w:space="0" w:color="auto"/>
            <w:bottom w:val="none" w:sz="0" w:space="0" w:color="auto"/>
            <w:right w:val="none" w:sz="0" w:space="0" w:color="auto"/>
          </w:divBdr>
        </w:div>
      </w:divsChild>
    </w:div>
    <w:div w:id="1389645318">
      <w:marLeft w:val="0"/>
      <w:marRight w:val="0"/>
      <w:marTop w:val="0"/>
      <w:marBottom w:val="0"/>
      <w:divBdr>
        <w:top w:val="none" w:sz="0" w:space="0" w:color="auto"/>
        <w:left w:val="none" w:sz="0" w:space="0" w:color="auto"/>
        <w:bottom w:val="none" w:sz="0" w:space="0" w:color="auto"/>
        <w:right w:val="none" w:sz="0" w:space="0" w:color="auto"/>
      </w:divBdr>
      <w:divsChild>
        <w:div w:id="619726258">
          <w:marLeft w:val="0"/>
          <w:marRight w:val="0"/>
          <w:marTop w:val="0"/>
          <w:marBottom w:val="0"/>
          <w:divBdr>
            <w:top w:val="none" w:sz="0" w:space="0" w:color="auto"/>
            <w:left w:val="none" w:sz="0" w:space="0" w:color="auto"/>
            <w:bottom w:val="none" w:sz="0" w:space="0" w:color="auto"/>
            <w:right w:val="none" w:sz="0" w:space="0" w:color="auto"/>
          </w:divBdr>
          <w:divsChild>
            <w:div w:id="636884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89718680">
      <w:marLeft w:val="0"/>
      <w:marRight w:val="0"/>
      <w:marTop w:val="180"/>
      <w:marBottom w:val="0"/>
      <w:divBdr>
        <w:top w:val="none" w:sz="0" w:space="0" w:color="auto"/>
        <w:left w:val="none" w:sz="0" w:space="0" w:color="auto"/>
        <w:bottom w:val="none" w:sz="0" w:space="0" w:color="auto"/>
        <w:right w:val="none" w:sz="0" w:space="0" w:color="auto"/>
      </w:divBdr>
    </w:div>
    <w:div w:id="1391418554">
      <w:marLeft w:val="0"/>
      <w:marRight w:val="0"/>
      <w:marTop w:val="0"/>
      <w:marBottom w:val="200"/>
      <w:divBdr>
        <w:top w:val="none" w:sz="0" w:space="0" w:color="auto"/>
        <w:left w:val="none" w:sz="0" w:space="0" w:color="auto"/>
        <w:bottom w:val="none" w:sz="0" w:space="0" w:color="auto"/>
        <w:right w:val="none" w:sz="0" w:space="0" w:color="auto"/>
      </w:divBdr>
    </w:div>
    <w:div w:id="1399598911">
      <w:marLeft w:val="0"/>
      <w:marRight w:val="0"/>
      <w:marTop w:val="0"/>
      <w:marBottom w:val="0"/>
      <w:divBdr>
        <w:top w:val="none" w:sz="0" w:space="0" w:color="auto"/>
        <w:left w:val="none" w:sz="0" w:space="0" w:color="auto"/>
        <w:bottom w:val="none" w:sz="0" w:space="0" w:color="auto"/>
        <w:right w:val="none" w:sz="0" w:space="0" w:color="auto"/>
      </w:divBdr>
      <w:divsChild>
        <w:div w:id="1284848693">
          <w:marLeft w:val="0"/>
          <w:marRight w:val="0"/>
          <w:marTop w:val="180"/>
          <w:marBottom w:val="0"/>
          <w:divBdr>
            <w:top w:val="none" w:sz="0" w:space="0" w:color="auto"/>
            <w:left w:val="none" w:sz="0" w:space="0" w:color="auto"/>
            <w:bottom w:val="none" w:sz="0" w:space="0" w:color="auto"/>
            <w:right w:val="none" w:sz="0" w:space="0" w:color="auto"/>
          </w:divBdr>
        </w:div>
      </w:divsChild>
    </w:div>
    <w:div w:id="1405371870">
      <w:marLeft w:val="0"/>
      <w:marRight w:val="0"/>
      <w:marTop w:val="180"/>
      <w:marBottom w:val="0"/>
      <w:divBdr>
        <w:top w:val="none" w:sz="0" w:space="0" w:color="auto"/>
        <w:left w:val="none" w:sz="0" w:space="0" w:color="auto"/>
        <w:bottom w:val="none" w:sz="0" w:space="0" w:color="auto"/>
        <w:right w:val="none" w:sz="0" w:space="0" w:color="auto"/>
      </w:divBdr>
    </w:div>
    <w:div w:id="1406684225">
      <w:marLeft w:val="0"/>
      <w:marRight w:val="0"/>
      <w:marTop w:val="240"/>
      <w:marBottom w:val="0"/>
      <w:divBdr>
        <w:top w:val="none" w:sz="0" w:space="0" w:color="auto"/>
        <w:left w:val="none" w:sz="0" w:space="0" w:color="auto"/>
        <w:bottom w:val="none" w:sz="0" w:space="0" w:color="auto"/>
        <w:right w:val="none" w:sz="0" w:space="0" w:color="auto"/>
      </w:divBdr>
    </w:div>
    <w:div w:id="1407148483">
      <w:marLeft w:val="0"/>
      <w:marRight w:val="0"/>
      <w:marTop w:val="0"/>
      <w:marBottom w:val="0"/>
      <w:divBdr>
        <w:top w:val="none" w:sz="0" w:space="0" w:color="auto"/>
        <w:left w:val="none" w:sz="0" w:space="0" w:color="auto"/>
        <w:bottom w:val="none" w:sz="0" w:space="0" w:color="auto"/>
        <w:right w:val="none" w:sz="0" w:space="0" w:color="auto"/>
      </w:divBdr>
      <w:divsChild>
        <w:div w:id="92408875">
          <w:marLeft w:val="0"/>
          <w:marRight w:val="0"/>
          <w:marTop w:val="180"/>
          <w:marBottom w:val="0"/>
          <w:divBdr>
            <w:top w:val="none" w:sz="0" w:space="0" w:color="auto"/>
            <w:left w:val="none" w:sz="0" w:space="0" w:color="auto"/>
            <w:bottom w:val="none" w:sz="0" w:space="0" w:color="auto"/>
            <w:right w:val="none" w:sz="0" w:space="0" w:color="auto"/>
          </w:divBdr>
        </w:div>
      </w:divsChild>
    </w:div>
    <w:div w:id="1407919838">
      <w:marLeft w:val="0"/>
      <w:marRight w:val="0"/>
      <w:marTop w:val="180"/>
      <w:marBottom w:val="180"/>
      <w:divBdr>
        <w:top w:val="none" w:sz="0" w:space="0" w:color="auto"/>
        <w:left w:val="none" w:sz="0" w:space="0" w:color="auto"/>
        <w:bottom w:val="none" w:sz="0" w:space="0" w:color="auto"/>
        <w:right w:val="none" w:sz="0" w:space="0" w:color="auto"/>
      </w:divBdr>
    </w:div>
    <w:div w:id="1408066909">
      <w:marLeft w:val="0"/>
      <w:marRight w:val="0"/>
      <w:marTop w:val="180"/>
      <w:marBottom w:val="0"/>
      <w:divBdr>
        <w:top w:val="none" w:sz="0" w:space="0" w:color="auto"/>
        <w:left w:val="none" w:sz="0" w:space="0" w:color="auto"/>
        <w:bottom w:val="none" w:sz="0" w:space="0" w:color="auto"/>
        <w:right w:val="none" w:sz="0" w:space="0" w:color="auto"/>
      </w:divBdr>
    </w:div>
    <w:div w:id="1417822372">
      <w:marLeft w:val="0"/>
      <w:marRight w:val="0"/>
      <w:marTop w:val="180"/>
      <w:marBottom w:val="0"/>
      <w:divBdr>
        <w:top w:val="none" w:sz="0" w:space="0" w:color="auto"/>
        <w:left w:val="none" w:sz="0" w:space="0" w:color="auto"/>
        <w:bottom w:val="none" w:sz="0" w:space="0" w:color="auto"/>
        <w:right w:val="none" w:sz="0" w:space="0" w:color="auto"/>
      </w:divBdr>
    </w:div>
    <w:div w:id="1420059482">
      <w:marLeft w:val="0"/>
      <w:marRight w:val="0"/>
      <w:marTop w:val="180"/>
      <w:marBottom w:val="0"/>
      <w:divBdr>
        <w:top w:val="none" w:sz="0" w:space="0" w:color="auto"/>
        <w:left w:val="none" w:sz="0" w:space="0" w:color="auto"/>
        <w:bottom w:val="none" w:sz="0" w:space="0" w:color="auto"/>
        <w:right w:val="none" w:sz="0" w:space="0" w:color="auto"/>
      </w:divBdr>
    </w:div>
    <w:div w:id="1420253650">
      <w:marLeft w:val="0"/>
      <w:marRight w:val="0"/>
      <w:marTop w:val="180"/>
      <w:marBottom w:val="0"/>
      <w:divBdr>
        <w:top w:val="none" w:sz="0" w:space="0" w:color="auto"/>
        <w:left w:val="none" w:sz="0" w:space="0" w:color="auto"/>
        <w:bottom w:val="none" w:sz="0" w:space="0" w:color="auto"/>
        <w:right w:val="none" w:sz="0" w:space="0" w:color="auto"/>
      </w:divBdr>
    </w:div>
    <w:div w:id="1420559666">
      <w:marLeft w:val="0"/>
      <w:marRight w:val="0"/>
      <w:marTop w:val="0"/>
      <w:marBottom w:val="200"/>
      <w:divBdr>
        <w:top w:val="none" w:sz="0" w:space="0" w:color="auto"/>
        <w:left w:val="none" w:sz="0" w:space="0" w:color="auto"/>
        <w:bottom w:val="none" w:sz="0" w:space="0" w:color="auto"/>
        <w:right w:val="none" w:sz="0" w:space="0" w:color="auto"/>
      </w:divBdr>
    </w:div>
    <w:div w:id="1421752184">
      <w:marLeft w:val="0"/>
      <w:marRight w:val="0"/>
      <w:marTop w:val="180"/>
      <w:marBottom w:val="0"/>
      <w:divBdr>
        <w:top w:val="none" w:sz="0" w:space="0" w:color="auto"/>
        <w:left w:val="none" w:sz="0" w:space="0" w:color="auto"/>
        <w:bottom w:val="none" w:sz="0" w:space="0" w:color="auto"/>
        <w:right w:val="none" w:sz="0" w:space="0" w:color="auto"/>
      </w:divBdr>
    </w:div>
    <w:div w:id="1423185437">
      <w:marLeft w:val="0"/>
      <w:marRight w:val="0"/>
      <w:marTop w:val="180"/>
      <w:marBottom w:val="0"/>
      <w:divBdr>
        <w:top w:val="none" w:sz="0" w:space="0" w:color="auto"/>
        <w:left w:val="none" w:sz="0" w:space="0" w:color="auto"/>
        <w:bottom w:val="none" w:sz="0" w:space="0" w:color="auto"/>
        <w:right w:val="none" w:sz="0" w:space="0" w:color="auto"/>
      </w:divBdr>
    </w:div>
    <w:div w:id="1427193677">
      <w:marLeft w:val="0"/>
      <w:marRight w:val="0"/>
      <w:marTop w:val="180"/>
      <w:marBottom w:val="0"/>
      <w:divBdr>
        <w:top w:val="none" w:sz="0" w:space="0" w:color="auto"/>
        <w:left w:val="none" w:sz="0" w:space="0" w:color="auto"/>
        <w:bottom w:val="none" w:sz="0" w:space="0" w:color="auto"/>
        <w:right w:val="none" w:sz="0" w:space="0" w:color="auto"/>
      </w:divBdr>
    </w:div>
    <w:div w:id="1427312703">
      <w:marLeft w:val="0"/>
      <w:marRight w:val="0"/>
      <w:marTop w:val="180"/>
      <w:marBottom w:val="0"/>
      <w:divBdr>
        <w:top w:val="none" w:sz="0" w:space="0" w:color="auto"/>
        <w:left w:val="none" w:sz="0" w:space="0" w:color="auto"/>
        <w:bottom w:val="none" w:sz="0" w:space="0" w:color="auto"/>
        <w:right w:val="none" w:sz="0" w:space="0" w:color="auto"/>
      </w:divBdr>
    </w:div>
    <w:div w:id="1427386679">
      <w:marLeft w:val="0"/>
      <w:marRight w:val="0"/>
      <w:marTop w:val="180"/>
      <w:marBottom w:val="120"/>
      <w:divBdr>
        <w:top w:val="none" w:sz="0" w:space="0" w:color="auto"/>
        <w:left w:val="none" w:sz="0" w:space="0" w:color="auto"/>
        <w:bottom w:val="none" w:sz="0" w:space="0" w:color="auto"/>
        <w:right w:val="none" w:sz="0" w:space="0" w:color="auto"/>
      </w:divBdr>
      <w:divsChild>
        <w:div w:id="2135519698">
          <w:marLeft w:val="0"/>
          <w:marRight w:val="0"/>
          <w:marTop w:val="0"/>
          <w:marBottom w:val="0"/>
          <w:divBdr>
            <w:top w:val="none" w:sz="0" w:space="0" w:color="auto"/>
            <w:left w:val="none" w:sz="0" w:space="0" w:color="auto"/>
            <w:bottom w:val="none" w:sz="0" w:space="0" w:color="auto"/>
            <w:right w:val="none" w:sz="0" w:space="0" w:color="auto"/>
          </w:divBdr>
        </w:div>
        <w:div w:id="1006519759">
          <w:marLeft w:val="0"/>
          <w:marRight w:val="0"/>
          <w:marTop w:val="0"/>
          <w:marBottom w:val="0"/>
          <w:divBdr>
            <w:top w:val="none" w:sz="0" w:space="0" w:color="auto"/>
            <w:left w:val="none" w:sz="0" w:space="0" w:color="auto"/>
            <w:bottom w:val="none" w:sz="0" w:space="0" w:color="auto"/>
            <w:right w:val="none" w:sz="0" w:space="0" w:color="auto"/>
          </w:divBdr>
        </w:div>
        <w:div w:id="1042437709">
          <w:marLeft w:val="0"/>
          <w:marRight w:val="0"/>
          <w:marTop w:val="0"/>
          <w:marBottom w:val="0"/>
          <w:divBdr>
            <w:top w:val="none" w:sz="0" w:space="0" w:color="auto"/>
            <w:left w:val="none" w:sz="0" w:space="0" w:color="auto"/>
            <w:bottom w:val="none" w:sz="0" w:space="0" w:color="auto"/>
            <w:right w:val="none" w:sz="0" w:space="0" w:color="auto"/>
          </w:divBdr>
        </w:div>
      </w:divsChild>
    </w:div>
    <w:div w:id="1428382550">
      <w:marLeft w:val="0"/>
      <w:marRight w:val="0"/>
      <w:marTop w:val="180"/>
      <w:marBottom w:val="12"/>
      <w:divBdr>
        <w:top w:val="none" w:sz="0" w:space="0" w:color="auto"/>
        <w:left w:val="none" w:sz="0" w:space="0" w:color="auto"/>
        <w:bottom w:val="none" w:sz="0" w:space="0" w:color="auto"/>
        <w:right w:val="none" w:sz="0" w:space="0" w:color="auto"/>
      </w:divBdr>
    </w:div>
    <w:div w:id="1429499149">
      <w:marLeft w:val="0"/>
      <w:marRight w:val="0"/>
      <w:marTop w:val="180"/>
      <w:marBottom w:val="0"/>
      <w:divBdr>
        <w:top w:val="none" w:sz="0" w:space="0" w:color="auto"/>
        <w:left w:val="none" w:sz="0" w:space="0" w:color="auto"/>
        <w:bottom w:val="none" w:sz="0" w:space="0" w:color="auto"/>
        <w:right w:val="none" w:sz="0" w:space="0" w:color="auto"/>
      </w:divBdr>
    </w:div>
    <w:div w:id="1430661566">
      <w:marLeft w:val="0"/>
      <w:marRight w:val="0"/>
      <w:marTop w:val="180"/>
      <w:marBottom w:val="0"/>
      <w:divBdr>
        <w:top w:val="none" w:sz="0" w:space="0" w:color="auto"/>
        <w:left w:val="none" w:sz="0" w:space="0" w:color="auto"/>
        <w:bottom w:val="none" w:sz="0" w:space="0" w:color="auto"/>
        <w:right w:val="none" w:sz="0" w:space="0" w:color="auto"/>
      </w:divBdr>
    </w:div>
    <w:div w:id="1433478108">
      <w:marLeft w:val="0"/>
      <w:marRight w:val="0"/>
      <w:marTop w:val="0"/>
      <w:marBottom w:val="0"/>
      <w:divBdr>
        <w:top w:val="none" w:sz="0" w:space="0" w:color="auto"/>
        <w:left w:val="none" w:sz="0" w:space="0" w:color="auto"/>
        <w:bottom w:val="none" w:sz="0" w:space="0" w:color="auto"/>
        <w:right w:val="none" w:sz="0" w:space="0" w:color="auto"/>
      </w:divBdr>
      <w:divsChild>
        <w:div w:id="1186871239">
          <w:marLeft w:val="0"/>
          <w:marRight w:val="0"/>
          <w:marTop w:val="0"/>
          <w:marBottom w:val="0"/>
          <w:divBdr>
            <w:top w:val="none" w:sz="0" w:space="0" w:color="auto"/>
            <w:left w:val="none" w:sz="0" w:space="0" w:color="auto"/>
            <w:bottom w:val="none" w:sz="0" w:space="0" w:color="auto"/>
            <w:right w:val="none" w:sz="0" w:space="0" w:color="auto"/>
          </w:divBdr>
        </w:div>
      </w:divsChild>
    </w:div>
    <w:div w:id="1436632475">
      <w:marLeft w:val="0"/>
      <w:marRight w:val="0"/>
      <w:marTop w:val="180"/>
      <w:marBottom w:val="0"/>
      <w:divBdr>
        <w:top w:val="none" w:sz="0" w:space="0" w:color="auto"/>
        <w:left w:val="none" w:sz="0" w:space="0" w:color="auto"/>
        <w:bottom w:val="none" w:sz="0" w:space="0" w:color="auto"/>
        <w:right w:val="none" w:sz="0" w:space="0" w:color="auto"/>
      </w:divBdr>
    </w:div>
    <w:div w:id="1440486984">
      <w:marLeft w:val="0"/>
      <w:marRight w:val="0"/>
      <w:marTop w:val="180"/>
      <w:marBottom w:val="0"/>
      <w:divBdr>
        <w:top w:val="none" w:sz="0" w:space="0" w:color="auto"/>
        <w:left w:val="none" w:sz="0" w:space="0" w:color="auto"/>
        <w:bottom w:val="none" w:sz="0" w:space="0" w:color="auto"/>
        <w:right w:val="none" w:sz="0" w:space="0" w:color="auto"/>
      </w:divBdr>
    </w:div>
    <w:div w:id="1442384854">
      <w:marLeft w:val="0"/>
      <w:marRight w:val="0"/>
      <w:marTop w:val="180"/>
      <w:marBottom w:val="0"/>
      <w:divBdr>
        <w:top w:val="none" w:sz="0" w:space="0" w:color="auto"/>
        <w:left w:val="none" w:sz="0" w:space="0" w:color="auto"/>
        <w:bottom w:val="none" w:sz="0" w:space="0" w:color="auto"/>
        <w:right w:val="none" w:sz="0" w:space="0" w:color="auto"/>
      </w:divBdr>
    </w:div>
    <w:div w:id="1444033406">
      <w:marLeft w:val="0"/>
      <w:marRight w:val="0"/>
      <w:marTop w:val="60"/>
      <w:marBottom w:val="0"/>
      <w:divBdr>
        <w:top w:val="none" w:sz="0" w:space="0" w:color="auto"/>
        <w:left w:val="none" w:sz="0" w:space="0" w:color="auto"/>
        <w:bottom w:val="none" w:sz="0" w:space="0" w:color="auto"/>
        <w:right w:val="none" w:sz="0" w:space="0" w:color="auto"/>
      </w:divBdr>
    </w:div>
    <w:div w:id="1445881352">
      <w:marLeft w:val="0"/>
      <w:marRight w:val="0"/>
      <w:marTop w:val="180"/>
      <w:marBottom w:val="0"/>
      <w:divBdr>
        <w:top w:val="none" w:sz="0" w:space="0" w:color="auto"/>
        <w:left w:val="none" w:sz="0" w:space="0" w:color="auto"/>
        <w:bottom w:val="none" w:sz="0" w:space="0" w:color="auto"/>
        <w:right w:val="none" w:sz="0" w:space="0" w:color="auto"/>
      </w:divBdr>
    </w:div>
    <w:div w:id="1448813741">
      <w:marLeft w:val="0"/>
      <w:marRight w:val="0"/>
      <w:marTop w:val="0"/>
      <w:marBottom w:val="0"/>
      <w:divBdr>
        <w:top w:val="none" w:sz="0" w:space="0" w:color="auto"/>
        <w:left w:val="none" w:sz="0" w:space="0" w:color="auto"/>
        <w:bottom w:val="none" w:sz="0" w:space="0" w:color="auto"/>
        <w:right w:val="none" w:sz="0" w:space="0" w:color="auto"/>
      </w:divBdr>
      <w:divsChild>
        <w:div w:id="790366304">
          <w:marLeft w:val="0"/>
          <w:marRight w:val="0"/>
          <w:marTop w:val="180"/>
          <w:marBottom w:val="0"/>
          <w:divBdr>
            <w:top w:val="none" w:sz="0" w:space="0" w:color="auto"/>
            <w:left w:val="none" w:sz="0" w:space="0" w:color="auto"/>
            <w:bottom w:val="none" w:sz="0" w:space="0" w:color="auto"/>
            <w:right w:val="none" w:sz="0" w:space="0" w:color="auto"/>
          </w:divBdr>
        </w:div>
      </w:divsChild>
    </w:div>
    <w:div w:id="1450006039">
      <w:marLeft w:val="0"/>
      <w:marRight w:val="0"/>
      <w:marTop w:val="180"/>
      <w:marBottom w:val="0"/>
      <w:divBdr>
        <w:top w:val="none" w:sz="0" w:space="0" w:color="auto"/>
        <w:left w:val="none" w:sz="0" w:space="0" w:color="auto"/>
        <w:bottom w:val="none" w:sz="0" w:space="0" w:color="auto"/>
        <w:right w:val="none" w:sz="0" w:space="0" w:color="auto"/>
      </w:divBdr>
    </w:div>
    <w:div w:id="1450511985">
      <w:marLeft w:val="0"/>
      <w:marRight w:val="0"/>
      <w:marTop w:val="0"/>
      <w:marBottom w:val="0"/>
      <w:divBdr>
        <w:top w:val="none" w:sz="0" w:space="0" w:color="auto"/>
        <w:left w:val="none" w:sz="0" w:space="0" w:color="auto"/>
        <w:bottom w:val="none" w:sz="0" w:space="0" w:color="auto"/>
        <w:right w:val="none" w:sz="0" w:space="0" w:color="auto"/>
      </w:divBdr>
      <w:divsChild>
        <w:div w:id="1984388842">
          <w:marLeft w:val="0"/>
          <w:marRight w:val="0"/>
          <w:marTop w:val="0"/>
          <w:marBottom w:val="0"/>
          <w:divBdr>
            <w:top w:val="none" w:sz="0" w:space="0" w:color="auto"/>
            <w:left w:val="none" w:sz="0" w:space="0" w:color="auto"/>
            <w:bottom w:val="none" w:sz="0" w:space="0" w:color="auto"/>
            <w:right w:val="none" w:sz="0" w:space="0" w:color="auto"/>
          </w:divBdr>
        </w:div>
        <w:div w:id="1744063523">
          <w:marLeft w:val="0"/>
          <w:marRight w:val="0"/>
          <w:marTop w:val="0"/>
          <w:marBottom w:val="0"/>
          <w:divBdr>
            <w:top w:val="none" w:sz="0" w:space="0" w:color="auto"/>
            <w:left w:val="none" w:sz="0" w:space="0" w:color="auto"/>
            <w:bottom w:val="none" w:sz="0" w:space="0" w:color="auto"/>
            <w:right w:val="none" w:sz="0" w:space="0" w:color="auto"/>
          </w:divBdr>
        </w:div>
        <w:div w:id="1817796844">
          <w:marLeft w:val="0"/>
          <w:marRight w:val="0"/>
          <w:marTop w:val="0"/>
          <w:marBottom w:val="0"/>
          <w:divBdr>
            <w:top w:val="none" w:sz="0" w:space="0" w:color="auto"/>
            <w:left w:val="none" w:sz="0" w:space="0" w:color="auto"/>
            <w:bottom w:val="none" w:sz="0" w:space="0" w:color="auto"/>
            <w:right w:val="none" w:sz="0" w:space="0" w:color="auto"/>
          </w:divBdr>
        </w:div>
        <w:div w:id="1598102410">
          <w:marLeft w:val="0"/>
          <w:marRight w:val="0"/>
          <w:marTop w:val="0"/>
          <w:marBottom w:val="0"/>
          <w:divBdr>
            <w:top w:val="none" w:sz="0" w:space="0" w:color="auto"/>
            <w:left w:val="none" w:sz="0" w:space="0" w:color="auto"/>
            <w:bottom w:val="none" w:sz="0" w:space="0" w:color="auto"/>
            <w:right w:val="none" w:sz="0" w:space="0" w:color="auto"/>
          </w:divBdr>
        </w:div>
        <w:div w:id="78065232">
          <w:marLeft w:val="0"/>
          <w:marRight w:val="0"/>
          <w:marTop w:val="0"/>
          <w:marBottom w:val="0"/>
          <w:divBdr>
            <w:top w:val="none" w:sz="0" w:space="0" w:color="auto"/>
            <w:left w:val="none" w:sz="0" w:space="0" w:color="auto"/>
            <w:bottom w:val="none" w:sz="0" w:space="0" w:color="auto"/>
            <w:right w:val="none" w:sz="0" w:space="0" w:color="auto"/>
          </w:divBdr>
        </w:div>
        <w:div w:id="1460411906">
          <w:marLeft w:val="0"/>
          <w:marRight w:val="0"/>
          <w:marTop w:val="0"/>
          <w:marBottom w:val="0"/>
          <w:divBdr>
            <w:top w:val="none" w:sz="0" w:space="0" w:color="auto"/>
            <w:left w:val="none" w:sz="0" w:space="0" w:color="auto"/>
            <w:bottom w:val="none" w:sz="0" w:space="0" w:color="auto"/>
            <w:right w:val="none" w:sz="0" w:space="0" w:color="auto"/>
          </w:divBdr>
        </w:div>
        <w:div w:id="995887499">
          <w:marLeft w:val="0"/>
          <w:marRight w:val="0"/>
          <w:marTop w:val="0"/>
          <w:marBottom w:val="0"/>
          <w:divBdr>
            <w:top w:val="none" w:sz="0" w:space="0" w:color="auto"/>
            <w:left w:val="none" w:sz="0" w:space="0" w:color="auto"/>
            <w:bottom w:val="none" w:sz="0" w:space="0" w:color="auto"/>
            <w:right w:val="none" w:sz="0" w:space="0" w:color="auto"/>
          </w:divBdr>
        </w:div>
        <w:div w:id="558563463">
          <w:marLeft w:val="0"/>
          <w:marRight w:val="0"/>
          <w:marTop w:val="0"/>
          <w:marBottom w:val="0"/>
          <w:divBdr>
            <w:top w:val="none" w:sz="0" w:space="0" w:color="auto"/>
            <w:left w:val="none" w:sz="0" w:space="0" w:color="auto"/>
            <w:bottom w:val="none" w:sz="0" w:space="0" w:color="auto"/>
            <w:right w:val="none" w:sz="0" w:space="0" w:color="auto"/>
          </w:divBdr>
        </w:div>
        <w:div w:id="864445664">
          <w:marLeft w:val="0"/>
          <w:marRight w:val="0"/>
          <w:marTop w:val="0"/>
          <w:marBottom w:val="0"/>
          <w:divBdr>
            <w:top w:val="none" w:sz="0" w:space="0" w:color="auto"/>
            <w:left w:val="none" w:sz="0" w:space="0" w:color="auto"/>
            <w:bottom w:val="none" w:sz="0" w:space="0" w:color="auto"/>
            <w:right w:val="none" w:sz="0" w:space="0" w:color="auto"/>
          </w:divBdr>
        </w:div>
        <w:div w:id="229385289">
          <w:marLeft w:val="0"/>
          <w:marRight w:val="0"/>
          <w:marTop w:val="0"/>
          <w:marBottom w:val="0"/>
          <w:divBdr>
            <w:top w:val="none" w:sz="0" w:space="0" w:color="auto"/>
            <w:left w:val="none" w:sz="0" w:space="0" w:color="auto"/>
            <w:bottom w:val="none" w:sz="0" w:space="0" w:color="auto"/>
            <w:right w:val="none" w:sz="0" w:space="0" w:color="auto"/>
          </w:divBdr>
        </w:div>
        <w:div w:id="617643472">
          <w:marLeft w:val="0"/>
          <w:marRight w:val="0"/>
          <w:marTop w:val="0"/>
          <w:marBottom w:val="0"/>
          <w:divBdr>
            <w:top w:val="none" w:sz="0" w:space="0" w:color="auto"/>
            <w:left w:val="none" w:sz="0" w:space="0" w:color="auto"/>
            <w:bottom w:val="none" w:sz="0" w:space="0" w:color="auto"/>
            <w:right w:val="none" w:sz="0" w:space="0" w:color="auto"/>
          </w:divBdr>
        </w:div>
        <w:div w:id="1116369133">
          <w:marLeft w:val="0"/>
          <w:marRight w:val="0"/>
          <w:marTop w:val="0"/>
          <w:marBottom w:val="0"/>
          <w:divBdr>
            <w:top w:val="none" w:sz="0" w:space="0" w:color="auto"/>
            <w:left w:val="none" w:sz="0" w:space="0" w:color="auto"/>
            <w:bottom w:val="none" w:sz="0" w:space="0" w:color="auto"/>
            <w:right w:val="none" w:sz="0" w:space="0" w:color="auto"/>
          </w:divBdr>
        </w:div>
        <w:div w:id="1719010399">
          <w:marLeft w:val="0"/>
          <w:marRight w:val="0"/>
          <w:marTop w:val="0"/>
          <w:marBottom w:val="0"/>
          <w:divBdr>
            <w:top w:val="none" w:sz="0" w:space="0" w:color="auto"/>
            <w:left w:val="none" w:sz="0" w:space="0" w:color="auto"/>
            <w:bottom w:val="none" w:sz="0" w:space="0" w:color="auto"/>
            <w:right w:val="none" w:sz="0" w:space="0" w:color="auto"/>
          </w:divBdr>
        </w:div>
        <w:div w:id="944924934">
          <w:marLeft w:val="0"/>
          <w:marRight w:val="0"/>
          <w:marTop w:val="0"/>
          <w:marBottom w:val="0"/>
          <w:divBdr>
            <w:top w:val="none" w:sz="0" w:space="0" w:color="auto"/>
            <w:left w:val="none" w:sz="0" w:space="0" w:color="auto"/>
            <w:bottom w:val="none" w:sz="0" w:space="0" w:color="auto"/>
            <w:right w:val="none" w:sz="0" w:space="0" w:color="auto"/>
          </w:divBdr>
        </w:div>
        <w:div w:id="643243470">
          <w:marLeft w:val="0"/>
          <w:marRight w:val="0"/>
          <w:marTop w:val="0"/>
          <w:marBottom w:val="0"/>
          <w:divBdr>
            <w:top w:val="none" w:sz="0" w:space="0" w:color="auto"/>
            <w:left w:val="none" w:sz="0" w:space="0" w:color="auto"/>
            <w:bottom w:val="none" w:sz="0" w:space="0" w:color="auto"/>
            <w:right w:val="none" w:sz="0" w:space="0" w:color="auto"/>
          </w:divBdr>
        </w:div>
        <w:div w:id="189151659">
          <w:marLeft w:val="0"/>
          <w:marRight w:val="0"/>
          <w:marTop w:val="0"/>
          <w:marBottom w:val="0"/>
          <w:divBdr>
            <w:top w:val="none" w:sz="0" w:space="0" w:color="auto"/>
            <w:left w:val="none" w:sz="0" w:space="0" w:color="auto"/>
            <w:bottom w:val="none" w:sz="0" w:space="0" w:color="auto"/>
            <w:right w:val="none" w:sz="0" w:space="0" w:color="auto"/>
          </w:divBdr>
        </w:div>
        <w:div w:id="1874033045">
          <w:marLeft w:val="0"/>
          <w:marRight w:val="0"/>
          <w:marTop w:val="0"/>
          <w:marBottom w:val="0"/>
          <w:divBdr>
            <w:top w:val="none" w:sz="0" w:space="0" w:color="auto"/>
            <w:left w:val="none" w:sz="0" w:space="0" w:color="auto"/>
            <w:bottom w:val="none" w:sz="0" w:space="0" w:color="auto"/>
            <w:right w:val="none" w:sz="0" w:space="0" w:color="auto"/>
          </w:divBdr>
        </w:div>
        <w:div w:id="1868056519">
          <w:marLeft w:val="0"/>
          <w:marRight w:val="0"/>
          <w:marTop w:val="0"/>
          <w:marBottom w:val="0"/>
          <w:divBdr>
            <w:top w:val="none" w:sz="0" w:space="0" w:color="auto"/>
            <w:left w:val="none" w:sz="0" w:space="0" w:color="auto"/>
            <w:bottom w:val="none" w:sz="0" w:space="0" w:color="auto"/>
            <w:right w:val="none" w:sz="0" w:space="0" w:color="auto"/>
          </w:divBdr>
        </w:div>
        <w:div w:id="842235070">
          <w:marLeft w:val="0"/>
          <w:marRight w:val="0"/>
          <w:marTop w:val="0"/>
          <w:marBottom w:val="0"/>
          <w:divBdr>
            <w:top w:val="none" w:sz="0" w:space="0" w:color="auto"/>
            <w:left w:val="none" w:sz="0" w:space="0" w:color="auto"/>
            <w:bottom w:val="none" w:sz="0" w:space="0" w:color="auto"/>
            <w:right w:val="none" w:sz="0" w:space="0" w:color="auto"/>
          </w:divBdr>
        </w:div>
        <w:div w:id="1015114478">
          <w:marLeft w:val="0"/>
          <w:marRight w:val="0"/>
          <w:marTop w:val="0"/>
          <w:marBottom w:val="0"/>
          <w:divBdr>
            <w:top w:val="none" w:sz="0" w:space="0" w:color="auto"/>
            <w:left w:val="none" w:sz="0" w:space="0" w:color="auto"/>
            <w:bottom w:val="none" w:sz="0" w:space="0" w:color="auto"/>
            <w:right w:val="none" w:sz="0" w:space="0" w:color="auto"/>
          </w:divBdr>
        </w:div>
        <w:div w:id="1491867428">
          <w:marLeft w:val="0"/>
          <w:marRight w:val="0"/>
          <w:marTop w:val="0"/>
          <w:marBottom w:val="0"/>
          <w:divBdr>
            <w:top w:val="none" w:sz="0" w:space="0" w:color="auto"/>
            <w:left w:val="none" w:sz="0" w:space="0" w:color="auto"/>
            <w:bottom w:val="none" w:sz="0" w:space="0" w:color="auto"/>
            <w:right w:val="none" w:sz="0" w:space="0" w:color="auto"/>
          </w:divBdr>
        </w:div>
        <w:div w:id="1529562227">
          <w:marLeft w:val="0"/>
          <w:marRight w:val="0"/>
          <w:marTop w:val="0"/>
          <w:marBottom w:val="0"/>
          <w:divBdr>
            <w:top w:val="none" w:sz="0" w:space="0" w:color="auto"/>
            <w:left w:val="none" w:sz="0" w:space="0" w:color="auto"/>
            <w:bottom w:val="none" w:sz="0" w:space="0" w:color="auto"/>
            <w:right w:val="none" w:sz="0" w:space="0" w:color="auto"/>
          </w:divBdr>
        </w:div>
        <w:div w:id="273902715">
          <w:marLeft w:val="0"/>
          <w:marRight w:val="0"/>
          <w:marTop w:val="0"/>
          <w:marBottom w:val="0"/>
          <w:divBdr>
            <w:top w:val="none" w:sz="0" w:space="0" w:color="auto"/>
            <w:left w:val="none" w:sz="0" w:space="0" w:color="auto"/>
            <w:bottom w:val="none" w:sz="0" w:space="0" w:color="auto"/>
            <w:right w:val="none" w:sz="0" w:space="0" w:color="auto"/>
          </w:divBdr>
        </w:div>
        <w:div w:id="1642995695">
          <w:marLeft w:val="0"/>
          <w:marRight w:val="0"/>
          <w:marTop w:val="0"/>
          <w:marBottom w:val="0"/>
          <w:divBdr>
            <w:top w:val="none" w:sz="0" w:space="0" w:color="auto"/>
            <w:left w:val="none" w:sz="0" w:space="0" w:color="auto"/>
            <w:bottom w:val="none" w:sz="0" w:space="0" w:color="auto"/>
            <w:right w:val="none" w:sz="0" w:space="0" w:color="auto"/>
          </w:divBdr>
        </w:div>
        <w:div w:id="902568073">
          <w:marLeft w:val="0"/>
          <w:marRight w:val="0"/>
          <w:marTop w:val="0"/>
          <w:marBottom w:val="0"/>
          <w:divBdr>
            <w:top w:val="none" w:sz="0" w:space="0" w:color="auto"/>
            <w:left w:val="none" w:sz="0" w:space="0" w:color="auto"/>
            <w:bottom w:val="none" w:sz="0" w:space="0" w:color="auto"/>
            <w:right w:val="none" w:sz="0" w:space="0" w:color="auto"/>
          </w:divBdr>
        </w:div>
        <w:div w:id="1438522165">
          <w:marLeft w:val="0"/>
          <w:marRight w:val="0"/>
          <w:marTop w:val="0"/>
          <w:marBottom w:val="0"/>
          <w:divBdr>
            <w:top w:val="none" w:sz="0" w:space="0" w:color="auto"/>
            <w:left w:val="none" w:sz="0" w:space="0" w:color="auto"/>
            <w:bottom w:val="none" w:sz="0" w:space="0" w:color="auto"/>
            <w:right w:val="none" w:sz="0" w:space="0" w:color="auto"/>
          </w:divBdr>
        </w:div>
        <w:div w:id="1574386711">
          <w:marLeft w:val="0"/>
          <w:marRight w:val="0"/>
          <w:marTop w:val="0"/>
          <w:marBottom w:val="0"/>
          <w:divBdr>
            <w:top w:val="none" w:sz="0" w:space="0" w:color="auto"/>
            <w:left w:val="none" w:sz="0" w:space="0" w:color="auto"/>
            <w:bottom w:val="none" w:sz="0" w:space="0" w:color="auto"/>
            <w:right w:val="none" w:sz="0" w:space="0" w:color="auto"/>
          </w:divBdr>
        </w:div>
        <w:div w:id="1583686180">
          <w:marLeft w:val="0"/>
          <w:marRight w:val="0"/>
          <w:marTop w:val="0"/>
          <w:marBottom w:val="0"/>
          <w:divBdr>
            <w:top w:val="none" w:sz="0" w:space="0" w:color="auto"/>
            <w:left w:val="none" w:sz="0" w:space="0" w:color="auto"/>
            <w:bottom w:val="none" w:sz="0" w:space="0" w:color="auto"/>
            <w:right w:val="none" w:sz="0" w:space="0" w:color="auto"/>
          </w:divBdr>
        </w:div>
        <w:div w:id="1244684191">
          <w:marLeft w:val="0"/>
          <w:marRight w:val="0"/>
          <w:marTop w:val="0"/>
          <w:marBottom w:val="0"/>
          <w:divBdr>
            <w:top w:val="none" w:sz="0" w:space="0" w:color="auto"/>
            <w:left w:val="none" w:sz="0" w:space="0" w:color="auto"/>
            <w:bottom w:val="none" w:sz="0" w:space="0" w:color="auto"/>
            <w:right w:val="none" w:sz="0" w:space="0" w:color="auto"/>
          </w:divBdr>
        </w:div>
        <w:div w:id="1789854048">
          <w:marLeft w:val="0"/>
          <w:marRight w:val="0"/>
          <w:marTop w:val="0"/>
          <w:marBottom w:val="0"/>
          <w:divBdr>
            <w:top w:val="none" w:sz="0" w:space="0" w:color="auto"/>
            <w:left w:val="none" w:sz="0" w:space="0" w:color="auto"/>
            <w:bottom w:val="none" w:sz="0" w:space="0" w:color="auto"/>
            <w:right w:val="none" w:sz="0" w:space="0" w:color="auto"/>
          </w:divBdr>
        </w:div>
        <w:div w:id="1529291081">
          <w:marLeft w:val="0"/>
          <w:marRight w:val="0"/>
          <w:marTop w:val="0"/>
          <w:marBottom w:val="0"/>
          <w:divBdr>
            <w:top w:val="none" w:sz="0" w:space="0" w:color="auto"/>
            <w:left w:val="none" w:sz="0" w:space="0" w:color="auto"/>
            <w:bottom w:val="none" w:sz="0" w:space="0" w:color="auto"/>
            <w:right w:val="none" w:sz="0" w:space="0" w:color="auto"/>
          </w:divBdr>
        </w:div>
        <w:div w:id="293369507">
          <w:marLeft w:val="0"/>
          <w:marRight w:val="0"/>
          <w:marTop w:val="0"/>
          <w:marBottom w:val="0"/>
          <w:divBdr>
            <w:top w:val="none" w:sz="0" w:space="0" w:color="auto"/>
            <w:left w:val="none" w:sz="0" w:space="0" w:color="auto"/>
            <w:bottom w:val="none" w:sz="0" w:space="0" w:color="auto"/>
            <w:right w:val="none" w:sz="0" w:space="0" w:color="auto"/>
          </w:divBdr>
        </w:div>
        <w:div w:id="2032608474">
          <w:marLeft w:val="0"/>
          <w:marRight w:val="0"/>
          <w:marTop w:val="0"/>
          <w:marBottom w:val="0"/>
          <w:divBdr>
            <w:top w:val="none" w:sz="0" w:space="0" w:color="auto"/>
            <w:left w:val="none" w:sz="0" w:space="0" w:color="auto"/>
            <w:bottom w:val="none" w:sz="0" w:space="0" w:color="auto"/>
            <w:right w:val="none" w:sz="0" w:space="0" w:color="auto"/>
          </w:divBdr>
        </w:div>
        <w:div w:id="1641379859">
          <w:marLeft w:val="0"/>
          <w:marRight w:val="0"/>
          <w:marTop w:val="0"/>
          <w:marBottom w:val="0"/>
          <w:divBdr>
            <w:top w:val="none" w:sz="0" w:space="0" w:color="auto"/>
            <w:left w:val="none" w:sz="0" w:space="0" w:color="auto"/>
            <w:bottom w:val="none" w:sz="0" w:space="0" w:color="auto"/>
            <w:right w:val="none" w:sz="0" w:space="0" w:color="auto"/>
          </w:divBdr>
        </w:div>
        <w:div w:id="754863658">
          <w:marLeft w:val="0"/>
          <w:marRight w:val="0"/>
          <w:marTop w:val="0"/>
          <w:marBottom w:val="0"/>
          <w:divBdr>
            <w:top w:val="none" w:sz="0" w:space="0" w:color="auto"/>
            <w:left w:val="none" w:sz="0" w:space="0" w:color="auto"/>
            <w:bottom w:val="none" w:sz="0" w:space="0" w:color="auto"/>
            <w:right w:val="none" w:sz="0" w:space="0" w:color="auto"/>
          </w:divBdr>
        </w:div>
        <w:div w:id="784881933">
          <w:marLeft w:val="0"/>
          <w:marRight w:val="0"/>
          <w:marTop w:val="0"/>
          <w:marBottom w:val="0"/>
          <w:divBdr>
            <w:top w:val="none" w:sz="0" w:space="0" w:color="auto"/>
            <w:left w:val="none" w:sz="0" w:space="0" w:color="auto"/>
            <w:bottom w:val="none" w:sz="0" w:space="0" w:color="auto"/>
            <w:right w:val="none" w:sz="0" w:space="0" w:color="auto"/>
          </w:divBdr>
        </w:div>
        <w:div w:id="1926918318">
          <w:marLeft w:val="0"/>
          <w:marRight w:val="0"/>
          <w:marTop w:val="0"/>
          <w:marBottom w:val="0"/>
          <w:divBdr>
            <w:top w:val="none" w:sz="0" w:space="0" w:color="auto"/>
            <w:left w:val="none" w:sz="0" w:space="0" w:color="auto"/>
            <w:bottom w:val="none" w:sz="0" w:space="0" w:color="auto"/>
            <w:right w:val="none" w:sz="0" w:space="0" w:color="auto"/>
          </w:divBdr>
        </w:div>
        <w:div w:id="1994677240">
          <w:marLeft w:val="0"/>
          <w:marRight w:val="0"/>
          <w:marTop w:val="0"/>
          <w:marBottom w:val="0"/>
          <w:divBdr>
            <w:top w:val="none" w:sz="0" w:space="0" w:color="auto"/>
            <w:left w:val="none" w:sz="0" w:space="0" w:color="auto"/>
            <w:bottom w:val="none" w:sz="0" w:space="0" w:color="auto"/>
            <w:right w:val="none" w:sz="0" w:space="0" w:color="auto"/>
          </w:divBdr>
        </w:div>
        <w:div w:id="1694264735">
          <w:marLeft w:val="0"/>
          <w:marRight w:val="0"/>
          <w:marTop w:val="0"/>
          <w:marBottom w:val="0"/>
          <w:divBdr>
            <w:top w:val="none" w:sz="0" w:space="0" w:color="auto"/>
            <w:left w:val="none" w:sz="0" w:space="0" w:color="auto"/>
            <w:bottom w:val="none" w:sz="0" w:space="0" w:color="auto"/>
            <w:right w:val="none" w:sz="0" w:space="0" w:color="auto"/>
          </w:divBdr>
        </w:div>
        <w:div w:id="93477012">
          <w:marLeft w:val="0"/>
          <w:marRight w:val="0"/>
          <w:marTop w:val="0"/>
          <w:marBottom w:val="0"/>
          <w:divBdr>
            <w:top w:val="none" w:sz="0" w:space="0" w:color="auto"/>
            <w:left w:val="none" w:sz="0" w:space="0" w:color="auto"/>
            <w:bottom w:val="none" w:sz="0" w:space="0" w:color="auto"/>
            <w:right w:val="none" w:sz="0" w:space="0" w:color="auto"/>
          </w:divBdr>
        </w:div>
        <w:div w:id="1291784370">
          <w:marLeft w:val="0"/>
          <w:marRight w:val="0"/>
          <w:marTop w:val="0"/>
          <w:marBottom w:val="0"/>
          <w:divBdr>
            <w:top w:val="none" w:sz="0" w:space="0" w:color="auto"/>
            <w:left w:val="none" w:sz="0" w:space="0" w:color="auto"/>
            <w:bottom w:val="none" w:sz="0" w:space="0" w:color="auto"/>
            <w:right w:val="none" w:sz="0" w:space="0" w:color="auto"/>
          </w:divBdr>
        </w:div>
        <w:div w:id="403919210">
          <w:marLeft w:val="0"/>
          <w:marRight w:val="0"/>
          <w:marTop w:val="0"/>
          <w:marBottom w:val="0"/>
          <w:divBdr>
            <w:top w:val="none" w:sz="0" w:space="0" w:color="auto"/>
            <w:left w:val="none" w:sz="0" w:space="0" w:color="auto"/>
            <w:bottom w:val="none" w:sz="0" w:space="0" w:color="auto"/>
            <w:right w:val="none" w:sz="0" w:space="0" w:color="auto"/>
          </w:divBdr>
        </w:div>
        <w:div w:id="2116443425">
          <w:marLeft w:val="0"/>
          <w:marRight w:val="0"/>
          <w:marTop w:val="0"/>
          <w:marBottom w:val="0"/>
          <w:divBdr>
            <w:top w:val="none" w:sz="0" w:space="0" w:color="auto"/>
            <w:left w:val="none" w:sz="0" w:space="0" w:color="auto"/>
            <w:bottom w:val="none" w:sz="0" w:space="0" w:color="auto"/>
            <w:right w:val="none" w:sz="0" w:space="0" w:color="auto"/>
          </w:divBdr>
        </w:div>
        <w:div w:id="1784373668">
          <w:marLeft w:val="0"/>
          <w:marRight w:val="0"/>
          <w:marTop w:val="0"/>
          <w:marBottom w:val="0"/>
          <w:divBdr>
            <w:top w:val="none" w:sz="0" w:space="0" w:color="auto"/>
            <w:left w:val="none" w:sz="0" w:space="0" w:color="auto"/>
            <w:bottom w:val="none" w:sz="0" w:space="0" w:color="auto"/>
            <w:right w:val="none" w:sz="0" w:space="0" w:color="auto"/>
          </w:divBdr>
        </w:div>
        <w:div w:id="1775202416">
          <w:marLeft w:val="0"/>
          <w:marRight w:val="0"/>
          <w:marTop w:val="0"/>
          <w:marBottom w:val="0"/>
          <w:divBdr>
            <w:top w:val="none" w:sz="0" w:space="0" w:color="auto"/>
            <w:left w:val="none" w:sz="0" w:space="0" w:color="auto"/>
            <w:bottom w:val="none" w:sz="0" w:space="0" w:color="auto"/>
            <w:right w:val="none" w:sz="0" w:space="0" w:color="auto"/>
          </w:divBdr>
        </w:div>
        <w:div w:id="642321256">
          <w:marLeft w:val="0"/>
          <w:marRight w:val="0"/>
          <w:marTop w:val="0"/>
          <w:marBottom w:val="0"/>
          <w:divBdr>
            <w:top w:val="none" w:sz="0" w:space="0" w:color="auto"/>
            <w:left w:val="none" w:sz="0" w:space="0" w:color="auto"/>
            <w:bottom w:val="none" w:sz="0" w:space="0" w:color="auto"/>
            <w:right w:val="none" w:sz="0" w:space="0" w:color="auto"/>
          </w:divBdr>
        </w:div>
      </w:divsChild>
    </w:div>
    <w:div w:id="1450708591">
      <w:marLeft w:val="0"/>
      <w:marRight w:val="0"/>
      <w:marTop w:val="160"/>
      <w:marBottom w:val="0"/>
      <w:divBdr>
        <w:top w:val="none" w:sz="0" w:space="0" w:color="auto"/>
        <w:left w:val="none" w:sz="0" w:space="0" w:color="auto"/>
        <w:bottom w:val="none" w:sz="0" w:space="0" w:color="auto"/>
        <w:right w:val="none" w:sz="0" w:space="0" w:color="auto"/>
      </w:divBdr>
    </w:div>
    <w:div w:id="1452357569">
      <w:marLeft w:val="0"/>
      <w:marRight w:val="0"/>
      <w:marTop w:val="180"/>
      <w:marBottom w:val="0"/>
      <w:divBdr>
        <w:top w:val="none" w:sz="0" w:space="0" w:color="auto"/>
        <w:left w:val="none" w:sz="0" w:space="0" w:color="auto"/>
        <w:bottom w:val="none" w:sz="0" w:space="0" w:color="auto"/>
        <w:right w:val="none" w:sz="0" w:space="0" w:color="auto"/>
      </w:divBdr>
    </w:div>
    <w:div w:id="1454514991">
      <w:marLeft w:val="0"/>
      <w:marRight w:val="0"/>
      <w:marTop w:val="180"/>
      <w:marBottom w:val="0"/>
      <w:divBdr>
        <w:top w:val="none" w:sz="0" w:space="0" w:color="auto"/>
        <w:left w:val="none" w:sz="0" w:space="0" w:color="auto"/>
        <w:bottom w:val="none" w:sz="0" w:space="0" w:color="auto"/>
        <w:right w:val="none" w:sz="0" w:space="0" w:color="auto"/>
      </w:divBdr>
    </w:div>
    <w:div w:id="1456677428">
      <w:marLeft w:val="0"/>
      <w:marRight w:val="0"/>
      <w:marTop w:val="0"/>
      <w:marBottom w:val="0"/>
      <w:divBdr>
        <w:top w:val="none" w:sz="0" w:space="0" w:color="auto"/>
        <w:left w:val="none" w:sz="0" w:space="0" w:color="auto"/>
        <w:bottom w:val="none" w:sz="0" w:space="0" w:color="auto"/>
        <w:right w:val="none" w:sz="0" w:space="0" w:color="auto"/>
      </w:divBdr>
      <w:divsChild>
        <w:div w:id="836580608">
          <w:marLeft w:val="0"/>
          <w:marRight w:val="0"/>
          <w:marTop w:val="180"/>
          <w:marBottom w:val="0"/>
          <w:divBdr>
            <w:top w:val="none" w:sz="0" w:space="0" w:color="auto"/>
            <w:left w:val="none" w:sz="0" w:space="0" w:color="auto"/>
            <w:bottom w:val="none" w:sz="0" w:space="0" w:color="auto"/>
            <w:right w:val="none" w:sz="0" w:space="0" w:color="auto"/>
          </w:divBdr>
        </w:div>
      </w:divsChild>
    </w:div>
    <w:div w:id="1457674507">
      <w:marLeft w:val="0"/>
      <w:marRight w:val="0"/>
      <w:marTop w:val="0"/>
      <w:marBottom w:val="0"/>
      <w:divBdr>
        <w:top w:val="none" w:sz="0" w:space="0" w:color="auto"/>
        <w:left w:val="none" w:sz="0" w:space="0" w:color="auto"/>
        <w:bottom w:val="none" w:sz="0" w:space="0" w:color="auto"/>
        <w:right w:val="none" w:sz="0" w:space="0" w:color="auto"/>
      </w:divBdr>
      <w:divsChild>
        <w:div w:id="1168327487">
          <w:marLeft w:val="0"/>
          <w:marRight w:val="0"/>
          <w:marTop w:val="0"/>
          <w:marBottom w:val="0"/>
          <w:divBdr>
            <w:top w:val="none" w:sz="0" w:space="0" w:color="auto"/>
            <w:left w:val="none" w:sz="0" w:space="0" w:color="auto"/>
            <w:bottom w:val="none" w:sz="0" w:space="0" w:color="auto"/>
            <w:right w:val="none" w:sz="0" w:space="0" w:color="auto"/>
          </w:divBdr>
          <w:divsChild>
            <w:div w:id="2629618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57871479">
      <w:marLeft w:val="0"/>
      <w:marRight w:val="0"/>
      <w:marTop w:val="180"/>
      <w:marBottom w:val="0"/>
      <w:divBdr>
        <w:top w:val="none" w:sz="0" w:space="0" w:color="auto"/>
        <w:left w:val="none" w:sz="0" w:space="0" w:color="auto"/>
        <w:bottom w:val="none" w:sz="0" w:space="0" w:color="auto"/>
        <w:right w:val="none" w:sz="0" w:space="0" w:color="auto"/>
      </w:divBdr>
    </w:div>
    <w:div w:id="1458645594">
      <w:marLeft w:val="0"/>
      <w:marRight w:val="0"/>
      <w:marTop w:val="180"/>
      <w:marBottom w:val="0"/>
      <w:divBdr>
        <w:top w:val="none" w:sz="0" w:space="0" w:color="auto"/>
        <w:left w:val="none" w:sz="0" w:space="0" w:color="auto"/>
        <w:bottom w:val="none" w:sz="0" w:space="0" w:color="auto"/>
        <w:right w:val="none" w:sz="0" w:space="0" w:color="auto"/>
      </w:divBdr>
    </w:div>
    <w:div w:id="1458987472">
      <w:marLeft w:val="0"/>
      <w:marRight w:val="0"/>
      <w:marTop w:val="180"/>
      <w:marBottom w:val="0"/>
      <w:divBdr>
        <w:top w:val="none" w:sz="0" w:space="0" w:color="auto"/>
        <w:left w:val="none" w:sz="0" w:space="0" w:color="auto"/>
        <w:bottom w:val="none" w:sz="0" w:space="0" w:color="auto"/>
        <w:right w:val="none" w:sz="0" w:space="0" w:color="auto"/>
      </w:divBdr>
    </w:div>
    <w:div w:id="1460958035">
      <w:marLeft w:val="0"/>
      <w:marRight w:val="0"/>
      <w:marTop w:val="0"/>
      <w:marBottom w:val="0"/>
      <w:divBdr>
        <w:top w:val="none" w:sz="0" w:space="0" w:color="auto"/>
        <w:left w:val="none" w:sz="0" w:space="0" w:color="auto"/>
        <w:bottom w:val="none" w:sz="0" w:space="0" w:color="auto"/>
        <w:right w:val="none" w:sz="0" w:space="0" w:color="auto"/>
      </w:divBdr>
      <w:divsChild>
        <w:div w:id="1056708729">
          <w:marLeft w:val="0"/>
          <w:marRight w:val="0"/>
          <w:marTop w:val="0"/>
          <w:marBottom w:val="0"/>
          <w:divBdr>
            <w:top w:val="none" w:sz="0" w:space="0" w:color="auto"/>
            <w:left w:val="none" w:sz="0" w:space="0" w:color="auto"/>
            <w:bottom w:val="none" w:sz="0" w:space="0" w:color="auto"/>
            <w:right w:val="none" w:sz="0" w:space="0" w:color="auto"/>
          </w:divBdr>
          <w:divsChild>
            <w:div w:id="19147731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62189109">
      <w:marLeft w:val="0"/>
      <w:marRight w:val="0"/>
      <w:marTop w:val="0"/>
      <w:marBottom w:val="0"/>
      <w:divBdr>
        <w:top w:val="none" w:sz="0" w:space="0" w:color="auto"/>
        <w:left w:val="none" w:sz="0" w:space="0" w:color="auto"/>
        <w:bottom w:val="none" w:sz="0" w:space="0" w:color="auto"/>
        <w:right w:val="none" w:sz="0" w:space="0" w:color="auto"/>
      </w:divBdr>
      <w:divsChild>
        <w:div w:id="395008152">
          <w:marLeft w:val="0"/>
          <w:marRight w:val="0"/>
          <w:marTop w:val="180"/>
          <w:marBottom w:val="0"/>
          <w:divBdr>
            <w:top w:val="none" w:sz="0" w:space="0" w:color="auto"/>
            <w:left w:val="none" w:sz="0" w:space="0" w:color="auto"/>
            <w:bottom w:val="none" w:sz="0" w:space="0" w:color="auto"/>
            <w:right w:val="none" w:sz="0" w:space="0" w:color="auto"/>
          </w:divBdr>
        </w:div>
      </w:divsChild>
    </w:div>
    <w:div w:id="1463041705">
      <w:marLeft w:val="0"/>
      <w:marRight w:val="0"/>
      <w:marTop w:val="0"/>
      <w:marBottom w:val="0"/>
      <w:divBdr>
        <w:top w:val="none" w:sz="0" w:space="0" w:color="auto"/>
        <w:left w:val="none" w:sz="0" w:space="0" w:color="auto"/>
        <w:bottom w:val="none" w:sz="0" w:space="0" w:color="auto"/>
        <w:right w:val="none" w:sz="0" w:space="0" w:color="auto"/>
      </w:divBdr>
      <w:divsChild>
        <w:div w:id="851842165">
          <w:marLeft w:val="0"/>
          <w:marRight w:val="0"/>
          <w:marTop w:val="0"/>
          <w:marBottom w:val="0"/>
          <w:divBdr>
            <w:top w:val="none" w:sz="0" w:space="0" w:color="auto"/>
            <w:left w:val="none" w:sz="0" w:space="0" w:color="auto"/>
            <w:bottom w:val="none" w:sz="0" w:space="0" w:color="auto"/>
            <w:right w:val="none" w:sz="0" w:space="0" w:color="auto"/>
          </w:divBdr>
          <w:divsChild>
            <w:div w:id="11771899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67968317">
      <w:marLeft w:val="0"/>
      <w:marRight w:val="0"/>
      <w:marTop w:val="180"/>
      <w:marBottom w:val="0"/>
      <w:divBdr>
        <w:top w:val="none" w:sz="0" w:space="0" w:color="auto"/>
        <w:left w:val="none" w:sz="0" w:space="0" w:color="auto"/>
        <w:bottom w:val="none" w:sz="0" w:space="0" w:color="auto"/>
        <w:right w:val="none" w:sz="0" w:space="0" w:color="auto"/>
      </w:divBdr>
    </w:div>
    <w:div w:id="1470169114">
      <w:marLeft w:val="0"/>
      <w:marRight w:val="0"/>
      <w:marTop w:val="180"/>
      <w:marBottom w:val="0"/>
      <w:divBdr>
        <w:top w:val="none" w:sz="0" w:space="0" w:color="auto"/>
        <w:left w:val="none" w:sz="0" w:space="0" w:color="auto"/>
        <w:bottom w:val="none" w:sz="0" w:space="0" w:color="auto"/>
        <w:right w:val="none" w:sz="0" w:space="0" w:color="auto"/>
      </w:divBdr>
    </w:div>
    <w:div w:id="1475635132">
      <w:marLeft w:val="0"/>
      <w:marRight w:val="0"/>
      <w:marTop w:val="180"/>
      <w:marBottom w:val="0"/>
      <w:divBdr>
        <w:top w:val="none" w:sz="0" w:space="0" w:color="auto"/>
        <w:left w:val="none" w:sz="0" w:space="0" w:color="auto"/>
        <w:bottom w:val="none" w:sz="0" w:space="0" w:color="auto"/>
        <w:right w:val="none" w:sz="0" w:space="0" w:color="auto"/>
      </w:divBdr>
    </w:div>
    <w:div w:id="1475681351">
      <w:marLeft w:val="0"/>
      <w:marRight w:val="0"/>
      <w:marTop w:val="0"/>
      <w:marBottom w:val="0"/>
      <w:divBdr>
        <w:top w:val="none" w:sz="0" w:space="0" w:color="auto"/>
        <w:left w:val="none" w:sz="0" w:space="0" w:color="auto"/>
        <w:bottom w:val="none" w:sz="0" w:space="0" w:color="auto"/>
        <w:right w:val="none" w:sz="0" w:space="0" w:color="auto"/>
      </w:divBdr>
      <w:divsChild>
        <w:div w:id="680744178">
          <w:marLeft w:val="0"/>
          <w:marRight w:val="0"/>
          <w:marTop w:val="0"/>
          <w:marBottom w:val="0"/>
          <w:divBdr>
            <w:top w:val="none" w:sz="0" w:space="0" w:color="auto"/>
            <w:left w:val="none" w:sz="0" w:space="0" w:color="auto"/>
            <w:bottom w:val="none" w:sz="0" w:space="0" w:color="auto"/>
            <w:right w:val="none" w:sz="0" w:space="0" w:color="auto"/>
          </w:divBdr>
          <w:divsChild>
            <w:div w:id="7349359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76407854">
      <w:marLeft w:val="0"/>
      <w:marRight w:val="0"/>
      <w:marTop w:val="180"/>
      <w:marBottom w:val="0"/>
      <w:divBdr>
        <w:top w:val="none" w:sz="0" w:space="0" w:color="auto"/>
        <w:left w:val="none" w:sz="0" w:space="0" w:color="auto"/>
        <w:bottom w:val="none" w:sz="0" w:space="0" w:color="auto"/>
        <w:right w:val="none" w:sz="0" w:space="0" w:color="auto"/>
      </w:divBdr>
    </w:div>
    <w:div w:id="1483350778">
      <w:marLeft w:val="0"/>
      <w:marRight w:val="0"/>
      <w:marTop w:val="180"/>
      <w:marBottom w:val="120"/>
      <w:divBdr>
        <w:top w:val="none" w:sz="0" w:space="0" w:color="auto"/>
        <w:left w:val="none" w:sz="0" w:space="0" w:color="auto"/>
        <w:bottom w:val="none" w:sz="0" w:space="0" w:color="auto"/>
        <w:right w:val="none" w:sz="0" w:space="0" w:color="auto"/>
      </w:divBdr>
    </w:div>
    <w:div w:id="1485319861">
      <w:marLeft w:val="0"/>
      <w:marRight w:val="0"/>
      <w:marTop w:val="180"/>
      <w:marBottom w:val="0"/>
      <w:divBdr>
        <w:top w:val="none" w:sz="0" w:space="0" w:color="auto"/>
        <w:left w:val="none" w:sz="0" w:space="0" w:color="auto"/>
        <w:bottom w:val="none" w:sz="0" w:space="0" w:color="auto"/>
        <w:right w:val="none" w:sz="0" w:space="0" w:color="auto"/>
      </w:divBdr>
    </w:div>
    <w:div w:id="1488476528">
      <w:marLeft w:val="0"/>
      <w:marRight w:val="0"/>
      <w:marTop w:val="180"/>
      <w:marBottom w:val="0"/>
      <w:divBdr>
        <w:top w:val="none" w:sz="0" w:space="0" w:color="auto"/>
        <w:left w:val="none" w:sz="0" w:space="0" w:color="auto"/>
        <w:bottom w:val="none" w:sz="0" w:space="0" w:color="auto"/>
        <w:right w:val="none" w:sz="0" w:space="0" w:color="auto"/>
      </w:divBdr>
    </w:div>
    <w:div w:id="1491603852">
      <w:marLeft w:val="0"/>
      <w:marRight w:val="0"/>
      <w:marTop w:val="180"/>
      <w:marBottom w:val="0"/>
      <w:divBdr>
        <w:top w:val="none" w:sz="0" w:space="0" w:color="auto"/>
        <w:left w:val="none" w:sz="0" w:space="0" w:color="auto"/>
        <w:bottom w:val="none" w:sz="0" w:space="0" w:color="auto"/>
        <w:right w:val="none" w:sz="0" w:space="0" w:color="auto"/>
      </w:divBdr>
    </w:div>
    <w:div w:id="1491755195">
      <w:marLeft w:val="0"/>
      <w:marRight w:val="0"/>
      <w:marTop w:val="180"/>
      <w:marBottom w:val="0"/>
      <w:divBdr>
        <w:top w:val="none" w:sz="0" w:space="0" w:color="auto"/>
        <w:left w:val="none" w:sz="0" w:space="0" w:color="auto"/>
        <w:bottom w:val="none" w:sz="0" w:space="0" w:color="auto"/>
        <w:right w:val="none" w:sz="0" w:space="0" w:color="auto"/>
      </w:divBdr>
    </w:div>
    <w:div w:id="1493646293">
      <w:marLeft w:val="0"/>
      <w:marRight w:val="0"/>
      <w:marTop w:val="60"/>
      <w:marBottom w:val="120"/>
      <w:divBdr>
        <w:top w:val="none" w:sz="0" w:space="0" w:color="auto"/>
        <w:left w:val="none" w:sz="0" w:space="0" w:color="auto"/>
        <w:bottom w:val="none" w:sz="0" w:space="0" w:color="auto"/>
        <w:right w:val="none" w:sz="0" w:space="0" w:color="auto"/>
      </w:divBdr>
    </w:div>
    <w:div w:id="1493716536">
      <w:marLeft w:val="0"/>
      <w:marRight w:val="0"/>
      <w:marTop w:val="180"/>
      <w:marBottom w:val="180"/>
      <w:divBdr>
        <w:top w:val="none" w:sz="0" w:space="0" w:color="auto"/>
        <w:left w:val="none" w:sz="0" w:space="0" w:color="auto"/>
        <w:bottom w:val="none" w:sz="0" w:space="0" w:color="auto"/>
        <w:right w:val="none" w:sz="0" w:space="0" w:color="auto"/>
      </w:divBdr>
    </w:div>
    <w:div w:id="1494835391">
      <w:marLeft w:val="0"/>
      <w:marRight w:val="0"/>
      <w:marTop w:val="0"/>
      <w:marBottom w:val="0"/>
      <w:divBdr>
        <w:top w:val="none" w:sz="0" w:space="0" w:color="auto"/>
        <w:left w:val="none" w:sz="0" w:space="0" w:color="auto"/>
        <w:bottom w:val="none" w:sz="0" w:space="0" w:color="auto"/>
        <w:right w:val="none" w:sz="0" w:space="0" w:color="auto"/>
      </w:divBdr>
      <w:divsChild>
        <w:div w:id="1244686028">
          <w:marLeft w:val="0"/>
          <w:marRight w:val="0"/>
          <w:marTop w:val="0"/>
          <w:marBottom w:val="0"/>
          <w:divBdr>
            <w:top w:val="none" w:sz="0" w:space="0" w:color="auto"/>
            <w:left w:val="none" w:sz="0" w:space="0" w:color="auto"/>
            <w:bottom w:val="none" w:sz="0" w:space="0" w:color="auto"/>
            <w:right w:val="none" w:sz="0" w:space="0" w:color="auto"/>
          </w:divBdr>
          <w:divsChild>
            <w:div w:id="1116346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98615489">
      <w:marLeft w:val="0"/>
      <w:marRight w:val="0"/>
      <w:marTop w:val="180"/>
      <w:marBottom w:val="0"/>
      <w:divBdr>
        <w:top w:val="none" w:sz="0" w:space="0" w:color="auto"/>
        <w:left w:val="none" w:sz="0" w:space="0" w:color="auto"/>
        <w:bottom w:val="none" w:sz="0" w:space="0" w:color="auto"/>
        <w:right w:val="none" w:sz="0" w:space="0" w:color="auto"/>
      </w:divBdr>
    </w:div>
    <w:div w:id="1499464198">
      <w:marLeft w:val="0"/>
      <w:marRight w:val="0"/>
      <w:marTop w:val="180"/>
      <w:marBottom w:val="0"/>
      <w:divBdr>
        <w:top w:val="none" w:sz="0" w:space="0" w:color="auto"/>
        <w:left w:val="none" w:sz="0" w:space="0" w:color="auto"/>
        <w:bottom w:val="none" w:sz="0" w:space="0" w:color="auto"/>
        <w:right w:val="none" w:sz="0" w:space="0" w:color="auto"/>
      </w:divBdr>
    </w:div>
    <w:div w:id="1499729824">
      <w:marLeft w:val="0"/>
      <w:marRight w:val="0"/>
      <w:marTop w:val="0"/>
      <w:marBottom w:val="0"/>
      <w:divBdr>
        <w:top w:val="none" w:sz="0" w:space="0" w:color="auto"/>
        <w:left w:val="none" w:sz="0" w:space="0" w:color="auto"/>
        <w:bottom w:val="none" w:sz="0" w:space="0" w:color="auto"/>
        <w:right w:val="none" w:sz="0" w:space="0" w:color="auto"/>
      </w:divBdr>
      <w:divsChild>
        <w:div w:id="788664757">
          <w:marLeft w:val="0"/>
          <w:marRight w:val="0"/>
          <w:marTop w:val="180"/>
          <w:marBottom w:val="0"/>
          <w:divBdr>
            <w:top w:val="none" w:sz="0" w:space="0" w:color="auto"/>
            <w:left w:val="none" w:sz="0" w:space="0" w:color="auto"/>
            <w:bottom w:val="none" w:sz="0" w:space="0" w:color="auto"/>
            <w:right w:val="none" w:sz="0" w:space="0" w:color="auto"/>
          </w:divBdr>
        </w:div>
      </w:divsChild>
    </w:div>
    <w:div w:id="1501969843">
      <w:marLeft w:val="0"/>
      <w:marRight w:val="0"/>
      <w:marTop w:val="0"/>
      <w:marBottom w:val="0"/>
      <w:divBdr>
        <w:top w:val="none" w:sz="0" w:space="0" w:color="auto"/>
        <w:left w:val="none" w:sz="0" w:space="0" w:color="auto"/>
        <w:bottom w:val="none" w:sz="0" w:space="0" w:color="auto"/>
        <w:right w:val="none" w:sz="0" w:space="0" w:color="auto"/>
      </w:divBdr>
      <w:divsChild>
        <w:div w:id="731779019">
          <w:marLeft w:val="0"/>
          <w:marRight w:val="0"/>
          <w:marTop w:val="180"/>
          <w:marBottom w:val="0"/>
          <w:divBdr>
            <w:top w:val="none" w:sz="0" w:space="0" w:color="auto"/>
            <w:left w:val="none" w:sz="0" w:space="0" w:color="auto"/>
            <w:bottom w:val="none" w:sz="0" w:space="0" w:color="auto"/>
            <w:right w:val="none" w:sz="0" w:space="0" w:color="auto"/>
          </w:divBdr>
        </w:div>
      </w:divsChild>
    </w:div>
    <w:div w:id="1502237740">
      <w:marLeft w:val="0"/>
      <w:marRight w:val="0"/>
      <w:marTop w:val="180"/>
      <w:marBottom w:val="0"/>
      <w:divBdr>
        <w:top w:val="none" w:sz="0" w:space="0" w:color="auto"/>
        <w:left w:val="none" w:sz="0" w:space="0" w:color="auto"/>
        <w:bottom w:val="none" w:sz="0" w:space="0" w:color="auto"/>
        <w:right w:val="none" w:sz="0" w:space="0" w:color="auto"/>
      </w:divBdr>
    </w:div>
    <w:div w:id="1503009845">
      <w:marLeft w:val="0"/>
      <w:marRight w:val="0"/>
      <w:marTop w:val="180"/>
      <w:marBottom w:val="0"/>
      <w:divBdr>
        <w:top w:val="none" w:sz="0" w:space="0" w:color="auto"/>
        <w:left w:val="none" w:sz="0" w:space="0" w:color="auto"/>
        <w:bottom w:val="none" w:sz="0" w:space="0" w:color="auto"/>
        <w:right w:val="none" w:sz="0" w:space="0" w:color="auto"/>
      </w:divBdr>
    </w:div>
    <w:div w:id="1504278304">
      <w:marLeft w:val="0"/>
      <w:marRight w:val="0"/>
      <w:marTop w:val="0"/>
      <w:marBottom w:val="0"/>
      <w:divBdr>
        <w:top w:val="none" w:sz="0" w:space="0" w:color="auto"/>
        <w:left w:val="none" w:sz="0" w:space="0" w:color="auto"/>
        <w:bottom w:val="none" w:sz="0" w:space="0" w:color="auto"/>
        <w:right w:val="none" w:sz="0" w:space="0" w:color="auto"/>
      </w:divBdr>
      <w:divsChild>
        <w:div w:id="575087487">
          <w:marLeft w:val="0"/>
          <w:marRight w:val="0"/>
          <w:marTop w:val="0"/>
          <w:marBottom w:val="0"/>
          <w:divBdr>
            <w:top w:val="none" w:sz="0" w:space="0" w:color="auto"/>
            <w:left w:val="none" w:sz="0" w:space="0" w:color="auto"/>
            <w:bottom w:val="none" w:sz="0" w:space="0" w:color="auto"/>
            <w:right w:val="none" w:sz="0" w:space="0" w:color="auto"/>
          </w:divBdr>
          <w:divsChild>
            <w:div w:id="17153523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6629926">
      <w:marLeft w:val="0"/>
      <w:marRight w:val="0"/>
      <w:marTop w:val="180"/>
      <w:marBottom w:val="0"/>
      <w:divBdr>
        <w:top w:val="none" w:sz="0" w:space="0" w:color="auto"/>
        <w:left w:val="none" w:sz="0" w:space="0" w:color="auto"/>
        <w:bottom w:val="none" w:sz="0" w:space="0" w:color="auto"/>
        <w:right w:val="none" w:sz="0" w:space="0" w:color="auto"/>
      </w:divBdr>
    </w:div>
    <w:div w:id="1510024120">
      <w:marLeft w:val="0"/>
      <w:marRight w:val="0"/>
      <w:marTop w:val="0"/>
      <w:marBottom w:val="200"/>
      <w:divBdr>
        <w:top w:val="none" w:sz="0" w:space="0" w:color="auto"/>
        <w:left w:val="none" w:sz="0" w:space="0" w:color="auto"/>
        <w:bottom w:val="none" w:sz="0" w:space="0" w:color="auto"/>
        <w:right w:val="none" w:sz="0" w:space="0" w:color="auto"/>
      </w:divBdr>
    </w:div>
    <w:div w:id="1511794785">
      <w:marLeft w:val="0"/>
      <w:marRight w:val="0"/>
      <w:marTop w:val="60"/>
      <w:marBottom w:val="120"/>
      <w:divBdr>
        <w:top w:val="none" w:sz="0" w:space="0" w:color="auto"/>
        <w:left w:val="none" w:sz="0" w:space="0" w:color="auto"/>
        <w:bottom w:val="none" w:sz="0" w:space="0" w:color="auto"/>
        <w:right w:val="none" w:sz="0" w:space="0" w:color="auto"/>
      </w:divBdr>
      <w:divsChild>
        <w:div w:id="1761834771">
          <w:marLeft w:val="0"/>
          <w:marRight w:val="0"/>
          <w:marTop w:val="0"/>
          <w:marBottom w:val="0"/>
          <w:divBdr>
            <w:top w:val="none" w:sz="0" w:space="0" w:color="auto"/>
            <w:left w:val="none" w:sz="0" w:space="0" w:color="auto"/>
            <w:bottom w:val="none" w:sz="0" w:space="0" w:color="auto"/>
            <w:right w:val="none" w:sz="0" w:space="0" w:color="auto"/>
          </w:divBdr>
        </w:div>
        <w:div w:id="1103068450">
          <w:marLeft w:val="0"/>
          <w:marRight w:val="0"/>
          <w:marTop w:val="0"/>
          <w:marBottom w:val="0"/>
          <w:divBdr>
            <w:top w:val="none" w:sz="0" w:space="0" w:color="auto"/>
            <w:left w:val="none" w:sz="0" w:space="0" w:color="auto"/>
            <w:bottom w:val="none" w:sz="0" w:space="0" w:color="auto"/>
            <w:right w:val="none" w:sz="0" w:space="0" w:color="auto"/>
          </w:divBdr>
        </w:div>
        <w:div w:id="977803842">
          <w:marLeft w:val="0"/>
          <w:marRight w:val="0"/>
          <w:marTop w:val="0"/>
          <w:marBottom w:val="0"/>
          <w:divBdr>
            <w:top w:val="none" w:sz="0" w:space="0" w:color="auto"/>
            <w:left w:val="none" w:sz="0" w:space="0" w:color="auto"/>
            <w:bottom w:val="none" w:sz="0" w:space="0" w:color="auto"/>
            <w:right w:val="none" w:sz="0" w:space="0" w:color="auto"/>
          </w:divBdr>
        </w:div>
        <w:div w:id="1911229977">
          <w:marLeft w:val="0"/>
          <w:marRight w:val="0"/>
          <w:marTop w:val="0"/>
          <w:marBottom w:val="0"/>
          <w:divBdr>
            <w:top w:val="none" w:sz="0" w:space="0" w:color="auto"/>
            <w:left w:val="none" w:sz="0" w:space="0" w:color="auto"/>
            <w:bottom w:val="none" w:sz="0" w:space="0" w:color="auto"/>
            <w:right w:val="none" w:sz="0" w:space="0" w:color="auto"/>
          </w:divBdr>
        </w:div>
      </w:divsChild>
    </w:div>
    <w:div w:id="1512138065">
      <w:marLeft w:val="0"/>
      <w:marRight w:val="0"/>
      <w:marTop w:val="180"/>
      <w:marBottom w:val="0"/>
      <w:divBdr>
        <w:top w:val="none" w:sz="0" w:space="0" w:color="auto"/>
        <w:left w:val="none" w:sz="0" w:space="0" w:color="auto"/>
        <w:bottom w:val="none" w:sz="0" w:space="0" w:color="auto"/>
        <w:right w:val="none" w:sz="0" w:space="0" w:color="auto"/>
      </w:divBdr>
    </w:div>
    <w:div w:id="1517690539">
      <w:marLeft w:val="0"/>
      <w:marRight w:val="0"/>
      <w:marTop w:val="240"/>
      <w:marBottom w:val="0"/>
      <w:divBdr>
        <w:top w:val="none" w:sz="0" w:space="0" w:color="auto"/>
        <w:left w:val="none" w:sz="0" w:space="0" w:color="auto"/>
        <w:bottom w:val="none" w:sz="0" w:space="0" w:color="auto"/>
        <w:right w:val="none" w:sz="0" w:space="0" w:color="auto"/>
      </w:divBdr>
    </w:div>
    <w:div w:id="1519469082">
      <w:marLeft w:val="0"/>
      <w:marRight w:val="0"/>
      <w:marTop w:val="0"/>
      <w:marBottom w:val="0"/>
      <w:divBdr>
        <w:top w:val="none" w:sz="0" w:space="0" w:color="auto"/>
        <w:left w:val="none" w:sz="0" w:space="0" w:color="auto"/>
        <w:bottom w:val="none" w:sz="0" w:space="0" w:color="auto"/>
        <w:right w:val="none" w:sz="0" w:space="0" w:color="auto"/>
      </w:divBdr>
      <w:divsChild>
        <w:div w:id="1022509246">
          <w:marLeft w:val="0"/>
          <w:marRight w:val="0"/>
          <w:marTop w:val="180"/>
          <w:marBottom w:val="0"/>
          <w:divBdr>
            <w:top w:val="none" w:sz="0" w:space="0" w:color="auto"/>
            <w:left w:val="none" w:sz="0" w:space="0" w:color="auto"/>
            <w:bottom w:val="none" w:sz="0" w:space="0" w:color="auto"/>
            <w:right w:val="none" w:sz="0" w:space="0" w:color="auto"/>
          </w:divBdr>
        </w:div>
      </w:divsChild>
    </w:div>
    <w:div w:id="1520702756">
      <w:marLeft w:val="0"/>
      <w:marRight w:val="0"/>
      <w:marTop w:val="180"/>
      <w:marBottom w:val="0"/>
      <w:divBdr>
        <w:top w:val="none" w:sz="0" w:space="0" w:color="auto"/>
        <w:left w:val="none" w:sz="0" w:space="0" w:color="auto"/>
        <w:bottom w:val="none" w:sz="0" w:space="0" w:color="auto"/>
        <w:right w:val="none" w:sz="0" w:space="0" w:color="auto"/>
      </w:divBdr>
    </w:div>
    <w:div w:id="1521165507">
      <w:marLeft w:val="0"/>
      <w:marRight w:val="0"/>
      <w:marTop w:val="0"/>
      <w:marBottom w:val="0"/>
      <w:divBdr>
        <w:top w:val="none" w:sz="0" w:space="0" w:color="auto"/>
        <w:left w:val="none" w:sz="0" w:space="0" w:color="auto"/>
        <w:bottom w:val="none" w:sz="0" w:space="0" w:color="auto"/>
        <w:right w:val="none" w:sz="0" w:space="0" w:color="auto"/>
      </w:divBdr>
      <w:divsChild>
        <w:div w:id="1251890534">
          <w:marLeft w:val="0"/>
          <w:marRight w:val="0"/>
          <w:marTop w:val="0"/>
          <w:marBottom w:val="0"/>
          <w:divBdr>
            <w:top w:val="none" w:sz="0" w:space="0" w:color="auto"/>
            <w:left w:val="none" w:sz="0" w:space="0" w:color="auto"/>
            <w:bottom w:val="none" w:sz="0" w:space="0" w:color="auto"/>
            <w:right w:val="none" w:sz="0" w:space="0" w:color="auto"/>
          </w:divBdr>
          <w:divsChild>
            <w:div w:id="6446996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1552013">
      <w:marLeft w:val="0"/>
      <w:marRight w:val="0"/>
      <w:marTop w:val="180"/>
      <w:marBottom w:val="0"/>
      <w:divBdr>
        <w:top w:val="none" w:sz="0" w:space="0" w:color="auto"/>
        <w:left w:val="none" w:sz="0" w:space="0" w:color="auto"/>
        <w:bottom w:val="none" w:sz="0" w:space="0" w:color="auto"/>
        <w:right w:val="none" w:sz="0" w:space="0" w:color="auto"/>
      </w:divBdr>
    </w:div>
    <w:div w:id="1526750727">
      <w:marLeft w:val="0"/>
      <w:marRight w:val="0"/>
      <w:marTop w:val="180"/>
      <w:marBottom w:val="0"/>
      <w:divBdr>
        <w:top w:val="none" w:sz="0" w:space="0" w:color="auto"/>
        <w:left w:val="none" w:sz="0" w:space="0" w:color="auto"/>
        <w:bottom w:val="none" w:sz="0" w:space="0" w:color="auto"/>
        <w:right w:val="none" w:sz="0" w:space="0" w:color="auto"/>
      </w:divBdr>
    </w:div>
    <w:div w:id="1526866670">
      <w:marLeft w:val="0"/>
      <w:marRight w:val="0"/>
      <w:marTop w:val="0"/>
      <w:marBottom w:val="200"/>
      <w:divBdr>
        <w:top w:val="none" w:sz="0" w:space="0" w:color="auto"/>
        <w:left w:val="none" w:sz="0" w:space="0" w:color="auto"/>
        <w:bottom w:val="none" w:sz="0" w:space="0" w:color="auto"/>
        <w:right w:val="none" w:sz="0" w:space="0" w:color="auto"/>
      </w:divBdr>
    </w:div>
    <w:div w:id="1527133844">
      <w:marLeft w:val="0"/>
      <w:marRight w:val="0"/>
      <w:marTop w:val="0"/>
      <w:marBottom w:val="0"/>
      <w:divBdr>
        <w:top w:val="none" w:sz="0" w:space="0" w:color="auto"/>
        <w:left w:val="none" w:sz="0" w:space="0" w:color="auto"/>
        <w:bottom w:val="none" w:sz="0" w:space="0" w:color="auto"/>
        <w:right w:val="none" w:sz="0" w:space="0" w:color="auto"/>
      </w:divBdr>
      <w:divsChild>
        <w:div w:id="1856655701">
          <w:marLeft w:val="0"/>
          <w:marRight w:val="0"/>
          <w:marTop w:val="0"/>
          <w:marBottom w:val="0"/>
          <w:divBdr>
            <w:top w:val="none" w:sz="0" w:space="0" w:color="auto"/>
            <w:left w:val="none" w:sz="0" w:space="0" w:color="auto"/>
            <w:bottom w:val="none" w:sz="0" w:space="0" w:color="auto"/>
            <w:right w:val="none" w:sz="0" w:space="0" w:color="auto"/>
          </w:divBdr>
          <w:divsChild>
            <w:div w:id="5250967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9371742">
      <w:marLeft w:val="0"/>
      <w:marRight w:val="0"/>
      <w:marTop w:val="0"/>
      <w:marBottom w:val="0"/>
      <w:divBdr>
        <w:top w:val="none" w:sz="0" w:space="0" w:color="auto"/>
        <w:left w:val="none" w:sz="0" w:space="0" w:color="auto"/>
        <w:bottom w:val="none" w:sz="0" w:space="0" w:color="auto"/>
        <w:right w:val="none" w:sz="0" w:space="0" w:color="auto"/>
      </w:divBdr>
      <w:divsChild>
        <w:div w:id="1652102521">
          <w:marLeft w:val="0"/>
          <w:marRight w:val="0"/>
          <w:marTop w:val="0"/>
          <w:marBottom w:val="0"/>
          <w:divBdr>
            <w:top w:val="none" w:sz="0" w:space="0" w:color="auto"/>
            <w:left w:val="none" w:sz="0" w:space="0" w:color="auto"/>
            <w:bottom w:val="none" w:sz="0" w:space="0" w:color="auto"/>
            <w:right w:val="none" w:sz="0" w:space="0" w:color="auto"/>
          </w:divBdr>
        </w:div>
      </w:divsChild>
    </w:div>
    <w:div w:id="1529373953">
      <w:marLeft w:val="0"/>
      <w:marRight w:val="0"/>
      <w:marTop w:val="180"/>
      <w:marBottom w:val="0"/>
      <w:divBdr>
        <w:top w:val="none" w:sz="0" w:space="0" w:color="auto"/>
        <w:left w:val="none" w:sz="0" w:space="0" w:color="auto"/>
        <w:bottom w:val="none" w:sz="0" w:space="0" w:color="auto"/>
        <w:right w:val="none" w:sz="0" w:space="0" w:color="auto"/>
      </w:divBdr>
    </w:div>
    <w:div w:id="1529492823">
      <w:marLeft w:val="0"/>
      <w:marRight w:val="0"/>
      <w:marTop w:val="180"/>
      <w:marBottom w:val="0"/>
      <w:divBdr>
        <w:top w:val="none" w:sz="0" w:space="0" w:color="auto"/>
        <w:left w:val="none" w:sz="0" w:space="0" w:color="auto"/>
        <w:bottom w:val="none" w:sz="0" w:space="0" w:color="auto"/>
        <w:right w:val="none" w:sz="0" w:space="0" w:color="auto"/>
      </w:divBdr>
    </w:div>
    <w:div w:id="1529758752">
      <w:marLeft w:val="0"/>
      <w:marRight w:val="0"/>
      <w:marTop w:val="60"/>
      <w:marBottom w:val="240"/>
      <w:divBdr>
        <w:top w:val="none" w:sz="0" w:space="0" w:color="auto"/>
        <w:left w:val="none" w:sz="0" w:space="0" w:color="auto"/>
        <w:bottom w:val="none" w:sz="0" w:space="0" w:color="auto"/>
        <w:right w:val="none" w:sz="0" w:space="0" w:color="auto"/>
      </w:divBdr>
    </w:div>
    <w:div w:id="1533028940">
      <w:marLeft w:val="0"/>
      <w:marRight w:val="0"/>
      <w:marTop w:val="0"/>
      <w:marBottom w:val="0"/>
      <w:divBdr>
        <w:top w:val="none" w:sz="0" w:space="0" w:color="auto"/>
        <w:left w:val="none" w:sz="0" w:space="0" w:color="auto"/>
        <w:bottom w:val="none" w:sz="0" w:space="0" w:color="auto"/>
        <w:right w:val="none" w:sz="0" w:space="0" w:color="auto"/>
      </w:divBdr>
      <w:divsChild>
        <w:div w:id="856892831">
          <w:marLeft w:val="0"/>
          <w:marRight w:val="0"/>
          <w:marTop w:val="180"/>
          <w:marBottom w:val="0"/>
          <w:divBdr>
            <w:top w:val="none" w:sz="0" w:space="0" w:color="auto"/>
            <w:left w:val="none" w:sz="0" w:space="0" w:color="auto"/>
            <w:bottom w:val="none" w:sz="0" w:space="0" w:color="auto"/>
            <w:right w:val="none" w:sz="0" w:space="0" w:color="auto"/>
          </w:divBdr>
        </w:div>
      </w:divsChild>
    </w:div>
    <w:div w:id="1539006341">
      <w:marLeft w:val="0"/>
      <w:marRight w:val="0"/>
      <w:marTop w:val="180"/>
      <w:marBottom w:val="0"/>
      <w:divBdr>
        <w:top w:val="none" w:sz="0" w:space="0" w:color="auto"/>
        <w:left w:val="none" w:sz="0" w:space="0" w:color="auto"/>
        <w:bottom w:val="none" w:sz="0" w:space="0" w:color="auto"/>
        <w:right w:val="none" w:sz="0" w:space="0" w:color="auto"/>
      </w:divBdr>
    </w:div>
    <w:div w:id="1541358474">
      <w:marLeft w:val="0"/>
      <w:marRight w:val="0"/>
      <w:marTop w:val="180"/>
      <w:marBottom w:val="0"/>
      <w:divBdr>
        <w:top w:val="none" w:sz="0" w:space="0" w:color="auto"/>
        <w:left w:val="none" w:sz="0" w:space="0" w:color="auto"/>
        <w:bottom w:val="none" w:sz="0" w:space="0" w:color="auto"/>
        <w:right w:val="none" w:sz="0" w:space="0" w:color="auto"/>
      </w:divBdr>
    </w:div>
    <w:div w:id="1541821245">
      <w:marLeft w:val="0"/>
      <w:marRight w:val="0"/>
      <w:marTop w:val="0"/>
      <w:marBottom w:val="0"/>
      <w:divBdr>
        <w:top w:val="none" w:sz="0" w:space="0" w:color="auto"/>
        <w:left w:val="none" w:sz="0" w:space="0" w:color="auto"/>
        <w:bottom w:val="none" w:sz="0" w:space="0" w:color="auto"/>
        <w:right w:val="none" w:sz="0" w:space="0" w:color="auto"/>
      </w:divBdr>
      <w:divsChild>
        <w:div w:id="1805462837">
          <w:marLeft w:val="0"/>
          <w:marRight w:val="0"/>
          <w:marTop w:val="0"/>
          <w:marBottom w:val="0"/>
          <w:divBdr>
            <w:top w:val="none" w:sz="0" w:space="0" w:color="auto"/>
            <w:left w:val="none" w:sz="0" w:space="0" w:color="auto"/>
            <w:bottom w:val="none" w:sz="0" w:space="0" w:color="auto"/>
            <w:right w:val="none" w:sz="0" w:space="0" w:color="auto"/>
          </w:divBdr>
          <w:divsChild>
            <w:div w:id="4893676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4170334">
      <w:marLeft w:val="0"/>
      <w:marRight w:val="0"/>
      <w:marTop w:val="180"/>
      <w:marBottom w:val="0"/>
      <w:divBdr>
        <w:top w:val="none" w:sz="0" w:space="0" w:color="auto"/>
        <w:left w:val="none" w:sz="0" w:space="0" w:color="auto"/>
        <w:bottom w:val="none" w:sz="0" w:space="0" w:color="auto"/>
        <w:right w:val="none" w:sz="0" w:space="0" w:color="auto"/>
      </w:divBdr>
    </w:div>
    <w:div w:id="1544176876">
      <w:marLeft w:val="0"/>
      <w:marRight w:val="0"/>
      <w:marTop w:val="0"/>
      <w:marBottom w:val="0"/>
      <w:divBdr>
        <w:top w:val="none" w:sz="0" w:space="0" w:color="auto"/>
        <w:left w:val="none" w:sz="0" w:space="0" w:color="auto"/>
        <w:bottom w:val="none" w:sz="0" w:space="0" w:color="auto"/>
        <w:right w:val="none" w:sz="0" w:space="0" w:color="auto"/>
      </w:divBdr>
      <w:divsChild>
        <w:div w:id="1761750115">
          <w:marLeft w:val="0"/>
          <w:marRight w:val="0"/>
          <w:marTop w:val="180"/>
          <w:marBottom w:val="0"/>
          <w:divBdr>
            <w:top w:val="none" w:sz="0" w:space="0" w:color="auto"/>
            <w:left w:val="none" w:sz="0" w:space="0" w:color="auto"/>
            <w:bottom w:val="none" w:sz="0" w:space="0" w:color="auto"/>
            <w:right w:val="none" w:sz="0" w:space="0" w:color="auto"/>
          </w:divBdr>
        </w:div>
      </w:divsChild>
    </w:div>
    <w:div w:id="1547909193">
      <w:marLeft w:val="0"/>
      <w:marRight w:val="0"/>
      <w:marTop w:val="240"/>
      <w:marBottom w:val="0"/>
      <w:divBdr>
        <w:top w:val="none" w:sz="0" w:space="0" w:color="auto"/>
        <w:left w:val="none" w:sz="0" w:space="0" w:color="auto"/>
        <w:bottom w:val="none" w:sz="0" w:space="0" w:color="auto"/>
        <w:right w:val="none" w:sz="0" w:space="0" w:color="auto"/>
      </w:divBdr>
    </w:div>
    <w:div w:id="1549609328">
      <w:marLeft w:val="0"/>
      <w:marRight w:val="0"/>
      <w:marTop w:val="180"/>
      <w:marBottom w:val="0"/>
      <w:divBdr>
        <w:top w:val="none" w:sz="0" w:space="0" w:color="auto"/>
        <w:left w:val="none" w:sz="0" w:space="0" w:color="auto"/>
        <w:bottom w:val="none" w:sz="0" w:space="0" w:color="auto"/>
        <w:right w:val="none" w:sz="0" w:space="0" w:color="auto"/>
      </w:divBdr>
    </w:div>
    <w:div w:id="1549802376">
      <w:marLeft w:val="0"/>
      <w:marRight w:val="0"/>
      <w:marTop w:val="0"/>
      <w:marBottom w:val="0"/>
      <w:divBdr>
        <w:top w:val="none" w:sz="0" w:space="0" w:color="auto"/>
        <w:left w:val="none" w:sz="0" w:space="0" w:color="auto"/>
        <w:bottom w:val="none" w:sz="0" w:space="0" w:color="auto"/>
        <w:right w:val="none" w:sz="0" w:space="0" w:color="auto"/>
      </w:divBdr>
      <w:divsChild>
        <w:div w:id="52824460">
          <w:marLeft w:val="0"/>
          <w:marRight w:val="0"/>
          <w:marTop w:val="0"/>
          <w:marBottom w:val="0"/>
          <w:divBdr>
            <w:top w:val="none" w:sz="0" w:space="0" w:color="auto"/>
            <w:left w:val="none" w:sz="0" w:space="0" w:color="auto"/>
            <w:bottom w:val="none" w:sz="0" w:space="0" w:color="auto"/>
            <w:right w:val="none" w:sz="0" w:space="0" w:color="auto"/>
          </w:divBdr>
          <w:divsChild>
            <w:div w:id="17250633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1377075">
      <w:marLeft w:val="0"/>
      <w:marRight w:val="0"/>
      <w:marTop w:val="180"/>
      <w:marBottom w:val="0"/>
      <w:divBdr>
        <w:top w:val="none" w:sz="0" w:space="0" w:color="auto"/>
        <w:left w:val="none" w:sz="0" w:space="0" w:color="auto"/>
        <w:bottom w:val="none" w:sz="0" w:space="0" w:color="auto"/>
        <w:right w:val="none" w:sz="0" w:space="0" w:color="auto"/>
      </w:divBdr>
    </w:div>
    <w:div w:id="1556699013">
      <w:marLeft w:val="0"/>
      <w:marRight w:val="0"/>
      <w:marTop w:val="0"/>
      <w:marBottom w:val="200"/>
      <w:divBdr>
        <w:top w:val="none" w:sz="0" w:space="0" w:color="auto"/>
        <w:left w:val="none" w:sz="0" w:space="0" w:color="auto"/>
        <w:bottom w:val="none" w:sz="0" w:space="0" w:color="auto"/>
        <w:right w:val="none" w:sz="0" w:space="0" w:color="auto"/>
      </w:divBdr>
    </w:div>
    <w:div w:id="1557743799">
      <w:marLeft w:val="0"/>
      <w:marRight w:val="0"/>
      <w:marTop w:val="180"/>
      <w:marBottom w:val="0"/>
      <w:divBdr>
        <w:top w:val="none" w:sz="0" w:space="0" w:color="auto"/>
        <w:left w:val="none" w:sz="0" w:space="0" w:color="auto"/>
        <w:bottom w:val="none" w:sz="0" w:space="0" w:color="auto"/>
        <w:right w:val="none" w:sz="0" w:space="0" w:color="auto"/>
      </w:divBdr>
    </w:div>
    <w:div w:id="1559900359">
      <w:marLeft w:val="0"/>
      <w:marRight w:val="0"/>
      <w:marTop w:val="180"/>
      <w:marBottom w:val="0"/>
      <w:divBdr>
        <w:top w:val="none" w:sz="0" w:space="0" w:color="auto"/>
        <w:left w:val="none" w:sz="0" w:space="0" w:color="auto"/>
        <w:bottom w:val="none" w:sz="0" w:space="0" w:color="auto"/>
        <w:right w:val="none" w:sz="0" w:space="0" w:color="auto"/>
      </w:divBdr>
    </w:div>
    <w:div w:id="1561164304">
      <w:marLeft w:val="0"/>
      <w:marRight w:val="0"/>
      <w:marTop w:val="180"/>
      <w:marBottom w:val="0"/>
      <w:divBdr>
        <w:top w:val="none" w:sz="0" w:space="0" w:color="auto"/>
        <w:left w:val="none" w:sz="0" w:space="0" w:color="auto"/>
        <w:bottom w:val="none" w:sz="0" w:space="0" w:color="auto"/>
        <w:right w:val="none" w:sz="0" w:space="0" w:color="auto"/>
      </w:divBdr>
    </w:div>
    <w:div w:id="1562055584">
      <w:marLeft w:val="0"/>
      <w:marRight w:val="0"/>
      <w:marTop w:val="180"/>
      <w:marBottom w:val="120"/>
      <w:divBdr>
        <w:top w:val="none" w:sz="0" w:space="0" w:color="auto"/>
        <w:left w:val="none" w:sz="0" w:space="0" w:color="auto"/>
        <w:bottom w:val="none" w:sz="0" w:space="0" w:color="auto"/>
        <w:right w:val="none" w:sz="0" w:space="0" w:color="auto"/>
      </w:divBdr>
      <w:divsChild>
        <w:div w:id="1036933703">
          <w:marLeft w:val="0"/>
          <w:marRight w:val="0"/>
          <w:marTop w:val="0"/>
          <w:marBottom w:val="0"/>
          <w:divBdr>
            <w:top w:val="none" w:sz="0" w:space="0" w:color="auto"/>
            <w:left w:val="none" w:sz="0" w:space="0" w:color="auto"/>
            <w:bottom w:val="none" w:sz="0" w:space="0" w:color="auto"/>
            <w:right w:val="none" w:sz="0" w:space="0" w:color="auto"/>
          </w:divBdr>
        </w:div>
        <w:div w:id="1902867207">
          <w:marLeft w:val="0"/>
          <w:marRight w:val="0"/>
          <w:marTop w:val="0"/>
          <w:marBottom w:val="0"/>
          <w:divBdr>
            <w:top w:val="none" w:sz="0" w:space="0" w:color="auto"/>
            <w:left w:val="none" w:sz="0" w:space="0" w:color="auto"/>
            <w:bottom w:val="none" w:sz="0" w:space="0" w:color="auto"/>
            <w:right w:val="none" w:sz="0" w:space="0" w:color="auto"/>
          </w:divBdr>
        </w:div>
        <w:div w:id="2043554784">
          <w:marLeft w:val="0"/>
          <w:marRight w:val="0"/>
          <w:marTop w:val="0"/>
          <w:marBottom w:val="0"/>
          <w:divBdr>
            <w:top w:val="none" w:sz="0" w:space="0" w:color="auto"/>
            <w:left w:val="none" w:sz="0" w:space="0" w:color="auto"/>
            <w:bottom w:val="none" w:sz="0" w:space="0" w:color="auto"/>
            <w:right w:val="none" w:sz="0" w:space="0" w:color="auto"/>
          </w:divBdr>
        </w:div>
        <w:div w:id="1434469686">
          <w:marLeft w:val="0"/>
          <w:marRight w:val="0"/>
          <w:marTop w:val="0"/>
          <w:marBottom w:val="0"/>
          <w:divBdr>
            <w:top w:val="none" w:sz="0" w:space="0" w:color="auto"/>
            <w:left w:val="none" w:sz="0" w:space="0" w:color="auto"/>
            <w:bottom w:val="none" w:sz="0" w:space="0" w:color="auto"/>
            <w:right w:val="none" w:sz="0" w:space="0" w:color="auto"/>
          </w:divBdr>
        </w:div>
        <w:div w:id="1181240507">
          <w:marLeft w:val="0"/>
          <w:marRight w:val="0"/>
          <w:marTop w:val="0"/>
          <w:marBottom w:val="0"/>
          <w:divBdr>
            <w:top w:val="none" w:sz="0" w:space="0" w:color="auto"/>
            <w:left w:val="none" w:sz="0" w:space="0" w:color="auto"/>
            <w:bottom w:val="none" w:sz="0" w:space="0" w:color="auto"/>
            <w:right w:val="none" w:sz="0" w:space="0" w:color="auto"/>
          </w:divBdr>
        </w:div>
        <w:div w:id="1264531691">
          <w:marLeft w:val="0"/>
          <w:marRight w:val="0"/>
          <w:marTop w:val="0"/>
          <w:marBottom w:val="0"/>
          <w:divBdr>
            <w:top w:val="none" w:sz="0" w:space="0" w:color="auto"/>
            <w:left w:val="none" w:sz="0" w:space="0" w:color="auto"/>
            <w:bottom w:val="none" w:sz="0" w:space="0" w:color="auto"/>
            <w:right w:val="none" w:sz="0" w:space="0" w:color="auto"/>
          </w:divBdr>
        </w:div>
        <w:div w:id="535628704">
          <w:marLeft w:val="0"/>
          <w:marRight w:val="0"/>
          <w:marTop w:val="0"/>
          <w:marBottom w:val="0"/>
          <w:divBdr>
            <w:top w:val="none" w:sz="0" w:space="0" w:color="auto"/>
            <w:left w:val="none" w:sz="0" w:space="0" w:color="auto"/>
            <w:bottom w:val="none" w:sz="0" w:space="0" w:color="auto"/>
            <w:right w:val="none" w:sz="0" w:space="0" w:color="auto"/>
          </w:divBdr>
        </w:div>
        <w:div w:id="175192038">
          <w:marLeft w:val="0"/>
          <w:marRight w:val="0"/>
          <w:marTop w:val="0"/>
          <w:marBottom w:val="0"/>
          <w:divBdr>
            <w:top w:val="none" w:sz="0" w:space="0" w:color="auto"/>
            <w:left w:val="none" w:sz="0" w:space="0" w:color="auto"/>
            <w:bottom w:val="none" w:sz="0" w:space="0" w:color="auto"/>
            <w:right w:val="none" w:sz="0" w:space="0" w:color="auto"/>
          </w:divBdr>
        </w:div>
        <w:div w:id="397166398">
          <w:marLeft w:val="0"/>
          <w:marRight w:val="0"/>
          <w:marTop w:val="0"/>
          <w:marBottom w:val="0"/>
          <w:divBdr>
            <w:top w:val="none" w:sz="0" w:space="0" w:color="auto"/>
            <w:left w:val="none" w:sz="0" w:space="0" w:color="auto"/>
            <w:bottom w:val="none" w:sz="0" w:space="0" w:color="auto"/>
            <w:right w:val="none" w:sz="0" w:space="0" w:color="auto"/>
          </w:divBdr>
        </w:div>
        <w:div w:id="809251104">
          <w:marLeft w:val="0"/>
          <w:marRight w:val="0"/>
          <w:marTop w:val="0"/>
          <w:marBottom w:val="0"/>
          <w:divBdr>
            <w:top w:val="none" w:sz="0" w:space="0" w:color="auto"/>
            <w:left w:val="none" w:sz="0" w:space="0" w:color="auto"/>
            <w:bottom w:val="none" w:sz="0" w:space="0" w:color="auto"/>
            <w:right w:val="none" w:sz="0" w:space="0" w:color="auto"/>
          </w:divBdr>
        </w:div>
        <w:div w:id="520975455">
          <w:marLeft w:val="0"/>
          <w:marRight w:val="0"/>
          <w:marTop w:val="0"/>
          <w:marBottom w:val="0"/>
          <w:divBdr>
            <w:top w:val="none" w:sz="0" w:space="0" w:color="auto"/>
            <w:left w:val="none" w:sz="0" w:space="0" w:color="auto"/>
            <w:bottom w:val="none" w:sz="0" w:space="0" w:color="auto"/>
            <w:right w:val="none" w:sz="0" w:space="0" w:color="auto"/>
          </w:divBdr>
        </w:div>
        <w:div w:id="257951741">
          <w:marLeft w:val="0"/>
          <w:marRight w:val="0"/>
          <w:marTop w:val="0"/>
          <w:marBottom w:val="0"/>
          <w:divBdr>
            <w:top w:val="none" w:sz="0" w:space="0" w:color="auto"/>
            <w:left w:val="none" w:sz="0" w:space="0" w:color="auto"/>
            <w:bottom w:val="none" w:sz="0" w:space="0" w:color="auto"/>
            <w:right w:val="none" w:sz="0" w:space="0" w:color="auto"/>
          </w:divBdr>
        </w:div>
        <w:div w:id="1982340568">
          <w:marLeft w:val="0"/>
          <w:marRight w:val="0"/>
          <w:marTop w:val="0"/>
          <w:marBottom w:val="0"/>
          <w:divBdr>
            <w:top w:val="none" w:sz="0" w:space="0" w:color="auto"/>
            <w:left w:val="none" w:sz="0" w:space="0" w:color="auto"/>
            <w:bottom w:val="none" w:sz="0" w:space="0" w:color="auto"/>
            <w:right w:val="none" w:sz="0" w:space="0" w:color="auto"/>
          </w:divBdr>
        </w:div>
        <w:div w:id="4602036">
          <w:marLeft w:val="0"/>
          <w:marRight w:val="0"/>
          <w:marTop w:val="0"/>
          <w:marBottom w:val="0"/>
          <w:divBdr>
            <w:top w:val="none" w:sz="0" w:space="0" w:color="auto"/>
            <w:left w:val="none" w:sz="0" w:space="0" w:color="auto"/>
            <w:bottom w:val="none" w:sz="0" w:space="0" w:color="auto"/>
            <w:right w:val="none" w:sz="0" w:space="0" w:color="auto"/>
          </w:divBdr>
        </w:div>
        <w:div w:id="2051225073">
          <w:marLeft w:val="0"/>
          <w:marRight w:val="0"/>
          <w:marTop w:val="0"/>
          <w:marBottom w:val="0"/>
          <w:divBdr>
            <w:top w:val="none" w:sz="0" w:space="0" w:color="auto"/>
            <w:left w:val="none" w:sz="0" w:space="0" w:color="auto"/>
            <w:bottom w:val="none" w:sz="0" w:space="0" w:color="auto"/>
            <w:right w:val="none" w:sz="0" w:space="0" w:color="auto"/>
          </w:divBdr>
        </w:div>
        <w:div w:id="1900675594">
          <w:marLeft w:val="0"/>
          <w:marRight w:val="0"/>
          <w:marTop w:val="0"/>
          <w:marBottom w:val="0"/>
          <w:divBdr>
            <w:top w:val="none" w:sz="0" w:space="0" w:color="auto"/>
            <w:left w:val="none" w:sz="0" w:space="0" w:color="auto"/>
            <w:bottom w:val="none" w:sz="0" w:space="0" w:color="auto"/>
            <w:right w:val="none" w:sz="0" w:space="0" w:color="auto"/>
          </w:divBdr>
        </w:div>
        <w:div w:id="1106540291">
          <w:marLeft w:val="0"/>
          <w:marRight w:val="0"/>
          <w:marTop w:val="0"/>
          <w:marBottom w:val="0"/>
          <w:divBdr>
            <w:top w:val="none" w:sz="0" w:space="0" w:color="auto"/>
            <w:left w:val="none" w:sz="0" w:space="0" w:color="auto"/>
            <w:bottom w:val="none" w:sz="0" w:space="0" w:color="auto"/>
            <w:right w:val="none" w:sz="0" w:space="0" w:color="auto"/>
          </w:divBdr>
        </w:div>
        <w:div w:id="1340615697">
          <w:marLeft w:val="0"/>
          <w:marRight w:val="0"/>
          <w:marTop w:val="0"/>
          <w:marBottom w:val="0"/>
          <w:divBdr>
            <w:top w:val="none" w:sz="0" w:space="0" w:color="auto"/>
            <w:left w:val="none" w:sz="0" w:space="0" w:color="auto"/>
            <w:bottom w:val="none" w:sz="0" w:space="0" w:color="auto"/>
            <w:right w:val="none" w:sz="0" w:space="0" w:color="auto"/>
          </w:divBdr>
        </w:div>
        <w:div w:id="530611041">
          <w:marLeft w:val="0"/>
          <w:marRight w:val="0"/>
          <w:marTop w:val="0"/>
          <w:marBottom w:val="0"/>
          <w:divBdr>
            <w:top w:val="none" w:sz="0" w:space="0" w:color="auto"/>
            <w:left w:val="none" w:sz="0" w:space="0" w:color="auto"/>
            <w:bottom w:val="none" w:sz="0" w:space="0" w:color="auto"/>
            <w:right w:val="none" w:sz="0" w:space="0" w:color="auto"/>
          </w:divBdr>
        </w:div>
        <w:div w:id="1411276150">
          <w:marLeft w:val="0"/>
          <w:marRight w:val="0"/>
          <w:marTop w:val="0"/>
          <w:marBottom w:val="0"/>
          <w:divBdr>
            <w:top w:val="none" w:sz="0" w:space="0" w:color="auto"/>
            <w:left w:val="none" w:sz="0" w:space="0" w:color="auto"/>
            <w:bottom w:val="none" w:sz="0" w:space="0" w:color="auto"/>
            <w:right w:val="none" w:sz="0" w:space="0" w:color="auto"/>
          </w:divBdr>
        </w:div>
        <w:div w:id="458572983">
          <w:marLeft w:val="0"/>
          <w:marRight w:val="0"/>
          <w:marTop w:val="0"/>
          <w:marBottom w:val="0"/>
          <w:divBdr>
            <w:top w:val="none" w:sz="0" w:space="0" w:color="auto"/>
            <w:left w:val="none" w:sz="0" w:space="0" w:color="auto"/>
            <w:bottom w:val="none" w:sz="0" w:space="0" w:color="auto"/>
            <w:right w:val="none" w:sz="0" w:space="0" w:color="auto"/>
          </w:divBdr>
        </w:div>
        <w:div w:id="743840311">
          <w:marLeft w:val="0"/>
          <w:marRight w:val="0"/>
          <w:marTop w:val="0"/>
          <w:marBottom w:val="0"/>
          <w:divBdr>
            <w:top w:val="none" w:sz="0" w:space="0" w:color="auto"/>
            <w:left w:val="none" w:sz="0" w:space="0" w:color="auto"/>
            <w:bottom w:val="none" w:sz="0" w:space="0" w:color="auto"/>
            <w:right w:val="none" w:sz="0" w:space="0" w:color="auto"/>
          </w:divBdr>
        </w:div>
        <w:div w:id="1370379272">
          <w:marLeft w:val="0"/>
          <w:marRight w:val="0"/>
          <w:marTop w:val="0"/>
          <w:marBottom w:val="0"/>
          <w:divBdr>
            <w:top w:val="none" w:sz="0" w:space="0" w:color="auto"/>
            <w:left w:val="none" w:sz="0" w:space="0" w:color="auto"/>
            <w:bottom w:val="none" w:sz="0" w:space="0" w:color="auto"/>
            <w:right w:val="none" w:sz="0" w:space="0" w:color="auto"/>
          </w:divBdr>
        </w:div>
        <w:div w:id="1400520767">
          <w:marLeft w:val="0"/>
          <w:marRight w:val="0"/>
          <w:marTop w:val="0"/>
          <w:marBottom w:val="0"/>
          <w:divBdr>
            <w:top w:val="none" w:sz="0" w:space="0" w:color="auto"/>
            <w:left w:val="none" w:sz="0" w:space="0" w:color="auto"/>
            <w:bottom w:val="none" w:sz="0" w:space="0" w:color="auto"/>
            <w:right w:val="none" w:sz="0" w:space="0" w:color="auto"/>
          </w:divBdr>
        </w:div>
        <w:div w:id="1371684340">
          <w:marLeft w:val="0"/>
          <w:marRight w:val="0"/>
          <w:marTop w:val="0"/>
          <w:marBottom w:val="0"/>
          <w:divBdr>
            <w:top w:val="none" w:sz="0" w:space="0" w:color="auto"/>
            <w:left w:val="none" w:sz="0" w:space="0" w:color="auto"/>
            <w:bottom w:val="none" w:sz="0" w:space="0" w:color="auto"/>
            <w:right w:val="none" w:sz="0" w:space="0" w:color="auto"/>
          </w:divBdr>
        </w:div>
        <w:div w:id="1685355384">
          <w:marLeft w:val="0"/>
          <w:marRight w:val="0"/>
          <w:marTop w:val="0"/>
          <w:marBottom w:val="0"/>
          <w:divBdr>
            <w:top w:val="none" w:sz="0" w:space="0" w:color="auto"/>
            <w:left w:val="none" w:sz="0" w:space="0" w:color="auto"/>
            <w:bottom w:val="none" w:sz="0" w:space="0" w:color="auto"/>
            <w:right w:val="none" w:sz="0" w:space="0" w:color="auto"/>
          </w:divBdr>
        </w:div>
        <w:div w:id="1293706764">
          <w:marLeft w:val="0"/>
          <w:marRight w:val="0"/>
          <w:marTop w:val="0"/>
          <w:marBottom w:val="0"/>
          <w:divBdr>
            <w:top w:val="none" w:sz="0" w:space="0" w:color="auto"/>
            <w:left w:val="none" w:sz="0" w:space="0" w:color="auto"/>
            <w:bottom w:val="none" w:sz="0" w:space="0" w:color="auto"/>
            <w:right w:val="none" w:sz="0" w:space="0" w:color="auto"/>
          </w:divBdr>
        </w:div>
        <w:div w:id="98765542">
          <w:marLeft w:val="0"/>
          <w:marRight w:val="0"/>
          <w:marTop w:val="0"/>
          <w:marBottom w:val="0"/>
          <w:divBdr>
            <w:top w:val="none" w:sz="0" w:space="0" w:color="auto"/>
            <w:left w:val="none" w:sz="0" w:space="0" w:color="auto"/>
            <w:bottom w:val="none" w:sz="0" w:space="0" w:color="auto"/>
            <w:right w:val="none" w:sz="0" w:space="0" w:color="auto"/>
          </w:divBdr>
        </w:div>
        <w:div w:id="433790011">
          <w:marLeft w:val="0"/>
          <w:marRight w:val="0"/>
          <w:marTop w:val="0"/>
          <w:marBottom w:val="0"/>
          <w:divBdr>
            <w:top w:val="none" w:sz="0" w:space="0" w:color="auto"/>
            <w:left w:val="none" w:sz="0" w:space="0" w:color="auto"/>
            <w:bottom w:val="none" w:sz="0" w:space="0" w:color="auto"/>
            <w:right w:val="none" w:sz="0" w:space="0" w:color="auto"/>
          </w:divBdr>
        </w:div>
        <w:div w:id="450981794">
          <w:marLeft w:val="0"/>
          <w:marRight w:val="0"/>
          <w:marTop w:val="0"/>
          <w:marBottom w:val="0"/>
          <w:divBdr>
            <w:top w:val="none" w:sz="0" w:space="0" w:color="auto"/>
            <w:left w:val="none" w:sz="0" w:space="0" w:color="auto"/>
            <w:bottom w:val="none" w:sz="0" w:space="0" w:color="auto"/>
            <w:right w:val="none" w:sz="0" w:space="0" w:color="auto"/>
          </w:divBdr>
        </w:div>
      </w:divsChild>
    </w:div>
    <w:div w:id="1562448857">
      <w:marLeft w:val="0"/>
      <w:marRight w:val="0"/>
      <w:marTop w:val="0"/>
      <w:marBottom w:val="0"/>
      <w:divBdr>
        <w:top w:val="none" w:sz="0" w:space="0" w:color="auto"/>
        <w:left w:val="none" w:sz="0" w:space="0" w:color="auto"/>
        <w:bottom w:val="none" w:sz="0" w:space="0" w:color="auto"/>
        <w:right w:val="none" w:sz="0" w:space="0" w:color="auto"/>
      </w:divBdr>
      <w:divsChild>
        <w:div w:id="1223563685">
          <w:marLeft w:val="0"/>
          <w:marRight w:val="0"/>
          <w:marTop w:val="180"/>
          <w:marBottom w:val="0"/>
          <w:divBdr>
            <w:top w:val="none" w:sz="0" w:space="0" w:color="auto"/>
            <w:left w:val="none" w:sz="0" w:space="0" w:color="auto"/>
            <w:bottom w:val="none" w:sz="0" w:space="0" w:color="auto"/>
            <w:right w:val="none" w:sz="0" w:space="0" w:color="auto"/>
          </w:divBdr>
        </w:div>
      </w:divsChild>
    </w:div>
    <w:div w:id="1563254252">
      <w:marLeft w:val="0"/>
      <w:marRight w:val="0"/>
      <w:marTop w:val="120"/>
      <w:marBottom w:val="120"/>
      <w:divBdr>
        <w:top w:val="none" w:sz="0" w:space="0" w:color="auto"/>
        <w:left w:val="none" w:sz="0" w:space="0" w:color="auto"/>
        <w:bottom w:val="none" w:sz="0" w:space="0" w:color="auto"/>
        <w:right w:val="none" w:sz="0" w:space="0" w:color="auto"/>
      </w:divBdr>
    </w:div>
    <w:div w:id="1563298463">
      <w:marLeft w:val="0"/>
      <w:marRight w:val="0"/>
      <w:marTop w:val="0"/>
      <w:marBottom w:val="0"/>
      <w:divBdr>
        <w:top w:val="none" w:sz="0" w:space="0" w:color="auto"/>
        <w:left w:val="none" w:sz="0" w:space="0" w:color="auto"/>
        <w:bottom w:val="none" w:sz="0" w:space="0" w:color="auto"/>
        <w:right w:val="none" w:sz="0" w:space="0" w:color="auto"/>
      </w:divBdr>
      <w:divsChild>
        <w:div w:id="156311276">
          <w:marLeft w:val="0"/>
          <w:marRight w:val="0"/>
          <w:marTop w:val="0"/>
          <w:marBottom w:val="0"/>
          <w:divBdr>
            <w:top w:val="none" w:sz="0" w:space="0" w:color="auto"/>
            <w:left w:val="none" w:sz="0" w:space="0" w:color="auto"/>
            <w:bottom w:val="none" w:sz="0" w:space="0" w:color="auto"/>
            <w:right w:val="none" w:sz="0" w:space="0" w:color="auto"/>
          </w:divBdr>
          <w:divsChild>
            <w:div w:id="8167977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679895">
      <w:marLeft w:val="0"/>
      <w:marRight w:val="0"/>
      <w:marTop w:val="180"/>
      <w:marBottom w:val="0"/>
      <w:divBdr>
        <w:top w:val="none" w:sz="0" w:space="0" w:color="auto"/>
        <w:left w:val="none" w:sz="0" w:space="0" w:color="auto"/>
        <w:bottom w:val="none" w:sz="0" w:space="0" w:color="auto"/>
        <w:right w:val="none" w:sz="0" w:space="0" w:color="auto"/>
      </w:divBdr>
    </w:div>
    <w:div w:id="1567836050">
      <w:marLeft w:val="0"/>
      <w:marRight w:val="0"/>
      <w:marTop w:val="180"/>
      <w:marBottom w:val="120"/>
      <w:divBdr>
        <w:top w:val="none" w:sz="0" w:space="0" w:color="auto"/>
        <w:left w:val="none" w:sz="0" w:space="0" w:color="auto"/>
        <w:bottom w:val="none" w:sz="0" w:space="0" w:color="auto"/>
        <w:right w:val="none" w:sz="0" w:space="0" w:color="auto"/>
      </w:divBdr>
    </w:div>
    <w:div w:id="1568371052">
      <w:marLeft w:val="0"/>
      <w:marRight w:val="0"/>
      <w:marTop w:val="180"/>
      <w:marBottom w:val="0"/>
      <w:divBdr>
        <w:top w:val="none" w:sz="0" w:space="0" w:color="auto"/>
        <w:left w:val="none" w:sz="0" w:space="0" w:color="auto"/>
        <w:bottom w:val="none" w:sz="0" w:space="0" w:color="auto"/>
        <w:right w:val="none" w:sz="0" w:space="0" w:color="auto"/>
      </w:divBdr>
    </w:div>
    <w:div w:id="1569875167">
      <w:marLeft w:val="0"/>
      <w:marRight w:val="0"/>
      <w:marTop w:val="180"/>
      <w:marBottom w:val="0"/>
      <w:divBdr>
        <w:top w:val="none" w:sz="0" w:space="0" w:color="auto"/>
        <w:left w:val="none" w:sz="0" w:space="0" w:color="auto"/>
        <w:bottom w:val="none" w:sz="0" w:space="0" w:color="auto"/>
        <w:right w:val="none" w:sz="0" w:space="0" w:color="auto"/>
      </w:divBdr>
    </w:div>
    <w:div w:id="1570849066">
      <w:marLeft w:val="0"/>
      <w:marRight w:val="0"/>
      <w:marTop w:val="180"/>
      <w:marBottom w:val="0"/>
      <w:divBdr>
        <w:top w:val="none" w:sz="0" w:space="0" w:color="auto"/>
        <w:left w:val="none" w:sz="0" w:space="0" w:color="auto"/>
        <w:bottom w:val="none" w:sz="0" w:space="0" w:color="auto"/>
        <w:right w:val="none" w:sz="0" w:space="0" w:color="auto"/>
      </w:divBdr>
    </w:div>
    <w:div w:id="1571503348">
      <w:marLeft w:val="0"/>
      <w:marRight w:val="0"/>
      <w:marTop w:val="0"/>
      <w:marBottom w:val="120"/>
      <w:divBdr>
        <w:top w:val="none" w:sz="0" w:space="0" w:color="auto"/>
        <w:left w:val="none" w:sz="0" w:space="0" w:color="auto"/>
        <w:bottom w:val="none" w:sz="0" w:space="0" w:color="auto"/>
        <w:right w:val="none" w:sz="0" w:space="0" w:color="auto"/>
      </w:divBdr>
    </w:div>
    <w:div w:id="1573151815">
      <w:marLeft w:val="0"/>
      <w:marRight w:val="0"/>
      <w:marTop w:val="180"/>
      <w:marBottom w:val="0"/>
      <w:divBdr>
        <w:top w:val="none" w:sz="0" w:space="0" w:color="auto"/>
        <w:left w:val="none" w:sz="0" w:space="0" w:color="auto"/>
        <w:bottom w:val="none" w:sz="0" w:space="0" w:color="auto"/>
        <w:right w:val="none" w:sz="0" w:space="0" w:color="auto"/>
      </w:divBdr>
    </w:div>
    <w:div w:id="1573928094">
      <w:marLeft w:val="0"/>
      <w:marRight w:val="0"/>
      <w:marTop w:val="180"/>
      <w:marBottom w:val="0"/>
      <w:divBdr>
        <w:top w:val="none" w:sz="0" w:space="0" w:color="auto"/>
        <w:left w:val="none" w:sz="0" w:space="0" w:color="auto"/>
        <w:bottom w:val="none" w:sz="0" w:space="0" w:color="auto"/>
        <w:right w:val="none" w:sz="0" w:space="0" w:color="auto"/>
      </w:divBdr>
    </w:div>
    <w:div w:id="1574660614">
      <w:marLeft w:val="0"/>
      <w:marRight w:val="0"/>
      <w:marTop w:val="180"/>
      <w:marBottom w:val="0"/>
      <w:divBdr>
        <w:top w:val="none" w:sz="0" w:space="0" w:color="auto"/>
        <w:left w:val="none" w:sz="0" w:space="0" w:color="auto"/>
        <w:bottom w:val="none" w:sz="0" w:space="0" w:color="auto"/>
        <w:right w:val="none" w:sz="0" w:space="0" w:color="auto"/>
      </w:divBdr>
    </w:div>
    <w:div w:id="1577089385">
      <w:marLeft w:val="0"/>
      <w:marRight w:val="0"/>
      <w:marTop w:val="240"/>
      <w:marBottom w:val="0"/>
      <w:divBdr>
        <w:top w:val="none" w:sz="0" w:space="0" w:color="auto"/>
        <w:left w:val="none" w:sz="0" w:space="0" w:color="auto"/>
        <w:bottom w:val="none" w:sz="0" w:space="0" w:color="auto"/>
        <w:right w:val="none" w:sz="0" w:space="0" w:color="auto"/>
      </w:divBdr>
    </w:div>
    <w:div w:id="1577323415">
      <w:marLeft w:val="0"/>
      <w:marRight w:val="0"/>
      <w:marTop w:val="0"/>
      <w:marBottom w:val="200"/>
      <w:divBdr>
        <w:top w:val="none" w:sz="0" w:space="0" w:color="auto"/>
        <w:left w:val="none" w:sz="0" w:space="0" w:color="auto"/>
        <w:bottom w:val="none" w:sz="0" w:space="0" w:color="auto"/>
        <w:right w:val="none" w:sz="0" w:space="0" w:color="auto"/>
      </w:divBdr>
    </w:div>
    <w:div w:id="1578394689">
      <w:marLeft w:val="0"/>
      <w:marRight w:val="0"/>
      <w:marTop w:val="0"/>
      <w:marBottom w:val="0"/>
      <w:divBdr>
        <w:top w:val="none" w:sz="0" w:space="0" w:color="auto"/>
        <w:left w:val="none" w:sz="0" w:space="0" w:color="auto"/>
        <w:bottom w:val="none" w:sz="0" w:space="0" w:color="auto"/>
        <w:right w:val="none" w:sz="0" w:space="0" w:color="auto"/>
      </w:divBdr>
      <w:divsChild>
        <w:div w:id="12732233">
          <w:marLeft w:val="0"/>
          <w:marRight w:val="0"/>
          <w:marTop w:val="0"/>
          <w:marBottom w:val="0"/>
          <w:divBdr>
            <w:top w:val="none" w:sz="0" w:space="0" w:color="auto"/>
            <w:left w:val="none" w:sz="0" w:space="0" w:color="auto"/>
            <w:bottom w:val="none" w:sz="0" w:space="0" w:color="auto"/>
            <w:right w:val="none" w:sz="0" w:space="0" w:color="auto"/>
          </w:divBdr>
        </w:div>
      </w:divsChild>
    </w:div>
    <w:div w:id="1578788952">
      <w:marLeft w:val="0"/>
      <w:marRight w:val="0"/>
      <w:marTop w:val="0"/>
      <w:marBottom w:val="0"/>
      <w:divBdr>
        <w:top w:val="none" w:sz="0" w:space="0" w:color="auto"/>
        <w:left w:val="none" w:sz="0" w:space="0" w:color="auto"/>
        <w:bottom w:val="none" w:sz="0" w:space="0" w:color="auto"/>
        <w:right w:val="none" w:sz="0" w:space="0" w:color="auto"/>
      </w:divBdr>
      <w:divsChild>
        <w:div w:id="870654280">
          <w:marLeft w:val="0"/>
          <w:marRight w:val="0"/>
          <w:marTop w:val="0"/>
          <w:marBottom w:val="0"/>
          <w:divBdr>
            <w:top w:val="none" w:sz="0" w:space="0" w:color="auto"/>
            <w:left w:val="none" w:sz="0" w:space="0" w:color="auto"/>
            <w:bottom w:val="none" w:sz="0" w:space="0" w:color="auto"/>
            <w:right w:val="none" w:sz="0" w:space="0" w:color="auto"/>
          </w:divBdr>
          <w:divsChild>
            <w:div w:id="19044397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9286672">
      <w:marLeft w:val="0"/>
      <w:marRight w:val="0"/>
      <w:marTop w:val="180"/>
      <w:marBottom w:val="0"/>
      <w:divBdr>
        <w:top w:val="none" w:sz="0" w:space="0" w:color="auto"/>
        <w:left w:val="none" w:sz="0" w:space="0" w:color="auto"/>
        <w:bottom w:val="none" w:sz="0" w:space="0" w:color="auto"/>
        <w:right w:val="none" w:sz="0" w:space="0" w:color="auto"/>
      </w:divBdr>
    </w:div>
    <w:div w:id="1580863651">
      <w:marLeft w:val="0"/>
      <w:marRight w:val="0"/>
      <w:marTop w:val="180"/>
      <w:marBottom w:val="0"/>
      <w:divBdr>
        <w:top w:val="none" w:sz="0" w:space="0" w:color="auto"/>
        <w:left w:val="none" w:sz="0" w:space="0" w:color="auto"/>
        <w:bottom w:val="none" w:sz="0" w:space="0" w:color="auto"/>
        <w:right w:val="none" w:sz="0" w:space="0" w:color="auto"/>
      </w:divBdr>
    </w:div>
    <w:div w:id="1584604506">
      <w:marLeft w:val="0"/>
      <w:marRight w:val="0"/>
      <w:marTop w:val="180"/>
      <w:marBottom w:val="0"/>
      <w:divBdr>
        <w:top w:val="none" w:sz="0" w:space="0" w:color="auto"/>
        <w:left w:val="none" w:sz="0" w:space="0" w:color="auto"/>
        <w:bottom w:val="none" w:sz="0" w:space="0" w:color="auto"/>
        <w:right w:val="none" w:sz="0" w:space="0" w:color="auto"/>
      </w:divBdr>
    </w:div>
    <w:div w:id="1586451116">
      <w:marLeft w:val="0"/>
      <w:marRight w:val="0"/>
      <w:marTop w:val="180"/>
      <w:marBottom w:val="0"/>
      <w:divBdr>
        <w:top w:val="none" w:sz="0" w:space="0" w:color="auto"/>
        <w:left w:val="none" w:sz="0" w:space="0" w:color="auto"/>
        <w:bottom w:val="none" w:sz="0" w:space="0" w:color="auto"/>
        <w:right w:val="none" w:sz="0" w:space="0" w:color="auto"/>
      </w:divBdr>
    </w:div>
    <w:div w:id="1586525077">
      <w:marLeft w:val="0"/>
      <w:marRight w:val="0"/>
      <w:marTop w:val="180"/>
      <w:marBottom w:val="0"/>
      <w:divBdr>
        <w:top w:val="none" w:sz="0" w:space="0" w:color="auto"/>
        <w:left w:val="none" w:sz="0" w:space="0" w:color="auto"/>
        <w:bottom w:val="none" w:sz="0" w:space="0" w:color="auto"/>
        <w:right w:val="none" w:sz="0" w:space="0" w:color="auto"/>
      </w:divBdr>
    </w:div>
    <w:div w:id="1587416929">
      <w:marLeft w:val="0"/>
      <w:marRight w:val="0"/>
      <w:marTop w:val="180"/>
      <w:marBottom w:val="0"/>
      <w:divBdr>
        <w:top w:val="none" w:sz="0" w:space="0" w:color="auto"/>
        <w:left w:val="none" w:sz="0" w:space="0" w:color="auto"/>
        <w:bottom w:val="none" w:sz="0" w:space="0" w:color="auto"/>
        <w:right w:val="none" w:sz="0" w:space="0" w:color="auto"/>
      </w:divBdr>
    </w:div>
    <w:div w:id="1587420660">
      <w:marLeft w:val="0"/>
      <w:marRight w:val="0"/>
      <w:marTop w:val="0"/>
      <w:marBottom w:val="120"/>
      <w:divBdr>
        <w:top w:val="none" w:sz="0" w:space="0" w:color="auto"/>
        <w:left w:val="none" w:sz="0" w:space="0" w:color="auto"/>
        <w:bottom w:val="none" w:sz="0" w:space="0" w:color="auto"/>
        <w:right w:val="none" w:sz="0" w:space="0" w:color="auto"/>
      </w:divBdr>
      <w:divsChild>
        <w:div w:id="1757357745">
          <w:marLeft w:val="0"/>
          <w:marRight w:val="0"/>
          <w:marTop w:val="0"/>
          <w:marBottom w:val="0"/>
          <w:divBdr>
            <w:top w:val="none" w:sz="0" w:space="0" w:color="auto"/>
            <w:left w:val="none" w:sz="0" w:space="0" w:color="auto"/>
            <w:bottom w:val="none" w:sz="0" w:space="0" w:color="auto"/>
            <w:right w:val="none" w:sz="0" w:space="0" w:color="auto"/>
          </w:divBdr>
        </w:div>
        <w:div w:id="1517691121">
          <w:marLeft w:val="0"/>
          <w:marRight w:val="0"/>
          <w:marTop w:val="0"/>
          <w:marBottom w:val="0"/>
          <w:divBdr>
            <w:top w:val="none" w:sz="0" w:space="0" w:color="auto"/>
            <w:left w:val="none" w:sz="0" w:space="0" w:color="auto"/>
            <w:bottom w:val="none" w:sz="0" w:space="0" w:color="auto"/>
            <w:right w:val="none" w:sz="0" w:space="0" w:color="auto"/>
          </w:divBdr>
        </w:div>
        <w:div w:id="1531533626">
          <w:marLeft w:val="0"/>
          <w:marRight w:val="0"/>
          <w:marTop w:val="0"/>
          <w:marBottom w:val="0"/>
          <w:divBdr>
            <w:top w:val="none" w:sz="0" w:space="0" w:color="auto"/>
            <w:left w:val="none" w:sz="0" w:space="0" w:color="auto"/>
            <w:bottom w:val="none" w:sz="0" w:space="0" w:color="auto"/>
            <w:right w:val="none" w:sz="0" w:space="0" w:color="auto"/>
          </w:divBdr>
        </w:div>
        <w:div w:id="739137456">
          <w:marLeft w:val="0"/>
          <w:marRight w:val="0"/>
          <w:marTop w:val="0"/>
          <w:marBottom w:val="0"/>
          <w:divBdr>
            <w:top w:val="none" w:sz="0" w:space="0" w:color="auto"/>
            <w:left w:val="none" w:sz="0" w:space="0" w:color="auto"/>
            <w:bottom w:val="none" w:sz="0" w:space="0" w:color="auto"/>
            <w:right w:val="none" w:sz="0" w:space="0" w:color="auto"/>
          </w:divBdr>
        </w:div>
        <w:div w:id="222495228">
          <w:marLeft w:val="0"/>
          <w:marRight w:val="0"/>
          <w:marTop w:val="0"/>
          <w:marBottom w:val="0"/>
          <w:divBdr>
            <w:top w:val="none" w:sz="0" w:space="0" w:color="auto"/>
            <w:left w:val="none" w:sz="0" w:space="0" w:color="auto"/>
            <w:bottom w:val="none" w:sz="0" w:space="0" w:color="auto"/>
            <w:right w:val="none" w:sz="0" w:space="0" w:color="auto"/>
          </w:divBdr>
        </w:div>
        <w:div w:id="764964607">
          <w:marLeft w:val="0"/>
          <w:marRight w:val="0"/>
          <w:marTop w:val="0"/>
          <w:marBottom w:val="0"/>
          <w:divBdr>
            <w:top w:val="none" w:sz="0" w:space="0" w:color="auto"/>
            <w:left w:val="none" w:sz="0" w:space="0" w:color="auto"/>
            <w:bottom w:val="none" w:sz="0" w:space="0" w:color="auto"/>
            <w:right w:val="none" w:sz="0" w:space="0" w:color="auto"/>
          </w:divBdr>
        </w:div>
        <w:div w:id="1510831202">
          <w:marLeft w:val="0"/>
          <w:marRight w:val="0"/>
          <w:marTop w:val="0"/>
          <w:marBottom w:val="0"/>
          <w:divBdr>
            <w:top w:val="none" w:sz="0" w:space="0" w:color="auto"/>
            <w:left w:val="none" w:sz="0" w:space="0" w:color="auto"/>
            <w:bottom w:val="none" w:sz="0" w:space="0" w:color="auto"/>
            <w:right w:val="none" w:sz="0" w:space="0" w:color="auto"/>
          </w:divBdr>
        </w:div>
        <w:div w:id="1995988474">
          <w:marLeft w:val="0"/>
          <w:marRight w:val="0"/>
          <w:marTop w:val="0"/>
          <w:marBottom w:val="0"/>
          <w:divBdr>
            <w:top w:val="none" w:sz="0" w:space="0" w:color="auto"/>
            <w:left w:val="none" w:sz="0" w:space="0" w:color="auto"/>
            <w:bottom w:val="none" w:sz="0" w:space="0" w:color="auto"/>
            <w:right w:val="none" w:sz="0" w:space="0" w:color="auto"/>
          </w:divBdr>
        </w:div>
        <w:div w:id="1490750086">
          <w:marLeft w:val="0"/>
          <w:marRight w:val="0"/>
          <w:marTop w:val="0"/>
          <w:marBottom w:val="0"/>
          <w:divBdr>
            <w:top w:val="none" w:sz="0" w:space="0" w:color="auto"/>
            <w:left w:val="none" w:sz="0" w:space="0" w:color="auto"/>
            <w:bottom w:val="none" w:sz="0" w:space="0" w:color="auto"/>
            <w:right w:val="none" w:sz="0" w:space="0" w:color="auto"/>
          </w:divBdr>
        </w:div>
        <w:div w:id="1062749003">
          <w:marLeft w:val="0"/>
          <w:marRight w:val="0"/>
          <w:marTop w:val="0"/>
          <w:marBottom w:val="0"/>
          <w:divBdr>
            <w:top w:val="none" w:sz="0" w:space="0" w:color="auto"/>
            <w:left w:val="none" w:sz="0" w:space="0" w:color="auto"/>
            <w:bottom w:val="none" w:sz="0" w:space="0" w:color="auto"/>
            <w:right w:val="none" w:sz="0" w:space="0" w:color="auto"/>
          </w:divBdr>
        </w:div>
        <w:div w:id="578368890">
          <w:marLeft w:val="0"/>
          <w:marRight w:val="0"/>
          <w:marTop w:val="0"/>
          <w:marBottom w:val="0"/>
          <w:divBdr>
            <w:top w:val="none" w:sz="0" w:space="0" w:color="auto"/>
            <w:left w:val="none" w:sz="0" w:space="0" w:color="auto"/>
            <w:bottom w:val="none" w:sz="0" w:space="0" w:color="auto"/>
            <w:right w:val="none" w:sz="0" w:space="0" w:color="auto"/>
          </w:divBdr>
        </w:div>
        <w:div w:id="729036121">
          <w:marLeft w:val="0"/>
          <w:marRight w:val="0"/>
          <w:marTop w:val="0"/>
          <w:marBottom w:val="0"/>
          <w:divBdr>
            <w:top w:val="none" w:sz="0" w:space="0" w:color="auto"/>
            <w:left w:val="none" w:sz="0" w:space="0" w:color="auto"/>
            <w:bottom w:val="none" w:sz="0" w:space="0" w:color="auto"/>
            <w:right w:val="none" w:sz="0" w:space="0" w:color="auto"/>
          </w:divBdr>
        </w:div>
        <w:div w:id="524487778">
          <w:marLeft w:val="0"/>
          <w:marRight w:val="0"/>
          <w:marTop w:val="0"/>
          <w:marBottom w:val="0"/>
          <w:divBdr>
            <w:top w:val="none" w:sz="0" w:space="0" w:color="auto"/>
            <w:left w:val="none" w:sz="0" w:space="0" w:color="auto"/>
            <w:bottom w:val="none" w:sz="0" w:space="0" w:color="auto"/>
            <w:right w:val="none" w:sz="0" w:space="0" w:color="auto"/>
          </w:divBdr>
        </w:div>
        <w:div w:id="481578606">
          <w:marLeft w:val="0"/>
          <w:marRight w:val="0"/>
          <w:marTop w:val="0"/>
          <w:marBottom w:val="0"/>
          <w:divBdr>
            <w:top w:val="none" w:sz="0" w:space="0" w:color="auto"/>
            <w:left w:val="none" w:sz="0" w:space="0" w:color="auto"/>
            <w:bottom w:val="none" w:sz="0" w:space="0" w:color="auto"/>
            <w:right w:val="none" w:sz="0" w:space="0" w:color="auto"/>
          </w:divBdr>
        </w:div>
        <w:div w:id="1728187166">
          <w:marLeft w:val="0"/>
          <w:marRight w:val="0"/>
          <w:marTop w:val="0"/>
          <w:marBottom w:val="0"/>
          <w:divBdr>
            <w:top w:val="none" w:sz="0" w:space="0" w:color="auto"/>
            <w:left w:val="none" w:sz="0" w:space="0" w:color="auto"/>
            <w:bottom w:val="none" w:sz="0" w:space="0" w:color="auto"/>
            <w:right w:val="none" w:sz="0" w:space="0" w:color="auto"/>
          </w:divBdr>
        </w:div>
        <w:div w:id="53627529">
          <w:marLeft w:val="0"/>
          <w:marRight w:val="0"/>
          <w:marTop w:val="0"/>
          <w:marBottom w:val="0"/>
          <w:divBdr>
            <w:top w:val="none" w:sz="0" w:space="0" w:color="auto"/>
            <w:left w:val="none" w:sz="0" w:space="0" w:color="auto"/>
            <w:bottom w:val="none" w:sz="0" w:space="0" w:color="auto"/>
            <w:right w:val="none" w:sz="0" w:space="0" w:color="auto"/>
          </w:divBdr>
        </w:div>
        <w:div w:id="2065249784">
          <w:marLeft w:val="0"/>
          <w:marRight w:val="0"/>
          <w:marTop w:val="0"/>
          <w:marBottom w:val="0"/>
          <w:divBdr>
            <w:top w:val="none" w:sz="0" w:space="0" w:color="auto"/>
            <w:left w:val="none" w:sz="0" w:space="0" w:color="auto"/>
            <w:bottom w:val="none" w:sz="0" w:space="0" w:color="auto"/>
            <w:right w:val="none" w:sz="0" w:space="0" w:color="auto"/>
          </w:divBdr>
        </w:div>
        <w:div w:id="2049643888">
          <w:marLeft w:val="0"/>
          <w:marRight w:val="0"/>
          <w:marTop w:val="0"/>
          <w:marBottom w:val="0"/>
          <w:divBdr>
            <w:top w:val="none" w:sz="0" w:space="0" w:color="auto"/>
            <w:left w:val="none" w:sz="0" w:space="0" w:color="auto"/>
            <w:bottom w:val="none" w:sz="0" w:space="0" w:color="auto"/>
            <w:right w:val="none" w:sz="0" w:space="0" w:color="auto"/>
          </w:divBdr>
        </w:div>
        <w:div w:id="2098557366">
          <w:marLeft w:val="0"/>
          <w:marRight w:val="0"/>
          <w:marTop w:val="0"/>
          <w:marBottom w:val="0"/>
          <w:divBdr>
            <w:top w:val="none" w:sz="0" w:space="0" w:color="auto"/>
            <w:left w:val="none" w:sz="0" w:space="0" w:color="auto"/>
            <w:bottom w:val="none" w:sz="0" w:space="0" w:color="auto"/>
            <w:right w:val="none" w:sz="0" w:space="0" w:color="auto"/>
          </w:divBdr>
        </w:div>
        <w:div w:id="230391549">
          <w:marLeft w:val="0"/>
          <w:marRight w:val="0"/>
          <w:marTop w:val="0"/>
          <w:marBottom w:val="0"/>
          <w:divBdr>
            <w:top w:val="none" w:sz="0" w:space="0" w:color="auto"/>
            <w:left w:val="none" w:sz="0" w:space="0" w:color="auto"/>
            <w:bottom w:val="none" w:sz="0" w:space="0" w:color="auto"/>
            <w:right w:val="none" w:sz="0" w:space="0" w:color="auto"/>
          </w:divBdr>
        </w:div>
      </w:divsChild>
    </w:div>
    <w:div w:id="1588464555">
      <w:marLeft w:val="0"/>
      <w:marRight w:val="0"/>
      <w:marTop w:val="0"/>
      <w:marBottom w:val="0"/>
      <w:divBdr>
        <w:top w:val="none" w:sz="0" w:space="0" w:color="auto"/>
        <w:left w:val="none" w:sz="0" w:space="0" w:color="auto"/>
        <w:bottom w:val="none" w:sz="0" w:space="0" w:color="auto"/>
        <w:right w:val="none" w:sz="0" w:space="0" w:color="auto"/>
      </w:divBdr>
      <w:divsChild>
        <w:div w:id="491606448">
          <w:marLeft w:val="0"/>
          <w:marRight w:val="0"/>
          <w:marTop w:val="0"/>
          <w:marBottom w:val="0"/>
          <w:divBdr>
            <w:top w:val="none" w:sz="0" w:space="0" w:color="auto"/>
            <w:left w:val="none" w:sz="0" w:space="0" w:color="auto"/>
            <w:bottom w:val="none" w:sz="0" w:space="0" w:color="auto"/>
            <w:right w:val="none" w:sz="0" w:space="0" w:color="auto"/>
          </w:divBdr>
          <w:divsChild>
            <w:div w:id="10552059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8542273">
      <w:marLeft w:val="0"/>
      <w:marRight w:val="0"/>
      <w:marTop w:val="0"/>
      <w:marBottom w:val="200"/>
      <w:divBdr>
        <w:top w:val="none" w:sz="0" w:space="0" w:color="auto"/>
        <w:left w:val="none" w:sz="0" w:space="0" w:color="auto"/>
        <w:bottom w:val="none" w:sz="0" w:space="0" w:color="auto"/>
        <w:right w:val="none" w:sz="0" w:space="0" w:color="auto"/>
      </w:divBdr>
    </w:div>
    <w:div w:id="1588806063">
      <w:marLeft w:val="0"/>
      <w:marRight w:val="0"/>
      <w:marTop w:val="0"/>
      <w:marBottom w:val="200"/>
      <w:divBdr>
        <w:top w:val="none" w:sz="0" w:space="0" w:color="auto"/>
        <w:left w:val="none" w:sz="0" w:space="0" w:color="auto"/>
        <w:bottom w:val="none" w:sz="0" w:space="0" w:color="auto"/>
        <w:right w:val="none" w:sz="0" w:space="0" w:color="auto"/>
      </w:divBdr>
    </w:div>
    <w:div w:id="1589844511">
      <w:marLeft w:val="0"/>
      <w:marRight w:val="0"/>
      <w:marTop w:val="180"/>
      <w:marBottom w:val="0"/>
      <w:divBdr>
        <w:top w:val="none" w:sz="0" w:space="0" w:color="auto"/>
        <w:left w:val="none" w:sz="0" w:space="0" w:color="auto"/>
        <w:bottom w:val="none" w:sz="0" w:space="0" w:color="auto"/>
        <w:right w:val="none" w:sz="0" w:space="0" w:color="auto"/>
      </w:divBdr>
    </w:div>
    <w:div w:id="1593275649">
      <w:marLeft w:val="0"/>
      <w:marRight w:val="0"/>
      <w:marTop w:val="180"/>
      <w:marBottom w:val="240"/>
      <w:divBdr>
        <w:top w:val="none" w:sz="0" w:space="0" w:color="auto"/>
        <w:left w:val="none" w:sz="0" w:space="0" w:color="auto"/>
        <w:bottom w:val="none" w:sz="0" w:space="0" w:color="auto"/>
        <w:right w:val="none" w:sz="0" w:space="0" w:color="auto"/>
      </w:divBdr>
    </w:div>
    <w:div w:id="1597862734">
      <w:marLeft w:val="0"/>
      <w:marRight w:val="0"/>
      <w:marTop w:val="180"/>
      <w:marBottom w:val="0"/>
      <w:divBdr>
        <w:top w:val="none" w:sz="0" w:space="0" w:color="auto"/>
        <w:left w:val="none" w:sz="0" w:space="0" w:color="auto"/>
        <w:bottom w:val="none" w:sz="0" w:space="0" w:color="auto"/>
        <w:right w:val="none" w:sz="0" w:space="0" w:color="auto"/>
      </w:divBdr>
    </w:div>
    <w:div w:id="1600216242">
      <w:marLeft w:val="0"/>
      <w:marRight w:val="0"/>
      <w:marTop w:val="120"/>
      <w:marBottom w:val="0"/>
      <w:divBdr>
        <w:top w:val="none" w:sz="0" w:space="0" w:color="auto"/>
        <w:left w:val="none" w:sz="0" w:space="0" w:color="auto"/>
        <w:bottom w:val="none" w:sz="0" w:space="0" w:color="auto"/>
        <w:right w:val="none" w:sz="0" w:space="0" w:color="auto"/>
      </w:divBdr>
    </w:div>
    <w:div w:id="1600289470">
      <w:marLeft w:val="0"/>
      <w:marRight w:val="0"/>
      <w:marTop w:val="180"/>
      <w:marBottom w:val="0"/>
      <w:divBdr>
        <w:top w:val="none" w:sz="0" w:space="0" w:color="auto"/>
        <w:left w:val="none" w:sz="0" w:space="0" w:color="auto"/>
        <w:bottom w:val="none" w:sz="0" w:space="0" w:color="auto"/>
        <w:right w:val="none" w:sz="0" w:space="0" w:color="auto"/>
      </w:divBdr>
    </w:div>
    <w:div w:id="1600985955">
      <w:marLeft w:val="0"/>
      <w:marRight w:val="0"/>
      <w:marTop w:val="0"/>
      <w:marBottom w:val="200"/>
      <w:divBdr>
        <w:top w:val="none" w:sz="0" w:space="0" w:color="auto"/>
        <w:left w:val="none" w:sz="0" w:space="0" w:color="auto"/>
        <w:bottom w:val="none" w:sz="0" w:space="0" w:color="auto"/>
        <w:right w:val="none" w:sz="0" w:space="0" w:color="auto"/>
      </w:divBdr>
    </w:div>
    <w:div w:id="1603948224">
      <w:marLeft w:val="0"/>
      <w:marRight w:val="0"/>
      <w:marTop w:val="180"/>
      <w:marBottom w:val="0"/>
      <w:divBdr>
        <w:top w:val="none" w:sz="0" w:space="0" w:color="auto"/>
        <w:left w:val="none" w:sz="0" w:space="0" w:color="auto"/>
        <w:bottom w:val="none" w:sz="0" w:space="0" w:color="auto"/>
        <w:right w:val="none" w:sz="0" w:space="0" w:color="auto"/>
      </w:divBdr>
    </w:div>
    <w:div w:id="1606157104">
      <w:marLeft w:val="0"/>
      <w:marRight w:val="0"/>
      <w:marTop w:val="180"/>
      <w:marBottom w:val="0"/>
      <w:divBdr>
        <w:top w:val="none" w:sz="0" w:space="0" w:color="auto"/>
        <w:left w:val="none" w:sz="0" w:space="0" w:color="auto"/>
        <w:bottom w:val="none" w:sz="0" w:space="0" w:color="auto"/>
        <w:right w:val="none" w:sz="0" w:space="0" w:color="auto"/>
      </w:divBdr>
    </w:div>
    <w:div w:id="1607035553">
      <w:marLeft w:val="0"/>
      <w:marRight w:val="0"/>
      <w:marTop w:val="180"/>
      <w:marBottom w:val="0"/>
      <w:divBdr>
        <w:top w:val="none" w:sz="0" w:space="0" w:color="auto"/>
        <w:left w:val="none" w:sz="0" w:space="0" w:color="auto"/>
        <w:bottom w:val="none" w:sz="0" w:space="0" w:color="auto"/>
        <w:right w:val="none" w:sz="0" w:space="0" w:color="auto"/>
      </w:divBdr>
    </w:div>
    <w:div w:id="1609241349">
      <w:marLeft w:val="0"/>
      <w:marRight w:val="0"/>
      <w:marTop w:val="0"/>
      <w:marBottom w:val="60"/>
      <w:divBdr>
        <w:top w:val="none" w:sz="0" w:space="0" w:color="auto"/>
        <w:left w:val="none" w:sz="0" w:space="0" w:color="auto"/>
        <w:bottom w:val="none" w:sz="0" w:space="0" w:color="auto"/>
        <w:right w:val="none" w:sz="0" w:space="0" w:color="auto"/>
      </w:divBdr>
    </w:div>
    <w:div w:id="1610965274">
      <w:marLeft w:val="0"/>
      <w:marRight w:val="0"/>
      <w:marTop w:val="180"/>
      <w:marBottom w:val="0"/>
      <w:divBdr>
        <w:top w:val="none" w:sz="0" w:space="0" w:color="auto"/>
        <w:left w:val="none" w:sz="0" w:space="0" w:color="auto"/>
        <w:bottom w:val="none" w:sz="0" w:space="0" w:color="auto"/>
        <w:right w:val="none" w:sz="0" w:space="0" w:color="auto"/>
      </w:divBdr>
    </w:div>
    <w:div w:id="1614169795">
      <w:marLeft w:val="0"/>
      <w:marRight w:val="0"/>
      <w:marTop w:val="120"/>
      <w:marBottom w:val="0"/>
      <w:divBdr>
        <w:top w:val="none" w:sz="0" w:space="0" w:color="auto"/>
        <w:left w:val="none" w:sz="0" w:space="0" w:color="auto"/>
        <w:bottom w:val="none" w:sz="0" w:space="0" w:color="auto"/>
        <w:right w:val="none" w:sz="0" w:space="0" w:color="auto"/>
      </w:divBdr>
    </w:div>
    <w:div w:id="1617370467">
      <w:marLeft w:val="0"/>
      <w:marRight w:val="0"/>
      <w:marTop w:val="180"/>
      <w:marBottom w:val="0"/>
      <w:divBdr>
        <w:top w:val="none" w:sz="0" w:space="0" w:color="auto"/>
        <w:left w:val="none" w:sz="0" w:space="0" w:color="auto"/>
        <w:bottom w:val="none" w:sz="0" w:space="0" w:color="auto"/>
        <w:right w:val="none" w:sz="0" w:space="0" w:color="auto"/>
      </w:divBdr>
    </w:div>
    <w:div w:id="1618876125">
      <w:marLeft w:val="0"/>
      <w:marRight w:val="0"/>
      <w:marTop w:val="0"/>
      <w:marBottom w:val="0"/>
      <w:divBdr>
        <w:top w:val="none" w:sz="0" w:space="0" w:color="auto"/>
        <w:left w:val="none" w:sz="0" w:space="0" w:color="auto"/>
        <w:bottom w:val="none" w:sz="0" w:space="0" w:color="auto"/>
        <w:right w:val="none" w:sz="0" w:space="0" w:color="auto"/>
      </w:divBdr>
      <w:divsChild>
        <w:div w:id="1636717830">
          <w:marLeft w:val="0"/>
          <w:marRight w:val="0"/>
          <w:marTop w:val="0"/>
          <w:marBottom w:val="0"/>
          <w:divBdr>
            <w:top w:val="none" w:sz="0" w:space="0" w:color="auto"/>
            <w:left w:val="none" w:sz="0" w:space="0" w:color="auto"/>
            <w:bottom w:val="none" w:sz="0" w:space="0" w:color="auto"/>
            <w:right w:val="none" w:sz="0" w:space="0" w:color="auto"/>
          </w:divBdr>
          <w:divsChild>
            <w:div w:id="11350277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19068018">
      <w:marLeft w:val="0"/>
      <w:marRight w:val="0"/>
      <w:marTop w:val="180"/>
      <w:marBottom w:val="0"/>
      <w:divBdr>
        <w:top w:val="none" w:sz="0" w:space="0" w:color="auto"/>
        <w:left w:val="none" w:sz="0" w:space="0" w:color="auto"/>
        <w:bottom w:val="none" w:sz="0" w:space="0" w:color="auto"/>
        <w:right w:val="none" w:sz="0" w:space="0" w:color="auto"/>
      </w:divBdr>
    </w:div>
    <w:div w:id="1619680567">
      <w:marLeft w:val="0"/>
      <w:marRight w:val="0"/>
      <w:marTop w:val="180"/>
      <w:marBottom w:val="0"/>
      <w:divBdr>
        <w:top w:val="none" w:sz="0" w:space="0" w:color="auto"/>
        <w:left w:val="none" w:sz="0" w:space="0" w:color="auto"/>
        <w:bottom w:val="none" w:sz="0" w:space="0" w:color="auto"/>
        <w:right w:val="none" w:sz="0" w:space="0" w:color="auto"/>
      </w:divBdr>
    </w:div>
    <w:div w:id="1620188645">
      <w:marLeft w:val="0"/>
      <w:marRight w:val="0"/>
      <w:marTop w:val="240"/>
      <w:marBottom w:val="120"/>
      <w:divBdr>
        <w:top w:val="none" w:sz="0" w:space="0" w:color="auto"/>
        <w:left w:val="none" w:sz="0" w:space="0" w:color="auto"/>
        <w:bottom w:val="none" w:sz="0" w:space="0" w:color="auto"/>
        <w:right w:val="none" w:sz="0" w:space="0" w:color="auto"/>
      </w:divBdr>
    </w:div>
    <w:div w:id="1623223116">
      <w:marLeft w:val="0"/>
      <w:marRight w:val="0"/>
      <w:marTop w:val="0"/>
      <w:marBottom w:val="0"/>
      <w:divBdr>
        <w:top w:val="none" w:sz="0" w:space="0" w:color="auto"/>
        <w:left w:val="none" w:sz="0" w:space="0" w:color="auto"/>
        <w:bottom w:val="none" w:sz="0" w:space="0" w:color="auto"/>
        <w:right w:val="none" w:sz="0" w:space="0" w:color="auto"/>
      </w:divBdr>
      <w:divsChild>
        <w:div w:id="863981032">
          <w:marLeft w:val="0"/>
          <w:marRight w:val="0"/>
          <w:marTop w:val="0"/>
          <w:marBottom w:val="0"/>
          <w:divBdr>
            <w:top w:val="none" w:sz="0" w:space="0" w:color="auto"/>
            <w:left w:val="none" w:sz="0" w:space="0" w:color="auto"/>
            <w:bottom w:val="none" w:sz="0" w:space="0" w:color="auto"/>
            <w:right w:val="none" w:sz="0" w:space="0" w:color="auto"/>
          </w:divBdr>
        </w:div>
      </w:divsChild>
    </w:div>
    <w:div w:id="1625845928">
      <w:marLeft w:val="0"/>
      <w:marRight w:val="0"/>
      <w:marTop w:val="180"/>
      <w:marBottom w:val="120"/>
      <w:divBdr>
        <w:top w:val="none" w:sz="0" w:space="0" w:color="auto"/>
        <w:left w:val="none" w:sz="0" w:space="0" w:color="auto"/>
        <w:bottom w:val="none" w:sz="0" w:space="0" w:color="auto"/>
        <w:right w:val="none" w:sz="0" w:space="0" w:color="auto"/>
      </w:divBdr>
    </w:div>
    <w:div w:id="1628122171">
      <w:marLeft w:val="0"/>
      <w:marRight w:val="0"/>
      <w:marTop w:val="180"/>
      <w:marBottom w:val="120"/>
      <w:divBdr>
        <w:top w:val="none" w:sz="0" w:space="0" w:color="auto"/>
        <w:left w:val="none" w:sz="0" w:space="0" w:color="auto"/>
        <w:bottom w:val="none" w:sz="0" w:space="0" w:color="auto"/>
        <w:right w:val="none" w:sz="0" w:space="0" w:color="auto"/>
      </w:divBdr>
    </w:div>
    <w:div w:id="1628588533">
      <w:marLeft w:val="0"/>
      <w:marRight w:val="0"/>
      <w:marTop w:val="240"/>
      <w:marBottom w:val="0"/>
      <w:divBdr>
        <w:top w:val="none" w:sz="0" w:space="0" w:color="auto"/>
        <w:left w:val="none" w:sz="0" w:space="0" w:color="auto"/>
        <w:bottom w:val="none" w:sz="0" w:space="0" w:color="auto"/>
        <w:right w:val="none" w:sz="0" w:space="0" w:color="auto"/>
      </w:divBdr>
    </w:div>
    <w:div w:id="1629819750">
      <w:marLeft w:val="0"/>
      <w:marRight w:val="0"/>
      <w:marTop w:val="180"/>
      <w:marBottom w:val="0"/>
      <w:divBdr>
        <w:top w:val="none" w:sz="0" w:space="0" w:color="auto"/>
        <w:left w:val="none" w:sz="0" w:space="0" w:color="auto"/>
        <w:bottom w:val="none" w:sz="0" w:space="0" w:color="auto"/>
        <w:right w:val="none" w:sz="0" w:space="0" w:color="auto"/>
      </w:divBdr>
    </w:div>
    <w:div w:id="1630361255">
      <w:marLeft w:val="0"/>
      <w:marRight w:val="0"/>
      <w:marTop w:val="120"/>
      <w:marBottom w:val="0"/>
      <w:divBdr>
        <w:top w:val="none" w:sz="0" w:space="0" w:color="auto"/>
        <w:left w:val="none" w:sz="0" w:space="0" w:color="auto"/>
        <w:bottom w:val="none" w:sz="0" w:space="0" w:color="auto"/>
        <w:right w:val="none" w:sz="0" w:space="0" w:color="auto"/>
      </w:divBdr>
    </w:div>
    <w:div w:id="1630621215">
      <w:marLeft w:val="0"/>
      <w:marRight w:val="0"/>
      <w:marTop w:val="180"/>
      <w:marBottom w:val="0"/>
      <w:divBdr>
        <w:top w:val="none" w:sz="0" w:space="0" w:color="auto"/>
        <w:left w:val="none" w:sz="0" w:space="0" w:color="auto"/>
        <w:bottom w:val="none" w:sz="0" w:space="0" w:color="auto"/>
        <w:right w:val="none" w:sz="0" w:space="0" w:color="auto"/>
      </w:divBdr>
    </w:div>
    <w:div w:id="1634169599">
      <w:marLeft w:val="0"/>
      <w:marRight w:val="0"/>
      <w:marTop w:val="180"/>
      <w:marBottom w:val="0"/>
      <w:divBdr>
        <w:top w:val="none" w:sz="0" w:space="0" w:color="auto"/>
        <w:left w:val="none" w:sz="0" w:space="0" w:color="auto"/>
        <w:bottom w:val="none" w:sz="0" w:space="0" w:color="auto"/>
        <w:right w:val="none" w:sz="0" w:space="0" w:color="auto"/>
      </w:divBdr>
    </w:div>
    <w:div w:id="1635673035">
      <w:marLeft w:val="0"/>
      <w:marRight w:val="0"/>
      <w:marTop w:val="0"/>
      <w:marBottom w:val="200"/>
      <w:divBdr>
        <w:top w:val="none" w:sz="0" w:space="0" w:color="auto"/>
        <w:left w:val="none" w:sz="0" w:space="0" w:color="auto"/>
        <w:bottom w:val="none" w:sz="0" w:space="0" w:color="auto"/>
        <w:right w:val="none" w:sz="0" w:space="0" w:color="auto"/>
      </w:divBdr>
    </w:div>
    <w:div w:id="1635676927">
      <w:marLeft w:val="0"/>
      <w:marRight w:val="0"/>
      <w:marTop w:val="180"/>
      <w:marBottom w:val="0"/>
      <w:divBdr>
        <w:top w:val="none" w:sz="0" w:space="0" w:color="auto"/>
        <w:left w:val="none" w:sz="0" w:space="0" w:color="auto"/>
        <w:bottom w:val="none" w:sz="0" w:space="0" w:color="auto"/>
        <w:right w:val="none" w:sz="0" w:space="0" w:color="auto"/>
      </w:divBdr>
    </w:div>
    <w:div w:id="1635677724">
      <w:marLeft w:val="0"/>
      <w:marRight w:val="0"/>
      <w:marTop w:val="240"/>
      <w:marBottom w:val="120"/>
      <w:divBdr>
        <w:top w:val="none" w:sz="0" w:space="0" w:color="auto"/>
        <w:left w:val="none" w:sz="0" w:space="0" w:color="auto"/>
        <w:bottom w:val="none" w:sz="0" w:space="0" w:color="auto"/>
        <w:right w:val="none" w:sz="0" w:space="0" w:color="auto"/>
      </w:divBdr>
    </w:div>
    <w:div w:id="1635679108">
      <w:marLeft w:val="0"/>
      <w:marRight w:val="0"/>
      <w:marTop w:val="180"/>
      <w:marBottom w:val="0"/>
      <w:divBdr>
        <w:top w:val="none" w:sz="0" w:space="0" w:color="auto"/>
        <w:left w:val="none" w:sz="0" w:space="0" w:color="auto"/>
        <w:bottom w:val="none" w:sz="0" w:space="0" w:color="auto"/>
        <w:right w:val="none" w:sz="0" w:space="0" w:color="auto"/>
      </w:divBdr>
    </w:div>
    <w:div w:id="1635989543">
      <w:marLeft w:val="0"/>
      <w:marRight w:val="0"/>
      <w:marTop w:val="180"/>
      <w:marBottom w:val="0"/>
      <w:divBdr>
        <w:top w:val="none" w:sz="0" w:space="0" w:color="auto"/>
        <w:left w:val="none" w:sz="0" w:space="0" w:color="auto"/>
        <w:bottom w:val="none" w:sz="0" w:space="0" w:color="auto"/>
        <w:right w:val="none" w:sz="0" w:space="0" w:color="auto"/>
      </w:divBdr>
    </w:div>
    <w:div w:id="1638997635">
      <w:marLeft w:val="0"/>
      <w:marRight w:val="0"/>
      <w:marTop w:val="180"/>
      <w:marBottom w:val="120"/>
      <w:divBdr>
        <w:top w:val="none" w:sz="0" w:space="0" w:color="auto"/>
        <w:left w:val="none" w:sz="0" w:space="0" w:color="auto"/>
        <w:bottom w:val="none" w:sz="0" w:space="0" w:color="auto"/>
        <w:right w:val="none" w:sz="0" w:space="0" w:color="auto"/>
      </w:divBdr>
    </w:div>
    <w:div w:id="1642810075">
      <w:marLeft w:val="0"/>
      <w:marRight w:val="0"/>
      <w:marTop w:val="180"/>
      <w:marBottom w:val="0"/>
      <w:divBdr>
        <w:top w:val="none" w:sz="0" w:space="0" w:color="auto"/>
        <w:left w:val="none" w:sz="0" w:space="0" w:color="auto"/>
        <w:bottom w:val="none" w:sz="0" w:space="0" w:color="auto"/>
        <w:right w:val="none" w:sz="0" w:space="0" w:color="auto"/>
      </w:divBdr>
    </w:div>
    <w:div w:id="1645231841">
      <w:marLeft w:val="0"/>
      <w:marRight w:val="0"/>
      <w:marTop w:val="180"/>
      <w:marBottom w:val="0"/>
      <w:divBdr>
        <w:top w:val="none" w:sz="0" w:space="0" w:color="auto"/>
        <w:left w:val="none" w:sz="0" w:space="0" w:color="auto"/>
        <w:bottom w:val="none" w:sz="0" w:space="0" w:color="auto"/>
        <w:right w:val="none" w:sz="0" w:space="0" w:color="auto"/>
      </w:divBdr>
    </w:div>
    <w:div w:id="1646622772">
      <w:marLeft w:val="0"/>
      <w:marRight w:val="0"/>
      <w:marTop w:val="180"/>
      <w:marBottom w:val="120"/>
      <w:divBdr>
        <w:top w:val="none" w:sz="0" w:space="0" w:color="auto"/>
        <w:left w:val="none" w:sz="0" w:space="0" w:color="auto"/>
        <w:bottom w:val="none" w:sz="0" w:space="0" w:color="auto"/>
        <w:right w:val="none" w:sz="0" w:space="0" w:color="auto"/>
      </w:divBdr>
    </w:div>
    <w:div w:id="1647054250">
      <w:marLeft w:val="0"/>
      <w:marRight w:val="0"/>
      <w:marTop w:val="180"/>
      <w:marBottom w:val="0"/>
      <w:divBdr>
        <w:top w:val="none" w:sz="0" w:space="0" w:color="auto"/>
        <w:left w:val="none" w:sz="0" w:space="0" w:color="auto"/>
        <w:bottom w:val="none" w:sz="0" w:space="0" w:color="auto"/>
        <w:right w:val="none" w:sz="0" w:space="0" w:color="auto"/>
      </w:divBdr>
    </w:div>
    <w:div w:id="1652103126">
      <w:marLeft w:val="0"/>
      <w:marRight w:val="0"/>
      <w:marTop w:val="180"/>
      <w:marBottom w:val="0"/>
      <w:divBdr>
        <w:top w:val="none" w:sz="0" w:space="0" w:color="auto"/>
        <w:left w:val="none" w:sz="0" w:space="0" w:color="auto"/>
        <w:bottom w:val="none" w:sz="0" w:space="0" w:color="auto"/>
        <w:right w:val="none" w:sz="0" w:space="0" w:color="auto"/>
      </w:divBdr>
    </w:div>
    <w:div w:id="1654605735">
      <w:marLeft w:val="0"/>
      <w:marRight w:val="0"/>
      <w:marTop w:val="180"/>
      <w:marBottom w:val="0"/>
      <w:divBdr>
        <w:top w:val="none" w:sz="0" w:space="0" w:color="auto"/>
        <w:left w:val="none" w:sz="0" w:space="0" w:color="auto"/>
        <w:bottom w:val="none" w:sz="0" w:space="0" w:color="auto"/>
        <w:right w:val="none" w:sz="0" w:space="0" w:color="auto"/>
      </w:divBdr>
    </w:div>
    <w:div w:id="1656029953">
      <w:marLeft w:val="0"/>
      <w:marRight w:val="0"/>
      <w:marTop w:val="180"/>
      <w:marBottom w:val="0"/>
      <w:divBdr>
        <w:top w:val="none" w:sz="0" w:space="0" w:color="auto"/>
        <w:left w:val="none" w:sz="0" w:space="0" w:color="auto"/>
        <w:bottom w:val="none" w:sz="0" w:space="0" w:color="auto"/>
        <w:right w:val="none" w:sz="0" w:space="0" w:color="auto"/>
      </w:divBdr>
    </w:div>
    <w:div w:id="1656176974">
      <w:marLeft w:val="0"/>
      <w:marRight w:val="0"/>
      <w:marTop w:val="180"/>
      <w:marBottom w:val="0"/>
      <w:divBdr>
        <w:top w:val="none" w:sz="0" w:space="0" w:color="auto"/>
        <w:left w:val="none" w:sz="0" w:space="0" w:color="auto"/>
        <w:bottom w:val="none" w:sz="0" w:space="0" w:color="auto"/>
        <w:right w:val="none" w:sz="0" w:space="0" w:color="auto"/>
      </w:divBdr>
    </w:div>
    <w:div w:id="1656256414">
      <w:marLeft w:val="0"/>
      <w:marRight w:val="0"/>
      <w:marTop w:val="0"/>
      <w:marBottom w:val="0"/>
      <w:divBdr>
        <w:top w:val="none" w:sz="0" w:space="0" w:color="auto"/>
        <w:left w:val="none" w:sz="0" w:space="0" w:color="auto"/>
        <w:bottom w:val="none" w:sz="0" w:space="0" w:color="auto"/>
        <w:right w:val="none" w:sz="0" w:space="0" w:color="auto"/>
      </w:divBdr>
      <w:divsChild>
        <w:div w:id="2134128560">
          <w:marLeft w:val="0"/>
          <w:marRight w:val="0"/>
          <w:marTop w:val="0"/>
          <w:marBottom w:val="0"/>
          <w:divBdr>
            <w:top w:val="none" w:sz="0" w:space="0" w:color="auto"/>
            <w:left w:val="none" w:sz="0" w:space="0" w:color="auto"/>
            <w:bottom w:val="none" w:sz="0" w:space="0" w:color="auto"/>
            <w:right w:val="none" w:sz="0" w:space="0" w:color="auto"/>
          </w:divBdr>
        </w:div>
      </w:divsChild>
    </w:div>
    <w:div w:id="1658460739">
      <w:marLeft w:val="0"/>
      <w:marRight w:val="0"/>
      <w:marTop w:val="0"/>
      <w:marBottom w:val="0"/>
      <w:divBdr>
        <w:top w:val="none" w:sz="0" w:space="0" w:color="auto"/>
        <w:left w:val="none" w:sz="0" w:space="0" w:color="auto"/>
        <w:bottom w:val="none" w:sz="0" w:space="0" w:color="auto"/>
        <w:right w:val="none" w:sz="0" w:space="0" w:color="auto"/>
      </w:divBdr>
      <w:divsChild>
        <w:div w:id="191312038">
          <w:marLeft w:val="0"/>
          <w:marRight w:val="0"/>
          <w:marTop w:val="0"/>
          <w:marBottom w:val="0"/>
          <w:divBdr>
            <w:top w:val="none" w:sz="0" w:space="0" w:color="auto"/>
            <w:left w:val="none" w:sz="0" w:space="0" w:color="auto"/>
            <w:bottom w:val="none" w:sz="0" w:space="0" w:color="auto"/>
            <w:right w:val="none" w:sz="0" w:space="0" w:color="auto"/>
          </w:divBdr>
          <w:divsChild>
            <w:div w:id="9983883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9116899">
      <w:marLeft w:val="0"/>
      <w:marRight w:val="0"/>
      <w:marTop w:val="0"/>
      <w:marBottom w:val="0"/>
      <w:divBdr>
        <w:top w:val="none" w:sz="0" w:space="0" w:color="auto"/>
        <w:left w:val="none" w:sz="0" w:space="0" w:color="auto"/>
        <w:bottom w:val="none" w:sz="0" w:space="0" w:color="auto"/>
        <w:right w:val="none" w:sz="0" w:space="0" w:color="auto"/>
      </w:divBdr>
      <w:divsChild>
        <w:div w:id="487672676">
          <w:marLeft w:val="0"/>
          <w:marRight w:val="0"/>
          <w:marTop w:val="180"/>
          <w:marBottom w:val="0"/>
          <w:divBdr>
            <w:top w:val="none" w:sz="0" w:space="0" w:color="auto"/>
            <w:left w:val="none" w:sz="0" w:space="0" w:color="auto"/>
            <w:bottom w:val="none" w:sz="0" w:space="0" w:color="auto"/>
            <w:right w:val="none" w:sz="0" w:space="0" w:color="auto"/>
          </w:divBdr>
        </w:div>
      </w:divsChild>
    </w:div>
    <w:div w:id="1659728478">
      <w:marLeft w:val="0"/>
      <w:marRight w:val="0"/>
      <w:marTop w:val="180"/>
      <w:marBottom w:val="0"/>
      <w:divBdr>
        <w:top w:val="none" w:sz="0" w:space="0" w:color="auto"/>
        <w:left w:val="none" w:sz="0" w:space="0" w:color="auto"/>
        <w:bottom w:val="none" w:sz="0" w:space="0" w:color="auto"/>
        <w:right w:val="none" w:sz="0" w:space="0" w:color="auto"/>
      </w:divBdr>
    </w:div>
    <w:div w:id="1660841547">
      <w:marLeft w:val="0"/>
      <w:marRight w:val="0"/>
      <w:marTop w:val="180"/>
      <w:marBottom w:val="0"/>
      <w:divBdr>
        <w:top w:val="none" w:sz="0" w:space="0" w:color="auto"/>
        <w:left w:val="none" w:sz="0" w:space="0" w:color="auto"/>
        <w:bottom w:val="none" w:sz="0" w:space="0" w:color="auto"/>
        <w:right w:val="none" w:sz="0" w:space="0" w:color="auto"/>
      </w:divBdr>
    </w:div>
    <w:div w:id="1662192070">
      <w:marLeft w:val="0"/>
      <w:marRight w:val="0"/>
      <w:marTop w:val="180"/>
      <w:marBottom w:val="0"/>
      <w:divBdr>
        <w:top w:val="none" w:sz="0" w:space="0" w:color="auto"/>
        <w:left w:val="none" w:sz="0" w:space="0" w:color="auto"/>
        <w:bottom w:val="none" w:sz="0" w:space="0" w:color="auto"/>
        <w:right w:val="none" w:sz="0" w:space="0" w:color="auto"/>
      </w:divBdr>
    </w:div>
    <w:div w:id="1662545474">
      <w:marLeft w:val="0"/>
      <w:marRight w:val="0"/>
      <w:marTop w:val="180"/>
      <w:marBottom w:val="0"/>
      <w:divBdr>
        <w:top w:val="none" w:sz="0" w:space="0" w:color="auto"/>
        <w:left w:val="none" w:sz="0" w:space="0" w:color="auto"/>
        <w:bottom w:val="none" w:sz="0" w:space="0" w:color="auto"/>
        <w:right w:val="none" w:sz="0" w:space="0" w:color="auto"/>
      </w:divBdr>
    </w:div>
    <w:div w:id="1663240231">
      <w:marLeft w:val="0"/>
      <w:marRight w:val="0"/>
      <w:marTop w:val="180"/>
      <w:marBottom w:val="0"/>
      <w:divBdr>
        <w:top w:val="none" w:sz="0" w:space="0" w:color="auto"/>
        <w:left w:val="none" w:sz="0" w:space="0" w:color="auto"/>
        <w:bottom w:val="none" w:sz="0" w:space="0" w:color="auto"/>
        <w:right w:val="none" w:sz="0" w:space="0" w:color="auto"/>
      </w:divBdr>
    </w:div>
    <w:div w:id="1664550892">
      <w:marLeft w:val="0"/>
      <w:marRight w:val="0"/>
      <w:marTop w:val="0"/>
      <w:marBottom w:val="0"/>
      <w:divBdr>
        <w:top w:val="none" w:sz="0" w:space="0" w:color="auto"/>
        <w:left w:val="none" w:sz="0" w:space="0" w:color="auto"/>
        <w:bottom w:val="none" w:sz="0" w:space="0" w:color="auto"/>
        <w:right w:val="none" w:sz="0" w:space="0" w:color="auto"/>
      </w:divBdr>
    </w:div>
    <w:div w:id="1665355457">
      <w:marLeft w:val="0"/>
      <w:marRight w:val="0"/>
      <w:marTop w:val="0"/>
      <w:marBottom w:val="200"/>
      <w:divBdr>
        <w:top w:val="none" w:sz="0" w:space="0" w:color="auto"/>
        <w:left w:val="none" w:sz="0" w:space="0" w:color="auto"/>
        <w:bottom w:val="none" w:sz="0" w:space="0" w:color="auto"/>
        <w:right w:val="none" w:sz="0" w:space="0" w:color="auto"/>
      </w:divBdr>
    </w:div>
    <w:div w:id="1665472706">
      <w:marLeft w:val="0"/>
      <w:marRight w:val="0"/>
      <w:marTop w:val="180"/>
      <w:marBottom w:val="0"/>
      <w:divBdr>
        <w:top w:val="none" w:sz="0" w:space="0" w:color="auto"/>
        <w:left w:val="none" w:sz="0" w:space="0" w:color="auto"/>
        <w:bottom w:val="none" w:sz="0" w:space="0" w:color="auto"/>
        <w:right w:val="none" w:sz="0" w:space="0" w:color="auto"/>
      </w:divBdr>
    </w:div>
    <w:div w:id="1668363035">
      <w:marLeft w:val="0"/>
      <w:marRight w:val="0"/>
      <w:marTop w:val="0"/>
      <w:marBottom w:val="0"/>
      <w:divBdr>
        <w:top w:val="none" w:sz="0" w:space="0" w:color="auto"/>
        <w:left w:val="none" w:sz="0" w:space="0" w:color="auto"/>
        <w:bottom w:val="none" w:sz="0" w:space="0" w:color="auto"/>
        <w:right w:val="none" w:sz="0" w:space="0" w:color="auto"/>
      </w:divBdr>
      <w:divsChild>
        <w:div w:id="1036539542">
          <w:marLeft w:val="0"/>
          <w:marRight w:val="0"/>
          <w:marTop w:val="0"/>
          <w:marBottom w:val="0"/>
          <w:divBdr>
            <w:top w:val="none" w:sz="0" w:space="0" w:color="auto"/>
            <w:left w:val="none" w:sz="0" w:space="0" w:color="auto"/>
            <w:bottom w:val="none" w:sz="0" w:space="0" w:color="auto"/>
            <w:right w:val="none" w:sz="0" w:space="0" w:color="auto"/>
          </w:divBdr>
          <w:divsChild>
            <w:div w:id="7908983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72947711">
      <w:marLeft w:val="0"/>
      <w:marRight w:val="0"/>
      <w:marTop w:val="240"/>
      <w:marBottom w:val="0"/>
      <w:divBdr>
        <w:top w:val="none" w:sz="0" w:space="0" w:color="auto"/>
        <w:left w:val="none" w:sz="0" w:space="0" w:color="auto"/>
        <w:bottom w:val="none" w:sz="0" w:space="0" w:color="auto"/>
        <w:right w:val="none" w:sz="0" w:space="0" w:color="auto"/>
      </w:divBdr>
    </w:div>
    <w:div w:id="1674525280">
      <w:marLeft w:val="0"/>
      <w:marRight w:val="0"/>
      <w:marTop w:val="0"/>
      <w:marBottom w:val="0"/>
      <w:divBdr>
        <w:top w:val="none" w:sz="0" w:space="0" w:color="auto"/>
        <w:left w:val="none" w:sz="0" w:space="0" w:color="auto"/>
        <w:bottom w:val="none" w:sz="0" w:space="0" w:color="auto"/>
        <w:right w:val="none" w:sz="0" w:space="0" w:color="auto"/>
      </w:divBdr>
      <w:divsChild>
        <w:div w:id="1059405074">
          <w:marLeft w:val="0"/>
          <w:marRight w:val="0"/>
          <w:marTop w:val="180"/>
          <w:marBottom w:val="0"/>
          <w:divBdr>
            <w:top w:val="none" w:sz="0" w:space="0" w:color="auto"/>
            <w:left w:val="none" w:sz="0" w:space="0" w:color="auto"/>
            <w:bottom w:val="none" w:sz="0" w:space="0" w:color="auto"/>
            <w:right w:val="none" w:sz="0" w:space="0" w:color="auto"/>
          </w:divBdr>
        </w:div>
      </w:divsChild>
    </w:div>
    <w:div w:id="1674987945">
      <w:marLeft w:val="0"/>
      <w:marRight w:val="0"/>
      <w:marTop w:val="180"/>
      <w:marBottom w:val="0"/>
      <w:divBdr>
        <w:top w:val="none" w:sz="0" w:space="0" w:color="auto"/>
        <w:left w:val="none" w:sz="0" w:space="0" w:color="auto"/>
        <w:bottom w:val="none" w:sz="0" w:space="0" w:color="auto"/>
        <w:right w:val="none" w:sz="0" w:space="0" w:color="auto"/>
      </w:divBdr>
    </w:div>
    <w:div w:id="1675451529">
      <w:marLeft w:val="0"/>
      <w:marRight w:val="0"/>
      <w:marTop w:val="180"/>
      <w:marBottom w:val="0"/>
      <w:divBdr>
        <w:top w:val="none" w:sz="0" w:space="0" w:color="auto"/>
        <w:left w:val="none" w:sz="0" w:space="0" w:color="auto"/>
        <w:bottom w:val="none" w:sz="0" w:space="0" w:color="auto"/>
        <w:right w:val="none" w:sz="0" w:space="0" w:color="auto"/>
      </w:divBdr>
    </w:div>
    <w:div w:id="1676106436">
      <w:marLeft w:val="0"/>
      <w:marRight w:val="0"/>
      <w:marTop w:val="180"/>
      <w:marBottom w:val="0"/>
      <w:divBdr>
        <w:top w:val="none" w:sz="0" w:space="0" w:color="auto"/>
        <w:left w:val="none" w:sz="0" w:space="0" w:color="auto"/>
        <w:bottom w:val="none" w:sz="0" w:space="0" w:color="auto"/>
        <w:right w:val="none" w:sz="0" w:space="0" w:color="auto"/>
      </w:divBdr>
    </w:div>
    <w:div w:id="1678381263">
      <w:marLeft w:val="0"/>
      <w:marRight w:val="0"/>
      <w:marTop w:val="180"/>
      <w:marBottom w:val="120"/>
      <w:divBdr>
        <w:top w:val="none" w:sz="0" w:space="0" w:color="auto"/>
        <w:left w:val="none" w:sz="0" w:space="0" w:color="auto"/>
        <w:bottom w:val="none" w:sz="0" w:space="0" w:color="auto"/>
        <w:right w:val="none" w:sz="0" w:space="0" w:color="auto"/>
      </w:divBdr>
    </w:div>
    <w:div w:id="1679114525">
      <w:marLeft w:val="0"/>
      <w:marRight w:val="0"/>
      <w:marTop w:val="180"/>
      <w:marBottom w:val="0"/>
      <w:divBdr>
        <w:top w:val="none" w:sz="0" w:space="0" w:color="auto"/>
        <w:left w:val="none" w:sz="0" w:space="0" w:color="auto"/>
        <w:bottom w:val="none" w:sz="0" w:space="0" w:color="auto"/>
        <w:right w:val="none" w:sz="0" w:space="0" w:color="auto"/>
      </w:divBdr>
    </w:div>
    <w:div w:id="1687098854">
      <w:marLeft w:val="0"/>
      <w:marRight w:val="0"/>
      <w:marTop w:val="180"/>
      <w:marBottom w:val="60"/>
      <w:divBdr>
        <w:top w:val="none" w:sz="0" w:space="0" w:color="auto"/>
        <w:left w:val="none" w:sz="0" w:space="0" w:color="auto"/>
        <w:bottom w:val="none" w:sz="0" w:space="0" w:color="auto"/>
        <w:right w:val="none" w:sz="0" w:space="0" w:color="auto"/>
      </w:divBdr>
    </w:div>
    <w:div w:id="1690566976">
      <w:marLeft w:val="0"/>
      <w:marRight w:val="0"/>
      <w:marTop w:val="180"/>
      <w:marBottom w:val="0"/>
      <w:divBdr>
        <w:top w:val="none" w:sz="0" w:space="0" w:color="auto"/>
        <w:left w:val="none" w:sz="0" w:space="0" w:color="auto"/>
        <w:bottom w:val="none" w:sz="0" w:space="0" w:color="auto"/>
        <w:right w:val="none" w:sz="0" w:space="0" w:color="auto"/>
      </w:divBdr>
    </w:div>
    <w:div w:id="1691301698">
      <w:marLeft w:val="0"/>
      <w:marRight w:val="0"/>
      <w:marTop w:val="240"/>
      <w:marBottom w:val="0"/>
      <w:divBdr>
        <w:top w:val="none" w:sz="0" w:space="0" w:color="auto"/>
        <w:left w:val="none" w:sz="0" w:space="0" w:color="auto"/>
        <w:bottom w:val="none" w:sz="0" w:space="0" w:color="auto"/>
        <w:right w:val="none" w:sz="0" w:space="0" w:color="auto"/>
      </w:divBdr>
    </w:div>
    <w:div w:id="1692757109">
      <w:marLeft w:val="0"/>
      <w:marRight w:val="0"/>
      <w:marTop w:val="180"/>
      <w:marBottom w:val="0"/>
      <w:divBdr>
        <w:top w:val="none" w:sz="0" w:space="0" w:color="auto"/>
        <w:left w:val="none" w:sz="0" w:space="0" w:color="auto"/>
        <w:bottom w:val="none" w:sz="0" w:space="0" w:color="auto"/>
        <w:right w:val="none" w:sz="0" w:space="0" w:color="auto"/>
      </w:divBdr>
    </w:div>
    <w:div w:id="1694067975">
      <w:marLeft w:val="0"/>
      <w:marRight w:val="0"/>
      <w:marTop w:val="0"/>
      <w:marBottom w:val="200"/>
      <w:divBdr>
        <w:top w:val="none" w:sz="0" w:space="0" w:color="auto"/>
        <w:left w:val="none" w:sz="0" w:space="0" w:color="auto"/>
        <w:bottom w:val="none" w:sz="0" w:space="0" w:color="auto"/>
        <w:right w:val="none" w:sz="0" w:space="0" w:color="auto"/>
      </w:divBdr>
    </w:div>
    <w:div w:id="1695617740">
      <w:marLeft w:val="0"/>
      <w:marRight w:val="0"/>
      <w:marTop w:val="0"/>
      <w:marBottom w:val="0"/>
      <w:divBdr>
        <w:top w:val="none" w:sz="0" w:space="0" w:color="auto"/>
        <w:left w:val="none" w:sz="0" w:space="0" w:color="auto"/>
        <w:bottom w:val="none" w:sz="0" w:space="0" w:color="auto"/>
        <w:right w:val="none" w:sz="0" w:space="0" w:color="auto"/>
      </w:divBdr>
      <w:divsChild>
        <w:div w:id="1239487422">
          <w:marLeft w:val="0"/>
          <w:marRight w:val="0"/>
          <w:marTop w:val="0"/>
          <w:marBottom w:val="0"/>
          <w:divBdr>
            <w:top w:val="none" w:sz="0" w:space="0" w:color="auto"/>
            <w:left w:val="none" w:sz="0" w:space="0" w:color="auto"/>
            <w:bottom w:val="none" w:sz="0" w:space="0" w:color="auto"/>
            <w:right w:val="none" w:sz="0" w:space="0" w:color="auto"/>
          </w:divBdr>
        </w:div>
      </w:divsChild>
    </w:div>
    <w:div w:id="1695688743">
      <w:marLeft w:val="0"/>
      <w:marRight w:val="0"/>
      <w:marTop w:val="60"/>
      <w:marBottom w:val="120"/>
      <w:divBdr>
        <w:top w:val="none" w:sz="0" w:space="0" w:color="auto"/>
        <w:left w:val="none" w:sz="0" w:space="0" w:color="auto"/>
        <w:bottom w:val="none" w:sz="0" w:space="0" w:color="auto"/>
        <w:right w:val="none" w:sz="0" w:space="0" w:color="auto"/>
      </w:divBdr>
    </w:div>
    <w:div w:id="1696954655">
      <w:marLeft w:val="0"/>
      <w:marRight w:val="0"/>
      <w:marTop w:val="180"/>
      <w:marBottom w:val="0"/>
      <w:divBdr>
        <w:top w:val="none" w:sz="0" w:space="0" w:color="auto"/>
        <w:left w:val="none" w:sz="0" w:space="0" w:color="auto"/>
        <w:bottom w:val="none" w:sz="0" w:space="0" w:color="auto"/>
        <w:right w:val="none" w:sz="0" w:space="0" w:color="auto"/>
      </w:divBdr>
    </w:div>
    <w:div w:id="1696956384">
      <w:marLeft w:val="0"/>
      <w:marRight w:val="0"/>
      <w:marTop w:val="180"/>
      <w:marBottom w:val="0"/>
      <w:divBdr>
        <w:top w:val="none" w:sz="0" w:space="0" w:color="auto"/>
        <w:left w:val="none" w:sz="0" w:space="0" w:color="auto"/>
        <w:bottom w:val="none" w:sz="0" w:space="0" w:color="auto"/>
        <w:right w:val="none" w:sz="0" w:space="0" w:color="auto"/>
      </w:divBdr>
    </w:div>
    <w:div w:id="1698040787">
      <w:marLeft w:val="0"/>
      <w:marRight w:val="0"/>
      <w:marTop w:val="0"/>
      <w:marBottom w:val="0"/>
      <w:divBdr>
        <w:top w:val="none" w:sz="0" w:space="0" w:color="auto"/>
        <w:left w:val="none" w:sz="0" w:space="0" w:color="auto"/>
        <w:bottom w:val="none" w:sz="0" w:space="0" w:color="auto"/>
        <w:right w:val="none" w:sz="0" w:space="0" w:color="auto"/>
      </w:divBdr>
      <w:divsChild>
        <w:div w:id="1210801995">
          <w:marLeft w:val="0"/>
          <w:marRight w:val="0"/>
          <w:marTop w:val="180"/>
          <w:marBottom w:val="0"/>
          <w:divBdr>
            <w:top w:val="none" w:sz="0" w:space="0" w:color="auto"/>
            <w:left w:val="none" w:sz="0" w:space="0" w:color="auto"/>
            <w:bottom w:val="none" w:sz="0" w:space="0" w:color="auto"/>
            <w:right w:val="none" w:sz="0" w:space="0" w:color="auto"/>
          </w:divBdr>
        </w:div>
      </w:divsChild>
    </w:div>
    <w:div w:id="1699046399">
      <w:marLeft w:val="0"/>
      <w:marRight w:val="0"/>
      <w:marTop w:val="0"/>
      <w:marBottom w:val="0"/>
      <w:divBdr>
        <w:top w:val="none" w:sz="0" w:space="0" w:color="auto"/>
        <w:left w:val="none" w:sz="0" w:space="0" w:color="auto"/>
        <w:bottom w:val="none" w:sz="0" w:space="0" w:color="auto"/>
        <w:right w:val="none" w:sz="0" w:space="0" w:color="auto"/>
      </w:divBdr>
      <w:divsChild>
        <w:div w:id="1911694651">
          <w:marLeft w:val="0"/>
          <w:marRight w:val="0"/>
          <w:marTop w:val="0"/>
          <w:marBottom w:val="0"/>
          <w:divBdr>
            <w:top w:val="none" w:sz="0" w:space="0" w:color="auto"/>
            <w:left w:val="none" w:sz="0" w:space="0" w:color="auto"/>
            <w:bottom w:val="none" w:sz="0" w:space="0" w:color="auto"/>
            <w:right w:val="none" w:sz="0" w:space="0" w:color="auto"/>
          </w:divBdr>
          <w:divsChild>
            <w:div w:id="17242540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0813641">
      <w:marLeft w:val="0"/>
      <w:marRight w:val="0"/>
      <w:marTop w:val="180"/>
      <w:marBottom w:val="0"/>
      <w:divBdr>
        <w:top w:val="none" w:sz="0" w:space="0" w:color="auto"/>
        <w:left w:val="none" w:sz="0" w:space="0" w:color="auto"/>
        <w:bottom w:val="none" w:sz="0" w:space="0" w:color="auto"/>
        <w:right w:val="none" w:sz="0" w:space="0" w:color="auto"/>
      </w:divBdr>
    </w:div>
    <w:div w:id="1702971004">
      <w:marLeft w:val="0"/>
      <w:marRight w:val="0"/>
      <w:marTop w:val="180"/>
      <w:marBottom w:val="0"/>
      <w:divBdr>
        <w:top w:val="none" w:sz="0" w:space="0" w:color="auto"/>
        <w:left w:val="none" w:sz="0" w:space="0" w:color="auto"/>
        <w:bottom w:val="none" w:sz="0" w:space="0" w:color="auto"/>
        <w:right w:val="none" w:sz="0" w:space="0" w:color="auto"/>
      </w:divBdr>
    </w:div>
    <w:div w:id="1705253818">
      <w:marLeft w:val="0"/>
      <w:marRight w:val="0"/>
      <w:marTop w:val="180"/>
      <w:marBottom w:val="0"/>
      <w:divBdr>
        <w:top w:val="none" w:sz="0" w:space="0" w:color="auto"/>
        <w:left w:val="none" w:sz="0" w:space="0" w:color="auto"/>
        <w:bottom w:val="none" w:sz="0" w:space="0" w:color="auto"/>
        <w:right w:val="none" w:sz="0" w:space="0" w:color="auto"/>
      </w:divBdr>
    </w:div>
    <w:div w:id="1706368254">
      <w:marLeft w:val="0"/>
      <w:marRight w:val="0"/>
      <w:marTop w:val="0"/>
      <w:marBottom w:val="200"/>
      <w:divBdr>
        <w:top w:val="none" w:sz="0" w:space="0" w:color="auto"/>
        <w:left w:val="none" w:sz="0" w:space="0" w:color="auto"/>
        <w:bottom w:val="none" w:sz="0" w:space="0" w:color="auto"/>
        <w:right w:val="none" w:sz="0" w:space="0" w:color="auto"/>
      </w:divBdr>
    </w:div>
    <w:div w:id="1708338383">
      <w:marLeft w:val="0"/>
      <w:marRight w:val="0"/>
      <w:marTop w:val="180"/>
      <w:marBottom w:val="0"/>
      <w:divBdr>
        <w:top w:val="none" w:sz="0" w:space="0" w:color="auto"/>
        <w:left w:val="none" w:sz="0" w:space="0" w:color="auto"/>
        <w:bottom w:val="none" w:sz="0" w:space="0" w:color="auto"/>
        <w:right w:val="none" w:sz="0" w:space="0" w:color="auto"/>
      </w:divBdr>
    </w:div>
    <w:div w:id="1710301746">
      <w:marLeft w:val="0"/>
      <w:marRight w:val="0"/>
      <w:marTop w:val="0"/>
      <w:marBottom w:val="0"/>
      <w:divBdr>
        <w:top w:val="none" w:sz="0" w:space="0" w:color="auto"/>
        <w:left w:val="none" w:sz="0" w:space="0" w:color="auto"/>
        <w:bottom w:val="none" w:sz="0" w:space="0" w:color="auto"/>
        <w:right w:val="none" w:sz="0" w:space="0" w:color="auto"/>
      </w:divBdr>
      <w:divsChild>
        <w:div w:id="1196120536">
          <w:marLeft w:val="0"/>
          <w:marRight w:val="0"/>
          <w:marTop w:val="0"/>
          <w:marBottom w:val="0"/>
          <w:divBdr>
            <w:top w:val="none" w:sz="0" w:space="0" w:color="auto"/>
            <w:left w:val="none" w:sz="0" w:space="0" w:color="auto"/>
            <w:bottom w:val="none" w:sz="0" w:space="0" w:color="auto"/>
            <w:right w:val="none" w:sz="0" w:space="0" w:color="auto"/>
          </w:divBdr>
          <w:divsChild>
            <w:div w:id="19278077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1296639">
      <w:marLeft w:val="0"/>
      <w:marRight w:val="0"/>
      <w:marTop w:val="180"/>
      <w:marBottom w:val="0"/>
      <w:divBdr>
        <w:top w:val="none" w:sz="0" w:space="0" w:color="auto"/>
        <w:left w:val="none" w:sz="0" w:space="0" w:color="auto"/>
        <w:bottom w:val="none" w:sz="0" w:space="0" w:color="auto"/>
        <w:right w:val="none" w:sz="0" w:space="0" w:color="auto"/>
      </w:divBdr>
    </w:div>
    <w:div w:id="1711683984">
      <w:marLeft w:val="0"/>
      <w:marRight w:val="0"/>
      <w:marTop w:val="180"/>
      <w:marBottom w:val="0"/>
      <w:divBdr>
        <w:top w:val="none" w:sz="0" w:space="0" w:color="auto"/>
        <w:left w:val="none" w:sz="0" w:space="0" w:color="auto"/>
        <w:bottom w:val="none" w:sz="0" w:space="0" w:color="auto"/>
        <w:right w:val="none" w:sz="0" w:space="0" w:color="auto"/>
      </w:divBdr>
    </w:div>
    <w:div w:id="1713267992">
      <w:marLeft w:val="0"/>
      <w:marRight w:val="0"/>
      <w:marTop w:val="180"/>
      <w:marBottom w:val="0"/>
      <w:divBdr>
        <w:top w:val="none" w:sz="0" w:space="0" w:color="auto"/>
        <w:left w:val="none" w:sz="0" w:space="0" w:color="auto"/>
        <w:bottom w:val="none" w:sz="0" w:space="0" w:color="auto"/>
        <w:right w:val="none" w:sz="0" w:space="0" w:color="auto"/>
      </w:divBdr>
    </w:div>
    <w:div w:id="1713650759">
      <w:marLeft w:val="0"/>
      <w:marRight w:val="0"/>
      <w:marTop w:val="180"/>
      <w:marBottom w:val="0"/>
      <w:divBdr>
        <w:top w:val="none" w:sz="0" w:space="0" w:color="auto"/>
        <w:left w:val="none" w:sz="0" w:space="0" w:color="auto"/>
        <w:bottom w:val="none" w:sz="0" w:space="0" w:color="auto"/>
        <w:right w:val="none" w:sz="0" w:space="0" w:color="auto"/>
      </w:divBdr>
    </w:div>
    <w:div w:id="1717387931">
      <w:marLeft w:val="0"/>
      <w:marRight w:val="0"/>
      <w:marTop w:val="180"/>
      <w:marBottom w:val="120"/>
      <w:divBdr>
        <w:top w:val="none" w:sz="0" w:space="0" w:color="auto"/>
        <w:left w:val="none" w:sz="0" w:space="0" w:color="auto"/>
        <w:bottom w:val="none" w:sz="0" w:space="0" w:color="auto"/>
        <w:right w:val="none" w:sz="0" w:space="0" w:color="auto"/>
      </w:divBdr>
    </w:div>
    <w:div w:id="1717849536">
      <w:marLeft w:val="0"/>
      <w:marRight w:val="0"/>
      <w:marTop w:val="180"/>
      <w:marBottom w:val="12"/>
      <w:divBdr>
        <w:top w:val="none" w:sz="0" w:space="0" w:color="auto"/>
        <w:left w:val="none" w:sz="0" w:space="0" w:color="auto"/>
        <w:bottom w:val="none" w:sz="0" w:space="0" w:color="auto"/>
        <w:right w:val="none" w:sz="0" w:space="0" w:color="auto"/>
      </w:divBdr>
    </w:div>
    <w:div w:id="1724476655">
      <w:marLeft w:val="0"/>
      <w:marRight w:val="0"/>
      <w:marTop w:val="180"/>
      <w:marBottom w:val="0"/>
      <w:divBdr>
        <w:top w:val="none" w:sz="0" w:space="0" w:color="auto"/>
        <w:left w:val="none" w:sz="0" w:space="0" w:color="auto"/>
        <w:bottom w:val="none" w:sz="0" w:space="0" w:color="auto"/>
        <w:right w:val="none" w:sz="0" w:space="0" w:color="auto"/>
      </w:divBdr>
    </w:div>
    <w:div w:id="1726299931">
      <w:marLeft w:val="0"/>
      <w:marRight w:val="0"/>
      <w:marTop w:val="180"/>
      <w:marBottom w:val="0"/>
      <w:divBdr>
        <w:top w:val="none" w:sz="0" w:space="0" w:color="auto"/>
        <w:left w:val="none" w:sz="0" w:space="0" w:color="auto"/>
        <w:bottom w:val="none" w:sz="0" w:space="0" w:color="auto"/>
        <w:right w:val="none" w:sz="0" w:space="0" w:color="auto"/>
      </w:divBdr>
    </w:div>
    <w:div w:id="1726636841">
      <w:marLeft w:val="0"/>
      <w:marRight w:val="0"/>
      <w:marTop w:val="180"/>
      <w:marBottom w:val="120"/>
      <w:divBdr>
        <w:top w:val="none" w:sz="0" w:space="0" w:color="auto"/>
        <w:left w:val="none" w:sz="0" w:space="0" w:color="auto"/>
        <w:bottom w:val="none" w:sz="0" w:space="0" w:color="auto"/>
        <w:right w:val="none" w:sz="0" w:space="0" w:color="auto"/>
      </w:divBdr>
      <w:divsChild>
        <w:div w:id="1100643364">
          <w:marLeft w:val="0"/>
          <w:marRight w:val="0"/>
          <w:marTop w:val="120"/>
          <w:marBottom w:val="120"/>
          <w:divBdr>
            <w:top w:val="none" w:sz="0" w:space="0" w:color="auto"/>
            <w:left w:val="none" w:sz="0" w:space="0" w:color="auto"/>
            <w:bottom w:val="none" w:sz="0" w:space="0" w:color="auto"/>
            <w:right w:val="none" w:sz="0" w:space="0" w:color="auto"/>
          </w:divBdr>
        </w:div>
        <w:div w:id="372921430">
          <w:marLeft w:val="0"/>
          <w:marRight w:val="0"/>
          <w:marTop w:val="120"/>
          <w:marBottom w:val="120"/>
          <w:divBdr>
            <w:top w:val="none" w:sz="0" w:space="0" w:color="auto"/>
            <w:left w:val="none" w:sz="0" w:space="0" w:color="auto"/>
            <w:bottom w:val="none" w:sz="0" w:space="0" w:color="auto"/>
            <w:right w:val="none" w:sz="0" w:space="0" w:color="auto"/>
          </w:divBdr>
        </w:div>
        <w:div w:id="90589212">
          <w:marLeft w:val="0"/>
          <w:marRight w:val="0"/>
          <w:marTop w:val="120"/>
          <w:marBottom w:val="120"/>
          <w:divBdr>
            <w:top w:val="none" w:sz="0" w:space="0" w:color="auto"/>
            <w:left w:val="none" w:sz="0" w:space="0" w:color="auto"/>
            <w:bottom w:val="none" w:sz="0" w:space="0" w:color="auto"/>
            <w:right w:val="none" w:sz="0" w:space="0" w:color="auto"/>
          </w:divBdr>
        </w:div>
        <w:div w:id="1784227969">
          <w:marLeft w:val="0"/>
          <w:marRight w:val="0"/>
          <w:marTop w:val="120"/>
          <w:marBottom w:val="120"/>
          <w:divBdr>
            <w:top w:val="none" w:sz="0" w:space="0" w:color="auto"/>
            <w:left w:val="none" w:sz="0" w:space="0" w:color="auto"/>
            <w:bottom w:val="none" w:sz="0" w:space="0" w:color="auto"/>
            <w:right w:val="none" w:sz="0" w:space="0" w:color="auto"/>
          </w:divBdr>
        </w:div>
        <w:div w:id="37360412">
          <w:marLeft w:val="0"/>
          <w:marRight w:val="0"/>
          <w:marTop w:val="120"/>
          <w:marBottom w:val="120"/>
          <w:divBdr>
            <w:top w:val="none" w:sz="0" w:space="0" w:color="auto"/>
            <w:left w:val="none" w:sz="0" w:space="0" w:color="auto"/>
            <w:bottom w:val="none" w:sz="0" w:space="0" w:color="auto"/>
            <w:right w:val="none" w:sz="0" w:space="0" w:color="auto"/>
          </w:divBdr>
        </w:div>
      </w:divsChild>
    </w:div>
    <w:div w:id="1727601551">
      <w:marLeft w:val="0"/>
      <w:marRight w:val="0"/>
      <w:marTop w:val="0"/>
      <w:marBottom w:val="0"/>
      <w:divBdr>
        <w:top w:val="none" w:sz="0" w:space="0" w:color="auto"/>
        <w:left w:val="none" w:sz="0" w:space="0" w:color="auto"/>
        <w:bottom w:val="none" w:sz="0" w:space="0" w:color="auto"/>
        <w:right w:val="none" w:sz="0" w:space="0" w:color="auto"/>
      </w:divBdr>
      <w:divsChild>
        <w:div w:id="1382750316">
          <w:marLeft w:val="0"/>
          <w:marRight w:val="0"/>
          <w:marTop w:val="180"/>
          <w:marBottom w:val="0"/>
          <w:divBdr>
            <w:top w:val="none" w:sz="0" w:space="0" w:color="auto"/>
            <w:left w:val="none" w:sz="0" w:space="0" w:color="auto"/>
            <w:bottom w:val="none" w:sz="0" w:space="0" w:color="auto"/>
            <w:right w:val="none" w:sz="0" w:space="0" w:color="auto"/>
          </w:divBdr>
        </w:div>
      </w:divsChild>
    </w:div>
    <w:div w:id="1736707726">
      <w:marLeft w:val="0"/>
      <w:marRight w:val="0"/>
      <w:marTop w:val="0"/>
      <w:marBottom w:val="0"/>
      <w:divBdr>
        <w:top w:val="none" w:sz="0" w:space="0" w:color="auto"/>
        <w:left w:val="none" w:sz="0" w:space="0" w:color="auto"/>
        <w:bottom w:val="none" w:sz="0" w:space="0" w:color="auto"/>
        <w:right w:val="none" w:sz="0" w:space="0" w:color="auto"/>
      </w:divBdr>
      <w:divsChild>
        <w:div w:id="305428704">
          <w:marLeft w:val="0"/>
          <w:marRight w:val="0"/>
          <w:marTop w:val="0"/>
          <w:marBottom w:val="0"/>
          <w:divBdr>
            <w:top w:val="none" w:sz="0" w:space="0" w:color="auto"/>
            <w:left w:val="none" w:sz="0" w:space="0" w:color="auto"/>
            <w:bottom w:val="none" w:sz="0" w:space="0" w:color="auto"/>
            <w:right w:val="none" w:sz="0" w:space="0" w:color="auto"/>
          </w:divBdr>
          <w:divsChild>
            <w:div w:id="6387269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38430021">
      <w:marLeft w:val="0"/>
      <w:marRight w:val="0"/>
      <w:marTop w:val="0"/>
      <w:marBottom w:val="0"/>
      <w:divBdr>
        <w:top w:val="none" w:sz="0" w:space="0" w:color="auto"/>
        <w:left w:val="none" w:sz="0" w:space="0" w:color="auto"/>
        <w:bottom w:val="none" w:sz="0" w:space="0" w:color="auto"/>
        <w:right w:val="none" w:sz="0" w:space="0" w:color="auto"/>
      </w:divBdr>
      <w:divsChild>
        <w:div w:id="303856047">
          <w:marLeft w:val="0"/>
          <w:marRight w:val="0"/>
          <w:marTop w:val="180"/>
          <w:marBottom w:val="0"/>
          <w:divBdr>
            <w:top w:val="none" w:sz="0" w:space="0" w:color="auto"/>
            <w:left w:val="none" w:sz="0" w:space="0" w:color="auto"/>
            <w:bottom w:val="none" w:sz="0" w:space="0" w:color="auto"/>
            <w:right w:val="none" w:sz="0" w:space="0" w:color="auto"/>
          </w:divBdr>
        </w:div>
      </w:divsChild>
    </w:div>
    <w:div w:id="1739745405">
      <w:marLeft w:val="0"/>
      <w:marRight w:val="0"/>
      <w:marTop w:val="60"/>
      <w:marBottom w:val="240"/>
      <w:divBdr>
        <w:top w:val="none" w:sz="0" w:space="0" w:color="auto"/>
        <w:left w:val="none" w:sz="0" w:space="0" w:color="auto"/>
        <w:bottom w:val="none" w:sz="0" w:space="0" w:color="auto"/>
        <w:right w:val="none" w:sz="0" w:space="0" w:color="auto"/>
      </w:divBdr>
    </w:div>
    <w:div w:id="1740862766">
      <w:marLeft w:val="0"/>
      <w:marRight w:val="0"/>
      <w:marTop w:val="120"/>
      <w:marBottom w:val="0"/>
      <w:divBdr>
        <w:top w:val="none" w:sz="0" w:space="0" w:color="auto"/>
        <w:left w:val="none" w:sz="0" w:space="0" w:color="auto"/>
        <w:bottom w:val="none" w:sz="0" w:space="0" w:color="auto"/>
        <w:right w:val="none" w:sz="0" w:space="0" w:color="auto"/>
      </w:divBdr>
    </w:div>
    <w:div w:id="1742869510">
      <w:marLeft w:val="0"/>
      <w:marRight w:val="0"/>
      <w:marTop w:val="180"/>
      <w:marBottom w:val="0"/>
      <w:divBdr>
        <w:top w:val="none" w:sz="0" w:space="0" w:color="auto"/>
        <w:left w:val="none" w:sz="0" w:space="0" w:color="auto"/>
        <w:bottom w:val="none" w:sz="0" w:space="0" w:color="auto"/>
        <w:right w:val="none" w:sz="0" w:space="0" w:color="auto"/>
      </w:divBdr>
    </w:div>
    <w:div w:id="1743406288">
      <w:marLeft w:val="0"/>
      <w:marRight w:val="0"/>
      <w:marTop w:val="180"/>
      <w:marBottom w:val="0"/>
      <w:divBdr>
        <w:top w:val="none" w:sz="0" w:space="0" w:color="auto"/>
        <w:left w:val="none" w:sz="0" w:space="0" w:color="auto"/>
        <w:bottom w:val="none" w:sz="0" w:space="0" w:color="auto"/>
        <w:right w:val="none" w:sz="0" w:space="0" w:color="auto"/>
      </w:divBdr>
    </w:div>
    <w:div w:id="1746493983">
      <w:marLeft w:val="0"/>
      <w:marRight w:val="0"/>
      <w:marTop w:val="180"/>
      <w:marBottom w:val="0"/>
      <w:divBdr>
        <w:top w:val="none" w:sz="0" w:space="0" w:color="auto"/>
        <w:left w:val="none" w:sz="0" w:space="0" w:color="auto"/>
        <w:bottom w:val="none" w:sz="0" w:space="0" w:color="auto"/>
        <w:right w:val="none" w:sz="0" w:space="0" w:color="auto"/>
      </w:divBdr>
    </w:div>
    <w:div w:id="1749185239">
      <w:marLeft w:val="0"/>
      <w:marRight w:val="0"/>
      <w:marTop w:val="180"/>
      <w:marBottom w:val="120"/>
      <w:divBdr>
        <w:top w:val="none" w:sz="0" w:space="0" w:color="auto"/>
        <w:left w:val="none" w:sz="0" w:space="0" w:color="auto"/>
        <w:bottom w:val="none" w:sz="0" w:space="0" w:color="auto"/>
        <w:right w:val="none" w:sz="0" w:space="0" w:color="auto"/>
      </w:divBdr>
      <w:divsChild>
        <w:div w:id="2027052933">
          <w:marLeft w:val="0"/>
          <w:marRight w:val="0"/>
          <w:marTop w:val="0"/>
          <w:marBottom w:val="0"/>
          <w:divBdr>
            <w:top w:val="none" w:sz="0" w:space="0" w:color="auto"/>
            <w:left w:val="none" w:sz="0" w:space="0" w:color="auto"/>
            <w:bottom w:val="none" w:sz="0" w:space="0" w:color="auto"/>
            <w:right w:val="none" w:sz="0" w:space="0" w:color="auto"/>
          </w:divBdr>
        </w:div>
        <w:div w:id="446899570">
          <w:marLeft w:val="0"/>
          <w:marRight w:val="0"/>
          <w:marTop w:val="0"/>
          <w:marBottom w:val="0"/>
          <w:divBdr>
            <w:top w:val="none" w:sz="0" w:space="0" w:color="auto"/>
            <w:left w:val="none" w:sz="0" w:space="0" w:color="auto"/>
            <w:bottom w:val="none" w:sz="0" w:space="0" w:color="auto"/>
            <w:right w:val="none" w:sz="0" w:space="0" w:color="auto"/>
          </w:divBdr>
        </w:div>
        <w:div w:id="631785552">
          <w:marLeft w:val="0"/>
          <w:marRight w:val="0"/>
          <w:marTop w:val="0"/>
          <w:marBottom w:val="0"/>
          <w:divBdr>
            <w:top w:val="none" w:sz="0" w:space="0" w:color="auto"/>
            <w:left w:val="none" w:sz="0" w:space="0" w:color="auto"/>
            <w:bottom w:val="none" w:sz="0" w:space="0" w:color="auto"/>
            <w:right w:val="none" w:sz="0" w:space="0" w:color="auto"/>
          </w:divBdr>
        </w:div>
      </w:divsChild>
    </w:div>
    <w:div w:id="1750079161">
      <w:marLeft w:val="0"/>
      <w:marRight w:val="0"/>
      <w:marTop w:val="120"/>
      <w:marBottom w:val="0"/>
      <w:divBdr>
        <w:top w:val="none" w:sz="0" w:space="0" w:color="auto"/>
        <w:left w:val="none" w:sz="0" w:space="0" w:color="auto"/>
        <w:bottom w:val="none" w:sz="0" w:space="0" w:color="auto"/>
        <w:right w:val="none" w:sz="0" w:space="0" w:color="auto"/>
      </w:divBdr>
    </w:div>
    <w:div w:id="1750616835">
      <w:marLeft w:val="0"/>
      <w:marRight w:val="0"/>
      <w:marTop w:val="180"/>
      <w:marBottom w:val="0"/>
      <w:divBdr>
        <w:top w:val="none" w:sz="0" w:space="0" w:color="auto"/>
        <w:left w:val="none" w:sz="0" w:space="0" w:color="auto"/>
        <w:bottom w:val="none" w:sz="0" w:space="0" w:color="auto"/>
        <w:right w:val="none" w:sz="0" w:space="0" w:color="auto"/>
      </w:divBdr>
    </w:div>
    <w:div w:id="1753577687">
      <w:marLeft w:val="0"/>
      <w:marRight w:val="0"/>
      <w:marTop w:val="180"/>
      <w:marBottom w:val="0"/>
      <w:divBdr>
        <w:top w:val="none" w:sz="0" w:space="0" w:color="auto"/>
        <w:left w:val="none" w:sz="0" w:space="0" w:color="auto"/>
        <w:bottom w:val="none" w:sz="0" w:space="0" w:color="auto"/>
        <w:right w:val="none" w:sz="0" w:space="0" w:color="auto"/>
      </w:divBdr>
    </w:div>
    <w:div w:id="1754668311">
      <w:marLeft w:val="0"/>
      <w:marRight w:val="0"/>
      <w:marTop w:val="180"/>
      <w:marBottom w:val="12"/>
      <w:divBdr>
        <w:top w:val="none" w:sz="0" w:space="0" w:color="auto"/>
        <w:left w:val="none" w:sz="0" w:space="0" w:color="auto"/>
        <w:bottom w:val="none" w:sz="0" w:space="0" w:color="auto"/>
        <w:right w:val="none" w:sz="0" w:space="0" w:color="auto"/>
      </w:divBdr>
    </w:div>
    <w:div w:id="1754742373">
      <w:marLeft w:val="0"/>
      <w:marRight w:val="0"/>
      <w:marTop w:val="0"/>
      <w:marBottom w:val="0"/>
      <w:divBdr>
        <w:top w:val="none" w:sz="0" w:space="0" w:color="auto"/>
        <w:left w:val="none" w:sz="0" w:space="0" w:color="auto"/>
        <w:bottom w:val="none" w:sz="0" w:space="0" w:color="auto"/>
        <w:right w:val="none" w:sz="0" w:space="0" w:color="auto"/>
      </w:divBdr>
      <w:divsChild>
        <w:div w:id="949237770">
          <w:marLeft w:val="0"/>
          <w:marRight w:val="0"/>
          <w:marTop w:val="0"/>
          <w:marBottom w:val="0"/>
          <w:divBdr>
            <w:top w:val="none" w:sz="0" w:space="0" w:color="auto"/>
            <w:left w:val="none" w:sz="0" w:space="0" w:color="auto"/>
            <w:bottom w:val="none" w:sz="0" w:space="0" w:color="auto"/>
            <w:right w:val="none" w:sz="0" w:space="0" w:color="auto"/>
          </w:divBdr>
          <w:divsChild>
            <w:div w:id="12646106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56852769">
      <w:marLeft w:val="0"/>
      <w:marRight w:val="0"/>
      <w:marTop w:val="0"/>
      <w:marBottom w:val="0"/>
      <w:divBdr>
        <w:top w:val="none" w:sz="0" w:space="0" w:color="auto"/>
        <w:left w:val="none" w:sz="0" w:space="0" w:color="auto"/>
        <w:bottom w:val="none" w:sz="0" w:space="0" w:color="auto"/>
        <w:right w:val="none" w:sz="0" w:space="0" w:color="auto"/>
      </w:divBdr>
      <w:divsChild>
        <w:div w:id="854735071">
          <w:marLeft w:val="0"/>
          <w:marRight w:val="0"/>
          <w:marTop w:val="0"/>
          <w:marBottom w:val="0"/>
          <w:divBdr>
            <w:top w:val="none" w:sz="0" w:space="0" w:color="auto"/>
            <w:left w:val="none" w:sz="0" w:space="0" w:color="auto"/>
            <w:bottom w:val="none" w:sz="0" w:space="0" w:color="auto"/>
            <w:right w:val="none" w:sz="0" w:space="0" w:color="auto"/>
          </w:divBdr>
        </w:div>
      </w:divsChild>
    </w:div>
    <w:div w:id="1757821753">
      <w:marLeft w:val="0"/>
      <w:marRight w:val="0"/>
      <w:marTop w:val="180"/>
      <w:marBottom w:val="120"/>
      <w:divBdr>
        <w:top w:val="none" w:sz="0" w:space="0" w:color="auto"/>
        <w:left w:val="none" w:sz="0" w:space="0" w:color="auto"/>
        <w:bottom w:val="none" w:sz="0" w:space="0" w:color="auto"/>
        <w:right w:val="none" w:sz="0" w:space="0" w:color="auto"/>
      </w:divBdr>
      <w:divsChild>
        <w:div w:id="1703439474">
          <w:marLeft w:val="0"/>
          <w:marRight w:val="0"/>
          <w:marTop w:val="0"/>
          <w:marBottom w:val="0"/>
          <w:divBdr>
            <w:top w:val="none" w:sz="0" w:space="0" w:color="auto"/>
            <w:left w:val="none" w:sz="0" w:space="0" w:color="auto"/>
            <w:bottom w:val="none" w:sz="0" w:space="0" w:color="auto"/>
            <w:right w:val="none" w:sz="0" w:space="0" w:color="auto"/>
          </w:divBdr>
        </w:div>
        <w:div w:id="1731660047">
          <w:marLeft w:val="0"/>
          <w:marRight w:val="0"/>
          <w:marTop w:val="0"/>
          <w:marBottom w:val="0"/>
          <w:divBdr>
            <w:top w:val="none" w:sz="0" w:space="0" w:color="auto"/>
            <w:left w:val="none" w:sz="0" w:space="0" w:color="auto"/>
            <w:bottom w:val="none" w:sz="0" w:space="0" w:color="auto"/>
            <w:right w:val="none" w:sz="0" w:space="0" w:color="auto"/>
          </w:divBdr>
        </w:div>
        <w:div w:id="525410423">
          <w:marLeft w:val="0"/>
          <w:marRight w:val="0"/>
          <w:marTop w:val="0"/>
          <w:marBottom w:val="0"/>
          <w:divBdr>
            <w:top w:val="none" w:sz="0" w:space="0" w:color="auto"/>
            <w:left w:val="none" w:sz="0" w:space="0" w:color="auto"/>
            <w:bottom w:val="none" w:sz="0" w:space="0" w:color="auto"/>
            <w:right w:val="none" w:sz="0" w:space="0" w:color="auto"/>
          </w:divBdr>
        </w:div>
        <w:div w:id="411781849">
          <w:marLeft w:val="0"/>
          <w:marRight w:val="0"/>
          <w:marTop w:val="0"/>
          <w:marBottom w:val="0"/>
          <w:divBdr>
            <w:top w:val="none" w:sz="0" w:space="0" w:color="auto"/>
            <w:left w:val="none" w:sz="0" w:space="0" w:color="auto"/>
            <w:bottom w:val="none" w:sz="0" w:space="0" w:color="auto"/>
            <w:right w:val="none" w:sz="0" w:space="0" w:color="auto"/>
          </w:divBdr>
        </w:div>
      </w:divsChild>
    </w:div>
    <w:div w:id="1759672682">
      <w:marLeft w:val="0"/>
      <w:marRight w:val="0"/>
      <w:marTop w:val="0"/>
      <w:marBottom w:val="0"/>
      <w:divBdr>
        <w:top w:val="none" w:sz="0" w:space="0" w:color="auto"/>
        <w:left w:val="none" w:sz="0" w:space="0" w:color="auto"/>
        <w:bottom w:val="none" w:sz="0" w:space="0" w:color="auto"/>
        <w:right w:val="none" w:sz="0" w:space="0" w:color="auto"/>
      </w:divBdr>
      <w:divsChild>
        <w:div w:id="1933394568">
          <w:marLeft w:val="0"/>
          <w:marRight w:val="0"/>
          <w:marTop w:val="0"/>
          <w:marBottom w:val="0"/>
          <w:divBdr>
            <w:top w:val="none" w:sz="0" w:space="0" w:color="auto"/>
            <w:left w:val="none" w:sz="0" w:space="0" w:color="auto"/>
            <w:bottom w:val="none" w:sz="0" w:space="0" w:color="auto"/>
            <w:right w:val="none" w:sz="0" w:space="0" w:color="auto"/>
          </w:divBdr>
          <w:divsChild>
            <w:div w:id="3478713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0566240">
      <w:marLeft w:val="0"/>
      <w:marRight w:val="0"/>
      <w:marTop w:val="0"/>
      <w:marBottom w:val="0"/>
      <w:divBdr>
        <w:top w:val="none" w:sz="0" w:space="0" w:color="auto"/>
        <w:left w:val="none" w:sz="0" w:space="0" w:color="auto"/>
        <w:bottom w:val="none" w:sz="0" w:space="0" w:color="auto"/>
        <w:right w:val="none" w:sz="0" w:space="0" w:color="auto"/>
      </w:divBdr>
      <w:divsChild>
        <w:div w:id="1810243469">
          <w:marLeft w:val="0"/>
          <w:marRight w:val="0"/>
          <w:marTop w:val="180"/>
          <w:marBottom w:val="0"/>
          <w:divBdr>
            <w:top w:val="none" w:sz="0" w:space="0" w:color="auto"/>
            <w:left w:val="none" w:sz="0" w:space="0" w:color="auto"/>
            <w:bottom w:val="none" w:sz="0" w:space="0" w:color="auto"/>
            <w:right w:val="none" w:sz="0" w:space="0" w:color="auto"/>
          </w:divBdr>
        </w:div>
      </w:divsChild>
    </w:div>
    <w:div w:id="1766070962">
      <w:marLeft w:val="0"/>
      <w:marRight w:val="0"/>
      <w:marTop w:val="180"/>
      <w:marBottom w:val="0"/>
      <w:divBdr>
        <w:top w:val="none" w:sz="0" w:space="0" w:color="auto"/>
        <w:left w:val="none" w:sz="0" w:space="0" w:color="auto"/>
        <w:bottom w:val="none" w:sz="0" w:space="0" w:color="auto"/>
        <w:right w:val="none" w:sz="0" w:space="0" w:color="auto"/>
      </w:divBdr>
    </w:div>
    <w:div w:id="1771660585">
      <w:marLeft w:val="0"/>
      <w:marRight w:val="0"/>
      <w:marTop w:val="180"/>
      <w:marBottom w:val="0"/>
      <w:divBdr>
        <w:top w:val="none" w:sz="0" w:space="0" w:color="auto"/>
        <w:left w:val="none" w:sz="0" w:space="0" w:color="auto"/>
        <w:bottom w:val="none" w:sz="0" w:space="0" w:color="auto"/>
        <w:right w:val="none" w:sz="0" w:space="0" w:color="auto"/>
      </w:divBdr>
    </w:div>
    <w:div w:id="1773815559">
      <w:marLeft w:val="0"/>
      <w:marRight w:val="0"/>
      <w:marTop w:val="0"/>
      <w:marBottom w:val="0"/>
      <w:divBdr>
        <w:top w:val="none" w:sz="0" w:space="0" w:color="auto"/>
        <w:left w:val="none" w:sz="0" w:space="0" w:color="auto"/>
        <w:bottom w:val="none" w:sz="0" w:space="0" w:color="auto"/>
        <w:right w:val="none" w:sz="0" w:space="0" w:color="auto"/>
      </w:divBdr>
      <w:divsChild>
        <w:div w:id="2069985885">
          <w:marLeft w:val="0"/>
          <w:marRight w:val="0"/>
          <w:marTop w:val="180"/>
          <w:marBottom w:val="0"/>
          <w:divBdr>
            <w:top w:val="none" w:sz="0" w:space="0" w:color="auto"/>
            <w:left w:val="none" w:sz="0" w:space="0" w:color="auto"/>
            <w:bottom w:val="none" w:sz="0" w:space="0" w:color="auto"/>
            <w:right w:val="none" w:sz="0" w:space="0" w:color="auto"/>
          </w:divBdr>
        </w:div>
      </w:divsChild>
    </w:div>
    <w:div w:id="1773894316">
      <w:marLeft w:val="0"/>
      <w:marRight w:val="0"/>
      <w:marTop w:val="180"/>
      <w:marBottom w:val="0"/>
      <w:divBdr>
        <w:top w:val="none" w:sz="0" w:space="0" w:color="auto"/>
        <w:left w:val="none" w:sz="0" w:space="0" w:color="auto"/>
        <w:bottom w:val="none" w:sz="0" w:space="0" w:color="auto"/>
        <w:right w:val="none" w:sz="0" w:space="0" w:color="auto"/>
      </w:divBdr>
    </w:div>
    <w:div w:id="1775251249">
      <w:marLeft w:val="0"/>
      <w:marRight w:val="0"/>
      <w:marTop w:val="120"/>
      <w:marBottom w:val="0"/>
      <w:divBdr>
        <w:top w:val="none" w:sz="0" w:space="0" w:color="auto"/>
        <w:left w:val="none" w:sz="0" w:space="0" w:color="auto"/>
        <w:bottom w:val="none" w:sz="0" w:space="0" w:color="auto"/>
        <w:right w:val="none" w:sz="0" w:space="0" w:color="auto"/>
      </w:divBdr>
    </w:div>
    <w:div w:id="1775321360">
      <w:marLeft w:val="0"/>
      <w:marRight w:val="0"/>
      <w:marTop w:val="180"/>
      <w:marBottom w:val="0"/>
      <w:divBdr>
        <w:top w:val="none" w:sz="0" w:space="0" w:color="auto"/>
        <w:left w:val="none" w:sz="0" w:space="0" w:color="auto"/>
        <w:bottom w:val="none" w:sz="0" w:space="0" w:color="auto"/>
        <w:right w:val="none" w:sz="0" w:space="0" w:color="auto"/>
      </w:divBdr>
    </w:div>
    <w:div w:id="1775855957">
      <w:marLeft w:val="0"/>
      <w:marRight w:val="0"/>
      <w:marTop w:val="0"/>
      <w:marBottom w:val="0"/>
      <w:divBdr>
        <w:top w:val="none" w:sz="0" w:space="0" w:color="auto"/>
        <w:left w:val="none" w:sz="0" w:space="0" w:color="auto"/>
        <w:bottom w:val="none" w:sz="0" w:space="0" w:color="auto"/>
        <w:right w:val="none" w:sz="0" w:space="0" w:color="auto"/>
      </w:divBdr>
      <w:divsChild>
        <w:div w:id="1764909643">
          <w:marLeft w:val="0"/>
          <w:marRight w:val="0"/>
          <w:marTop w:val="0"/>
          <w:marBottom w:val="0"/>
          <w:divBdr>
            <w:top w:val="none" w:sz="0" w:space="0" w:color="auto"/>
            <w:left w:val="none" w:sz="0" w:space="0" w:color="auto"/>
            <w:bottom w:val="none" w:sz="0" w:space="0" w:color="auto"/>
            <w:right w:val="none" w:sz="0" w:space="0" w:color="auto"/>
          </w:divBdr>
          <w:divsChild>
            <w:div w:id="4611941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76905006">
      <w:marLeft w:val="0"/>
      <w:marRight w:val="0"/>
      <w:marTop w:val="180"/>
      <w:marBottom w:val="0"/>
      <w:divBdr>
        <w:top w:val="none" w:sz="0" w:space="0" w:color="auto"/>
        <w:left w:val="none" w:sz="0" w:space="0" w:color="auto"/>
        <w:bottom w:val="none" w:sz="0" w:space="0" w:color="auto"/>
        <w:right w:val="none" w:sz="0" w:space="0" w:color="auto"/>
      </w:divBdr>
    </w:div>
    <w:div w:id="1782340124">
      <w:marLeft w:val="0"/>
      <w:marRight w:val="0"/>
      <w:marTop w:val="180"/>
      <w:marBottom w:val="0"/>
      <w:divBdr>
        <w:top w:val="none" w:sz="0" w:space="0" w:color="auto"/>
        <w:left w:val="none" w:sz="0" w:space="0" w:color="auto"/>
        <w:bottom w:val="none" w:sz="0" w:space="0" w:color="auto"/>
        <w:right w:val="none" w:sz="0" w:space="0" w:color="auto"/>
      </w:divBdr>
    </w:div>
    <w:div w:id="1784113079">
      <w:marLeft w:val="0"/>
      <w:marRight w:val="0"/>
      <w:marTop w:val="0"/>
      <w:marBottom w:val="0"/>
      <w:divBdr>
        <w:top w:val="none" w:sz="0" w:space="0" w:color="auto"/>
        <w:left w:val="none" w:sz="0" w:space="0" w:color="auto"/>
        <w:bottom w:val="none" w:sz="0" w:space="0" w:color="auto"/>
        <w:right w:val="none" w:sz="0" w:space="0" w:color="auto"/>
      </w:divBdr>
      <w:divsChild>
        <w:div w:id="611205671">
          <w:marLeft w:val="0"/>
          <w:marRight w:val="0"/>
          <w:marTop w:val="0"/>
          <w:marBottom w:val="0"/>
          <w:divBdr>
            <w:top w:val="none" w:sz="0" w:space="0" w:color="auto"/>
            <w:left w:val="none" w:sz="0" w:space="0" w:color="auto"/>
            <w:bottom w:val="none" w:sz="0" w:space="0" w:color="auto"/>
            <w:right w:val="none" w:sz="0" w:space="0" w:color="auto"/>
          </w:divBdr>
          <w:divsChild>
            <w:div w:id="1662851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4224876">
      <w:marLeft w:val="0"/>
      <w:marRight w:val="0"/>
      <w:marTop w:val="300"/>
      <w:marBottom w:val="0"/>
      <w:divBdr>
        <w:top w:val="none" w:sz="0" w:space="0" w:color="auto"/>
        <w:left w:val="none" w:sz="0" w:space="0" w:color="auto"/>
        <w:bottom w:val="none" w:sz="0" w:space="0" w:color="auto"/>
        <w:right w:val="none" w:sz="0" w:space="0" w:color="auto"/>
      </w:divBdr>
    </w:div>
    <w:div w:id="1786077757">
      <w:marLeft w:val="0"/>
      <w:marRight w:val="0"/>
      <w:marTop w:val="0"/>
      <w:marBottom w:val="0"/>
      <w:divBdr>
        <w:top w:val="none" w:sz="0" w:space="0" w:color="auto"/>
        <w:left w:val="none" w:sz="0" w:space="0" w:color="auto"/>
        <w:bottom w:val="none" w:sz="0" w:space="0" w:color="auto"/>
        <w:right w:val="none" w:sz="0" w:space="0" w:color="auto"/>
      </w:divBdr>
      <w:divsChild>
        <w:div w:id="719474232">
          <w:marLeft w:val="0"/>
          <w:marRight w:val="0"/>
          <w:marTop w:val="0"/>
          <w:marBottom w:val="0"/>
          <w:divBdr>
            <w:top w:val="none" w:sz="0" w:space="0" w:color="auto"/>
            <w:left w:val="none" w:sz="0" w:space="0" w:color="auto"/>
            <w:bottom w:val="none" w:sz="0" w:space="0" w:color="auto"/>
            <w:right w:val="none" w:sz="0" w:space="0" w:color="auto"/>
          </w:divBdr>
          <w:divsChild>
            <w:div w:id="14996914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6191415">
      <w:marLeft w:val="0"/>
      <w:marRight w:val="0"/>
      <w:marTop w:val="0"/>
      <w:marBottom w:val="0"/>
      <w:divBdr>
        <w:top w:val="none" w:sz="0" w:space="0" w:color="auto"/>
        <w:left w:val="none" w:sz="0" w:space="0" w:color="auto"/>
        <w:bottom w:val="none" w:sz="0" w:space="0" w:color="auto"/>
        <w:right w:val="none" w:sz="0" w:space="0" w:color="auto"/>
      </w:divBdr>
      <w:divsChild>
        <w:div w:id="396173177">
          <w:marLeft w:val="0"/>
          <w:marRight w:val="0"/>
          <w:marTop w:val="0"/>
          <w:marBottom w:val="0"/>
          <w:divBdr>
            <w:top w:val="none" w:sz="0" w:space="0" w:color="auto"/>
            <w:left w:val="none" w:sz="0" w:space="0" w:color="auto"/>
            <w:bottom w:val="none" w:sz="0" w:space="0" w:color="auto"/>
            <w:right w:val="none" w:sz="0" w:space="0" w:color="auto"/>
          </w:divBdr>
          <w:divsChild>
            <w:div w:id="9099709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6346546">
      <w:marLeft w:val="0"/>
      <w:marRight w:val="0"/>
      <w:marTop w:val="180"/>
      <w:marBottom w:val="0"/>
      <w:divBdr>
        <w:top w:val="none" w:sz="0" w:space="0" w:color="auto"/>
        <w:left w:val="none" w:sz="0" w:space="0" w:color="auto"/>
        <w:bottom w:val="none" w:sz="0" w:space="0" w:color="auto"/>
        <w:right w:val="none" w:sz="0" w:space="0" w:color="auto"/>
      </w:divBdr>
    </w:div>
    <w:div w:id="1786971247">
      <w:marLeft w:val="0"/>
      <w:marRight w:val="0"/>
      <w:marTop w:val="300"/>
      <w:marBottom w:val="0"/>
      <w:divBdr>
        <w:top w:val="none" w:sz="0" w:space="0" w:color="auto"/>
        <w:left w:val="none" w:sz="0" w:space="0" w:color="auto"/>
        <w:bottom w:val="none" w:sz="0" w:space="0" w:color="auto"/>
        <w:right w:val="none" w:sz="0" w:space="0" w:color="auto"/>
      </w:divBdr>
    </w:div>
    <w:div w:id="1788310633">
      <w:marLeft w:val="0"/>
      <w:marRight w:val="0"/>
      <w:marTop w:val="0"/>
      <w:marBottom w:val="0"/>
      <w:divBdr>
        <w:top w:val="none" w:sz="0" w:space="0" w:color="auto"/>
        <w:left w:val="none" w:sz="0" w:space="0" w:color="auto"/>
        <w:bottom w:val="none" w:sz="0" w:space="0" w:color="auto"/>
        <w:right w:val="none" w:sz="0" w:space="0" w:color="auto"/>
      </w:divBdr>
      <w:divsChild>
        <w:div w:id="553468718">
          <w:marLeft w:val="0"/>
          <w:marRight w:val="0"/>
          <w:marTop w:val="0"/>
          <w:marBottom w:val="0"/>
          <w:divBdr>
            <w:top w:val="none" w:sz="0" w:space="0" w:color="auto"/>
            <w:left w:val="none" w:sz="0" w:space="0" w:color="auto"/>
            <w:bottom w:val="none" w:sz="0" w:space="0" w:color="auto"/>
            <w:right w:val="none" w:sz="0" w:space="0" w:color="auto"/>
          </w:divBdr>
          <w:divsChild>
            <w:div w:id="6111274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90779774">
      <w:marLeft w:val="0"/>
      <w:marRight w:val="0"/>
      <w:marTop w:val="0"/>
      <w:marBottom w:val="200"/>
      <w:divBdr>
        <w:top w:val="none" w:sz="0" w:space="0" w:color="auto"/>
        <w:left w:val="none" w:sz="0" w:space="0" w:color="auto"/>
        <w:bottom w:val="none" w:sz="0" w:space="0" w:color="auto"/>
        <w:right w:val="none" w:sz="0" w:space="0" w:color="auto"/>
      </w:divBdr>
    </w:div>
    <w:div w:id="1795711202">
      <w:marLeft w:val="0"/>
      <w:marRight w:val="0"/>
      <w:marTop w:val="180"/>
      <w:marBottom w:val="0"/>
      <w:divBdr>
        <w:top w:val="none" w:sz="0" w:space="0" w:color="auto"/>
        <w:left w:val="none" w:sz="0" w:space="0" w:color="auto"/>
        <w:bottom w:val="none" w:sz="0" w:space="0" w:color="auto"/>
        <w:right w:val="none" w:sz="0" w:space="0" w:color="auto"/>
      </w:divBdr>
    </w:div>
    <w:div w:id="1795753150">
      <w:marLeft w:val="0"/>
      <w:marRight w:val="0"/>
      <w:marTop w:val="180"/>
      <w:marBottom w:val="0"/>
      <w:divBdr>
        <w:top w:val="none" w:sz="0" w:space="0" w:color="auto"/>
        <w:left w:val="none" w:sz="0" w:space="0" w:color="auto"/>
        <w:bottom w:val="none" w:sz="0" w:space="0" w:color="auto"/>
        <w:right w:val="none" w:sz="0" w:space="0" w:color="auto"/>
      </w:divBdr>
    </w:div>
    <w:div w:id="1797678797">
      <w:marLeft w:val="0"/>
      <w:marRight w:val="0"/>
      <w:marTop w:val="180"/>
      <w:marBottom w:val="0"/>
      <w:divBdr>
        <w:top w:val="none" w:sz="0" w:space="0" w:color="auto"/>
        <w:left w:val="none" w:sz="0" w:space="0" w:color="auto"/>
        <w:bottom w:val="none" w:sz="0" w:space="0" w:color="auto"/>
        <w:right w:val="none" w:sz="0" w:space="0" w:color="auto"/>
      </w:divBdr>
    </w:div>
    <w:div w:id="1799225464">
      <w:marLeft w:val="0"/>
      <w:marRight w:val="0"/>
      <w:marTop w:val="180"/>
      <w:marBottom w:val="0"/>
      <w:divBdr>
        <w:top w:val="none" w:sz="0" w:space="0" w:color="auto"/>
        <w:left w:val="none" w:sz="0" w:space="0" w:color="auto"/>
        <w:bottom w:val="none" w:sz="0" w:space="0" w:color="auto"/>
        <w:right w:val="none" w:sz="0" w:space="0" w:color="auto"/>
      </w:divBdr>
    </w:div>
    <w:div w:id="1799448255">
      <w:marLeft w:val="0"/>
      <w:marRight w:val="0"/>
      <w:marTop w:val="180"/>
      <w:marBottom w:val="120"/>
      <w:divBdr>
        <w:top w:val="none" w:sz="0" w:space="0" w:color="auto"/>
        <w:left w:val="none" w:sz="0" w:space="0" w:color="auto"/>
        <w:bottom w:val="none" w:sz="0" w:space="0" w:color="auto"/>
        <w:right w:val="none" w:sz="0" w:space="0" w:color="auto"/>
      </w:divBdr>
    </w:div>
    <w:div w:id="1800298134">
      <w:marLeft w:val="0"/>
      <w:marRight w:val="0"/>
      <w:marTop w:val="180"/>
      <w:marBottom w:val="0"/>
      <w:divBdr>
        <w:top w:val="none" w:sz="0" w:space="0" w:color="auto"/>
        <w:left w:val="none" w:sz="0" w:space="0" w:color="auto"/>
        <w:bottom w:val="none" w:sz="0" w:space="0" w:color="auto"/>
        <w:right w:val="none" w:sz="0" w:space="0" w:color="auto"/>
      </w:divBdr>
    </w:div>
    <w:div w:id="1801993472">
      <w:marLeft w:val="0"/>
      <w:marRight w:val="0"/>
      <w:marTop w:val="180"/>
      <w:marBottom w:val="0"/>
      <w:divBdr>
        <w:top w:val="none" w:sz="0" w:space="0" w:color="auto"/>
        <w:left w:val="none" w:sz="0" w:space="0" w:color="auto"/>
        <w:bottom w:val="none" w:sz="0" w:space="0" w:color="auto"/>
        <w:right w:val="none" w:sz="0" w:space="0" w:color="auto"/>
      </w:divBdr>
    </w:div>
    <w:div w:id="1802335285">
      <w:marLeft w:val="0"/>
      <w:marRight w:val="0"/>
      <w:marTop w:val="180"/>
      <w:marBottom w:val="0"/>
      <w:divBdr>
        <w:top w:val="none" w:sz="0" w:space="0" w:color="auto"/>
        <w:left w:val="none" w:sz="0" w:space="0" w:color="auto"/>
        <w:bottom w:val="none" w:sz="0" w:space="0" w:color="auto"/>
        <w:right w:val="none" w:sz="0" w:space="0" w:color="auto"/>
      </w:divBdr>
    </w:div>
    <w:div w:id="1802730212">
      <w:marLeft w:val="0"/>
      <w:marRight w:val="0"/>
      <w:marTop w:val="240"/>
      <w:marBottom w:val="0"/>
      <w:divBdr>
        <w:top w:val="none" w:sz="0" w:space="0" w:color="auto"/>
        <w:left w:val="none" w:sz="0" w:space="0" w:color="auto"/>
        <w:bottom w:val="none" w:sz="0" w:space="0" w:color="auto"/>
        <w:right w:val="none" w:sz="0" w:space="0" w:color="auto"/>
      </w:divBdr>
    </w:div>
    <w:div w:id="1807046126">
      <w:marLeft w:val="0"/>
      <w:marRight w:val="0"/>
      <w:marTop w:val="180"/>
      <w:marBottom w:val="0"/>
      <w:divBdr>
        <w:top w:val="none" w:sz="0" w:space="0" w:color="auto"/>
        <w:left w:val="none" w:sz="0" w:space="0" w:color="auto"/>
        <w:bottom w:val="none" w:sz="0" w:space="0" w:color="auto"/>
        <w:right w:val="none" w:sz="0" w:space="0" w:color="auto"/>
      </w:divBdr>
    </w:div>
    <w:div w:id="1808667919">
      <w:marLeft w:val="0"/>
      <w:marRight w:val="0"/>
      <w:marTop w:val="180"/>
      <w:marBottom w:val="0"/>
      <w:divBdr>
        <w:top w:val="none" w:sz="0" w:space="0" w:color="auto"/>
        <w:left w:val="none" w:sz="0" w:space="0" w:color="auto"/>
        <w:bottom w:val="none" w:sz="0" w:space="0" w:color="auto"/>
        <w:right w:val="none" w:sz="0" w:space="0" w:color="auto"/>
      </w:divBdr>
    </w:div>
    <w:div w:id="1809786374">
      <w:marLeft w:val="0"/>
      <w:marRight w:val="0"/>
      <w:marTop w:val="0"/>
      <w:marBottom w:val="200"/>
      <w:divBdr>
        <w:top w:val="none" w:sz="0" w:space="0" w:color="auto"/>
        <w:left w:val="none" w:sz="0" w:space="0" w:color="auto"/>
        <w:bottom w:val="none" w:sz="0" w:space="0" w:color="auto"/>
        <w:right w:val="none" w:sz="0" w:space="0" w:color="auto"/>
      </w:divBdr>
    </w:div>
    <w:div w:id="1815222587">
      <w:marLeft w:val="0"/>
      <w:marRight w:val="0"/>
      <w:marTop w:val="180"/>
      <w:marBottom w:val="0"/>
      <w:divBdr>
        <w:top w:val="none" w:sz="0" w:space="0" w:color="auto"/>
        <w:left w:val="none" w:sz="0" w:space="0" w:color="auto"/>
        <w:bottom w:val="none" w:sz="0" w:space="0" w:color="auto"/>
        <w:right w:val="none" w:sz="0" w:space="0" w:color="auto"/>
      </w:divBdr>
    </w:div>
    <w:div w:id="1817606520">
      <w:marLeft w:val="0"/>
      <w:marRight w:val="0"/>
      <w:marTop w:val="180"/>
      <w:marBottom w:val="0"/>
      <w:divBdr>
        <w:top w:val="none" w:sz="0" w:space="0" w:color="auto"/>
        <w:left w:val="none" w:sz="0" w:space="0" w:color="auto"/>
        <w:bottom w:val="none" w:sz="0" w:space="0" w:color="auto"/>
        <w:right w:val="none" w:sz="0" w:space="0" w:color="auto"/>
      </w:divBdr>
    </w:div>
    <w:div w:id="1821191512">
      <w:marLeft w:val="0"/>
      <w:marRight w:val="0"/>
      <w:marTop w:val="180"/>
      <w:marBottom w:val="120"/>
      <w:divBdr>
        <w:top w:val="none" w:sz="0" w:space="0" w:color="auto"/>
        <w:left w:val="none" w:sz="0" w:space="0" w:color="auto"/>
        <w:bottom w:val="none" w:sz="0" w:space="0" w:color="auto"/>
        <w:right w:val="none" w:sz="0" w:space="0" w:color="auto"/>
      </w:divBdr>
    </w:div>
    <w:div w:id="1821724975">
      <w:marLeft w:val="0"/>
      <w:marRight w:val="0"/>
      <w:marTop w:val="0"/>
      <w:marBottom w:val="0"/>
      <w:divBdr>
        <w:top w:val="none" w:sz="0" w:space="0" w:color="auto"/>
        <w:left w:val="none" w:sz="0" w:space="0" w:color="auto"/>
        <w:bottom w:val="none" w:sz="0" w:space="0" w:color="auto"/>
        <w:right w:val="none" w:sz="0" w:space="0" w:color="auto"/>
      </w:divBdr>
    </w:div>
    <w:div w:id="1822113897">
      <w:marLeft w:val="0"/>
      <w:marRight w:val="0"/>
      <w:marTop w:val="120"/>
      <w:marBottom w:val="0"/>
      <w:divBdr>
        <w:top w:val="none" w:sz="0" w:space="0" w:color="auto"/>
        <w:left w:val="none" w:sz="0" w:space="0" w:color="auto"/>
        <w:bottom w:val="none" w:sz="0" w:space="0" w:color="auto"/>
        <w:right w:val="none" w:sz="0" w:space="0" w:color="auto"/>
      </w:divBdr>
    </w:div>
    <w:div w:id="1822574293">
      <w:marLeft w:val="0"/>
      <w:marRight w:val="0"/>
      <w:marTop w:val="180"/>
      <w:marBottom w:val="0"/>
      <w:divBdr>
        <w:top w:val="none" w:sz="0" w:space="0" w:color="auto"/>
        <w:left w:val="none" w:sz="0" w:space="0" w:color="auto"/>
        <w:bottom w:val="none" w:sz="0" w:space="0" w:color="auto"/>
        <w:right w:val="none" w:sz="0" w:space="0" w:color="auto"/>
      </w:divBdr>
    </w:div>
    <w:div w:id="1823740687">
      <w:marLeft w:val="0"/>
      <w:marRight w:val="0"/>
      <w:marTop w:val="180"/>
      <w:marBottom w:val="0"/>
      <w:divBdr>
        <w:top w:val="none" w:sz="0" w:space="0" w:color="auto"/>
        <w:left w:val="none" w:sz="0" w:space="0" w:color="auto"/>
        <w:bottom w:val="none" w:sz="0" w:space="0" w:color="auto"/>
        <w:right w:val="none" w:sz="0" w:space="0" w:color="auto"/>
      </w:divBdr>
    </w:div>
    <w:div w:id="1824542857">
      <w:marLeft w:val="0"/>
      <w:marRight w:val="0"/>
      <w:marTop w:val="180"/>
      <w:marBottom w:val="0"/>
      <w:divBdr>
        <w:top w:val="none" w:sz="0" w:space="0" w:color="auto"/>
        <w:left w:val="none" w:sz="0" w:space="0" w:color="auto"/>
        <w:bottom w:val="none" w:sz="0" w:space="0" w:color="auto"/>
        <w:right w:val="none" w:sz="0" w:space="0" w:color="auto"/>
      </w:divBdr>
    </w:div>
    <w:div w:id="1827431464">
      <w:marLeft w:val="0"/>
      <w:marRight w:val="0"/>
      <w:marTop w:val="180"/>
      <w:marBottom w:val="0"/>
      <w:divBdr>
        <w:top w:val="none" w:sz="0" w:space="0" w:color="auto"/>
        <w:left w:val="none" w:sz="0" w:space="0" w:color="auto"/>
        <w:bottom w:val="none" w:sz="0" w:space="0" w:color="auto"/>
        <w:right w:val="none" w:sz="0" w:space="0" w:color="auto"/>
      </w:divBdr>
    </w:div>
    <w:div w:id="1828470811">
      <w:marLeft w:val="0"/>
      <w:marRight w:val="0"/>
      <w:marTop w:val="180"/>
      <w:marBottom w:val="0"/>
      <w:divBdr>
        <w:top w:val="none" w:sz="0" w:space="0" w:color="auto"/>
        <w:left w:val="none" w:sz="0" w:space="0" w:color="auto"/>
        <w:bottom w:val="none" w:sz="0" w:space="0" w:color="auto"/>
        <w:right w:val="none" w:sz="0" w:space="0" w:color="auto"/>
      </w:divBdr>
    </w:div>
    <w:div w:id="1831676013">
      <w:marLeft w:val="0"/>
      <w:marRight w:val="0"/>
      <w:marTop w:val="180"/>
      <w:marBottom w:val="0"/>
      <w:divBdr>
        <w:top w:val="none" w:sz="0" w:space="0" w:color="auto"/>
        <w:left w:val="none" w:sz="0" w:space="0" w:color="auto"/>
        <w:bottom w:val="none" w:sz="0" w:space="0" w:color="auto"/>
        <w:right w:val="none" w:sz="0" w:space="0" w:color="auto"/>
      </w:divBdr>
    </w:div>
    <w:div w:id="1834878867">
      <w:marLeft w:val="0"/>
      <w:marRight w:val="0"/>
      <w:marTop w:val="240"/>
      <w:marBottom w:val="0"/>
      <w:divBdr>
        <w:top w:val="none" w:sz="0" w:space="0" w:color="auto"/>
        <w:left w:val="none" w:sz="0" w:space="0" w:color="auto"/>
        <w:bottom w:val="none" w:sz="0" w:space="0" w:color="auto"/>
        <w:right w:val="none" w:sz="0" w:space="0" w:color="auto"/>
      </w:divBdr>
    </w:div>
    <w:div w:id="1835953716">
      <w:marLeft w:val="0"/>
      <w:marRight w:val="0"/>
      <w:marTop w:val="120"/>
      <w:marBottom w:val="0"/>
      <w:divBdr>
        <w:top w:val="none" w:sz="0" w:space="0" w:color="auto"/>
        <w:left w:val="none" w:sz="0" w:space="0" w:color="auto"/>
        <w:bottom w:val="none" w:sz="0" w:space="0" w:color="auto"/>
        <w:right w:val="none" w:sz="0" w:space="0" w:color="auto"/>
      </w:divBdr>
    </w:div>
    <w:div w:id="1838224506">
      <w:marLeft w:val="0"/>
      <w:marRight w:val="0"/>
      <w:marTop w:val="180"/>
      <w:marBottom w:val="0"/>
      <w:divBdr>
        <w:top w:val="none" w:sz="0" w:space="0" w:color="auto"/>
        <w:left w:val="none" w:sz="0" w:space="0" w:color="auto"/>
        <w:bottom w:val="none" w:sz="0" w:space="0" w:color="auto"/>
        <w:right w:val="none" w:sz="0" w:space="0" w:color="auto"/>
      </w:divBdr>
    </w:div>
    <w:div w:id="1841894482">
      <w:marLeft w:val="0"/>
      <w:marRight w:val="0"/>
      <w:marTop w:val="180"/>
      <w:marBottom w:val="0"/>
      <w:divBdr>
        <w:top w:val="none" w:sz="0" w:space="0" w:color="auto"/>
        <w:left w:val="none" w:sz="0" w:space="0" w:color="auto"/>
        <w:bottom w:val="none" w:sz="0" w:space="0" w:color="auto"/>
        <w:right w:val="none" w:sz="0" w:space="0" w:color="auto"/>
      </w:divBdr>
    </w:div>
    <w:div w:id="1846094639">
      <w:marLeft w:val="0"/>
      <w:marRight w:val="0"/>
      <w:marTop w:val="180"/>
      <w:marBottom w:val="0"/>
      <w:divBdr>
        <w:top w:val="none" w:sz="0" w:space="0" w:color="auto"/>
        <w:left w:val="none" w:sz="0" w:space="0" w:color="auto"/>
        <w:bottom w:val="none" w:sz="0" w:space="0" w:color="auto"/>
        <w:right w:val="none" w:sz="0" w:space="0" w:color="auto"/>
      </w:divBdr>
    </w:div>
    <w:div w:id="1848061828">
      <w:marLeft w:val="0"/>
      <w:marRight w:val="0"/>
      <w:marTop w:val="180"/>
      <w:marBottom w:val="0"/>
      <w:divBdr>
        <w:top w:val="none" w:sz="0" w:space="0" w:color="auto"/>
        <w:left w:val="none" w:sz="0" w:space="0" w:color="auto"/>
        <w:bottom w:val="none" w:sz="0" w:space="0" w:color="auto"/>
        <w:right w:val="none" w:sz="0" w:space="0" w:color="auto"/>
      </w:divBdr>
    </w:div>
    <w:div w:id="1848788384">
      <w:marLeft w:val="0"/>
      <w:marRight w:val="0"/>
      <w:marTop w:val="180"/>
      <w:marBottom w:val="0"/>
      <w:divBdr>
        <w:top w:val="none" w:sz="0" w:space="0" w:color="auto"/>
        <w:left w:val="none" w:sz="0" w:space="0" w:color="auto"/>
        <w:bottom w:val="none" w:sz="0" w:space="0" w:color="auto"/>
        <w:right w:val="none" w:sz="0" w:space="0" w:color="auto"/>
      </w:divBdr>
    </w:div>
    <w:div w:id="1849170199">
      <w:marLeft w:val="0"/>
      <w:marRight w:val="0"/>
      <w:marTop w:val="0"/>
      <w:marBottom w:val="0"/>
      <w:divBdr>
        <w:top w:val="none" w:sz="0" w:space="0" w:color="auto"/>
        <w:left w:val="none" w:sz="0" w:space="0" w:color="auto"/>
        <w:bottom w:val="none" w:sz="0" w:space="0" w:color="auto"/>
        <w:right w:val="none" w:sz="0" w:space="0" w:color="auto"/>
      </w:divBdr>
      <w:divsChild>
        <w:div w:id="1080910861">
          <w:marLeft w:val="0"/>
          <w:marRight w:val="0"/>
          <w:marTop w:val="0"/>
          <w:marBottom w:val="0"/>
          <w:divBdr>
            <w:top w:val="none" w:sz="0" w:space="0" w:color="auto"/>
            <w:left w:val="none" w:sz="0" w:space="0" w:color="auto"/>
            <w:bottom w:val="none" w:sz="0" w:space="0" w:color="auto"/>
            <w:right w:val="none" w:sz="0" w:space="0" w:color="auto"/>
          </w:divBdr>
          <w:divsChild>
            <w:div w:id="17104968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51600608">
      <w:marLeft w:val="0"/>
      <w:marRight w:val="0"/>
      <w:marTop w:val="180"/>
      <w:marBottom w:val="0"/>
      <w:divBdr>
        <w:top w:val="none" w:sz="0" w:space="0" w:color="auto"/>
        <w:left w:val="none" w:sz="0" w:space="0" w:color="auto"/>
        <w:bottom w:val="none" w:sz="0" w:space="0" w:color="auto"/>
        <w:right w:val="none" w:sz="0" w:space="0" w:color="auto"/>
      </w:divBdr>
    </w:div>
    <w:div w:id="1851681684">
      <w:marLeft w:val="0"/>
      <w:marRight w:val="0"/>
      <w:marTop w:val="300"/>
      <w:marBottom w:val="0"/>
      <w:divBdr>
        <w:top w:val="none" w:sz="0" w:space="0" w:color="auto"/>
        <w:left w:val="none" w:sz="0" w:space="0" w:color="auto"/>
        <w:bottom w:val="none" w:sz="0" w:space="0" w:color="auto"/>
        <w:right w:val="none" w:sz="0" w:space="0" w:color="auto"/>
      </w:divBdr>
    </w:div>
    <w:div w:id="1851874960">
      <w:marLeft w:val="0"/>
      <w:marRight w:val="0"/>
      <w:marTop w:val="0"/>
      <w:marBottom w:val="120"/>
      <w:divBdr>
        <w:top w:val="none" w:sz="0" w:space="0" w:color="auto"/>
        <w:left w:val="none" w:sz="0" w:space="0" w:color="auto"/>
        <w:bottom w:val="none" w:sz="0" w:space="0" w:color="auto"/>
        <w:right w:val="none" w:sz="0" w:space="0" w:color="auto"/>
      </w:divBdr>
      <w:divsChild>
        <w:div w:id="1954634439">
          <w:marLeft w:val="0"/>
          <w:marRight w:val="0"/>
          <w:marTop w:val="180"/>
          <w:marBottom w:val="0"/>
          <w:divBdr>
            <w:top w:val="none" w:sz="0" w:space="0" w:color="auto"/>
            <w:left w:val="none" w:sz="0" w:space="0" w:color="auto"/>
            <w:bottom w:val="none" w:sz="0" w:space="0" w:color="auto"/>
            <w:right w:val="none" w:sz="0" w:space="0" w:color="auto"/>
          </w:divBdr>
        </w:div>
      </w:divsChild>
    </w:div>
    <w:div w:id="1855993457">
      <w:marLeft w:val="0"/>
      <w:marRight w:val="0"/>
      <w:marTop w:val="0"/>
      <w:marBottom w:val="0"/>
      <w:divBdr>
        <w:top w:val="none" w:sz="0" w:space="0" w:color="auto"/>
        <w:left w:val="none" w:sz="0" w:space="0" w:color="auto"/>
        <w:bottom w:val="none" w:sz="0" w:space="0" w:color="auto"/>
        <w:right w:val="none" w:sz="0" w:space="0" w:color="auto"/>
      </w:divBdr>
    </w:div>
    <w:div w:id="1858155542">
      <w:marLeft w:val="0"/>
      <w:marRight w:val="0"/>
      <w:marTop w:val="180"/>
      <w:marBottom w:val="0"/>
      <w:divBdr>
        <w:top w:val="none" w:sz="0" w:space="0" w:color="auto"/>
        <w:left w:val="none" w:sz="0" w:space="0" w:color="auto"/>
        <w:bottom w:val="none" w:sz="0" w:space="0" w:color="auto"/>
        <w:right w:val="none" w:sz="0" w:space="0" w:color="auto"/>
      </w:divBdr>
    </w:div>
    <w:div w:id="1860316991">
      <w:marLeft w:val="0"/>
      <w:marRight w:val="0"/>
      <w:marTop w:val="180"/>
      <w:marBottom w:val="0"/>
      <w:divBdr>
        <w:top w:val="none" w:sz="0" w:space="0" w:color="auto"/>
        <w:left w:val="none" w:sz="0" w:space="0" w:color="auto"/>
        <w:bottom w:val="none" w:sz="0" w:space="0" w:color="auto"/>
        <w:right w:val="none" w:sz="0" w:space="0" w:color="auto"/>
      </w:divBdr>
    </w:div>
    <w:div w:id="1862158115">
      <w:marLeft w:val="0"/>
      <w:marRight w:val="0"/>
      <w:marTop w:val="180"/>
      <w:marBottom w:val="0"/>
      <w:divBdr>
        <w:top w:val="none" w:sz="0" w:space="0" w:color="auto"/>
        <w:left w:val="none" w:sz="0" w:space="0" w:color="auto"/>
        <w:bottom w:val="none" w:sz="0" w:space="0" w:color="auto"/>
        <w:right w:val="none" w:sz="0" w:space="0" w:color="auto"/>
      </w:divBdr>
    </w:div>
    <w:div w:id="1862236061">
      <w:marLeft w:val="0"/>
      <w:marRight w:val="0"/>
      <w:marTop w:val="180"/>
      <w:marBottom w:val="0"/>
      <w:divBdr>
        <w:top w:val="none" w:sz="0" w:space="0" w:color="auto"/>
        <w:left w:val="none" w:sz="0" w:space="0" w:color="auto"/>
        <w:bottom w:val="none" w:sz="0" w:space="0" w:color="auto"/>
        <w:right w:val="none" w:sz="0" w:space="0" w:color="auto"/>
      </w:divBdr>
    </w:div>
    <w:div w:id="1863089958">
      <w:marLeft w:val="0"/>
      <w:marRight w:val="0"/>
      <w:marTop w:val="180"/>
      <w:marBottom w:val="0"/>
      <w:divBdr>
        <w:top w:val="none" w:sz="0" w:space="0" w:color="auto"/>
        <w:left w:val="none" w:sz="0" w:space="0" w:color="auto"/>
        <w:bottom w:val="none" w:sz="0" w:space="0" w:color="auto"/>
        <w:right w:val="none" w:sz="0" w:space="0" w:color="auto"/>
      </w:divBdr>
    </w:div>
    <w:div w:id="1864198455">
      <w:marLeft w:val="0"/>
      <w:marRight w:val="0"/>
      <w:marTop w:val="180"/>
      <w:marBottom w:val="0"/>
      <w:divBdr>
        <w:top w:val="none" w:sz="0" w:space="0" w:color="auto"/>
        <w:left w:val="none" w:sz="0" w:space="0" w:color="auto"/>
        <w:bottom w:val="none" w:sz="0" w:space="0" w:color="auto"/>
        <w:right w:val="none" w:sz="0" w:space="0" w:color="auto"/>
      </w:divBdr>
    </w:div>
    <w:div w:id="1868450204">
      <w:marLeft w:val="0"/>
      <w:marRight w:val="0"/>
      <w:marTop w:val="180"/>
      <w:marBottom w:val="0"/>
      <w:divBdr>
        <w:top w:val="none" w:sz="0" w:space="0" w:color="auto"/>
        <w:left w:val="none" w:sz="0" w:space="0" w:color="auto"/>
        <w:bottom w:val="none" w:sz="0" w:space="0" w:color="auto"/>
        <w:right w:val="none" w:sz="0" w:space="0" w:color="auto"/>
      </w:divBdr>
    </w:div>
    <w:div w:id="1871798820">
      <w:marLeft w:val="0"/>
      <w:marRight w:val="0"/>
      <w:marTop w:val="0"/>
      <w:marBottom w:val="0"/>
      <w:divBdr>
        <w:top w:val="none" w:sz="0" w:space="0" w:color="auto"/>
        <w:left w:val="none" w:sz="0" w:space="0" w:color="auto"/>
        <w:bottom w:val="none" w:sz="0" w:space="0" w:color="auto"/>
        <w:right w:val="none" w:sz="0" w:space="0" w:color="auto"/>
      </w:divBdr>
      <w:divsChild>
        <w:div w:id="176890168">
          <w:marLeft w:val="0"/>
          <w:marRight w:val="0"/>
          <w:marTop w:val="0"/>
          <w:marBottom w:val="0"/>
          <w:divBdr>
            <w:top w:val="none" w:sz="0" w:space="0" w:color="auto"/>
            <w:left w:val="none" w:sz="0" w:space="0" w:color="auto"/>
            <w:bottom w:val="none" w:sz="0" w:space="0" w:color="auto"/>
            <w:right w:val="none" w:sz="0" w:space="0" w:color="auto"/>
          </w:divBdr>
          <w:divsChild>
            <w:div w:id="10173173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74532747">
      <w:marLeft w:val="0"/>
      <w:marRight w:val="0"/>
      <w:marTop w:val="180"/>
      <w:marBottom w:val="0"/>
      <w:divBdr>
        <w:top w:val="none" w:sz="0" w:space="0" w:color="auto"/>
        <w:left w:val="none" w:sz="0" w:space="0" w:color="auto"/>
        <w:bottom w:val="none" w:sz="0" w:space="0" w:color="auto"/>
        <w:right w:val="none" w:sz="0" w:space="0" w:color="auto"/>
      </w:divBdr>
    </w:div>
    <w:div w:id="1874923754">
      <w:marLeft w:val="0"/>
      <w:marRight w:val="0"/>
      <w:marTop w:val="180"/>
      <w:marBottom w:val="0"/>
      <w:divBdr>
        <w:top w:val="none" w:sz="0" w:space="0" w:color="auto"/>
        <w:left w:val="none" w:sz="0" w:space="0" w:color="auto"/>
        <w:bottom w:val="none" w:sz="0" w:space="0" w:color="auto"/>
        <w:right w:val="none" w:sz="0" w:space="0" w:color="auto"/>
      </w:divBdr>
    </w:div>
    <w:div w:id="1877159513">
      <w:marLeft w:val="0"/>
      <w:marRight w:val="0"/>
      <w:marTop w:val="180"/>
      <w:marBottom w:val="0"/>
      <w:divBdr>
        <w:top w:val="none" w:sz="0" w:space="0" w:color="auto"/>
        <w:left w:val="none" w:sz="0" w:space="0" w:color="auto"/>
        <w:bottom w:val="none" w:sz="0" w:space="0" w:color="auto"/>
        <w:right w:val="none" w:sz="0" w:space="0" w:color="auto"/>
      </w:divBdr>
    </w:div>
    <w:div w:id="1878277791">
      <w:marLeft w:val="0"/>
      <w:marRight w:val="0"/>
      <w:marTop w:val="0"/>
      <w:marBottom w:val="0"/>
      <w:divBdr>
        <w:top w:val="none" w:sz="0" w:space="0" w:color="auto"/>
        <w:left w:val="none" w:sz="0" w:space="0" w:color="auto"/>
        <w:bottom w:val="none" w:sz="0" w:space="0" w:color="auto"/>
        <w:right w:val="none" w:sz="0" w:space="0" w:color="auto"/>
      </w:divBdr>
      <w:divsChild>
        <w:div w:id="2118452237">
          <w:marLeft w:val="0"/>
          <w:marRight w:val="0"/>
          <w:marTop w:val="180"/>
          <w:marBottom w:val="0"/>
          <w:divBdr>
            <w:top w:val="none" w:sz="0" w:space="0" w:color="auto"/>
            <w:left w:val="none" w:sz="0" w:space="0" w:color="auto"/>
            <w:bottom w:val="none" w:sz="0" w:space="0" w:color="auto"/>
            <w:right w:val="none" w:sz="0" w:space="0" w:color="auto"/>
          </w:divBdr>
        </w:div>
      </w:divsChild>
    </w:div>
    <w:div w:id="1882281046">
      <w:marLeft w:val="0"/>
      <w:marRight w:val="0"/>
      <w:marTop w:val="0"/>
      <w:marBottom w:val="0"/>
      <w:divBdr>
        <w:top w:val="none" w:sz="0" w:space="0" w:color="auto"/>
        <w:left w:val="none" w:sz="0" w:space="0" w:color="auto"/>
        <w:bottom w:val="none" w:sz="0" w:space="0" w:color="auto"/>
        <w:right w:val="none" w:sz="0" w:space="0" w:color="auto"/>
      </w:divBdr>
      <w:divsChild>
        <w:div w:id="2140340283">
          <w:marLeft w:val="0"/>
          <w:marRight w:val="0"/>
          <w:marTop w:val="180"/>
          <w:marBottom w:val="0"/>
          <w:divBdr>
            <w:top w:val="none" w:sz="0" w:space="0" w:color="auto"/>
            <w:left w:val="none" w:sz="0" w:space="0" w:color="auto"/>
            <w:bottom w:val="none" w:sz="0" w:space="0" w:color="auto"/>
            <w:right w:val="none" w:sz="0" w:space="0" w:color="auto"/>
          </w:divBdr>
        </w:div>
      </w:divsChild>
    </w:div>
    <w:div w:id="1887184819">
      <w:marLeft w:val="0"/>
      <w:marRight w:val="0"/>
      <w:marTop w:val="0"/>
      <w:marBottom w:val="0"/>
      <w:divBdr>
        <w:top w:val="none" w:sz="0" w:space="0" w:color="auto"/>
        <w:left w:val="none" w:sz="0" w:space="0" w:color="auto"/>
        <w:bottom w:val="none" w:sz="0" w:space="0" w:color="auto"/>
        <w:right w:val="none" w:sz="0" w:space="0" w:color="auto"/>
      </w:divBdr>
      <w:divsChild>
        <w:div w:id="873687230">
          <w:marLeft w:val="0"/>
          <w:marRight w:val="0"/>
          <w:marTop w:val="180"/>
          <w:marBottom w:val="0"/>
          <w:divBdr>
            <w:top w:val="none" w:sz="0" w:space="0" w:color="auto"/>
            <w:left w:val="none" w:sz="0" w:space="0" w:color="auto"/>
            <w:bottom w:val="none" w:sz="0" w:space="0" w:color="auto"/>
            <w:right w:val="none" w:sz="0" w:space="0" w:color="auto"/>
          </w:divBdr>
        </w:div>
      </w:divsChild>
    </w:div>
    <w:div w:id="1889150170">
      <w:marLeft w:val="0"/>
      <w:marRight w:val="0"/>
      <w:marTop w:val="0"/>
      <w:marBottom w:val="0"/>
      <w:divBdr>
        <w:top w:val="none" w:sz="0" w:space="0" w:color="auto"/>
        <w:left w:val="none" w:sz="0" w:space="0" w:color="auto"/>
        <w:bottom w:val="none" w:sz="0" w:space="0" w:color="auto"/>
        <w:right w:val="none" w:sz="0" w:space="0" w:color="auto"/>
      </w:divBdr>
      <w:divsChild>
        <w:div w:id="1450201260">
          <w:marLeft w:val="0"/>
          <w:marRight w:val="0"/>
          <w:marTop w:val="180"/>
          <w:marBottom w:val="0"/>
          <w:divBdr>
            <w:top w:val="none" w:sz="0" w:space="0" w:color="auto"/>
            <w:left w:val="none" w:sz="0" w:space="0" w:color="auto"/>
            <w:bottom w:val="none" w:sz="0" w:space="0" w:color="auto"/>
            <w:right w:val="none" w:sz="0" w:space="0" w:color="auto"/>
          </w:divBdr>
        </w:div>
      </w:divsChild>
    </w:div>
    <w:div w:id="1890192174">
      <w:marLeft w:val="0"/>
      <w:marRight w:val="0"/>
      <w:marTop w:val="180"/>
      <w:marBottom w:val="0"/>
      <w:divBdr>
        <w:top w:val="none" w:sz="0" w:space="0" w:color="auto"/>
        <w:left w:val="none" w:sz="0" w:space="0" w:color="auto"/>
        <w:bottom w:val="none" w:sz="0" w:space="0" w:color="auto"/>
        <w:right w:val="none" w:sz="0" w:space="0" w:color="auto"/>
      </w:divBdr>
    </w:div>
    <w:div w:id="1892838021">
      <w:marLeft w:val="0"/>
      <w:marRight w:val="0"/>
      <w:marTop w:val="180"/>
      <w:marBottom w:val="0"/>
      <w:divBdr>
        <w:top w:val="none" w:sz="0" w:space="0" w:color="auto"/>
        <w:left w:val="none" w:sz="0" w:space="0" w:color="auto"/>
        <w:bottom w:val="none" w:sz="0" w:space="0" w:color="auto"/>
        <w:right w:val="none" w:sz="0" w:space="0" w:color="auto"/>
      </w:divBdr>
    </w:div>
    <w:div w:id="1893694949">
      <w:marLeft w:val="0"/>
      <w:marRight w:val="0"/>
      <w:marTop w:val="180"/>
      <w:marBottom w:val="0"/>
      <w:divBdr>
        <w:top w:val="none" w:sz="0" w:space="0" w:color="auto"/>
        <w:left w:val="none" w:sz="0" w:space="0" w:color="auto"/>
        <w:bottom w:val="none" w:sz="0" w:space="0" w:color="auto"/>
        <w:right w:val="none" w:sz="0" w:space="0" w:color="auto"/>
      </w:divBdr>
    </w:div>
    <w:div w:id="1898741438">
      <w:marLeft w:val="0"/>
      <w:marRight w:val="0"/>
      <w:marTop w:val="0"/>
      <w:marBottom w:val="0"/>
      <w:divBdr>
        <w:top w:val="none" w:sz="0" w:space="0" w:color="auto"/>
        <w:left w:val="none" w:sz="0" w:space="0" w:color="auto"/>
        <w:bottom w:val="none" w:sz="0" w:space="0" w:color="auto"/>
        <w:right w:val="none" w:sz="0" w:space="0" w:color="auto"/>
      </w:divBdr>
      <w:divsChild>
        <w:div w:id="25181121">
          <w:marLeft w:val="0"/>
          <w:marRight w:val="0"/>
          <w:marTop w:val="0"/>
          <w:marBottom w:val="0"/>
          <w:divBdr>
            <w:top w:val="none" w:sz="0" w:space="0" w:color="auto"/>
            <w:left w:val="none" w:sz="0" w:space="0" w:color="auto"/>
            <w:bottom w:val="none" w:sz="0" w:space="0" w:color="auto"/>
            <w:right w:val="none" w:sz="0" w:space="0" w:color="auto"/>
          </w:divBdr>
          <w:divsChild>
            <w:div w:id="1616994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0744031">
      <w:marLeft w:val="0"/>
      <w:marRight w:val="0"/>
      <w:marTop w:val="180"/>
      <w:marBottom w:val="0"/>
      <w:divBdr>
        <w:top w:val="none" w:sz="0" w:space="0" w:color="auto"/>
        <w:left w:val="none" w:sz="0" w:space="0" w:color="auto"/>
        <w:bottom w:val="none" w:sz="0" w:space="0" w:color="auto"/>
        <w:right w:val="none" w:sz="0" w:space="0" w:color="auto"/>
      </w:divBdr>
    </w:div>
    <w:div w:id="1901282200">
      <w:marLeft w:val="0"/>
      <w:marRight w:val="0"/>
      <w:marTop w:val="180"/>
      <w:marBottom w:val="0"/>
      <w:divBdr>
        <w:top w:val="none" w:sz="0" w:space="0" w:color="auto"/>
        <w:left w:val="none" w:sz="0" w:space="0" w:color="auto"/>
        <w:bottom w:val="none" w:sz="0" w:space="0" w:color="auto"/>
        <w:right w:val="none" w:sz="0" w:space="0" w:color="auto"/>
      </w:divBdr>
    </w:div>
    <w:div w:id="1904834463">
      <w:marLeft w:val="0"/>
      <w:marRight w:val="0"/>
      <w:marTop w:val="180"/>
      <w:marBottom w:val="0"/>
      <w:divBdr>
        <w:top w:val="none" w:sz="0" w:space="0" w:color="auto"/>
        <w:left w:val="none" w:sz="0" w:space="0" w:color="auto"/>
        <w:bottom w:val="none" w:sz="0" w:space="0" w:color="auto"/>
        <w:right w:val="none" w:sz="0" w:space="0" w:color="auto"/>
      </w:divBdr>
    </w:div>
    <w:div w:id="1905531339">
      <w:marLeft w:val="0"/>
      <w:marRight w:val="0"/>
      <w:marTop w:val="180"/>
      <w:marBottom w:val="0"/>
      <w:divBdr>
        <w:top w:val="none" w:sz="0" w:space="0" w:color="auto"/>
        <w:left w:val="none" w:sz="0" w:space="0" w:color="auto"/>
        <w:bottom w:val="none" w:sz="0" w:space="0" w:color="auto"/>
        <w:right w:val="none" w:sz="0" w:space="0" w:color="auto"/>
      </w:divBdr>
    </w:div>
    <w:div w:id="1906186528">
      <w:marLeft w:val="0"/>
      <w:marRight w:val="0"/>
      <w:marTop w:val="180"/>
      <w:marBottom w:val="0"/>
      <w:divBdr>
        <w:top w:val="none" w:sz="0" w:space="0" w:color="auto"/>
        <w:left w:val="none" w:sz="0" w:space="0" w:color="auto"/>
        <w:bottom w:val="none" w:sz="0" w:space="0" w:color="auto"/>
        <w:right w:val="none" w:sz="0" w:space="0" w:color="auto"/>
      </w:divBdr>
    </w:div>
    <w:div w:id="1906451787">
      <w:marLeft w:val="0"/>
      <w:marRight w:val="0"/>
      <w:marTop w:val="180"/>
      <w:marBottom w:val="0"/>
      <w:divBdr>
        <w:top w:val="none" w:sz="0" w:space="0" w:color="auto"/>
        <w:left w:val="none" w:sz="0" w:space="0" w:color="auto"/>
        <w:bottom w:val="none" w:sz="0" w:space="0" w:color="auto"/>
        <w:right w:val="none" w:sz="0" w:space="0" w:color="auto"/>
      </w:divBdr>
    </w:div>
    <w:div w:id="1907957417">
      <w:marLeft w:val="0"/>
      <w:marRight w:val="0"/>
      <w:marTop w:val="0"/>
      <w:marBottom w:val="0"/>
      <w:divBdr>
        <w:top w:val="none" w:sz="0" w:space="0" w:color="auto"/>
        <w:left w:val="none" w:sz="0" w:space="0" w:color="auto"/>
        <w:bottom w:val="none" w:sz="0" w:space="0" w:color="auto"/>
        <w:right w:val="none" w:sz="0" w:space="0" w:color="auto"/>
      </w:divBdr>
      <w:divsChild>
        <w:div w:id="158083868">
          <w:marLeft w:val="0"/>
          <w:marRight w:val="0"/>
          <w:marTop w:val="0"/>
          <w:marBottom w:val="0"/>
          <w:divBdr>
            <w:top w:val="none" w:sz="0" w:space="0" w:color="auto"/>
            <w:left w:val="none" w:sz="0" w:space="0" w:color="auto"/>
            <w:bottom w:val="none" w:sz="0" w:space="0" w:color="auto"/>
            <w:right w:val="none" w:sz="0" w:space="0" w:color="auto"/>
          </w:divBdr>
          <w:divsChild>
            <w:div w:id="2252640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15167813">
      <w:marLeft w:val="0"/>
      <w:marRight w:val="0"/>
      <w:marTop w:val="0"/>
      <w:marBottom w:val="120"/>
      <w:divBdr>
        <w:top w:val="none" w:sz="0" w:space="0" w:color="auto"/>
        <w:left w:val="none" w:sz="0" w:space="0" w:color="auto"/>
        <w:bottom w:val="none" w:sz="0" w:space="0" w:color="auto"/>
        <w:right w:val="none" w:sz="0" w:space="0" w:color="auto"/>
      </w:divBdr>
      <w:divsChild>
        <w:div w:id="1628272229">
          <w:marLeft w:val="0"/>
          <w:marRight w:val="0"/>
          <w:marTop w:val="0"/>
          <w:marBottom w:val="0"/>
          <w:divBdr>
            <w:top w:val="none" w:sz="0" w:space="0" w:color="auto"/>
            <w:left w:val="none" w:sz="0" w:space="0" w:color="auto"/>
            <w:bottom w:val="none" w:sz="0" w:space="0" w:color="auto"/>
            <w:right w:val="none" w:sz="0" w:space="0" w:color="auto"/>
          </w:divBdr>
        </w:div>
        <w:div w:id="441993951">
          <w:marLeft w:val="0"/>
          <w:marRight w:val="0"/>
          <w:marTop w:val="0"/>
          <w:marBottom w:val="0"/>
          <w:divBdr>
            <w:top w:val="none" w:sz="0" w:space="0" w:color="auto"/>
            <w:left w:val="none" w:sz="0" w:space="0" w:color="auto"/>
            <w:bottom w:val="none" w:sz="0" w:space="0" w:color="auto"/>
            <w:right w:val="none" w:sz="0" w:space="0" w:color="auto"/>
          </w:divBdr>
        </w:div>
        <w:div w:id="1679112111">
          <w:marLeft w:val="0"/>
          <w:marRight w:val="0"/>
          <w:marTop w:val="0"/>
          <w:marBottom w:val="0"/>
          <w:divBdr>
            <w:top w:val="none" w:sz="0" w:space="0" w:color="auto"/>
            <w:left w:val="none" w:sz="0" w:space="0" w:color="auto"/>
            <w:bottom w:val="none" w:sz="0" w:space="0" w:color="auto"/>
            <w:right w:val="none" w:sz="0" w:space="0" w:color="auto"/>
          </w:divBdr>
        </w:div>
        <w:div w:id="1305086811">
          <w:marLeft w:val="0"/>
          <w:marRight w:val="0"/>
          <w:marTop w:val="0"/>
          <w:marBottom w:val="0"/>
          <w:divBdr>
            <w:top w:val="none" w:sz="0" w:space="0" w:color="auto"/>
            <w:left w:val="none" w:sz="0" w:space="0" w:color="auto"/>
            <w:bottom w:val="none" w:sz="0" w:space="0" w:color="auto"/>
            <w:right w:val="none" w:sz="0" w:space="0" w:color="auto"/>
          </w:divBdr>
        </w:div>
        <w:div w:id="677535521">
          <w:marLeft w:val="0"/>
          <w:marRight w:val="0"/>
          <w:marTop w:val="0"/>
          <w:marBottom w:val="0"/>
          <w:divBdr>
            <w:top w:val="none" w:sz="0" w:space="0" w:color="auto"/>
            <w:left w:val="none" w:sz="0" w:space="0" w:color="auto"/>
            <w:bottom w:val="none" w:sz="0" w:space="0" w:color="auto"/>
            <w:right w:val="none" w:sz="0" w:space="0" w:color="auto"/>
          </w:divBdr>
        </w:div>
        <w:div w:id="145323943">
          <w:marLeft w:val="0"/>
          <w:marRight w:val="0"/>
          <w:marTop w:val="0"/>
          <w:marBottom w:val="0"/>
          <w:divBdr>
            <w:top w:val="none" w:sz="0" w:space="0" w:color="auto"/>
            <w:left w:val="none" w:sz="0" w:space="0" w:color="auto"/>
            <w:bottom w:val="none" w:sz="0" w:space="0" w:color="auto"/>
            <w:right w:val="none" w:sz="0" w:space="0" w:color="auto"/>
          </w:divBdr>
        </w:div>
        <w:div w:id="2133984296">
          <w:marLeft w:val="0"/>
          <w:marRight w:val="0"/>
          <w:marTop w:val="0"/>
          <w:marBottom w:val="0"/>
          <w:divBdr>
            <w:top w:val="none" w:sz="0" w:space="0" w:color="auto"/>
            <w:left w:val="none" w:sz="0" w:space="0" w:color="auto"/>
            <w:bottom w:val="none" w:sz="0" w:space="0" w:color="auto"/>
            <w:right w:val="none" w:sz="0" w:space="0" w:color="auto"/>
          </w:divBdr>
        </w:div>
        <w:div w:id="142352195">
          <w:marLeft w:val="0"/>
          <w:marRight w:val="0"/>
          <w:marTop w:val="0"/>
          <w:marBottom w:val="0"/>
          <w:divBdr>
            <w:top w:val="none" w:sz="0" w:space="0" w:color="auto"/>
            <w:left w:val="none" w:sz="0" w:space="0" w:color="auto"/>
            <w:bottom w:val="none" w:sz="0" w:space="0" w:color="auto"/>
            <w:right w:val="none" w:sz="0" w:space="0" w:color="auto"/>
          </w:divBdr>
        </w:div>
        <w:div w:id="1889367122">
          <w:marLeft w:val="0"/>
          <w:marRight w:val="0"/>
          <w:marTop w:val="0"/>
          <w:marBottom w:val="0"/>
          <w:divBdr>
            <w:top w:val="none" w:sz="0" w:space="0" w:color="auto"/>
            <w:left w:val="none" w:sz="0" w:space="0" w:color="auto"/>
            <w:bottom w:val="none" w:sz="0" w:space="0" w:color="auto"/>
            <w:right w:val="none" w:sz="0" w:space="0" w:color="auto"/>
          </w:divBdr>
        </w:div>
        <w:div w:id="214243075">
          <w:marLeft w:val="0"/>
          <w:marRight w:val="0"/>
          <w:marTop w:val="0"/>
          <w:marBottom w:val="0"/>
          <w:divBdr>
            <w:top w:val="none" w:sz="0" w:space="0" w:color="auto"/>
            <w:left w:val="none" w:sz="0" w:space="0" w:color="auto"/>
            <w:bottom w:val="none" w:sz="0" w:space="0" w:color="auto"/>
            <w:right w:val="none" w:sz="0" w:space="0" w:color="auto"/>
          </w:divBdr>
        </w:div>
        <w:div w:id="1811749627">
          <w:marLeft w:val="0"/>
          <w:marRight w:val="0"/>
          <w:marTop w:val="0"/>
          <w:marBottom w:val="0"/>
          <w:divBdr>
            <w:top w:val="none" w:sz="0" w:space="0" w:color="auto"/>
            <w:left w:val="none" w:sz="0" w:space="0" w:color="auto"/>
            <w:bottom w:val="none" w:sz="0" w:space="0" w:color="auto"/>
            <w:right w:val="none" w:sz="0" w:space="0" w:color="auto"/>
          </w:divBdr>
        </w:div>
        <w:div w:id="716204792">
          <w:marLeft w:val="0"/>
          <w:marRight w:val="0"/>
          <w:marTop w:val="0"/>
          <w:marBottom w:val="0"/>
          <w:divBdr>
            <w:top w:val="none" w:sz="0" w:space="0" w:color="auto"/>
            <w:left w:val="none" w:sz="0" w:space="0" w:color="auto"/>
            <w:bottom w:val="none" w:sz="0" w:space="0" w:color="auto"/>
            <w:right w:val="none" w:sz="0" w:space="0" w:color="auto"/>
          </w:divBdr>
        </w:div>
        <w:div w:id="1244221054">
          <w:marLeft w:val="0"/>
          <w:marRight w:val="0"/>
          <w:marTop w:val="0"/>
          <w:marBottom w:val="0"/>
          <w:divBdr>
            <w:top w:val="none" w:sz="0" w:space="0" w:color="auto"/>
            <w:left w:val="none" w:sz="0" w:space="0" w:color="auto"/>
            <w:bottom w:val="none" w:sz="0" w:space="0" w:color="auto"/>
            <w:right w:val="none" w:sz="0" w:space="0" w:color="auto"/>
          </w:divBdr>
        </w:div>
        <w:div w:id="1158228739">
          <w:marLeft w:val="0"/>
          <w:marRight w:val="0"/>
          <w:marTop w:val="0"/>
          <w:marBottom w:val="0"/>
          <w:divBdr>
            <w:top w:val="none" w:sz="0" w:space="0" w:color="auto"/>
            <w:left w:val="none" w:sz="0" w:space="0" w:color="auto"/>
            <w:bottom w:val="none" w:sz="0" w:space="0" w:color="auto"/>
            <w:right w:val="none" w:sz="0" w:space="0" w:color="auto"/>
          </w:divBdr>
        </w:div>
        <w:div w:id="953943574">
          <w:marLeft w:val="0"/>
          <w:marRight w:val="0"/>
          <w:marTop w:val="0"/>
          <w:marBottom w:val="0"/>
          <w:divBdr>
            <w:top w:val="none" w:sz="0" w:space="0" w:color="auto"/>
            <w:left w:val="none" w:sz="0" w:space="0" w:color="auto"/>
            <w:bottom w:val="none" w:sz="0" w:space="0" w:color="auto"/>
            <w:right w:val="none" w:sz="0" w:space="0" w:color="auto"/>
          </w:divBdr>
        </w:div>
        <w:div w:id="212811331">
          <w:marLeft w:val="0"/>
          <w:marRight w:val="0"/>
          <w:marTop w:val="0"/>
          <w:marBottom w:val="0"/>
          <w:divBdr>
            <w:top w:val="none" w:sz="0" w:space="0" w:color="auto"/>
            <w:left w:val="none" w:sz="0" w:space="0" w:color="auto"/>
            <w:bottom w:val="none" w:sz="0" w:space="0" w:color="auto"/>
            <w:right w:val="none" w:sz="0" w:space="0" w:color="auto"/>
          </w:divBdr>
        </w:div>
        <w:div w:id="569850854">
          <w:marLeft w:val="0"/>
          <w:marRight w:val="0"/>
          <w:marTop w:val="0"/>
          <w:marBottom w:val="0"/>
          <w:divBdr>
            <w:top w:val="none" w:sz="0" w:space="0" w:color="auto"/>
            <w:left w:val="none" w:sz="0" w:space="0" w:color="auto"/>
            <w:bottom w:val="none" w:sz="0" w:space="0" w:color="auto"/>
            <w:right w:val="none" w:sz="0" w:space="0" w:color="auto"/>
          </w:divBdr>
        </w:div>
        <w:div w:id="2090423813">
          <w:marLeft w:val="0"/>
          <w:marRight w:val="0"/>
          <w:marTop w:val="0"/>
          <w:marBottom w:val="0"/>
          <w:divBdr>
            <w:top w:val="none" w:sz="0" w:space="0" w:color="auto"/>
            <w:left w:val="none" w:sz="0" w:space="0" w:color="auto"/>
            <w:bottom w:val="none" w:sz="0" w:space="0" w:color="auto"/>
            <w:right w:val="none" w:sz="0" w:space="0" w:color="auto"/>
          </w:divBdr>
        </w:div>
        <w:div w:id="431364171">
          <w:marLeft w:val="0"/>
          <w:marRight w:val="0"/>
          <w:marTop w:val="0"/>
          <w:marBottom w:val="0"/>
          <w:divBdr>
            <w:top w:val="none" w:sz="0" w:space="0" w:color="auto"/>
            <w:left w:val="none" w:sz="0" w:space="0" w:color="auto"/>
            <w:bottom w:val="none" w:sz="0" w:space="0" w:color="auto"/>
            <w:right w:val="none" w:sz="0" w:space="0" w:color="auto"/>
          </w:divBdr>
        </w:div>
      </w:divsChild>
    </w:div>
    <w:div w:id="1919318910">
      <w:marLeft w:val="0"/>
      <w:marRight w:val="0"/>
      <w:marTop w:val="240"/>
      <w:marBottom w:val="0"/>
      <w:divBdr>
        <w:top w:val="none" w:sz="0" w:space="0" w:color="auto"/>
        <w:left w:val="none" w:sz="0" w:space="0" w:color="auto"/>
        <w:bottom w:val="none" w:sz="0" w:space="0" w:color="auto"/>
        <w:right w:val="none" w:sz="0" w:space="0" w:color="auto"/>
      </w:divBdr>
    </w:div>
    <w:div w:id="1922329285">
      <w:marLeft w:val="0"/>
      <w:marRight w:val="0"/>
      <w:marTop w:val="180"/>
      <w:marBottom w:val="0"/>
      <w:divBdr>
        <w:top w:val="none" w:sz="0" w:space="0" w:color="auto"/>
        <w:left w:val="none" w:sz="0" w:space="0" w:color="auto"/>
        <w:bottom w:val="none" w:sz="0" w:space="0" w:color="auto"/>
        <w:right w:val="none" w:sz="0" w:space="0" w:color="auto"/>
      </w:divBdr>
    </w:div>
    <w:div w:id="1924604878">
      <w:marLeft w:val="0"/>
      <w:marRight w:val="0"/>
      <w:marTop w:val="180"/>
      <w:marBottom w:val="0"/>
      <w:divBdr>
        <w:top w:val="none" w:sz="0" w:space="0" w:color="auto"/>
        <w:left w:val="none" w:sz="0" w:space="0" w:color="auto"/>
        <w:bottom w:val="none" w:sz="0" w:space="0" w:color="auto"/>
        <w:right w:val="none" w:sz="0" w:space="0" w:color="auto"/>
      </w:divBdr>
    </w:div>
    <w:div w:id="1926764178">
      <w:marLeft w:val="0"/>
      <w:marRight w:val="0"/>
      <w:marTop w:val="180"/>
      <w:marBottom w:val="12"/>
      <w:divBdr>
        <w:top w:val="none" w:sz="0" w:space="0" w:color="auto"/>
        <w:left w:val="none" w:sz="0" w:space="0" w:color="auto"/>
        <w:bottom w:val="none" w:sz="0" w:space="0" w:color="auto"/>
        <w:right w:val="none" w:sz="0" w:space="0" w:color="auto"/>
      </w:divBdr>
    </w:div>
    <w:div w:id="1928273135">
      <w:marLeft w:val="0"/>
      <w:marRight w:val="0"/>
      <w:marTop w:val="180"/>
      <w:marBottom w:val="0"/>
      <w:divBdr>
        <w:top w:val="none" w:sz="0" w:space="0" w:color="auto"/>
        <w:left w:val="none" w:sz="0" w:space="0" w:color="auto"/>
        <w:bottom w:val="none" w:sz="0" w:space="0" w:color="auto"/>
        <w:right w:val="none" w:sz="0" w:space="0" w:color="auto"/>
      </w:divBdr>
    </w:div>
    <w:div w:id="1928493238">
      <w:marLeft w:val="0"/>
      <w:marRight w:val="0"/>
      <w:marTop w:val="180"/>
      <w:marBottom w:val="120"/>
      <w:divBdr>
        <w:top w:val="none" w:sz="0" w:space="0" w:color="auto"/>
        <w:left w:val="none" w:sz="0" w:space="0" w:color="auto"/>
        <w:bottom w:val="none" w:sz="0" w:space="0" w:color="auto"/>
        <w:right w:val="none" w:sz="0" w:space="0" w:color="auto"/>
      </w:divBdr>
    </w:div>
    <w:div w:id="1929381188">
      <w:marLeft w:val="0"/>
      <w:marRight w:val="0"/>
      <w:marTop w:val="180"/>
      <w:marBottom w:val="240"/>
      <w:divBdr>
        <w:top w:val="none" w:sz="0" w:space="0" w:color="auto"/>
        <w:left w:val="none" w:sz="0" w:space="0" w:color="auto"/>
        <w:bottom w:val="none" w:sz="0" w:space="0" w:color="auto"/>
        <w:right w:val="none" w:sz="0" w:space="0" w:color="auto"/>
      </w:divBdr>
    </w:div>
    <w:div w:id="1930657742">
      <w:marLeft w:val="0"/>
      <w:marRight w:val="0"/>
      <w:marTop w:val="120"/>
      <w:marBottom w:val="0"/>
      <w:divBdr>
        <w:top w:val="none" w:sz="0" w:space="0" w:color="auto"/>
        <w:left w:val="none" w:sz="0" w:space="0" w:color="auto"/>
        <w:bottom w:val="none" w:sz="0" w:space="0" w:color="auto"/>
        <w:right w:val="none" w:sz="0" w:space="0" w:color="auto"/>
      </w:divBdr>
    </w:div>
    <w:div w:id="1933080741">
      <w:marLeft w:val="0"/>
      <w:marRight w:val="0"/>
      <w:marTop w:val="0"/>
      <w:marBottom w:val="0"/>
      <w:divBdr>
        <w:top w:val="none" w:sz="0" w:space="0" w:color="auto"/>
        <w:left w:val="none" w:sz="0" w:space="0" w:color="auto"/>
        <w:bottom w:val="none" w:sz="0" w:space="0" w:color="auto"/>
        <w:right w:val="none" w:sz="0" w:space="0" w:color="auto"/>
      </w:divBdr>
      <w:divsChild>
        <w:div w:id="1842623391">
          <w:marLeft w:val="0"/>
          <w:marRight w:val="0"/>
          <w:marTop w:val="180"/>
          <w:marBottom w:val="0"/>
          <w:divBdr>
            <w:top w:val="none" w:sz="0" w:space="0" w:color="auto"/>
            <w:left w:val="none" w:sz="0" w:space="0" w:color="auto"/>
            <w:bottom w:val="none" w:sz="0" w:space="0" w:color="auto"/>
            <w:right w:val="none" w:sz="0" w:space="0" w:color="auto"/>
          </w:divBdr>
        </w:div>
      </w:divsChild>
    </w:div>
    <w:div w:id="1933393886">
      <w:marLeft w:val="0"/>
      <w:marRight w:val="0"/>
      <w:marTop w:val="180"/>
      <w:marBottom w:val="0"/>
      <w:divBdr>
        <w:top w:val="none" w:sz="0" w:space="0" w:color="auto"/>
        <w:left w:val="none" w:sz="0" w:space="0" w:color="auto"/>
        <w:bottom w:val="none" w:sz="0" w:space="0" w:color="auto"/>
        <w:right w:val="none" w:sz="0" w:space="0" w:color="auto"/>
      </w:divBdr>
    </w:div>
    <w:div w:id="1933852012">
      <w:marLeft w:val="0"/>
      <w:marRight w:val="0"/>
      <w:marTop w:val="240"/>
      <w:marBottom w:val="0"/>
      <w:divBdr>
        <w:top w:val="none" w:sz="0" w:space="0" w:color="auto"/>
        <w:left w:val="none" w:sz="0" w:space="0" w:color="auto"/>
        <w:bottom w:val="none" w:sz="0" w:space="0" w:color="auto"/>
        <w:right w:val="none" w:sz="0" w:space="0" w:color="auto"/>
      </w:divBdr>
    </w:div>
    <w:div w:id="1939366883">
      <w:marLeft w:val="0"/>
      <w:marRight w:val="0"/>
      <w:marTop w:val="180"/>
      <w:marBottom w:val="0"/>
      <w:divBdr>
        <w:top w:val="none" w:sz="0" w:space="0" w:color="auto"/>
        <w:left w:val="none" w:sz="0" w:space="0" w:color="auto"/>
        <w:bottom w:val="none" w:sz="0" w:space="0" w:color="auto"/>
        <w:right w:val="none" w:sz="0" w:space="0" w:color="auto"/>
      </w:divBdr>
    </w:div>
    <w:div w:id="1940063380">
      <w:marLeft w:val="0"/>
      <w:marRight w:val="0"/>
      <w:marTop w:val="180"/>
      <w:marBottom w:val="0"/>
      <w:divBdr>
        <w:top w:val="none" w:sz="0" w:space="0" w:color="auto"/>
        <w:left w:val="none" w:sz="0" w:space="0" w:color="auto"/>
        <w:bottom w:val="none" w:sz="0" w:space="0" w:color="auto"/>
        <w:right w:val="none" w:sz="0" w:space="0" w:color="auto"/>
      </w:divBdr>
    </w:div>
    <w:div w:id="1940945595">
      <w:marLeft w:val="0"/>
      <w:marRight w:val="0"/>
      <w:marTop w:val="180"/>
      <w:marBottom w:val="0"/>
      <w:divBdr>
        <w:top w:val="none" w:sz="0" w:space="0" w:color="auto"/>
        <w:left w:val="none" w:sz="0" w:space="0" w:color="auto"/>
        <w:bottom w:val="none" w:sz="0" w:space="0" w:color="auto"/>
        <w:right w:val="none" w:sz="0" w:space="0" w:color="auto"/>
      </w:divBdr>
    </w:div>
    <w:div w:id="1942182246">
      <w:marLeft w:val="0"/>
      <w:marRight w:val="0"/>
      <w:marTop w:val="0"/>
      <w:marBottom w:val="0"/>
      <w:divBdr>
        <w:top w:val="none" w:sz="0" w:space="0" w:color="auto"/>
        <w:left w:val="none" w:sz="0" w:space="0" w:color="auto"/>
        <w:bottom w:val="none" w:sz="0" w:space="0" w:color="auto"/>
        <w:right w:val="none" w:sz="0" w:space="0" w:color="auto"/>
      </w:divBdr>
      <w:divsChild>
        <w:div w:id="1803696922">
          <w:marLeft w:val="0"/>
          <w:marRight w:val="0"/>
          <w:marTop w:val="0"/>
          <w:marBottom w:val="0"/>
          <w:divBdr>
            <w:top w:val="none" w:sz="0" w:space="0" w:color="auto"/>
            <w:left w:val="none" w:sz="0" w:space="0" w:color="auto"/>
            <w:bottom w:val="none" w:sz="0" w:space="0" w:color="auto"/>
            <w:right w:val="none" w:sz="0" w:space="0" w:color="auto"/>
          </w:divBdr>
        </w:div>
      </w:divsChild>
    </w:div>
    <w:div w:id="1942907482">
      <w:marLeft w:val="0"/>
      <w:marRight w:val="0"/>
      <w:marTop w:val="180"/>
      <w:marBottom w:val="0"/>
      <w:divBdr>
        <w:top w:val="none" w:sz="0" w:space="0" w:color="auto"/>
        <w:left w:val="none" w:sz="0" w:space="0" w:color="auto"/>
        <w:bottom w:val="none" w:sz="0" w:space="0" w:color="auto"/>
        <w:right w:val="none" w:sz="0" w:space="0" w:color="auto"/>
      </w:divBdr>
    </w:div>
    <w:div w:id="1945070006">
      <w:marLeft w:val="0"/>
      <w:marRight w:val="0"/>
      <w:marTop w:val="0"/>
      <w:marBottom w:val="0"/>
      <w:divBdr>
        <w:top w:val="none" w:sz="0" w:space="0" w:color="auto"/>
        <w:left w:val="none" w:sz="0" w:space="0" w:color="auto"/>
        <w:bottom w:val="none" w:sz="0" w:space="0" w:color="auto"/>
        <w:right w:val="none" w:sz="0" w:space="0" w:color="auto"/>
      </w:divBdr>
      <w:divsChild>
        <w:div w:id="1118449263">
          <w:marLeft w:val="0"/>
          <w:marRight w:val="0"/>
          <w:marTop w:val="0"/>
          <w:marBottom w:val="0"/>
          <w:divBdr>
            <w:top w:val="none" w:sz="0" w:space="0" w:color="auto"/>
            <w:left w:val="none" w:sz="0" w:space="0" w:color="auto"/>
            <w:bottom w:val="none" w:sz="0" w:space="0" w:color="auto"/>
            <w:right w:val="none" w:sz="0" w:space="0" w:color="auto"/>
          </w:divBdr>
        </w:div>
      </w:divsChild>
    </w:div>
    <w:div w:id="1945728005">
      <w:marLeft w:val="0"/>
      <w:marRight w:val="0"/>
      <w:marTop w:val="240"/>
      <w:marBottom w:val="0"/>
      <w:divBdr>
        <w:top w:val="none" w:sz="0" w:space="0" w:color="auto"/>
        <w:left w:val="none" w:sz="0" w:space="0" w:color="auto"/>
        <w:bottom w:val="none" w:sz="0" w:space="0" w:color="auto"/>
        <w:right w:val="none" w:sz="0" w:space="0" w:color="auto"/>
      </w:divBdr>
    </w:div>
    <w:div w:id="1947426465">
      <w:marLeft w:val="0"/>
      <w:marRight w:val="0"/>
      <w:marTop w:val="180"/>
      <w:marBottom w:val="0"/>
      <w:divBdr>
        <w:top w:val="none" w:sz="0" w:space="0" w:color="auto"/>
        <w:left w:val="none" w:sz="0" w:space="0" w:color="auto"/>
        <w:bottom w:val="none" w:sz="0" w:space="0" w:color="auto"/>
        <w:right w:val="none" w:sz="0" w:space="0" w:color="auto"/>
      </w:divBdr>
    </w:div>
    <w:div w:id="1948612961">
      <w:marLeft w:val="0"/>
      <w:marRight w:val="0"/>
      <w:marTop w:val="180"/>
      <w:marBottom w:val="0"/>
      <w:divBdr>
        <w:top w:val="none" w:sz="0" w:space="0" w:color="auto"/>
        <w:left w:val="none" w:sz="0" w:space="0" w:color="auto"/>
        <w:bottom w:val="none" w:sz="0" w:space="0" w:color="auto"/>
        <w:right w:val="none" w:sz="0" w:space="0" w:color="auto"/>
      </w:divBdr>
    </w:div>
    <w:div w:id="1949191812">
      <w:marLeft w:val="0"/>
      <w:marRight w:val="0"/>
      <w:marTop w:val="0"/>
      <w:marBottom w:val="0"/>
      <w:divBdr>
        <w:top w:val="none" w:sz="0" w:space="0" w:color="auto"/>
        <w:left w:val="none" w:sz="0" w:space="0" w:color="auto"/>
        <w:bottom w:val="none" w:sz="0" w:space="0" w:color="auto"/>
        <w:right w:val="none" w:sz="0" w:space="0" w:color="auto"/>
      </w:divBdr>
      <w:divsChild>
        <w:div w:id="795366789">
          <w:marLeft w:val="0"/>
          <w:marRight w:val="0"/>
          <w:marTop w:val="0"/>
          <w:marBottom w:val="0"/>
          <w:divBdr>
            <w:top w:val="none" w:sz="0" w:space="0" w:color="auto"/>
            <w:left w:val="none" w:sz="0" w:space="0" w:color="auto"/>
            <w:bottom w:val="none" w:sz="0" w:space="0" w:color="auto"/>
            <w:right w:val="none" w:sz="0" w:space="0" w:color="auto"/>
          </w:divBdr>
          <w:divsChild>
            <w:div w:id="2434181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9388367">
      <w:marLeft w:val="0"/>
      <w:marRight w:val="0"/>
      <w:marTop w:val="180"/>
      <w:marBottom w:val="0"/>
      <w:divBdr>
        <w:top w:val="none" w:sz="0" w:space="0" w:color="auto"/>
        <w:left w:val="none" w:sz="0" w:space="0" w:color="auto"/>
        <w:bottom w:val="none" w:sz="0" w:space="0" w:color="auto"/>
        <w:right w:val="none" w:sz="0" w:space="0" w:color="auto"/>
      </w:divBdr>
    </w:div>
    <w:div w:id="1949775205">
      <w:marLeft w:val="0"/>
      <w:marRight w:val="0"/>
      <w:marTop w:val="180"/>
      <w:marBottom w:val="120"/>
      <w:divBdr>
        <w:top w:val="none" w:sz="0" w:space="0" w:color="auto"/>
        <w:left w:val="none" w:sz="0" w:space="0" w:color="auto"/>
        <w:bottom w:val="none" w:sz="0" w:space="0" w:color="auto"/>
        <w:right w:val="none" w:sz="0" w:space="0" w:color="auto"/>
      </w:divBdr>
    </w:div>
    <w:div w:id="1950815259">
      <w:marLeft w:val="0"/>
      <w:marRight w:val="0"/>
      <w:marTop w:val="0"/>
      <w:marBottom w:val="0"/>
      <w:divBdr>
        <w:top w:val="none" w:sz="0" w:space="0" w:color="auto"/>
        <w:left w:val="none" w:sz="0" w:space="0" w:color="auto"/>
        <w:bottom w:val="none" w:sz="0" w:space="0" w:color="auto"/>
        <w:right w:val="none" w:sz="0" w:space="0" w:color="auto"/>
      </w:divBdr>
      <w:divsChild>
        <w:div w:id="1126050115">
          <w:marLeft w:val="0"/>
          <w:marRight w:val="0"/>
          <w:marTop w:val="0"/>
          <w:marBottom w:val="0"/>
          <w:divBdr>
            <w:top w:val="none" w:sz="0" w:space="0" w:color="auto"/>
            <w:left w:val="none" w:sz="0" w:space="0" w:color="auto"/>
            <w:bottom w:val="none" w:sz="0" w:space="0" w:color="auto"/>
            <w:right w:val="none" w:sz="0" w:space="0" w:color="auto"/>
          </w:divBdr>
          <w:divsChild>
            <w:div w:id="19646488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51159147">
      <w:marLeft w:val="0"/>
      <w:marRight w:val="0"/>
      <w:marTop w:val="180"/>
      <w:marBottom w:val="0"/>
      <w:divBdr>
        <w:top w:val="none" w:sz="0" w:space="0" w:color="auto"/>
        <w:left w:val="none" w:sz="0" w:space="0" w:color="auto"/>
        <w:bottom w:val="none" w:sz="0" w:space="0" w:color="auto"/>
        <w:right w:val="none" w:sz="0" w:space="0" w:color="auto"/>
      </w:divBdr>
    </w:div>
    <w:div w:id="1954434208">
      <w:marLeft w:val="0"/>
      <w:marRight w:val="0"/>
      <w:marTop w:val="180"/>
      <w:marBottom w:val="0"/>
      <w:divBdr>
        <w:top w:val="none" w:sz="0" w:space="0" w:color="auto"/>
        <w:left w:val="none" w:sz="0" w:space="0" w:color="auto"/>
        <w:bottom w:val="none" w:sz="0" w:space="0" w:color="auto"/>
        <w:right w:val="none" w:sz="0" w:space="0" w:color="auto"/>
      </w:divBdr>
    </w:div>
    <w:div w:id="1955675785">
      <w:marLeft w:val="0"/>
      <w:marRight w:val="0"/>
      <w:marTop w:val="180"/>
      <w:marBottom w:val="0"/>
      <w:divBdr>
        <w:top w:val="none" w:sz="0" w:space="0" w:color="auto"/>
        <w:left w:val="none" w:sz="0" w:space="0" w:color="auto"/>
        <w:bottom w:val="none" w:sz="0" w:space="0" w:color="auto"/>
        <w:right w:val="none" w:sz="0" w:space="0" w:color="auto"/>
      </w:divBdr>
    </w:div>
    <w:div w:id="1956717700">
      <w:marLeft w:val="0"/>
      <w:marRight w:val="0"/>
      <w:marTop w:val="0"/>
      <w:marBottom w:val="0"/>
      <w:divBdr>
        <w:top w:val="none" w:sz="0" w:space="0" w:color="auto"/>
        <w:left w:val="none" w:sz="0" w:space="0" w:color="auto"/>
        <w:bottom w:val="none" w:sz="0" w:space="0" w:color="auto"/>
        <w:right w:val="none" w:sz="0" w:space="0" w:color="auto"/>
      </w:divBdr>
      <w:divsChild>
        <w:div w:id="812599184">
          <w:marLeft w:val="0"/>
          <w:marRight w:val="0"/>
          <w:marTop w:val="180"/>
          <w:marBottom w:val="0"/>
          <w:divBdr>
            <w:top w:val="none" w:sz="0" w:space="0" w:color="auto"/>
            <w:left w:val="none" w:sz="0" w:space="0" w:color="auto"/>
            <w:bottom w:val="none" w:sz="0" w:space="0" w:color="auto"/>
            <w:right w:val="none" w:sz="0" w:space="0" w:color="auto"/>
          </w:divBdr>
        </w:div>
      </w:divsChild>
    </w:div>
    <w:div w:id="1957102266">
      <w:marLeft w:val="0"/>
      <w:marRight w:val="0"/>
      <w:marTop w:val="0"/>
      <w:marBottom w:val="0"/>
      <w:divBdr>
        <w:top w:val="none" w:sz="0" w:space="0" w:color="auto"/>
        <w:left w:val="none" w:sz="0" w:space="0" w:color="auto"/>
        <w:bottom w:val="none" w:sz="0" w:space="0" w:color="auto"/>
        <w:right w:val="none" w:sz="0" w:space="0" w:color="auto"/>
      </w:divBdr>
      <w:divsChild>
        <w:div w:id="362093800">
          <w:marLeft w:val="0"/>
          <w:marRight w:val="0"/>
          <w:marTop w:val="0"/>
          <w:marBottom w:val="0"/>
          <w:divBdr>
            <w:top w:val="none" w:sz="0" w:space="0" w:color="auto"/>
            <w:left w:val="none" w:sz="0" w:space="0" w:color="auto"/>
            <w:bottom w:val="none" w:sz="0" w:space="0" w:color="auto"/>
            <w:right w:val="none" w:sz="0" w:space="0" w:color="auto"/>
          </w:divBdr>
        </w:div>
      </w:divsChild>
    </w:div>
    <w:div w:id="1958366140">
      <w:marLeft w:val="0"/>
      <w:marRight w:val="0"/>
      <w:marTop w:val="240"/>
      <w:marBottom w:val="0"/>
      <w:divBdr>
        <w:top w:val="none" w:sz="0" w:space="0" w:color="auto"/>
        <w:left w:val="none" w:sz="0" w:space="0" w:color="auto"/>
        <w:bottom w:val="none" w:sz="0" w:space="0" w:color="auto"/>
        <w:right w:val="none" w:sz="0" w:space="0" w:color="auto"/>
      </w:divBdr>
    </w:div>
    <w:div w:id="1960257496">
      <w:marLeft w:val="0"/>
      <w:marRight w:val="0"/>
      <w:marTop w:val="180"/>
      <w:marBottom w:val="0"/>
      <w:divBdr>
        <w:top w:val="none" w:sz="0" w:space="0" w:color="auto"/>
        <w:left w:val="none" w:sz="0" w:space="0" w:color="auto"/>
        <w:bottom w:val="none" w:sz="0" w:space="0" w:color="auto"/>
        <w:right w:val="none" w:sz="0" w:space="0" w:color="auto"/>
      </w:divBdr>
    </w:div>
    <w:div w:id="1960263028">
      <w:marLeft w:val="0"/>
      <w:marRight w:val="0"/>
      <w:marTop w:val="0"/>
      <w:marBottom w:val="0"/>
      <w:divBdr>
        <w:top w:val="none" w:sz="0" w:space="0" w:color="auto"/>
        <w:left w:val="none" w:sz="0" w:space="0" w:color="auto"/>
        <w:bottom w:val="none" w:sz="0" w:space="0" w:color="auto"/>
        <w:right w:val="none" w:sz="0" w:space="0" w:color="auto"/>
      </w:divBdr>
    </w:div>
    <w:div w:id="1960720725">
      <w:marLeft w:val="0"/>
      <w:marRight w:val="0"/>
      <w:marTop w:val="180"/>
      <w:marBottom w:val="0"/>
      <w:divBdr>
        <w:top w:val="none" w:sz="0" w:space="0" w:color="auto"/>
        <w:left w:val="none" w:sz="0" w:space="0" w:color="auto"/>
        <w:bottom w:val="none" w:sz="0" w:space="0" w:color="auto"/>
        <w:right w:val="none" w:sz="0" w:space="0" w:color="auto"/>
      </w:divBdr>
    </w:div>
    <w:div w:id="1963262454">
      <w:marLeft w:val="0"/>
      <w:marRight w:val="0"/>
      <w:marTop w:val="120"/>
      <w:marBottom w:val="0"/>
      <w:divBdr>
        <w:top w:val="none" w:sz="0" w:space="0" w:color="auto"/>
        <w:left w:val="none" w:sz="0" w:space="0" w:color="auto"/>
        <w:bottom w:val="none" w:sz="0" w:space="0" w:color="auto"/>
        <w:right w:val="none" w:sz="0" w:space="0" w:color="auto"/>
      </w:divBdr>
    </w:div>
    <w:div w:id="1964143893">
      <w:marLeft w:val="0"/>
      <w:marRight w:val="0"/>
      <w:marTop w:val="180"/>
      <w:marBottom w:val="0"/>
      <w:divBdr>
        <w:top w:val="none" w:sz="0" w:space="0" w:color="auto"/>
        <w:left w:val="none" w:sz="0" w:space="0" w:color="auto"/>
        <w:bottom w:val="none" w:sz="0" w:space="0" w:color="auto"/>
        <w:right w:val="none" w:sz="0" w:space="0" w:color="auto"/>
      </w:divBdr>
    </w:div>
    <w:div w:id="1964342423">
      <w:marLeft w:val="0"/>
      <w:marRight w:val="0"/>
      <w:marTop w:val="120"/>
      <w:marBottom w:val="0"/>
      <w:divBdr>
        <w:top w:val="none" w:sz="0" w:space="0" w:color="auto"/>
        <w:left w:val="none" w:sz="0" w:space="0" w:color="auto"/>
        <w:bottom w:val="none" w:sz="0" w:space="0" w:color="auto"/>
        <w:right w:val="none" w:sz="0" w:space="0" w:color="auto"/>
      </w:divBdr>
    </w:div>
    <w:div w:id="1965891108">
      <w:marLeft w:val="0"/>
      <w:marRight w:val="0"/>
      <w:marTop w:val="180"/>
      <w:marBottom w:val="0"/>
      <w:divBdr>
        <w:top w:val="none" w:sz="0" w:space="0" w:color="auto"/>
        <w:left w:val="none" w:sz="0" w:space="0" w:color="auto"/>
        <w:bottom w:val="none" w:sz="0" w:space="0" w:color="auto"/>
        <w:right w:val="none" w:sz="0" w:space="0" w:color="auto"/>
      </w:divBdr>
    </w:div>
    <w:div w:id="1965966611">
      <w:marLeft w:val="0"/>
      <w:marRight w:val="0"/>
      <w:marTop w:val="180"/>
      <w:marBottom w:val="0"/>
      <w:divBdr>
        <w:top w:val="none" w:sz="0" w:space="0" w:color="auto"/>
        <w:left w:val="none" w:sz="0" w:space="0" w:color="auto"/>
        <w:bottom w:val="none" w:sz="0" w:space="0" w:color="auto"/>
        <w:right w:val="none" w:sz="0" w:space="0" w:color="auto"/>
      </w:divBdr>
    </w:div>
    <w:div w:id="1966735450">
      <w:marLeft w:val="0"/>
      <w:marRight w:val="0"/>
      <w:marTop w:val="0"/>
      <w:marBottom w:val="0"/>
      <w:divBdr>
        <w:top w:val="none" w:sz="0" w:space="0" w:color="auto"/>
        <w:left w:val="none" w:sz="0" w:space="0" w:color="auto"/>
        <w:bottom w:val="none" w:sz="0" w:space="0" w:color="auto"/>
        <w:right w:val="none" w:sz="0" w:space="0" w:color="auto"/>
      </w:divBdr>
      <w:divsChild>
        <w:div w:id="221866695">
          <w:marLeft w:val="0"/>
          <w:marRight w:val="0"/>
          <w:marTop w:val="0"/>
          <w:marBottom w:val="0"/>
          <w:divBdr>
            <w:top w:val="none" w:sz="0" w:space="0" w:color="auto"/>
            <w:left w:val="none" w:sz="0" w:space="0" w:color="auto"/>
            <w:bottom w:val="none" w:sz="0" w:space="0" w:color="auto"/>
            <w:right w:val="none" w:sz="0" w:space="0" w:color="auto"/>
          </w:divBdr>
          <w:divsChild>
            <w:div w:id="6055741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7009670">
      <w:marLeft w:val="0"/>
      <w:marRight w:val="0"/>
      <w:marTop w:val="180"/>
      <w:marBottom w:val="0"/>
      <w:divBdr>
        <w:top w:val="none" w:sz="0" w:space="0" w:color="auto"/>
        <w:left w:val="none" w:sz="0" w:space="0" w:color="auto"/>
        <w:bottom w:val="none" w:sz="0" w:space="0" w:color="auto"/>
        <w:right w:val="none" w:sz="0" w:space="0" w:color="auto"/>
      </w:divBdr>
    </w:div>
    <w:div w:id="1968705234">
      <w:marLeft w:val="0"/>
      <w:marRight w:val="0"/>
      <w:marTop w:val="180"/>
      <w:marBottom w:val="0"/>
      <w:divBdr>
        <w:top w:val="none" w:sz="0" w:space="0" w:color="auto"/>
        <w:left w:val="none" w:sz="0" w:space="0" w:color="auto"/>
        <w:bottom w:val="none" w:sz="0" w:space="0" w:color="auto"/>
        <w:right w:val="none" w:sz="0" w:space="0" w:color="auto"/>
      </w:divBdr>
    </w:div>
    <w:div w:id="1970431665">
      <w:marLeft w:val="0"/>
      <w:marRight w:val="0"/>
      <w:marTop w:val="180"/>
      <w:marBottom w:val="120"/>
      <w:divBdr>
        <w:top w:val="none" w:sz="0" w:space="0" w:color="auto"/>
        <w:left w:val="none" w:sz="0" w:space="0" w:color="auto"/>
        <w:bottom w:val="none" w:sz="0" w:space="0" w:color="auto"/>
        <w:right w:val="none" w:sz="0" w:space="0" w:color="auto"/>
      </w:divBdr>
      <w:divsChild>
        <w:div w:id="1341153968">
          <w:marLeft w:val="0"/>
          <w:marRight w:val="0"/>
          <w:marTop w:val="0"/>
          <w:marBottom w:val="0"/>
          <w:divBdr>
            <w:top w:val="none" w:sz="0" w:space="0" w:color="auto"/>
            <w:left w:val="none" w:sz="0" w:space="0" w:color="auto"/>
            <w:bottom w:val="none" w:sz="0" w:space="0" w:color="auto"/>
            <w:right w:val="none" w:sz="0" w:space="0" w:color="auto"/>
          </w:divBdr>
        </w:div>
        <w:div w:id="779229405">
          <w:marLeft w:val="0"/>
          <w:marRight w:val="0"/>
          <w:marTop w:val="0"/>
          <w:marBottom w:val="0"/>
          <w:divBdr>
            <w:top w:val="none" w:sz="0" w:space="0" w:color="auto"/>
            <w:left w:val="none" w:sz="0" w:space="0" w:color="auto"/>
            <w:bottom w:val="none" w:sz="0" w:space="0" w:color="auto"/>
            <w:right w:val="none" w:sz="0" w:space="0" w:color="auto"/>
          </w:divBdr>
        </w:div>
        <w:div w:id="1440638068">
          <w:marLeft w:val="0"/>
          <w:marRight w:val="0"/>
          <w:marTop w:val="0"/>
          <w:marBottom w:val="0"/>
          <w:divBdr>
            <w:top w:val="none" w:sz="0" w:space="0" w:color="auto"/>
            <w:left w:val="none" w:sz="0" w:space="0" w:color="auto"/>
            <w:bottom w:val="none" w:sz="0" w:space="0" w:color="auto"/>
            <w:right w:val="none" w:sz="0" w:space="0" w:color="auto"/>
          </w:divBdr>
        </w:div>
        <w:div w:id="1492983204">
          <w:marLeft w:val="0"/>
          <w:marRight w:val="0"/>
          <w:marTop w:val="0"/>
          <w:marBottom w:val="0"/>
          <w:divBdr>
            <w:top w:val="none" w:sz="0" w:space="0" w:color="auto"/>
            <w:left w:val="none" w:sz="0" w:space="0" w:color="auto"/>
            <w:bottom w:val="none" w:sz="0" w:space="0" w:color="auto"/>
            <w:right w:val="none" w:sz="0" w:space="0" w:color="auto"/>
          </w:divBdr>
        </w:div>
        <w:div w:id="808398568">
          <w:marLeft w:val="0"/>
          <w:marRight w:val="0"/>
          <w:marTop w:val="0"/>
          <w:marBottom w:val="0"/>
          <w:divBdr>
            <w:top w:val="none" w:sz="0" w:space="0" w:color="auto"/>
            <w:left w:val="none" w:sz="0" w:space="0" w:color="auto"/>
            <w:bottom w:val="none" w:sz="0" w:space="0" w:color="auto"/>
            <w:right w:val="none" w:sz="0" w:space="0" w:color="auto"/>
          </w:divBdr>
        </w:div>
        <w:div w:id="193809679">
          <w:marLeft w:val="0"/>
          <w:marRight w:val="0"/>
          <w:marTop w:val="0"/>
          <w:marBottom w:val="0"/>
          <w:divBdr>
            <w:top w:val="none" w:sz="0" w:space="0" w:color="auto"/>
            <w:left w:val="none" w:sz="0" w:space="0" w:color="auto"/>
            <w:bottom w:val="none" w:sz="0" w:space="0" w:color="auto"/>
            <w:right w:val="none" w:sz="0" w:space="0" w:color="auto"/>
          </w:divBdr>
        </w:div>
        <w:div w:id="1371879464">
          <w:marLeft w:val="0"/>
          <w:marRight w:val="0"/>
          <w:marTop w:val="0"/>
          <w:marBottom w:val="0"/>
          <w:divBdr>
            <w:top w:val="none" w:sz="0" w:space="0" w:color="auto"/>
            <w:left w:val="none" w:sz="0" w:space="0" w:color="auto"/>
            <w:bottom w:val="none" w:sz="0" w:space="0" w:color="auto"/>
            <w:right w:val="none" w:sz="0" w:space="0" w:color="auto"/>
          </w:divBdr>
        </w:div>
        <w:div w:id="2108190379">
          <w:marLeft w:val="0"/>
          <w:marRight w:val="0"/>
          <w:marTop w:val="0"/>
          <w:marBottom w:val="0"/>
          <w:divBdr>
            <w:top w:val="none" w:sz="0" w:space="0" w:color="auto"/>
            <w:left w:val="none" w:sz="0" w:space="0" w:color="auto"/>
            <w:bottom w:val="none" w:sz="0" w:space="0" w:color="auto"/>
            <w:right w:val="none" w:sz="0" w:space="0" w:color="auto"/>
          </w:divBdr>
        </w:div>
        <w:div w:id="1172795603">
          <w:marLeft w:val="0"/>
          <w:marRight w:val="0"/>
          <w:marTop w:val="0"/>
          <w:marBottom w:val="0"/>
          <w:divBdr>
            <w:top w:val="none" w:sz="0" w:space="0" w:color="auto"/>
            <w:left w:val="none" w:sz="0" w:space="0" w:color="auto"/>
            <w:bottom w:val="none" w:sz="0" w:space="0" w:color="auto"/>
            <w:right w:val="none" w:sz="0" w:space="0" w:color="auto"/>
          </w:divBdr>
        </w:div>
        <w:div w:id="2100173092">
          <w:marLeft w:val="0"/>
          <w:marRight w:val="0"/>
          <w:marTop w:val="0"/>
          <w:marBottom w:val="0"/>
          <w:divBdr>
            <w:top w:val="none" w:sz="0" w:space="0" w:color="auto"/>
            <w:left w:val="none" w:sz="0" w:space="0" w:color="auto"/>
            <w:bottom w:val="none" w:sz="0" w:space="0" w:color="auto"/>
            <w:right w:val="none" w:sz="0" w:space="0" w:color="auto"/>
          </w:divBdr>
        </w:div>
        <w:div w:id="2018799173">
          <w:marLeft w:val="0"/>
          <w:marRight w:val="0"/>
          <w:marTop w:val="0"/>
          <w:marBottom w:val="0"/>
          <w:divBdr>
            <w:top w:val="none" w:sz="0" w:space="0" w:color="auto"/>
            <w:left w:val="none" w:sz="0" w:space="0" w:color="auto"/>
            <w:bottom w:val="none" w:sz="0" w:space="0" w:color="auto"/>
            <w:right w:val="none" w:sz="0" w:space="0" w:color="auto"/>
          </w:divBdr>
        </w:div>
        <w:div w:id="65882799">
          <w:marLeft w:val="0"/>
          <w:marRight w:val="0"/>
          <w:marTop w:val="0"/>
          <w:marBottom w:val="0"/>
          <w:divBdr>
            <w:top w:val="none" w:sz="0" w:space="0" w:color="auto"/>
            <w:left w:val="none" w:sz="0" w:space="0" w:color="auto"/>
            <w:bottom w:val="none" w:sz="0" w:space="0" w:color="auto"/>
            <w:right w:val="none" w:sz="0" w:space="0" w:color="auto"/>
          </w:divBdr>
        </w:div>
        <w:div w:id="806095680">
          <w:marLeft w:val="0"/>
          <w:marRight w:val="0"/>
          <w:marTop w:val="0"/>
          <w:marBottom w:val="0"/>
          <w:divBdr>
            <w:top w:val="none" w:sz="0" w:space="0" w:color="auto"/>
            <w:left w:val="none" w:sz="0" w:space="0" w:color="auto"/>
            <w:bottom w:val="none" w:sz="0" w:space="0" w:color="auto"/>
            <w:right w:val="none" w:sz="0" w:space="0" w:color="auto"/>
          </w:divBdr>
        </w:div>
        <w:div w:id="493568748">
          <w:marLeft w:val="0"/>
          <w:marRight w:val="0"/>
          <w:marTop w:val="0"/>
          <w:marBottom w:val="0"/>
          <w:divBdr>
            <w:top w:val="none" w:sz="0" w:space="0" w:color="auto"/>
            <w:left w:val="none" w:sz="0" w:space="0" w:color="auto"/>
            <w:bottom w:val="none" w:sz="0" w:space="0" w:color="auto"/>
            <w:right w:val="none" w:sz="0" w:space="0" w:color="auto"/>
          </w:divBdr>
        </w:div>
        <w:div w:id="2127892516">
          <w:marLeft w:val="0"/>
          <w:marRight w:val="0"/>
          <w:marTop w:val="0"/>
          <w:marBottom w:val="0"/>
          <w:divBdr>
            <w:top w:val="none" w:sz="0" w:space="0" w:color="auto"/>
            <w:left w:val="none" w:sz="0" w:space="0" w:color="auto"/>
            <w:bottom w:val="none" w:sz="0" w:space="0" w:color="auto"/>
            <w:right w:val="none" w:sz="0" w:space="0" w:color="auto"/>
          </w:divBdr>
        </w:div>
        <w:div w:id="1165393660">
          <w:marLeft w:val="0"/>
          <w:marRight w:val="0"/>
          <w:marTop w:val="0"/>
          <w:marBottom w:val="0"/>
          <w:divBdr>
            <w:top w:val="none" w:sz="0" w:space="0" w:color="auto"/>
            <w:left w:val="none" w:sz="0" w:space="0" w:color="auto"/>
            <w:bottom w:val="none" w:sz="0" w:space="0" w:color="auto"/>
            <w:right w:val="none" w:sz="0" w:space="0" w:color="auto"/>
          </w:divBdr>
        </w:div>
        <w:div w:id="892889999">
          <w:marLeft w:val="0"/>
          <w:marRight w:val="0"/>
          <w:marTop w:val="0"/>
          <w:marBottom w:val="0"/>
          <w:divBdr>
            <w:top w:val="none" w:sz="0" w:space="0" w:color="auto"/>
            <w:left w:val="none" w:sz="0" w:space="0" w:color="auto"/>
            <w:bottom w:val="none" w:sz="0" w:space="0" w:color="auto"/>
            <w:right w:val="none" w:sz="0" w:space="0" w:color="auto"/>
          </w:divBdr>
        </w:div>
        <w:div w:id="1784108790">
          <w:marLeft w:val="0"/>
          <w:marRight w:val="0"/>
          <w:marTop w:val="0"/>
          <w:marBottom w:val="0"/>
          <w:divBdr>
            <w:top w:val="none" w:sz="0" w:space="0" w:color="auto"/>
            <w:left w:val="none" w:sz="0" w:space="0" w:color="auto"/>
            <w:bottom w:val="none" w:sz="0" w:space="0" w:color="auto"/>
            <w:right w:val="none" w:sz="0" w:space="0" w:color="auto"/>
          </w:divBdr>
        </w:div>
        <w:div w:id="1037779092">
          <w:marLeft w:val="0"/>
          <w:marRight w:val="0"/>
          <w:marTop w:val="0"/>
          <w:marBottom w:val="0"/>
          <w:divBdr>
            <w:top w:val="none" w:sz="0" w:space="0" w:color="auto"/>
            <w:left w:val="none" w:sz="0" w:space="0" w:color="auto"/>
            <w:bottom w:val="none" w:sz="0" w:space="0" w:color="auto"/>
            <w:right w:val="none" w:sz="0" w:space="0" w:color="auto"/>
          </w:divBdr>
        </w:div>
        <w:div w:id="1979727001">
          <w:marLeft w:val="0"/>
          <w:marRight w:val="0"/>
          <w:marTop w:val="0"/>
          <w:marBottom w:val="0"/>
          <w:divBdr>
            <w:top w:val="none" w:sz="0" w:space="0" w:color="auto"/>
            <w:left w:val="none" w:sz="0" w:space="0" w:color="auto"/>
            <w:bottom w:val="none" w:sz="0" w:space="0" w:color="auto"/>
            <w:right w:val="none" w:sz="0" w:space="0" w:color="auto"/>
          </w:divBdr>
        </w:div>
        <w:div w:id="1142044955">
          <w:marLeft w:val="0"/>
          <w:marRight w:val="0"/>
          <w:marTop w:val="0"/>
          <w:marBottom w:val="0"/>
          <w:divBdr>
            <w:top w:val="none" w:sz="0" w:space="0" w:color="auto"/>
            <w:left w:val="none" w:sz="0" w:space="0" w:color="auto"/>
            <w:bottom w:val="none" w:sz="0" w:space="0" w:color="auto"/>
            <w:right w:val="none" w:sz="0" w:space="0" w:color="auto"/>
          </w:divBdr>
        </w:div>
        <w:div w:id="1435129682">
          <w:marLeft w:val="0"/>
          <w:marRight w:val="0"/>
          <w:marTop w:val="0"/>
          <w:marBottom w:val="0"/>
          <w:divBdr>
            <w:top w:val="none" w:sz="0" w:space="0" w:color="auto"/>
            <w:left w:val="none" w:sz="0" w:space="0" w:color="auto"/>
            <w:bottom w:val="none" w:sz="0" w:space="0" w:color="auto"/>
            <w:right w:val="none" w:sz="0" w:space="0" w:color="auto"/>
          </w:divBdr>
        </w:div>
        <w:div w:id="314263607">
          <w:marLeft w:val="0"/>
          <w:marRight w:val="0"/>
          <w:marTop w:val="0"/>
          <w:marBottom w:val="0"/>
          <w:divBdr>
            <w:top w:val="none" w:sz="0" w:space="0" w:color="auto"/>
            <w:left w:val="none" w:sz="0" w:space="0" w:color="auto"/>
            <w:bottom w:val="none" w:sz="0" w:space="0" w:color="auto"/>
            <w:right w:val="none" w:sz="0" w:space="0" w:color="auto"/>
          </w:divBdr>
        </w:div>
        <w:div w:id="264658556">
          <w:marLeft w:val="0"/>
          <w:marRight w:val="0"/>
          <w:marTop w:val="0"/>
          <w:marBottom w:val="0"/>
          <w:divBdr>
            <w:top w:val="none" w:sz="0" w:space="0" w:color="auto"/>
            <w:left w:val="none" w:sz="0" w:space="0" w:color="auto"/>
            <w:bottom w:val="none" w:sz="0" w:space="0" w:color="auto"/>
            <w:right w:val="none" w:sz="0" w:space="0" w:color="auto"/>
          </w:divBdr>
        </w:div>
        <w:div w:id="1324891390">
          <w:marLeft w:val="0"/>
          <w:marRight w:val="0"/>
          <w:marTop w:val="0"/>
          <w:marBottom w:val="0"/>
          <w:divBdr>
            <w:top w:val="none" w:sz="0" w:space="0" w:color="auto"/>
            <w:left w:val="none" w:sz="0" w:space="0" w:color="auto"/>
            <w:bottom w:val="none" w:sz="0" w:space="0" w:color="auto"/>
            <w:right w:val="none" w:sz="0" w:space="0" w:color="auto"/>
          </w:divBdr>
        </w:div>
        <w:div w:id="1700423505">
          <w:marLeft w:val="0"/>
          <w:marRight w:val="0"/>
          <w:marTop w:val="0"/>
          <w:marBottom w:val="0"/>
          <w:divBdr>
            <w:top w:val="none" w:sz="0" w:space="0" w:color="auto"/>
            <w:left w:val="none" w:sz="0" w:space="0" w:color="auto"/>
            <w:bottom w:val="none" w:sz="0" w:space="0" w:color="auto"/>
            <w:right w:val="none" w:sz="0" w:space="0" w:color="auto"/>
          </w:divBdr>
        </w:div>
      </w:divsChild>
    </w:div>
    <w:div w:id="1971082748">
      <w:marLeft w:val="0"/>
      <w:marRight w:val="0"/>
      <w:marTop w:val="180"/>
      <w:marBottom w:val="120"/>
      <w:divBdr>
        <w:top w:val="none" w:sz="0" w:space="0" w:color="auto"/>
        <w:left w:val="none" w:sz="0" w:space="0" w:color="auto"/>
        <w:bottom w:val="none" w:sz="0" w:space="0" w:color="auto"/>
        <w:right w:val="none" w:sz="0" w:space="0" w:color="auto"/>
      </w:divBdr>
    </w:div>
    <w:div w:id="1971351957">
      <w:marLeft w:val="0"/>
      <w:marRight w:val="0"/>
      <w:marTop w:val="180"/>
      <w:marBottom w:val="0"/>
      <w:divBdr>
        <w:top w:val="none" w:sz="0" w:space="0" w:color="auto"/>
        <w:left w:val="none" w:sz="0" w:space="0" w:color="auto"/>
        <w:bottom w:val="none" w:sz="0" w:space="0" w:color="auto"/>
        <w:right w:val="none" w:sz="0" w:space="0" w:color="auto"/>
      </w:divBdr>
    </w:div>
    <w:div w:id="1972708197">
      <w:marLeft w:val="0"/>
      <w:marRight w:val="0"/>
      <w:marTop w:val="0"/>
      <w:marBottom w:val="0"/>
      <w:divBdr>
        <w:top w:val="none" w:sz="0" w:space="0" w:color="auto"/>
        <w:left w:val="none" w:sz="0" w:space="0" w:color="auto"/>
        <w:bottom w:val="none" w:sz="0" w:space="0" w:color="auto"/>
        <w:right w:val="none" w:sz="0" w:space="0" w:color="auto"/>
      </w:divBdr>
      <w:divsChild>
        <w:div w:id="1886981894">
          <w:marLeft w:val="0"/>
          <w:marRight w:val="0"/>
          <w:marTop w:val="0"/>
          <w:marBottom w:val="0"/>
          <w:divBdr>
            <w:top w:val="none" w:sz="0" w:space="0" w:color="auto"/>
            <w:left w:val="none" w:sz="0" w:space="0" w:color="auto"/>
            <w:bottom w:val="none" w:sz="0" w:space="0" w:color="auto"/>
            <w:right w:val="none" w:sz="0" w:space="0" w:color="auto"/>
          </w:divBdr>
          <w:divsChild>
            <w:div w:id="1700313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8416357">
      <w:marLeft w:val="0"/>
      <w:marRight w:val="0"/>
      <w:marTop w:val="240"/>
      <w:marBottom w:val="0"/>
      <w:divBdr>
        <w:top w:val="none" w:sz="0" w:space="0" w:color="auto"/>
        <w:left w:val="none" w:sz="0" w:space="0" w:color="auto"/>
        <w:bottom w:val="none" w:sz="0" w:space="0" w:color="auto"/>
        <w:right w:val="none" w:sz="0" w:space="0" w:color="auto"/>
      </w:divBdr>
    </w:div>
    <w:div w:id="1982080169">
      <w:marLeft w:val="0"/>
      <w:marRight w:val="0"/>
      <w:marTop w:val="0"/>
      <w:marBottom w:val="0"/>
      <w:divBdr>
        <w:top w:val="none" w:sz="0" w:space="0" w:color="auto"/>
        <w:left w:val="none" w:sz="0" w:space="0" w:color="auto"/>
        <w:bottom w:val="none" w:sz="0" w:space="0" w:color="auto"/>
        <w:right w:val="none" w:sz="0" w:space="0" w:color="auto"/>
      </w:divBdr>
      <w:divsChild>
        <w:div w:id="1133714227">
          <w:marLeft w:val="0"/>
          <w:marRight w:val="0"/>
          <w:marTop w:val="0"/>
          <w:marBottom w:val="0"/>
          <w:divBdr>
            <w:top w:val="none" w:sz="0" w:space="0" w:color="auto"/>
            <w:left w:val="none" w:sz="0" w:space="0" w:color="auto"/>
            <w:bottom w:val="none" w:sz="0" w:space="0" w:color="auto"/>
            <w:right w:val="none" w:sz="0" w:space="0" w:color="auto"/>
          </w:divBdr>
          <w:divsChild>
            <w:div w:id="14878927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6086688">
      <w:marLeft w:val="0"/>
      <w:marRight w:val="0"/>
      <w:marTop w:val="0"/>
      <w:marBottom w:val="0"/>
      <w:divBdr>
        <w:top w:val="none" w:sz="0" w:space="0" w:color="auto"/>
        <w:left w:val="none" w:sz="0" w:space="0" w:color="auto"/>
        <w:bottom w:val="none" w:sz="0" w:space="0" w:color="auto"/>
        <w:right w:val="none" w:sz="0" w:space="0" w:color="auto"/>
      </w:divBdr>
      <w:divsChild>
        <w:div w:id="1410811385">
          <w:marLeft w:val="0"/>
          <w:marRight w:val="0"/>
          <w:marTop w:val="0"/>
          <w:marBottom w:val="0"/>
          <w:divBdr>
            <w:top w:val="none" w:sz="0" w:space="0" w:color="auto"/>
            <w:left w:val="none" w:sz="0" w:space="0" w:color="auto"/>
            <w:bottom w:val="none" w:sz="0" w:space="0" w:color="auto"/>
            <w:right w:val="none" w:sz="0" w:space="0" w:color="auto"/>
          </w:divBdr>
          <w:divsChild>
            <w:div w:id="19800631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6817678">
      <w:marLeft w:val="0"/>
      <w:marRight w:val="0"/>
      <w:marTop w:val="0"/>
      <w:marBottom w:val="60"/>
      <w:divBdr>
        <w:top w:val="none" w:sz="0" w:space="0" w:color="auto"/>
        <w:left w:val="none" w:sz="0" w:space="0" w:color="auto"/>
        <w:bottom w:val="none" w:sz="0" w:space="0" w:color="auto"/>
        <w:right w:val="none" w:sz="0" w:space="0" w:color="auto"/>
      </w:divBdr>
    </w:div>
    <w:div w:id="1987928248">
      <w:marLeft w:val="0"/>
      <w:marRight w:val="0"/>
      <w:marTop w:val="0"/>
      <w:marBottom w:val="0"/>
      <w:divBdr>
        <w:top w:val="none" w:sz="0" w:space="0" w:color="auto"/>
        <w:left w:val="none" w:sz="0" w:space="0" w:color="auto"/>
        <w:bottom w:val="none" w:sz="0" w:space="0" w:color="auto"/>
        <w:right w:val="none" w:sz="0" w:space="0" w:color="auto"/>
      </w:divBdr>
    </w:div>
    <w:div w:id="1988783600">
      <w:marLeft w:val="0"/>
      <w:marRight w:val="0"/>
      <w:marTop w:val="240"/>
      <w:marBottom w:val="0"/>
      <w:divBdr>
        <w:top w:val="none" w:sz="0" w:space="0" w:color="auto"/>
        <w:left w:val="none" w:sz="0" w:space="0" w:color="auto"/>
        <w:bottom w:val="none" w:sz="0" w:space="0" w:color="auto"/>
        <w:right w:val="none" w:sz="0" w:space="0" w:color="auto"/>
      </w:divBdr>
    </w:div>
    <w:div w:id="1990740724">
      <w:marLeft w:val="0"/>
      <w:marRight w:val="0"/>
      <w:marTop w:val="180"/>
      <w:marBottom w:val="0"/>
      <w:divBdr>
        <w:top w:val="none" w:sz="0" w:space="0" w:color="auto"/>
        <w:left w:val="none" w:sz="0" w:space="0" w:color="auto"/>
        <w:bottom w:val="none" w:sz="0" w:space="0" w:color="auto"/>
        <w:right w:val="none" w:sz="0" w:space="0" w:color="auto"/>
      </w:divBdr>
    </w:div>
    <w:div w:id="1991710939">
      <w:marLeft w:val="0"/>
      <w:marRight w:val="0"/>
      <w:marTop w:val="180"/>
      <w:marBottom w:val="120"/>
      <w:divBdr>
        <w:top w:val="none" w:sz="0" w:space="0" w:color="auto"/>
        <w:left w:val="none" w:sz="0" w:space="0" w:color="auto"/>
        <w:bottom w:val="none" w:sz="0" w:space="0" w:color="auto"/>
        <w:right w:val="none" w:sz="0" w:space="0" w:color="auto"/>
      </w:divBdr>
      <w:divsChild>
        <w:div w:id="833842951">
          <w:marLeft w:val="0"/>
          <w:marRight w:val="0"/>
          <w:marTop w:val="0"/>
          <w:marBottom w:val="0"/>
          <w:divBdr>
            <w:top w:val="none" w:sz="0" w:space="0" w:color="auto"/>
            <w:left w:val="none" w:sz="0" w:space="0" w:color="auto"/>
            <w:bottom w:val="none" w:sz="0" w:space="0" w:color="auto"/>
            <w:right w:val="none" w:sz="0" w:space="0" w:color="auto"/>
          </w:divBdr>
        </w:div>
        <w:div w:id="170685126">
          <w:marLeft w:val="0"/>
          <w:marRight w:val="0"/>
          <w:marTop w:val="0"/>
          <w:marBottom w:val="0"/>
          <w:divBdr>
            <w:top w:val="none" w:sz="0" w:space="0" w:color="auto"/>
            <w:left w:val="none" w:sz="0" w:space="0" w:color="auto"/>
            <w:bottom w:val="none" w:sz="0" w:space="0" w:color="auto"/>
            <w:right w:val="none" w:sz="0" w:space="0" w:color="auto"/>
          </w:divBdr>
        </w:div>
        <w:div w:id="825515303">
          <w:marLeft w:val="0"/>
          <w:marRight w:val="0"/>
          <w:marTop w:val="0"/>
          <w:marBottom w:val="0"/>
          <w:divBdr>
            <w:top w:val="none" w:sz="0" w:space="0" w:color="auto"/>
            <w:left w:val="none" w:sz="0" w:space="0" w:color="auto"/>
            <w:bottom w:val="none" w:sz="0" w:space="0" w:color="auto"/>
            <w:right w:val="none" w:sz="0" w:space="0" w:color="auto"/>
          </w:divBdr>
        </w:div>
        <w:div w:id="1304769831">
          <w:marLeft w:val="0"/>
          <w:marRight w:val="0"/>
          <w:marTop w:val="0"/>
          <w:marBottom w:val="0"/>
          <w:divBdr>
            <w:top w:val="none" w:sz="0" w:space="0" w:color="auto"/>
            <w:left w:val="none" w:sz="0" w:space="0" w:color="auto"/>
            <w:bottom w:val="none" w:sz="0" w:space="0" w:color="auto"/>
            <w:right w:val="none" w:sz="0" w:space="0" w:color="auto"/>
          </w:divBdr>
        </w:div>
        <w:div w:id="941761581">
          <w:marLeft w:val="0"/>
          <w:marRight w:val="0"/>
          <w:marTop w:val="0"/>
          <w:marBottom w:val="0"/>
          <w:divBdr>
            <w:top w:val="none" w:sz="0" w:space="0" w:color="auto"/>
            <w:left w:val="none" w:sz="0" w:space="0" w:color="auto"/>
            <w:bottom w:val="none" w:sz="0" w:space="0" w:color="auto"/>
            <w:right w:val="none" w:sz="0" w:space="0" w:color="auto"/>
          </w:divBdr>
        </w:div>
        <w:div w:id="1465999246">
          <w:marLeft w:val="0"/>
          <w:marRight w:val="0"/>
          <w:marTop w:val="0"/>
          <w:marBottom w:val="0"/>
          <w:divBdr>
            <w:top w:val="none" w:sz="0" w:space="0" w:color="auto"/>
            <w:left w:val="none" w:sz="0" w:space="0" w:color="auto"/>
            <w:bottom w:val="none" w:sz="0" w:space="0" w:color="auto"/>
            <w:right w:val="none" w:sz="0" w:space="0" w:color="auto"/>
          </w:divBdr>
        </w:div>
      </w:divsChild>
    </w:div>
    <w:div w:id="1991981441">
      <w:marLeft w:val="0"/>
      <w:marRight w:val="0"/>
      <w:marTop w:val="180"/>
      <w:marBottom w:val="120"/>
      <w:divBdr>
        <w:top w:val="none" w:sz="0" w:space="0" w:color="auto"/>
        <w:left w:val="none" w:sz="0" w:space="0" w:color="auto"/>
        <w:bottom w:val="none" w:sz="0" w:space="0" w:color="auto"/>
        <w:right w:val="none" w:sz="0" w:space="0" w:color="auto"/>
      </w:divBdr>
    </w:div>
    <w:div w:id="1992976910">
      <w:marLeft w:val="0"/>
      <w:marRight w:val="0"/>
      <w:marTop w:val="180"/>
      <w:marBottom w:val="0"/>
      <w:divBdr>
        <w:top w:val="none" w:sz="0" w:space="0" w:color="auto"/>
        <w:left w:val="none" w:sz="0" w:space="0" w:color="auto"/>
        <w:bottom w:val="none" w:sz="0" w:space="0" w:color="auto"/>
        <w:right w:val="none" w:sz="0" w:space="0" w:color="auto"/>
      </w:divBdr>
    </w:div>
    <w:div w:id="1994984756">
      <w:marLeft w:val="0"/>
      <w:marRight w:val="0"/>
      <w:marTop w:val="180"/>
      <w:marBottom w:val="120"/>
      <w:divBdr>
        <w:top w:val="none" w:sz="0" w:space="0" w:color="auto"/>
        <w:left w:val="none" w:sz="0" w:space="0" w:color="auto"/>
        <w:bottom w:val="none" w:sz="0" w:space="0" w:color="auto"/>
        <w:right w:val="none" w:sz="0" w:space="0" w:color="auto"/>
      </w:divBdr>
    </w:div>
    <w:div w:id="1996182592">
      <w:marLeft w:val="0"/>
      <w:marRight w:val="0"/>
      <w:marTop w:val="180"/>
      <w:marBottom w:val="0"/>
      <w:divBdr>
        <w:top w:val="none" w:sz="0" w:space="0" w:color="auto"/>
        <w:left w:val="none" w:sz="0" w:space="0" w:color="auto"/>
        <w:bottom w:val="none" w:sz="0" w:space="0" w:color="auto"/>
        <w:right w:val="none" w:sz="0" w:space="0" w:color="auto"/>
      </w:divBdr>
    </w:div>
    <w:div w:id="1997954876">
      <w:marLeft w:val="0"/>
      <w:marRight w:val="0"/>
      <w:marTop w:val="180"/>
      <w:marBottom w:val="0"/>
      <w:divBdr>
        <w:top w:val="none" w:sz="0" w:space="0" w:color="auto"/>
        <w:left w:val="none" w:sz="0" w:space="0" w:color="auto"/>
        <w:bottom w:val="none" w:sz="0" w:space="0" w:color="auto"/>
        <w:right w:val="none" w:sz="0" w:space="0" w:color="auto"/>
      </w:divBdr>
    </w:div>
    <w:div w:id="1998225055">
      <w:marLeft w:val="0"/>
      <w:marRight w:val="0"/>
      <w:marTop w:val="180"/>
      <w:marBottom w:val="0"/>
      <w:divBdr>
        <w:top w:val="none" w:sz="0" w:space="0" w:color="auto"/>
        <w:left w:val="none" w:sz="0" w:space="0" w:color="auto"/>
        <w:bottom w:val="none" w:sz="0" w:space="0" w:color="auto"/>
        <w:right w:val="none" w:sz="0" w:space="0" w:color="auto"/>
      </w:divBdr>
    </w:div>
    <w:div w:id="2000302118">
      <w:marLeft w:val="0"/>
      <w:marRight w:val="0"/>
      <w:marTop w:val="0"/>
      <w:marBottom w:val="0"/>
      <w:divBdr>
        <w:top w:val="none" w:sz="0" w:space="0" w:color="auto"/>
        <w:left w:val="none" w:sz="0" w:space="0" w:color="auto"/>
        <w:bottom w:val="none" w:sz="0" w:space="0" w:color="auto"/>
        <w:right w:val="none" w:sz="0" w:space="0" w:color="auto"/>
      </w:divBdr>
      <w:divsChild>
        <w:div w:id="1796636080">
          <w:marLeft w:val="0"/>
          <w:marRight w:val="0"/>
          <w:marTop w:val="180"/>
          <w:marBottom w:val="0"/>
          <w:divBdr>
            <w:top w:val="none" w:sz="0" w:space="0" w:color="auto"/>
            <w:left w:val="none" w:sz="0" w:space="0" w:color="auto"/>
            <w:bottom w:val="none" w:sz="0" w:space="0" w:color="auto"/>
            <w:right w:val="none" w:sz="0" w:space="0" w:color="auto"/>
          </w:divBdr>
        </w:div>
      </w:divsChild>
    </w:div>
    <w:div w:id="2000379628">
      <w:marLeft w:val="0"/>
      <w:marRight w:val="0"/>
      <w:marTop w:val="180"/>
      <w:marBottom w:val="12"/>
      <w:divBdr>
        <w:top w:val="none" w:sz="0" w:space="0" w:color="auto"/>
        <w:left w:val="none" w:sz="0" w:space="0" w:color="auto"/>
        <w:bottom w:val="none" w:sz="0" w:space="0" w:color="auto"/>
        <w:right w:val="none" w:sz="0" w:space="0" w:color="auto"/>
      </w:divBdr>
    </w:div>
    <w:div w:id="2002922580">
      <w:marLeft w:val="0"/>
      <w:marRight w:val="0"/>
      <w:marTop w:val="180"/>
      <w:marBottom w:val="240"/>
      <w:divBdr>
        <w:top w:val="none" w:sz="0" w:space="0" w:color="auto"/>
        <w:left w:val="none" w:sz="0" w:space="0" w:color="auto"/>
        <w:bottom w:val="none" w:sz="0" w:space="0" w:color="auto"/>
        <w:right w:val="none" w:sz="0" w:space="0" w:color="auto"/>
      </w:divBdr>
    </w:div>
    <w:div w:id="2003268049">
      <w:marLeft w:val="0"/>
      <w:marRight w:val="0"/>
      <w:marTop w:val="180"/>
      <w:marBottom w:val="0"/>
      <w:divBdr>
        <w:top w:val="none" w:sz="0" w:space="0" w:color="auto"/>
        <w:left w:val="none" w:sz="0" w:space="0" w:color="auto"/>
        <w:bottom w:val="none" w:sz="0" w:space="0" w:color="auto"/>
        <w:right w:val="none" w:sz="0" w:space="0" w:color="auto"/>
      </w:divBdr>
    </w:div>
    <w:div w:id="2004429072">
      <w:marLeft w:val="0"/>
      <w:marRight w:val="0"/>
      <w:marTop w:val="160"/>
      <w:marBottom w:val="0"/>
      <w:divBdr>
        <w:top w:val="none" w:sz="0" w:space="0" w:color="auto"/>
        <w:left w:val="none" w:sz="0" w:space="0" w:color="auto"/>
        <w:bottom w:val="none" w:sz="0" w:space="0" w:color="auto"/>
        <w:right w:val="none" w:sz="0" w:space="0" w:color="auto"/>
      </w:divBdr>
    </w:div>
    <w:div w:id="2007511624">
      <w:marLeft w:val="0"/>
      <w:marRight w:val="0"/>
      <w:marTop w:val="0"/>
      <w:marBottom w:val="0"/>
      <w:divBdr>
        <w:top w:val="none" w:sz="0" w:space="0" w:color="auto"/>
        <w:left w:val="none" w:sz="0" w:space="0" w:color="auto"/>
        <w:bottom w:val="none" w:sz="0" w:space="0" w:color="auto"/>
        <w:right w:val="none" w:sz="0" w:space="0" w:color="auto"/>
      </w:divBdr>
      <w:divsChild>
        <w:div w:id="8485332">
          <w:marLeft w:val="0"/>
          <w:marRight w:val="0"/>
          <w:marTop w:val="0"/>
          <w:marBottom w:val="0"/>
          <w:divBdr>
            <w:top w:val="none" w:sz="0" w:space="0" w:color="auto"/>
            <w:left w:val="none" w:sz="0" w:space="0" w:color="auto"/>
            <w:bottom w:val="none" w:sz="0" w:space="0" w:color="auto"/>
            <w:right w:val="none" w:sz="0" w:space="0" w:color="auto"/>
          </w:divBdr>
        </w:div>
      </w:divsChild>
    </w:div>
    <w:div w:id="2009555030">
      <w:marLeft w:val="0"/>
      <w:marRight w:val="0"/>
      <w:marTop w:val="180"/>
      <w:marBottom w:val="0"/>
      <w:divBdr>
        <w:top w:val="none" w:sz="0" w:space="0" w:color="auto"/>
        <w:left w:val="none" w:sz="0" w:space="0" w:color="auto"/>
        <w:bottom w:val="none" w:sz="0" w:space="0" w:color="auto"/>
        <w:right w:val="none" w:sz="0" w:space="0" w:color="auto"/>
      </w:divBdr>
    </w:div>
    <w:div w:id="2012559774">
      <w:marLeft w:val="0"/>
      <w:marRight w:val="0"/>
      <w:marTop w:val="240"/>
      <w:marBottom w:val="0"/>
      <w:divBdr>
        <w:top w:val="none" w:sz="0" w:space="0" w:color="auto"/>
        <w:left w:val="none" w:sz="0" w:space="0" w:color="auto"/>
        <w:bottom w:val="none" w:sz="0" w:space="0" w:color="auto"/>
        <w:right w:val="none" w:sz="0" w:space="0" w:color="auto"/>
      </w:divBdr>
    </w:div>
    <w:div w:id="2013071753">
      <w:marLeft w:val="0"/>
      <w:marRight w:val="0"/>
      <w:marTop w:val="0"/>
      <w:marBottom w:val="0"/>
      <w:divBdr>
        <w:top w:val="none" w:sz="0" w:space="0" w:color="auto"/>
        <w:left w:val="none" w:sz="0" w:space="0" w:color="auto"/>
        <w:bottom w:val="none" w:sz="0" w:space="0" w:color="auto"/>
        <w:right w:val="none" w:sz="0" w:space="0" w:color="auto"/>
      </w:divBdr>
    </w:div>
    <w:div w:id="2016222598">
      <w:marLeft w:val="0"/>
      <w:marRight w:val="0"/>
      <w:marTop w:val="0"/>
      <w:marBottom w:val="100"/>
      <w:divBdr>
        <w:top w:val="none" w:sz="0" w:space="0" w:color="auto"/>
        <w:left w:val="none" w:sz="0" w:space="0" w:color="auto"/>
        <w:bottom w:val="none" w:sz="0" w:space="0" w:color="auto"/>
        <w:right w:val="none" w:sz="0" w:space="0" w:color="auto"/>
      </w:divBdr>
    </w:div>
    <w:div w:id="2021660082">
      <w:marLeft w:val="0"/>
      <w:marRight w:val="0"/>
      <w:marTop w:val="180"/>
      <w:marBottom w:val="0"/>
      <w:divBdr>
        <w:top w:val="none" w:sz="0" w:space="0" w:color="auto"/>
        <w:left w:val="none" w:sz="0" w:space="0" w:color="auto"/>
        <w:bottom w:val="none" w:sz="0" w:space="0" w:color="auto"/>
        <w:right w:val="none" w:sz="0" w:space="0" w:color="auto"/>
      </w:divBdr>
    </w:div>
    <w:div w:id="2025277829">
      <w:marLeft w:val="0"/>
      <w:marRight w:val="0"/>
      <w:marTop w:val="180"/>
      <w:marBottom w:val="0"/>
      <w:divBdr>
        <w:top w:val="none" w:sz="0" w:space="0" w:color="auto"/>
        <w:left w:val="none" w:sz="0" w:space="0" w:color="auto"/>
        <w:bottom w:val="none" w:sz="0" w:space="0" w:color="auto"/>
        <w:right w:val="none" w:sz="0" w:space="0" w:color="auto"/>
      </w:divBdr>
    </w:div>
    <w:div w:id="2027439422">
      <w:marLeft w:val="0"/>
      <w:marRight w:val="0"/>
      <w:marTop w:val="180"/>
      <w:marBottom w:val="0"/>
      <w:divBdr>
        <w:top w:val="none" w:sz="0" w:space="0" w:color="auto"/>
        <w:left w:val="none" w:sz="0" w:space="0" w:color="auto"/>
        <w:bottom w:val="none" w:sz="0" w:space="0" w:color="auto"/>
        <w:right w:val="none" w:sz="0" w:space="0" w:color="auto"/>
      </w:divBdr>
    </w:div>
    <w:div w:id="2028866542">
      <w:marLeft w:val="0"/>
      <w:marRight w:val="0"/>
      <w:marTop w:val="180"/>
      <w:marBottom w:val="120"/>
      <w:divBdr>
        <w:top w:val="none" w:sz="0" w:space="0" w:color="auto"/>
        <w:left w:val="none" w:sz="0" w:space="0" w:color="auto"/>
        <w:bottom w:val="none" w:sz="0" w:space="0" w:color="auto"/>
        <w:right w:val="none" w:sz="0" w:space="0" w:color="auto"/>
      </w:divBdr>
    </w:div>
    <w:div w:id="2030257311">
      <w:marLeft w:val="0"/>
      <w:marRight w:val="0"/>
      <w:marTop w:val="0"/>
      <w:marBottom w:val="0"/>
      <w:divBdr>
        <w:top w:val="none" w:sz="0" w:space="0" w:color="auto"/>
        <w:left w:val="none" w:sz="0" w:space="0" w:color="auto"/>
        <w:bottom w:val="none" w:sz="0" w:space="0" w:color="auto"/>
        <w:right w:val="none" w:sz="0" w:space="0" w:color="auto"/>
      </w:divBdr>
    </w:div>
    <w:div w:id="2032299781">
      <w:marLeft w:val="0"/>
      <w:marRight w:val="0"/>
      <w:marTop w:val="0"/>
      <w:marBottom w:val="0"/>
      <w:divBdr>
        <w:top w:val="none" w:sz="0" w:space="0" w:color="auto"/>
        <w:left w:val="none" w:sz="0" w:space="0" w:color="auto"/>
        <w:bottom w:val="none" w:sz="0" w:space="0" w:color="auto"/>
        <w:right w:val="none" w:sz="0" w:space="0" w:color="auto"/>
      </w:divBdr>
      <w:divsChild>
        <w:div w:id="1908147707">
          <w:marLeft w:val="0"/>
          <w:marRight w:val="0"/>
          <w:marTop w:val="0"/>
          <w:marBottom w:val="0"/>
          <w:divBdr>
            <w:top w:val="none" w:sz="0" w:space="0" w:color="auto"/>
            <w:left w:val="none" w:sz="0" w:space="0" w:color="auto"/>
            <w:bottom w:val="none" w:sz="0" w:space="0" w:color="auto"/>
            <w:right w:val="none" w:sz="0" w:space="0" w:color="auto"/>
          </w:divBdr>
        </w:div>
      </w:divsChild>
    </w:div>
    <w:div w:id="2033529188">
      <w:marLeft w:val="0"/>
      <w:marRight w:val="0"/>
      <w:marTop w:val="180"/>
      <w:marBottom w:val="12"/>
      <w:divBdr>
        <w:top w:val="none" w:sz="0" w:space="0" w:color="auto"/>
        <w:left w:val="none" w:sz="0" w:space="0" w:color="auto"/>
        <w:bottom w:val="none" w:sz="0" w:space="0" w:color="auto"/>
        <w:right w:val="none" w:sz="0" w:space="0" w:color="auto"/>
      </w:divBdr>
    </w:div>
    <w:div w:id="2036416722">
      <w:marLeft w:val="0"/>
      <w:marRight w:val="0"/>
      <w:marTop w:val="180"/>
      <w:marBottom w:val="120"/>
      <w:divBdr>
        <w:top w:val="none" w:sz="0" w:space="0" w:color="auto"/>
        <w:left w:val="none" w:sz="0" w:space="0" w:color="auto"/>
        <w:bottom w:val="none" w:sz="0" w:space="0" w:color="auto"/>
        <w:right w:val="none" w:sz="0" w:space="0" w:color="auto"/>
      </w:divBdr>
    </w:div>
    <w:div w:id="2036615602">
      <w:marLeft w:val="0"/>
      <w:marRight w:val="0"/>
      <w:marTop w:val="0"/>
      <w:marBottom w:val="0"/>
      <w:divBdr>
        <w:top w:val="none" w:sz="0" w:space="0" w:color="auto"/>
        <w:left w:val="none" w:sz="0" w:space="0" w:color="auto"/>
        <w:bottom w:val="none" w:sz="0" w:space="0" w:color="auto"/>
        <w:right w:val="none" w:sz="0" w:space="0" w:color="auto"/>
      </w:divBdr>
    </w:div>
    <w:div w:id="2037534471">
      <w:marLeft w:val="0"/>
      <w:marRight w:val="0"/>
      <w:marTop w:val="180"/>
      <w:marBottom w:val="0"/>
      <w:divBdr>
        <w:top w:val="none" w:sz="0" w:space="0" w:color="auto"/>
        <w:left w:val="none" w:sz="0" w:space="0" w:color="auto"/>
        <w:bottom w:val="none" w:sz="0" w:space="0" w:color="auto"/>
        <w:right w:val="none" w:sz="0" w:space="0" w:color="auto"/>
      </w:divBdr>
    </w:div>
    <w:div w:id="2037651815">
      <w:marLeft w:val="0"/>
      <w:marRight w:val="0"/>
      <w:marTop w:val="180"/>
      <w:marBottom w:val="0"/>
      <w:divBdr>
        <w:top w:val="none" w:sz="0" w:space="0" w:color="auto"/>
        <w:left w:val="none" w:sz="0" w:space="0" w:color="auto"/>
        <w:bottom w:val="none" w:sz="0" w:space="0" w:color="auto"/>
        <w:right w:val="none" w:sz="0" w:space="0" w:color="auto"/>
      </w:divBdr>
    </w:div>
    <w:div w:id="2038700512">
      <w:marLeft w:val="0"/>
      <w:marRight w:val="0"/>
      <w:marTop w:val="180"/>
      <w:marBottom w:val="0"/>
      <w:divBdr>
        <w:top w:val="none" w:sz="0" w:space="0" w:color="auto"/>
        <w:left w:val="none" w:sz="0" w:space="0" w:color="auto"/>
        <w:bottom w:val="none" w:sz="0" w:space="0" w:color="auto"/>
        <w:right w:val="none" w:sz="0" w:space="0" w:color="auto"/>
      </w:divBdr>
      <w:divsChild>
        <w:div w:id="309021854">
          <w:marLeft w:val="0"/>
          <w:marRight w:val="0"/>
          <w:marTop w:val="0"/>
          <w:marBottom w:val="0"/>
          <w:divBdr>
            <w:top w:val="none" w:sz="0" w:space="0" w:color="auto"/>
            <w:left w:val="none" w:sz="0" w:space="0" w:color="auto"/>
            <w:bottom w:val="none" w:sz="0" w:space="0" w:color="auto"/>
            <w:right w:val="none" w:sz="0" w:space="0" w:color="auto"/>
          </w:divBdr>
        </w:div>
      </w:divsChild>
    </w:div>
    <w:div w:id="2040086292">
      <w:marLeft w:val="0"/>
      <w:marRight w:val="0"/>
      <w:marTop w:val="240"/>
      <w:marBottom w:val="120"/>
      <w:divBdr>
        <w:top w:val="none" w:sz="0" w:space="0" w:color="auto"/>
        <w:left w:val="none" w:sz="0" w:space="0" w:color="auto"/>
        <w:bottom w:val="none" w:sz="0" w:space="0" w:color="auto"/>
        <w:right w:val="none" w:sz="0" w:space="0" w:color="auto"/>
      </w:divBdr>
    </w:div>
    <w:div w:id="2041082633">
      <w:marLeft w:val="0"/>
      <w:marRight w:val="0"/>
      <w:marTop w:val="0"/>
      <w:marBottom w:val="0"/>
      <w:divBdr>
        <w:top w:val="none" w:sz="0" w:space="0" w:color="auto"/>
        <w:left w:val="none" w:sz="0" w:space="0" w:color="auto"/>
        <w:bottom w:val="none" w:sz="0" w:space="0" w:color="auto"/>
        <w:right w:val="none" w:sz="0" w:space="0" w:color="auto"/>
      </w:divBdr>
      <w:divsChild>
        <w:div w:id="392697193">
          <w:marLeft w:val="0"/>
          <w:marRight w:val="0"/>
          <w:marTop w:val="180"/>
          <w:marBottom w:val="0"/>
          <w:divBdr>
            <w:top w:val="none" w:sz="0" w:space="0" w:color="auto"/>
            <w:left w:val="none" w:sz="0" w:space="0" w:color="auto"/>
            <w:bottom w:val="none" w:sz="0" w:space="0" w:color="auto"/>
            <w:right w:val="none" w:sz="0" w:space="0" w:color="auto"/>
          </w:divBdr>
        </w:div>
      </w:divsChild>
    </w:div>
    <w:div w:id="2042897442">
      <w:marLeft w:val="0"/>
      <w:marRight w:val="0"/>
      <w:marTop w:val="180"/>
      <w:marBottom w:val="0"/>
      <w:divBdr>
        <w:top w:val="none" w:sz="0" w:space="0" w:color="auto"/>
        <w:left w:val="none" w:sz="0" w:space="0" w:color="auto"/>
        <w:bottom w:val="none" w:sz="0" w:space="0" w:color="auto"/>
        <w:right w:val="none" w:sz="0" w:space="0" w:color="auto"/>
      </w:divBdr>
    </w:div>
    <w:div w:id="2044135709">
      <w:marLeft w:val="0"/>
      <w:marRight w:val="0"/>
      <w:marTop w:val="0"/>
      <w:marBottom w:val="0"/>
      <w:divBdr>
        <w:top w:val="none" w:sz="0" w:space="0" w:color="auto"/>
        <w:left w:val="none" w:sz="0" w:space="0" w:color="auto"/>
        <w:bottom w:val="none" w:sz="0" w:space="0" w:color="auto"/>
        <w:right w:val="none" w:sz="0" w:space="0" w:color="auto"/>
      </w:divBdr>
      <w:divsChild>
        <w:div w:id="1998264748">
          <w:marLeft w:val="0"/>
          <w:marRight w:val="0"/>
          <w:marTop w:val="0"/>
          <w:marBottom w:val="0"/>
          <w:divBdr>
            <w:top w:val="none" w:sz="0" w:space="0" w:color="auto"/>
            <w:left w:val="none" w:sz="0" w:space="0" w:color="auto"/>
            <w:bottom w:val="none" w:sz="0" w:space="0" w:color="auto"/>
            <w:right w:val="none" w:sz="0" w:space="0" w:color="auto"/>
          </w:divBdr>
        </w:div>
      </w:divsChild>
    </w:div>
    <w:div w:id="2045515399">
      <w:marLeft w:val="0"/>
      <w:marRight w:val="0"/>
      <w:marTop w:val="0"/>
      <w:marBottom w:val="0"/>
      <w:divBdr>
        <w:top w:val="none" w:sz="0" w:space="0" w:color="auto"/>
        <w:left w:val="none" w:sz="0" w:space="0" w:color="auto"/>
        <w:bottom w:val="none" w:sz="0" w:space="0" w:color="auto"/>
        <w:right w:val="none" w:sz="0" w:space="0" w:color="auto"/>
      </w:divBdr>
      <w:divsChild>
        <w:div w:id="220411310">
          <w:marLeft w:val="0"/>
          <w:marRight w:val="0"/>
          <w:marTop w:val="0"/>
          <w:marBottom w:val="0"/>
          <w:divBdr>
            <w:top w:val="none" w:sz="0" w:space="0" w:color="auto"/>
            <w:left w:val="none" w:sz="0" w:space="0" w:color="auto"/>
            <w:bottom w:val="none" w:sz="0" w:space="0" w:color="auto"/>
            <w:right w:val="none" w:sz="0" w:space="0" w:color="auto"/>
          </w:divBdr>
        </w:div>
      </w:divsChild>
    </w:div>
    <w:div w:id="2046784929">
      <w:marLeft w:val="0"/>
      <w:marRight w:val="0"/>
      <w:marTop w:val="180"/>
      <w:marBottom w:val="0"/>
      <w:divBdr>
        <w:top w:val="none" w:sz="0" w:space="0" w:color="auto"/>
        <w:left w:val="none" w:sz="0" w:space="0" w:color="auto"/>
        <w:bottom w:val="none" w:sz="0" w:space="0" w:color="auto"/>
        <w:right w:val="none" w:sz="0" w:space="0" w:color="auto"/>
      </w:divBdr>
    </w:div>
    <w:div w:id="2048022769">
      <w:marLeft w:val="0"/>
      <w:marRight w:val="0"/>
      <w:marTop w:val="180"/>
      <w:marBottom w:val="120"/>
      <w:divBdr>
        <w:top w:val="none" w:sz="0" w:space="0" w:color="auto"/>
        <w:left w:val="none" w:sz="0" w:space="0" w:color="auto"/>
        <w:bottom w:val="none" w:sz="0" w:space="0" w:color="auto"/>
        <w:right w:val="none" w:sz="0" w:space="0" w:color="auto"/>
      </w:divBdr>
    </w:div>
    <w:div w:id="2050260869">
      <w:marLeft w:val="0"/>
      <w:marRight w:val="0"/>
      <w:marTop w:val="180"/>
      <w:marBottom w:val="0"/>
      <w:divBdr>
        <w:top w:val="none" w:sz="0" w:space="0" w:color="auto"/>
        <w:left w:val="none" w:sz="0" w:space="0" w:color="auto"/>
        <w:bottom w:val="none" w:sz="0" w:space="0" w:color="auto"/>
        <w:right w:val="none" w:sz="0" w:space="0" w:color="auto"/>
      </w:divBdr>
    </w:div>
    <w:div w:id="2051150794">
      <w:marLeft w:val="0"/>
      <w:marRight w:val="0"/>
      <w:marTop w:val="0"/>
      <w:marBottom w:val="0"/>
      <w:divBdr>
        <w:top w:val="none" w:sz="0" w:space="0" w:color="auto"/>
        <w:left w:val="none" w:sz="0" w:space="0" w:color="auto"/>
        <w:bottom w:val="none" w:sz="0" w:space="0" w:color="auto"/>
        <w:right w:val="none" w:sz="0" w:space="0" w:color="auto"/>
      </w:divBdr>
      <w:divsChild>
        <w:div w:id="10373312">
          <w:marLeft w:val="0"/>
          <w:marRight w:val="0"/>
          <w:marTop w:val="180"/>
          <w:marBottom w:val="0"/>
          <w:divBdr>
            <w:top w:val="none" w:sz="0" w:space="0" w:color="auto"/>
            <w:left w:val="none" w:sz="0" w:space="0" w:color="auto"/>
            <w:bottom w:val="none" w:sz="0" w:space="0" w:color="auto"/>
            <w:right w:val="none" w:sz="0" w:space="0" w:color="auto"/>
          </w:divBdr>
        </w:div>
      </w:divsChild>
    </w:div>
    <w:div w:id="2053533151">
      <w:marLeft w:val="0"/>
      <w:marRight w:val="0"/>
      <w:marTop w:val="180"/>
      <w:marBottom w:val="0"/>
      <w:divBdr>
        <w:top w:val="none" w:sz="0" w:space="0" w:color="auto"/>
        <w:left w:val="none" w:sz="0" w:space="0" w:color="auto"/>
        <w:bottom w:val="none" w:sz="0" w:space="0" w:color="auto"/>
        <w:right w:val="none" w:sz="0" w:space="0" w:color="auto"/>
      </w:divBdr>
    </w:div>
    <w:div w:id="2055495093">
      <w:marLeft w:val="0"/>
      <w:marRight w:val="0"/>
      <w:marTop w:val="180"/>
      <w:marBottom w:val="0"/>
      <w:divBdr>
        <w:top w:val="none" w:sz="0" w:space="0" w:color="auto"/>
        <w:left w:val="none" w:sz="0" w:space="0" w:color="auto"/>
        <w:bottom w:val="none" w:sz="0" w:space="0" w:color="auto"/>
        <w:right w:val="none" w:sz="0" w:space="0" w:color="auto"/>
      </w:divBdr>
    </w:div>
    <w:div w:id="2056158045">
      <w:marLeft w:val="0"/>
      <w:marRight w:val="0"/>
      <w:marTop w:val="180"/>
      <w:marBottom w:val="120"/>
      <w:divBdr>
        <w:top w:val="none" w:sz="0" w:space="0" w:color="auto"/>
        <w:left w:val="none" w:sz="0" w:space="0" w:color="auto"/>
        <w:bottom w:val="none" w:sz="0" w:space="0" w:color="auto"/>
        <w:right w:val="none" w:sz="0" w:space="0" w:color="auto"/>
      </w:divBdr>
    </w:div>
    <w:div w:id="2056199358">
      <w:marLeft w:val="0"/>
      <w:marRight w:val="0"/>
      <w:marTop w:val="240"/>
      <w:marBottom w:val="180"/>
      <w:divBdr>
        <w:top w:val="none" w:sz="0" w:space="0" w:color="auto"/>
        <w:left w:val="none" w:sz="0" w:space="0" w:color="auto"/>
        <w:bottom w:val="none" w:sz="0" w:space="0" w:color="auto"/>
        <w:right w:val="none" w:sz="0" w:space="0" w:color="auto"/>
      </w:divBdr>
    </w:div>
    <w:div w:id="2056537069">
      <w:marLeft w:val="0"/>
      <w:marRight w:val="0"/>
      <w:marTop w:val="180"/>
      <w:marBottom w:val="0"/>
      <w:divBdr>
        <w:top w:val="none" w:sz="0" w:space="0" w:color="auto"/>
        <w:left w:val="none" w:sz="0" w:space="0" w:color="auto"/>
        <w:bottom w:val="none" w:sz="0" w:space="0" w:color="auto"/>
        <w:right w:val="none" w:sz="0" w:space="0" w:color="auto"/>
      </w:divBdr>
    </w:div>
    <w:div w:id="2058311723">
      <w:marLeft w:val="0"/>
      <w:marRight w:val="0"/>
      <w:marTop w:val="0"/>
      <w:marBottom w:val="0"/>
      <w:divBdr>
        <w:top w:val="none" w:sz="0" w:space="0" w:color="auto"/>
        <w:left w:val="none" w:sz="0" w:space="0" w:color="auto"/>
        <w:bottom w:val="none" w:sz="0" w:space="0" w:color="auto"/>
        <w:right w:val="none" w:sz="0" w:space="0" w:color="auto"/>
      </w:divBdr>
    </w:div>
    <w:div w:id="2061904847">
      <w:marLeft w:val="0"/>
      <w:marRight w:val="0"/>
      <w:marTop w:val="0"/>
      <w:marBottom w:val="0"/>
      <w:divBdr>
        <w:top w:val="none" w:sz="0" w:space="0" w:color="auto"/>
        <w:left w:val="none" w:sz="0" w:space="0" w:color="auto"/>
        <w:bottom w:val="none" w:sz="0" w:space="0" w:color="auto"/>
        <w:right w:val="none" w:sz="0" w:space="0" w:color="auto"/>
      </w:divBdr>
      <w:divsChild>
        <w:div w:id="63728250">
          <w:marLeft w:val="0"/>
          <w:marRight w:val="0"/>
          <w:marTop w:val="0"/>
          <w:marBottom w:val="0"/>
          <w:divBdr>
            <w:top w:val="none" w:sz="0" w:space="0" w:color="auto"/>
            <w:left w:val="none" w:sz="0" w:space="0" w:color="auto"/>
            <w:bottom w:val="none" w:sz="0" w:space="0" w:color="auto"/>
            <w:right w:val="none" w:sz="0" w:space="0" w:color="auto"/>
          </w:divBdr>
          <w:divsChild>
            <w:div w:id="8310264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1972635">
      <w:marLeft w:val="0"/>
      <w:marRight w:val="0"/>
      <w:marTop w:val="0"/>
      <w:marBottom w:val="0"/>
      <w:divBdr>
        <w:top w:val="none" w:sz="0" w:space="0" w:color="auto"/>
        <w:left w:val="none" w:sz="0" w:space="0" w:color="auto"/>
        <w:bottom w:val="none" w:sz="0" w:space="0" w:color="auto"/>
        <w:right w:val="none" w:sz="0" w:space="0" w:color="auto"/>
      </w:divBdr>
      <w:divsChild>
        <w:div w:id="588275024">
          <w:marLeft w:val="0"/>
          <w:marRight w:val="0"/>
          <w:marTop w:val="0"/>
          <w:marBottom w:val="0"/>
          <w:divBdr>
            <w:top w:val="none" w:sz="0" w:space="0" w:color="auto"/>
            <w:left w:val="none" w:sz="0" w:space="0" w:color="auto"/>
            <w:bottom w:val="none" w:sz="0" w:space="0" w:color="auto"/>
            <w:right w:val="none" w:sz="0" w:space="0" w:color="auto"/>
          </w:divBdr>
          <w:divsChild>
            <w:div w:id="6031531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6290214">
      <w:marLeft w:val="0"/>
      <w:marRight w:val="0"/>
      <w:marTop w:val="0"/>
      <w:marBottom w:val="0"/>
      <w:divBdr>
        <w:top w:val="none" w:sz="0" w:space="0" w:color="auto"/>
        <w:left w:val="none" w:sz="0" w:space="0" w:color="auto"/>
        <w:bottom w:val="none" w:sz="0" w:space="0" w:color="auto"/>
        <w:right w:val="none" w:sz="0" w:space="0" w:color="auto"/>
      </w:divBdr>
      <w:divsChild>
        <w:div w:id="294994164">
          <w:marLeft w:val="0"/>
          <w:marRight w:val="0"/>
          <w:marTop w:val="0"/>
          <w:marBottom w:val="0"/>
          <w:divBdr>
            <w:top w:val="none" w:sz="0" w:space="0" w:color="auto"/>
            <w:left w:val="none" w:sz="0" w:space="0" w:color="auto"/>
            <w:bottom w:val="none" w:sz="0" w:space="0" w:color="auto"/>
            <w:right w:val="none" w:sz="0" w:space="0" w:color="auto"/>
          </w:divBdr>
          <w:divsChild>
            <w:div w:id="19784890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6566063">
      <w:marLeft w:val="0"/>
      <w:marRight w:val="0"/>
      <w:marTop w:val="180"/>
      <w:marBottom w:val="12"/>
      <w:divBdr>
        <w:top w:val="none" w:sz="0" w:space="0" w:color="auto"/>
        <w:left w:val="none" w:sz="0" w:space="0" w:color="auto"/>
        <w:bottom w:val="none" w:sz="0" w:space="0" w:color="auto"/>
        <w:right w:val="none" w:sz="0" w:space="0" w:color="auto"/>
      </w:divBdr>
    </w:div>
    <w:div w:id="2068992484">
      <w:marLeft w:val="0"/>
      <w:marRight w:val="0"/>
      <w:marTop w:val="180"/>
      <w:marBottom w:val="0"/>
      <w:divBdr>
        <w:top w:val="none" w:sz="0" w:space="0" w:color="auto"/>
        <w:left w:val="none" w:sz="0" w:space="0" w:color="auto"/>
        <w:bottom w:val="none" w:sz="0" w:space="0" w:color="auto"/>
        <w:right w:val="none" w:sz="0" w:space="0" w:color="auto"/>
      </w:divBdr>
    </w:div>
    <w:div w:id="2070960595">
      <w:marLeft w:val="0"/>
      <w:marRight w:val="0"/>
      <w:marTop w:val="0"/>
      <w:marBottom w:val="120"/>
      <w:divBdr>
        <w:top w:val="none" w:sz="0" w:space="0" w:color="auto"/>
        <w:left w:val="none" w:sz="0" w:space="0" w:color="auto"/>
        <w:bottom w:val="none" w:sz="0" w:space="0" w:color="auto"/>
        <w:right w:val="none" w:sz="0" w:space="0" w:color="auto"/>
      </w:divBdr>
      <w:divsChild>
        <w:div w:id="921376537">
          <w:marLeft w:val="0"/>
          <w:marRight w:val="0"/>
          <w:marTop w:val="0"/>
          <w:marBottom w:val="0"/>
          <w:divBdr>
            <w:top w:val="none" w:sz="0" w:space="0" w:color="auto"/>
            <w:left w:val="none" w:sz="0" w:space="0" w:color="auto"/>
            <w:bottom w:val="none" w:sz="0" w:space="0" w:color="auto"/>
            <w:right w:val="none" w:sz="0" w:space="0" w:color="auto"/>
          </w:divBdr>
        </w:div>
        <w:div w:id="516044447">
          <w:marLeft w:val="0"/>
          <w:marRight w:val="0"/>
          <w:marTop w:val="0"/>
          <w:marBottom w:val="0"/>
          <w:divBdr>
            <w:top w:val="none" w:sz="0" w:space="0" w:color="auto"/>
            <w:left w:val="none" w:sz="0" w:space="0" w:color="auto"/>
            <w:bottom w:val="none" w:sz="0" w:space="0" w:color="auto"/>
            <w:right w:val="none" w:sz="0" w:space="0" w:color="auto"/>
          </w:divBdr>
        </w:div>
        <w:div w:id="237593295">
          <w:marLeft w:val="0"/>
          <w:marRight w:val="0"/>
          <w:marTop w:val="0"/>
          <w:marBottom w:val="0"/>
          <w:divBdr>
            <w:top w:val="none" w:sz="0" w:space="0" w:color="auto"/>
            <w:left w:val="none" w:sz="0" w:space="0" w:color="auto"/>
            <w:bottom w:val="none" w:sz="0" w:space="0" w:color="auto"/>
            <w:right w:val="none" w:sz="0" w:space="0" w:color="auto"/>
          </w:divBdr>
        </w:div>
        <w:div w:id="858665238">
          <w:marLeft w:val="0"/>
          <w:marRight w:val="0"/>
          <w:marTop w:val="0"/>
          <w:marBottom w:val="0"/>
          <w:divBdr>
            <w:top w:val="none" w:sz="0" w:space="0" w:color="auto"/>
            <w:left w:val="none" w:sz="0" w:space="0" w:color="auto"/>
            <w:bottom w:val="none" w:sz="0" w:space="0" w:color="auto"/>
            <w:right w:val="none" w:sz="0" w:space="0" w:color="auto"/>
          </w:divBdr>
        </w:div>
        <w:div w:id="718818921">
          <w:marLeft w:val="0"/>
          <w:marRight w:val="0"/>
          <w:marTop w:val="0"/>
          <w:marBottom w:val="0"/>
          <w:divBdr>
            <w:top w:val="none" w:sz="0" w:space="0" w:color="auto"/>
            <w:left w:val="none" w:sz="0" w:space="0" w:color="auto"/>
            <w:bottom w:val="none" w:sz="0" w:space="0" w:color="auto"/>
            <w:right w:val="none" w:sz="0" w:space="0" w:color="auto"/>
          </w:divBdr>
        </w:div>
        <w:div w:id="907494726">
          <w:marLeft w:val="0"/>
          <w:marRight w:val="0"/>
          <w:marTop w:val="0"/>
          <w:marBottom w:val="0"/>
          <w:divBdr>
            <w:top w:val="none" w:sz="0" w:space="0" w:color="auto"/>
            <w:left w:val="none" w:sz="0" w:space="0" w:color="auto"/>
            <w:bottom w:val="none" w:sz="0" w:space="0" w:color="auto"/>
            <w:right w:val="none" w:sz="0" w:space="0" w:color="auto"/>
          </w:divBdr>
        </w:div>
        <w:div w:id="604382772">
          <w:marLeft w:val="0"/>
          <w:marRight w:val="0"/>
          <w:marTop w:val="0"/>
          <w:marBottom w:val="0"/>
          <w:divBdr>
            <w:top w:val="none" w:sz="0" w:space="0" w:color="auto"/>
            <w:left w:val="none" w:sz="0" w:space="0" w:color="auto"/>
            <w:bottom w:val="none" w:sz="0" w:space="0" w:color="auto"/>
            <w:right w:val="none" w:sz="0" w:space="0" w:color="auto"/>
          </w:divBdr>
        </w:div>
        <w:div w:id="430466445">
          <w:marLeft w:val="0"/>
          <w:marRight w:val="0"/>
          <w:marTop w:val="0"/>
          <w:marBottom w:val="0"/>
          <w:divBdr>
            <w:top w:val="none" w:sz="0" w:space="0" w:color="auto"/>
            <w:left w:val="none" w:sz="0" w:space="0" w:color="auto"/>
            <w:bottom w:val="none" w:sz="0" w:space="0" w:color="auto"/>
            <w:right w:val="none" w:sz="0" w:space="0" w:color="auto"/>
          </w:divBdr>
        </w:div>
        <w:div w:id="2125612827">
          <w:marLeft w:val="0"/>
          <w:marRight w:val="0"/>
          <w:marTop w:val="0"/>
          <w:marBottom w:val="0"/>
          <w:divBdr>
            <w:top w:val="none" w:sz="0" w:space="0" w:color="auto"/>
            <w:left w:val="none" w:sz="0" w:space="0" w:color="auto"/>
            <w:bottom w:val="none" w:sz="0" w:space="0" w:color="auto"/>
            <w:right w:val="none" w:sz="0" w:space="0" w:color="auto"/>
          </w:divBdr>
        </w:div>
        <w:div w:id="1808350476">
          <w:marLeft w:val="0"/>
          <w:marRight w:val="0"/>
          <w:marTop w:val="0"/>
          <w:marBottom w:val="0"/>
          <w:divBdr>
            <w:top w:val="none" w:sz="0" w:space="0" w:color="auto"/>
            <w:left w:val="none" w:sz="0" w:space="0" w:color="auto"/>
            <w:bottom w:val="none" w:sz="0" w:space="0" w:color="auto"/>
            <w:right w:val="none" w:sz="0" w:space="0" w:color="auto"/>
          </w:divBdr>
        </w:div>
      </w:divsChild>
    </w:div>
    <w:div w:id="2072195401">
      <w:marLeft w:val="0"/>
      <w:marRight w:val="0"/>
      <w:marTop w:val="100"/>
      <w:marBottom w:val="100"/>
      <w:divBdr>
        <w:top w:val="none" w:sz="0" w:space="0" w:color="auto"/>
        <w:left w:val="none" w:sz="0" w:space="0" w:color="auto"/>
        <w:bottom w:val="none" w:sz="0" w:space="0" w:color="auto"/>
        <w:right w:val="none" w:sz="0" w:space="0" w:color="auto"/>
      </w:divBdr>
    </w:div>
    <w:div w:id="2074353964">
      <w:marLeft w:val="0"/>
      <w:marRight w:val="0"/>
      <w:marTop w:val="180"/>
      <w:marBottom w:val="0"/>
      <w:divBdr>
        <w:top w:val="none" w:sz="0" w:space="0" w:color="auto"/>
        <w:left w:val="none" w:sz="0" w:space="0" w:color="auto"/>
        <w:bottom w:val="none" w:sz="0" w:space="0" w:color="auto"/>
        <w:right w:val="none" w:sz="0" w:space="0" w:color="auto"/>
      </w:divBdr>
    </w:div>
    <w:div w:id="2084445836">
      <w:marLeft w:val="0"/>
      <w:marRight w:val="0"/>
      <w:marTop w:val="0"/>
      <w:marBottom w:val="0"/>
      <w:divBdr>
        <w:top w:val="none" w:sz="0" w:space="0" w:color="auto"/>
        <w:left w:val="none" w:sz="0" w:space="0" w:color="auto"/>
        <w:bottom w:val="none" w:sz="0" w:space="0" w:color="auto"/>
        <w:right w:val="none" w:sz="0" w:space="0" w:color="auto"/>
      </w:divBdr>
      <w:divsChild>
        <w:div w:id="1421756231">
          <w:marLeft w:val="0"/>
          <w:marRight w:val="0"/>
          <w:marTop w:val="0"/>
          <w:marBottom w:val="0"/>
          <w:divBdr>
            <w:top w:val="none" w:sz="0" w:space="0" w:color="auto"/>
            <w:left w:val="none" w:sz="0" w:space="0" w:color="auto"/>
            <w:bottom w:val="none" w:sz="0" w:space="0" w:color="auto"/>
            <w:right w:val="none" w:sz="0" w:space="0" w:color="auto"/>
          </w:divBdr>
          <w:divsChild>
            <w:div w:id="8060937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6800219">
      <w:marLeft w:val="0"/>
      <w:marRight w:val="0"/>
      <w:marTop w:val="180"/>
      <w:marBottom w:val="0"/>
      <w:divBdr>
        <w:top w:val="none" w:sz="0" w:space="0" w:color="auto"/>
        <w:left w:val="none" w:sz="0" w:space="0" w:color="auto"/>
        <w:bottom w:val="none" w:sz="0" w:space="0" w:color="auto"/>
        <w:right w:val="none" w:sz="0" w:space="0" w:color="auto"/>
      </w:divBdr>
    </w:div>
    <w:div w:id="2088068590">
      <w:marLeft w:val="0"/>
      <w:marRight w:val="0"/>
      <w:marTop w:val="0"/>
      <w:marBottom w:val="0"/>
      <w:divBdr>
        <w:top w:val="none" w:sz="0" w:space="0" w:color="auto"/>
        <w:left w:val="none" w:sz="0" w:space="0" w:color="auto"/>
        <w:bottom w:val="none" w:sz="0" w:space="0" w:color="auto"/>
        <w:right w:val="none" w:sz="0" w:space="0" w:color="auto"/>
      </w:divBdr>
      <w:divsChild>
        <w:div w:id="1450320027">
          <w:marLeft w:val="0"/>
          <w:marRight w:val="0"/>
          <w:marTop w:val="0"/>
          <w:marBottom w:val="0"/>
          <w:divBdr>
            <w:top w:val="none" w:sz="0" w:space="0" w:color="auto"/>
            <w:left w:val="none" w:sz="0" w:space="0" w:color="auto"/>
            <w:bottom w:val="none" w:sz="0" w:space="0" w:color="auto"/>
            <w:right w:val="none" w:sz="0" w:space="0" w:color="auto"/>
          </w:divBdr>
          <w:divsChild>
            <w:div w:id="11243521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8645100">
      <w:marLeft w:val="0"/>
      <w:marRight w:val="0"/>
      <w:marTop w:val="180"/>
      <w:marBottom w:val="120"/>
      <w:divBdr>
        <w:top w:val="none" w:sz="0" w:space="0" w:color="auto"/>
        <w:left w:val="none" w:sz="0" w:space="0" w:color="auto"/>
        <w:bottom w:val="none" w:sz="0" w:space="0" w:color="auto"/>
        <w:right w:val="none" w:sz="0" w:space="0" w:color="auto"/>
      </w:divBdr>
    </w:div>
    <w:div w:id="2089299509">
      <w:marLeft w:val="0"/>
      <w:marRight w:val="0"/>
      <w:marTop w:val="180"/>
      <w:marBottom w:val="0"/>
      <w:divBdr>
        <w:top w:val="none" w:sz="0" w:space="0" w:color="auto"/>
        <w:left w:val="none" w:sz="0" w:space="0" w:color="auto"/>
        <w:bottom w:val="none" w:sz="0" w:space="0" w:color="auto"/>
        <w:right w:val="none" w:sz="0" w:space="0" w:color="auto"/>
      </w:divBdr>
    </w:div>
    <w:div w:id="2089883489">
      <w:marLeft w:val="0"/>
      <w:marRight w:val="0"/>
      <w:marTop w:val="120"/>
      <w:marBottom w:val="0"/>
      <w:divBdr>
        <w:top w:val="none" w:sz="0" w:space="0" w:color="auto"/>
        <w:left w:val="none" w:sz="0" w:space="0" w:color="auto"/>
        <w:bottom w:val="none" w:sz="0" w:space="0" w:color="auto"/>
        <w:right w:val="none" w:sz="0" w:space="0" w:color="auto"/>
      </w:divBdr>
    </w:div>
    <w:div w:id="2091582877">
      <w:marLeft w:val="0"/>
      <w:marRight w:val="0"/>
      <w:marTop w:val="180"/>
      <w:marBottom w:val="0"/>
      <w:divBdr>
        <w:top w:val="none" w:sz="0" w:space="0" w:color="auto"/>
        <w:left w:val="none" w:sz="0" w:space="0" w:color="auto"/>
        <w:bottom w:val="none" w:sz="0" w:space="0" w:color="auto"/>
        <w:right w:val="none" w:sz="0" w:space="0" w:color="auto"/>
      </w:divBdr>
    </w:div>
    <w:div w:id="2092265527">
      <w:marLeft w:val="0"/>
      <w:marRight w:val="0"/>
      <w:marTop w:val="180"/>
      <w:marBottom w:val="0"/>
      <w:divBdr>
        <w:top w:val="none" w:sz="0" w:space="0" w:color="auto"/>
        <w:left w:val="none" w:sz="0" w:space="0" w:color="auto"/>
        <w:bottom w:val="none" w:sz="0" w:space="0" w:color="auto"/>
        <w:right w:val="none" w:sz="0" w:space="0" w:color="auto"/>
      </w:divBdr>
    </w:div>
    <w:div w:id="2092772883">
      <w:marLeft w:val="0"/>
      <w:marRight w:val="0"/>
      <w:marTop w:val="180"/>
      <w:marBottom w:val="0"/>
      <w:divBdr>
        <w:top w:val="none" w:sz="0" w:space="0" w:color="auto"/>
        <w:left w:val="none" w:sz="0" w:space="0" w:color="auto"/>
        <w:bottom w:val="none" w:sz="0" w:space="0" w:color="auto"/>
        <w:right w:val="none" w:sz="0" w:space="0" w:color="auto"/>
      </w:divBdr>
    </w:div>
    <w:div w:id="2094667962">
      <w:marLeft w:val="0"/>
      <w:marRight w:val="0"/>
      <w:marTop w:val="180"/>
      <w:marBottom w:val="0"/>
      <w:divBdr>
        <w:top w:val="none" w:sz="0" w:space="0" w:color="auto"/>
        <w:left w:val="none" w:sz="0" w:space="0" w:color="auto"/>
        <w:bottom w:val="none" w:sz="0" w:space="0" w:color="auto"/>
        <w:right w:val="none" w:sz="0" w:space="0" w:color="auto"/>
      </w:divBdr>
    </w:div>
    <w:div w:id="2099014261">
      <w:marLeft w:val="0"/>
      <w:marRight w:val="0"/>
      <w:marTop w:val="180"/>
      <w:marBottom w:val="0"/>
      <w:divBdr>
        <w:top w:val="none" w:sz="0" w:space="0" w:color="auto"/>
        <w:left w:val="none" w:sz="0" w:space="0" w:color="auto"/>
        <w:bottom w:val="none" w:sz="0" w:space="0" w:color="auto"/>
        <w:right w:val="none" w:sz="0" w:space="0" w:color="auto"/>
      </w:divBdr>
    </w:div>
    <w:div w:id="2099864874">
      <w:marLeft w:val="0"/>
      <w:marRight w:val="0"/>
      <w:marTop w:val="180"/>
      <w:marBottom w:val="120"/>
      <w:divBdr>
        <w:top w:val="none" w:sz="0" w:space="0" w:color="auto"/>
        <w:left w:val="none" w:sz="0" w:space="0" w:color="auto"/>
        <w:bottom w:val="none" w:sz="0" w:space="0" w:color="auto"/>
        <w:right w:val="none" w:sz="0" w:space="0" w:color="auto"/>
      </w:divBdr>
    </w:div>
    <w:div w:id="2101441585">
      <w:marLeft w:val="0"/>
      <w:marRight w:val="0"/>
      <w:marTop w:val="180"/>
      <w:marBottom w:val="0"/>
      <w:divBdr>
        <w:top w:val="none" w:sz="0" w:space="0" w:color="auto"/>
        <w:left w:val="none" w:sz="0" w:space="0" w:color="auto"/>
        <w:bottom w:val="none" w:sz="0" w:space="0" w:color="auto"/>
        <w:right w:val="none" w:sz="0" w:space="0" w:color="auto"/>
      </w:divBdr>
    </w:div>
    <w:div w:id="2102023284">
      <w:marLeft w:val="0"/>
      <w:marRight w:val="0"/>
      <w:marTop w:val="180"/>
      <w:marBottom w:val="120"/>
      <w:divBdr>
        <w:top w:val="none" w:sz="0" w:space="0" w:color="auto"/>
        <w:left w:val="none" w:sz="0" w:space="0" w:color="auto"/>
        <w:bottom w:val="none" w:sz="0" w:space="0" w:color="auto"/>
        <w:right w:val="none" w:sz="0" w:space="0" w:color="auto"/>
      </w:divBdr>
    </w:div>
    <w:div w:id="2105375310">
      <w:marLeft w:val="0"/>
      <w:marRight w:val="0"/>
      <w:marTop w:val="180"/>
      <w:marBottom w:val="0"/>
      <w:divBdr>
        <w:top w:val="none" w:sz="0" w:space="0" w:color="auto"/>
        <w:left w:val="none" w:sz="0" w:space="0" w:color="auto"/>
        <w:bottom w:val="none" w:sz="0" w:space="0" w:color="auto"/>
        <w:right w:val="none" w:sz="0" w:space="0" w:color="auto"/>
      </w:divBdr>
    </w:div>
    <w:div w:id="2108118025">
      <w:marLeft w:val="0"/>
      <w:marRight w:val="0"/>
      <w:marTop w:val="180"/>
      <w:marBottom w:val="0"/>
      <w:divBdr>
        <w:top w:val="none" w:sz="0" w:space="0" w:color="auto"/>
        <w:left w:val="none" w:sz="0" w:space="0" w:color="auto"/>
        <w:bottom w:val="none" w:sz="0" w:space="0" w:color="auto"/>
        <w:right w:val="none" w:sz="0" w:space="0" w:color="auto"/>
      </w:divBdr>
    </w:div>
    <w:div w:id="2110468078">
      <w:marLeft w:val="0"/>
      <w:marRight w:val="0"/>
      <w:marTop w:val="180"/>
      <w:marBottom w:val="0"/>
      <w:divBdr>
        <w:top w:val="none" w:sz="0" w:space="0" w:color="auto"/>
        <w:left w:val="none" w:sz="0" w:space="0" w:color="auto"/>
        <w:bottom w:val="none" w:sz="0" w:space="0" w:color="auto"/>
        <w:right w:val="none" w:sz="0" w:space="0" w:color="auto"/>
      </w:divBdr>
    </w:div>
    <w:div w:id="2110656765">
      <w:marLeft w:val="0"/>
      <w:marRight w:val="0"/>
      <w:marTop w:val="180"/>
      <w:marBottom w:val="0"/>
      <w:divBdr>
        <w:top w:val="none" w:sz="0" w:space="0" w:color="auto"/>
        <w:left w:val="none" w:sz="0" w:space="0" w:color="auto"/>
        <w:bottom w:val="none" w:sz="0" w:space="0" w:color="auto"/>
        <w:right w:val="none" w:sz="0" w:space="0" w:color="auto"/>
      </w:divBdr>
    </w:div>
    <w:div w:id="2111776712">
      <w:marLeft w:val="0"/>
      <w:marRight w:val="0"/>
      <w:marTop w:val="180"/>
      <w:marBottom w:val="0"/>
      <w:divBdr>
        <w:top w:val="none" w:sz="0" w:space="0" w:color="auto"/>
        <w:left w:val="none" w:sz="0" w:space="0" w:color="auto"/>
        <w:bottom w:val="none" w:sz="0" w:space="0" w:color="auto"/>
        <w:right w:val="none" w:sz="0" w:space="0" w:color="auto"/>
      </w:divBdr>
    </w:div>
    <w:div w:id="2112166966">
      <w:marLeft w:val="0"/>
      <w:marRight w:val="0"/>
      <w:marTop w:val="0"/>
      <w:marBottom w:val="0"/>
      <w:divBdr>
        <w:top w:val="none" w:sz="0" w:space="0" w:color="auto"/>
        <w:left w:val="none" w:sz="0" w:space="0" w:color="auto"/>
        <w:bottom w:val="none" w:sz="0" w:space="0" w:color="auto"/>
        <w:right w:val="none" w:sz="0" w:space="0" w:color="auto"/>
      </w:divBdr>
      <w:divsChild>
        <w:div w:id="1271206593">
          <w:marLeft w:val="0"/>
          <w:marRight w:val="0"/>
          <w:marTop w:val="180"/>
          <w:marBottom w:val="0"/>
          <w:divBdr>
            <w:top w:val="none" w:sz="0" w:space="0" w:color="auto"/>
            <w:left w:val="none" w:sz="0" w:space="0" w:color="auto"/>
            <w:bottom w:val="none" w:sz="0" w:space="0" w:color="auto"/>
            <w:right w:val="none" w:sz="0" w:space="0" w:color="auto"/>
          </w:divBdr>
        </w:div>
      </w:divsChild>
    </w:div>
    <w:div w:id="2114133457">
      <w:marLeft w:val="0"/>
      <w:marRight w:val="0"/>
      <w:marTop w:val="180"/>
      <w:marBottom w:val="0"/>
      <w:divBdr>
        <w:top w:val="none" w:sz="0" w:space="0" w:color="auto"/>
        <w:left w:val="none" w:sz="0" w:space="0" w:color="auto"/>
        <w:bottom w:val="none" w:sz="0" w:space="0" w:color="auto"/>
        <w:right w:val="none" w:sz="0" w:space="0" w:color="auto"/>
      </w:divBdr>
    </w:div>
    <w:div w:id="2118282793">
      <w:marLeft w:val="0"/>
      <w:marRight w:val="0"/>
      <w:marTop w:val="180"/>
      <w:marBottom w:val="0"/>
      <w:divBdr>
        <w:top w:val="none" w:sz="0" w:space="0" w:color="auto"/>
        <w:left w:val="none" w:sz="0" w:space="0" w:color="auto"/>
        <w:bottom w:val="none" w:sz="0" w:space="0" w:color="auto"/>
        <w:right w:val="none" w:sz="0" w:space="0" w:color="auto"/>
      </w:divBdr>
    </w:div>
    <w:div w:id="2118795242">
      <w:marLeft w:val="0"/>
      <w:marRight w:val="0"/>
      <w:marTop w:val="0"/>
      <w:marBottom w:val="200"/>
      <w:divBdr>
        <w:top w:val="none" w:sz="0" w:space="0" w:color="auto"/>
        <w:left w:val="none" w:sz="0" w:space="0" w:color="auto"/>
        <w:bottom w:val="none" w:sz="0" w:space="0" w:color="auto"/>
        <w:right w:val="none" w:sz="0" w:space="0" w:color="auto"/>
      </w:divBdr>
    </w:div>
    <w:div w:id="2121030546">
      <w:marLeft w:val="0"/>
      <w:marRight w:val="0"/>
      <w:marTop w:val="180"/>
      <w:marBottom w:val="0"/>
      <w:divBdr>
        <w:top w:val="none" w:sz="0" w:space="0" w:color="auto"/>
        <w:left w:val="none" w:sz="0" w:space="0" w:color="auto"/>
        <w:bottom w:val="none" w:sz="0" w:space="0" w:color="auto"/>
        <w:right w:val="none" w:sz="0" w:space="0" w:color="auto"/>
      </w:divBdr>
    </w:div>
    <w:div w:id="2122214923">
      <w:marLeft w:val="0"/>
      <w:marRight w:val="0"/>
      <w:marTop w:val="180"/>
      <w:marBottom w:val="0"/>
      <w:divBdr>
        <w:top w:val="none" w:sz="0" w:space="0" w:color="auto"/>
        <w:left w:val="none" w:sz="0" w:space="0" w:color="auto"/>
        <w:bottom w:val="none" w:sz="0" w:space="0" w:color="auto"/>
        <w:right w:val="none" w:sz="0" w:space="0" w:color="auto"/>
      </w:divBdr>
    </w:div>
    <w:div w:id="2124959295">
      <w:marLeft w:val="0"/>
      <w:marRight w:val="0"/>
      <w:marTop w:val="180"/>
      <w:marBottom w:val="0"/>
      <w:divBdr>
        <w:top w:val="none" w:sz="0" w:space="0" w:color="auto"/>
        <w:left w:val="none" w:sz="0" w:space="0" w:color="auto"/>
        <w:bottom w:val="none" w:sz="0" w:space="0" w:color="auto"/>
        <w:right w:val="none" w:sz="0" w:space="0" w:color="auto"/>
      </w:divBdr>
    </w:div>
    <w:div w:id="2125268551">
      <w:marLeft w:val="0"/>
      <w:marRight w:val="0"/>
      <w:marTop w:val="120"/>
      <w:marBottom w:val="0"/>
      <w:divBdr>
        <w:top w:val="none" w:sz="0" w:space="0" w:color="auto"/>
        <w:left w:val="none" w:sz="0" w:space="0" w:color="auto"/>
        <w:bottom w:val="none" w:sz="0" w:space="0" w:color="auto"/>
        <w:right w:val="none" w:sz="0" w:space="0" w:color="auto"/>
      </w:divBdr>
    </w:div>
    <w:div w:id="2126919554">
      <w:marLeft w:val="0"/>
      <w:marRight w:val="0"/>
      <w:marTop w:val="180"/>
      <w:marBottom w:val="0"/>
      <w:divBdr>
        <w:top w:val="none" w:sz="0" w:space="0" w:color="auto"/>
        <w:left w:val="none" w:sz="0" w:space="0" w:color="auto"/>
        <w:bottom w:val="none" w:sz="0" w:space="0" w:color="auto"/>
        <w:right w:val="none" w:sz="0" w:space="0" w:color="auto"/>
      </w:divBdr>
    </w:div>
    <w:div w:id="2128814414">
      <w:marLeft w:val="0"/>
      <w:marRight w:val="0"/>
      <w:marTop w:val="180"/>
      <w:marBottom w:val="0"/>
      <w:divBdr>
        <w:top w:val="none" w:sz="0" w:space="0" w:color="auto"/>
        <w:left w:val="none" w:sz="0" w:space="0" w:color="auto"/>
        <w:bottom w:val="none" w:sz="0" w:space="0" w:color="auto"/>
        <w:right w:val="none" w:sz="0" w:space="0" w:color="auto"/>
      </w:divBdr>
    </w:div>
    <w:div w:id="2129423153">
      <w:marLeft w:val="0"/>
      <w:marRight w:val="0"/>
      <w:marTop w:val="180"/>
      <w:marBottom w:val="0"/>
      <w:divBdr>
        <w:top w:val="none" w:sz="0" w:space="0" w:color="auto"/>
        <w:left w:val="none" w:sz="0" w:space="0" w:color="auto"/>
        <w:bottom w:val="none" w:sz="0" w:space="0" w:color="auto"/>
        <w:right w:val="none" w:sz="0" w:space="0" w:color="auto"/>
      </w:divBdr>
    </w:div>
    <w:div w:id="2132898359">
      <w:marLeft w:val="0"/>
      <w:marRight w:val="0"/>
      <w:marTop w:val="180"/>
      <w:marBottom w:val="0"/>
      <w:divBdr>
        <w:top w:val="none" w:sz="0" w:space="0" w:color="auto"/>
        <w:left w:val="none" w:sz="0" w:space="0" w:color="auto"/>
        <w:bottom w:val="none" w:sz="0" w:space="0" w:color="auto"/>
        <w:right w:val="none" w:sz="0" w:space="0" w:color="auto"/>
      </w:divBdr>
    </w:div>
    <w:div w:id="2140221879">
      <w:marLeft w:val="0"/>
      <w:marRight w:val="0"/>
      <w:marTop w:val="180"/>
      <w:marBottom w:val="0"/>
      <w:divBdr>
        <w:top w:val="none" w:sz="0" w:space="0" w:color="auto"/>
        <w:left w:val="none" w:sz="0" w:space="0" w:color="auto"/>
        <w:bottom w:val="none" w:sz="0" w:space="0" w:color="auto"/>
        <w:right w:val="none" w:sz="0" w:space="0" w:color="auto"/>
      </w:divBdr>
    </w:div>
    <w:div w:id="2140611254">
      <w:marLeft w:val="0"/>
      <w:marRight w:val="0"/>
      <w:marTop w:val="240"/>
      <w:marBottom w:val="0"/>
      <w:divBdr>
        <w:top w:val="none" w:sz="0" w:space="0" w:color="auto"/>
        <w:left w:val="none" w:sz="0" w:space="0" w:color="auto"/>
        <w:bottom w:val="none" w:sz="0" w:space="0" w:color="auto"/>
        <w:right w:val="none" w:sz="0" w:space="0" w:color="auto"/>
      </w:divBdr>
    </w:div>
    <w:div w:id="2141529700">
      <w:marLeft w:val="0"/>
      <w:marRight w:val="0"/>
      <w:marTop w:val="180"/>
      <w:marBottom w:val="0"/>
      <w:divBdr>
        <w:top w:val="none" w:sz="0" w:space="0" w:color="auto"/>
        <w:left w:val="none" w:sz="0" w:space="0" w:color="auto"/>
        <w:bottom w:val="none" w:sz="0" w:space="0" w:color="auto"/>
        <w:right w:val="none" w:sz="0" w:space="0" w:color="auto"/>
      </w:divBdr>
    </w:div>
    <w:div w:id="2141914999">
      <w:marLeft w:val="0"/>
      <w:marRight w:val="0"/>
      <w:marTop w:val="180"/>
      <w:marBottom w:val="0"/>
      <w:divBdr>
        <w:top w:val="none" w:sz="0" w:space="0" w:color="auto"/>
        <w:left w:val="none" w:sz="0" w:space="0" w:color="auto"/>
        <w:bottom w:val="none" w:sz="0" w:space="0" w:color="auto"/>
        <w:right w:val="none" w:sz="0" w:space="0" w:color="auto"/>
      </w:divBdr>
    </w:div>
    <w:div w:id="2146467538">
      <w:marLeft w:val="0"/>
      <w:marRight w:val="0"/>
      <w:marTop w:val="0"/>
      <w:marBottom w:val="0"/>
      <w:divBdr>
        <w:top w:val="none" w:sz="0" w:space="0" w:color="auto"/>
        <w:left w:val="none" w:sz="0" w:space="0" w:color="auto"/>
        <w:bottom w:val="none" w:sz="0" w:space="0" w:color="auto"/>
        <w:right w:val="none" w:sz="0" w:space="0" w:color="auto"/>
      </w:divBdr>
      <w:divsChild>
        <w:div w:id="1542942104">
          <w:marLeft w:val="0"/>
          <w:marRight w:val="0"/>
          <w:marTop w:val="0"/>
          <w:marBottom w:val="0"/>
          <w:divBdr>
            <w:top w:val="none" w:sz="0" w:space="0" w:color="auto"/>
            <w:left w:val="none" w:sz="0" w:space="0" w:color="auto"/>
            <w:bottom w:val="none" w:sz="0" w:space="0" w:color="auto"/>
            <w:right w:val="none" w:sz="0" w:space="0" w:color="auto"/>
          </w:divBdr>
          <w:divsChild>
            <w:div w:id="14890527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771497/000162828020009677/abm4302020ex101.htm" TargetMode="External"/><Relationship Id="rId21" Type="http://schemas.openxmlformats.org/officeDocument/2006/relationships/hyperlink" Target="https://www.sec.gov/Archives/edgar/data/771497/000077149720000018/abm10312020ex41.htm" TargetMode="External"/><Relationship Id="rId42" Type="http://schemas.openxmlformats.org/officeDocument/2006/relationships/hyperlink" Target="https://www.sec.gov/Archives/edgar/data/771497/000077149720000018/abm10312020ex1016.htm" TargetMode="External"/><Relationship Id="rId47" Type="http://schemas.openxmlformats.org/officeDocument/2006/relationships/hyperlink" Target="http://www.sec.gov/Archives/edgar/data/771497/000162828015004719/abm4302015ex103.htm" TargetMode="External"/><Relationship Id="rId63" Type="http://schemas.openxmlformats.org/officeDocument/2006/relationships/hyperlink" Target="http://www.sec.gov/Archives/edgar/data/771497/000162828017012508/exhibit102910312017.htm" TargetMode="External"/><Relationship Id="rId68" Type="http://schemas.openxmlformats.org/officeDocument/2006/relationships/hyperlink" Target="http://www.sec.gov/Archives/edgar/data/771497/000162828018002860/abm1312018ex103.htm" TargetMode="External"/><Relationship Id="rId16" Type="http://schemas.openxmlformats.org/officeDocument/2006/relationships/hyperlink" Target="https://www.sec.gov/Archives/edgar/data/771497/000110465921109342/tm2125912d1_ex2-1.htm" TargetMode="External"/><Relationship Id="rId11" Type="http://schemas.openxmlformats.org/officeDocument/2006/relationships/image" Target="file:///E:\projects\LLMs\new_data_collection\data_new\htm\ABM%20INDUSTRIES%20INC%20DE\abm-20211031_g8.jpg" TargetMode="External"/><Relationship Id="rId32" Type="http://schemas.openxmlformats.org/officeDocument/2006/relationships/hyperlink" Target="http://www.sec.gov/Archives/edgar/data/771497/000114420418013607/tv488007_ex10-1.htm" TargetMode="External"/><Relationship Id="rId37" Type="http://schemas.openxmlformats.org/officeDocument/2006/relationships/hyperlink" Target="https://www.sec.gov/Archives/edgar/data/771497/000162828020003032/abm1312020ex101.htm" TargetMode="External"/><Relationship Id="rId53" Type="http://schemas.openxmlformats.org/officeDocument/2006/relationships/hyperlink" Target="https://www.sec.gov/Archives/edgar/data/771497/000077149721000016/abm4302021ex102.htm" TargetMode="External"/><Relationship Id="rId58" Type="http://schemas.openxmlformats.org/officeDocument/2006/relationships/hyperlink" Target="http://www.sec.gov/Archives/edgar/data/771497/000095012310116105/y87222exv10w22.htm" TargetMode="External"/><Relationship Id="rId74" Type="http://schemas.openxmlformats.org/officeDocument/2006/relationships/hyperlink" Target="https://www.sec.gov/Archives/edgar/data/771497/000077149721000016/abm4302021ex106.htm" TargetMode="External"/><Relationship Id="rId79" Type="http://schemas.openxmlformats.org/officeDocument/2006/relationships/hyperlink" Target="abm10312021ex311.htm" TargetMode="External"/><Relationship Id="rId5" Type="http://schemas.openxmlformats.org/officeDocument/2006/relationships/image" Target="file:///E:\projects\LLMs\new_data_collection\data_new\htm\ABM%20INDUSTRIES%20INC%20DE\abm-20211031_g2.jpg" TargetMode="External"/><Relationship Id="rId61" Type="http://schemas.openxmlformats.org/officeDocument/2006/relationships/hyperlink" Target="http://www.sec.gov/Archives/edgar/data/771497/000095012311023988/c12908exv10w1.htm" TargetMode="External"/><Relationship Id="rId82" Type="http://schemas.openxmlformats.org/officeDocument/2006/relationships/fontTable" Target="fontTable.xml"/><Relationship Id="rId19" Type="http://schemas.openxmlformats.org/officeDocument/2006/relationships/hyperlink" Target="https://www.sec.gov/Archives/edgar/data/771497/000110465920039488/tm2014024d1_ex3-1.htm" TargetMode="External"/><Relationship Id="rId14" Type="http://schemas.openxmlformats.org/officeDocument/2006/relationships/hyperlink" Target="http://www.sec.gov/Archives/edgar/data/771497/000114420418015512/tv488684_ex1-1.htm" TargetMode="External"/><Relationship Id="rId22" Type="http://schemas.openxmlformats.org/officeDocument/2006/relationships/hyperlink" Target="http://www.sec.gov/Archives/edgar/data/771497/000157104917007803/t1702518_ex10-2.htm" TargetMode="External"/><Relationship Id="rId27" Type="http://schemas.openxmlformats.org/officeDocument/2006/relationships/hyperlink" Target="https://www.sec.gov/Archives/edgar/data/771497/000077149721000026/abm73121ex101.htm" TargetMode="External"/><Relationship Id="rId30" Type="http://schemas.openxmlformats.org/officeDocument/2006/relationships/hyperlink" Target="http://www.sec.gov/Archives/edgar/data/771497/000095012310116105/y87222exv10w7.htm" TargetMode="External"/><Relationship Id="rId35" Type="http://schemas.openxmlformats.org/officeDocument/2006/relationships/hyperlink" Target="http://www.sec.gov/Archives/edgar/data/771497/000162828015004719/abm4302015ex102.htm" TargetMode="External"/><Relationship Id="rId43" Type="http://schemas.openxmlformats.org/officeDocument/2006/relationships/hyperlink" Target="https://www.sec.gov/Archives/edgar/data/771497/000077149720000018/abm10312020ex1017.htm" TargetMode="External"/><Relationship Id="rId48" Type="http://schemas.openxmlformats.org/officeDocument/2006/relationships/hyperlink" Target="https://www.sec.gov/Archives/edgar/data/771497/000162828020003032/abm1312020ex102.htm" TargetMode="External"/><Relationship Id="rId56" Type="http://schemas.openxmlformats.org/officeDocument/2006/relationships/hyperlink" Target="https://www.sec.gov/Archives/edgar/data/771497/000162828019015259/abm10312019ex1019.htm" TargetMode="External"/><Relationship Id="rId64" Type="http://schemas.openxmlformats.org/officeDocument/2006/relationships/hyperlink" Target="http://www.sec.gov/Archives/edgar/data/771497/000162828018002860/abm1312018ex101.htm" TargetMode="External"/><Relationship Id="rId69" Type="http://schemas.openxmlformats.org/officeDocument/2006/relationships/hyperlink" Target="http://www.sec.gov/Archives/edgar/data/771497/000162828018002860/abm1312018ex104.htm" TargetMode="External"/><Relationship Id="rId77" Type="http://schemas.openxmlformats.org/officeDocument/2006/relationships/hyperlink" Target="abm10312021ex211.htm" TargetMode="External"/><Relationship Id="rId8" Type="http://schemas.openxmlformats.org/officeDocument/2006/relationships/image" Target="file:///E:\projects\LLMs\new_data_collection\data_new\htm\ABM%20INDUSTRIES%20INC%20DE\abm-20211031_g5.jpg" TargetMode="External"/><Relationship Id="rId51" Type="http://schemas.openxmlformats.org/officeDocument/2006/relationships/hyperlink" Target="https://www.sec.gov/Archives/edgar/data/771497/000077149721000016/abm4302021ex102.htm" TargetMode="External"/><Relationship Id="rId72" Type="http://schemas.openxmlformats.org/officeDocument/2006/relationships/hyperlink" Target="https://www.sec.gov/Archives/edgar/data/771497/000162828019015259/abm10312019ex1035.htm" TargetMode="External"/><Relationship Id="rId80" Type="http://schemas.openxmlformats.org/officeDocument/2006/relationships/hyperlink" Target="abm10312021ex312.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ABM%20INDUSTRIES%20INC%20DE\abm-20211031_g9.jpg" TargetMode="External"/><Relationship Id="rId17" Type="http://schemas.openxmlformats.org/officeDocument/2006/relationships/hyperlink" Target="https://www.sec.gov/Archives/edgar/data/771497/000110465921109342/tm2125912d1_ex2-1.htm" TargetMode="External"/><Relationship Id="rId25" Type="http://schemas.openxmlformats.org/officeDocument/2006/relationships/hyperlink" Target="http://www.sec.gov/Archives/edgar/data/771497/000162828018011684/abm7312018ex102.htm" TargetMode="External"/><Relationship Id="rId33" Type="http://schemas.openxmlformats.org/officeDocument/2006/relationships/hyperlink" Target="https://www.sec.gov/Archives/edgar/data/771497/000110465921042414/tm2111054d1_ex10-1.htm" TargetMode="External"/><Relationship Id="rId38" Type="http://schemas.openxmlformats.org/officeDocument/2006/relationships/hyperlink" Target="https://www.sec.gov/Archives/edgar/data/771497/000162828020003032/abm1312020ex101.htm" TargetMode="External"/><Relationship Id="rId46" Type="http://schemas.openxmlformats.org/officeDocument/2006/relationships/hyperlink" Target="http://www.sec.gov/Archives/edgar/data/771497/000162828015004719/abm4302015ex103.htm" TargetMode="External"/><Relationship Id="rId59" Type="http://schemas.openxmlformats.org/officeDocument/2006/relationships/hyperlink" Target="http://www.sec.gov/Archives/edgar/data/771497/000095012308010739/y71046exv10w4.htm" TargetMode="External"/><Relationship Id="rId67" Type="http://schemas.openxmlformats.org/officeDocument/2006/relationships/hyperlink" Target="https://www.sec.gov/Archives/edgar/data/771497/000077149721000016/abm4302021ex108.htm" TargetMode="External"/><Relationship Id="rId20" Type="http://schemas.openxmlformats.org/officeDocument/2006/relationships/hyperlink" Target="https://www.sec.gov/Archives/edgar/data/771497/000110465920039488/tm2014024d1_ex3-2.htm" TargetMode="External"/><Relationship Id="rId41" Type="http://schemas.openxmlformats.org/officeDocument/2006/relationships/hyperlink" Target="https://www.sec.gov/Archives/edgar/data/771497/000077149720000018/abm10312020ex1016.htm" TargetMode="External"/><Relationship Id="rId54" Type="http://schemas.openxmlformats.org/officeDocument/2006/relationships/hyperlink" Target="https://www.sec.gov/Archives/edgar/data/771497/000077149721000016/abm4302021ex102.htm" TargetMode="External"/><Relationship Id="rId62" Type="http://schemas.openxmlformats.org/officeDocument/2006/relationships/hyperlink" Target="http://www.sec.gov/Archives/edgar/data/771497/000162828017012508/exhibit102810312017.htm" TargetMode="External"/><Relationship Id="rId70" Type="http://schemas.openxmlformats.org/officeDocument/2006/relationships/hyperlink" Target="http://www.sec.gov/Archives/edgar/data/771497/000162828019002600/abm1312019ex101.htm" TargetMode="External"/><Relationship Id="rId75" Type="http://schemas.openxmlformats.org/officeDocument/2006/relationships/hyperlink" Target="https://www.sec.gov/Archives/edgar/data/771497/000077149721000016/abm4302021ex107.htm"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11031_g3.jpg" TargetMode="External"/><Relationship Id="rId15" Type="http://schemas.openxmlformats.org/officeDocument/2006/relationships/hyperlink" Target="http://www.sec.gov/Archives/edgar/data/771497/000157104917006648/t1702122_ex2-1.htm" TargetMode="External"/><Relationship Id="rId23" Type="http://schemas.openxmlformats.org/officeDocument/2006/relationships/hyperlink" Target="http://www.sec.gov/Archives/edgar/data/771497/000162828017012508/exhibit103103117.htm" TargetMode="External"/><Relationship Id="rId28" Type="http://schemas.openxmlformats.org/officeDocument/2006/relationships/hyperlink" Target="http://www.sec.gov/Archives/edgar/data/771497/000095013405000777/f04468exv10w17.htm" TargetMode="External"/><Relationship Id="rId36" Type="http://schemas.openxmlformats.org/officeDocument/2006/relationships/hyperlink" Target="http://www.sec.gov/Archives/edgar/data/771497/000162828015004719/abm4302015ex102.htm" TargetMode="External"/><Relationship Id="rId49" Type="http://schemas.openxmlformats.org/officeDocument/2006/relationships/hyperlink" Target="https://www.sec.gov/Archives/edgar/data/771497/000162828020003032/abm1312020ex102.htm" TargetMode="External"/><Relationship Id="rId57" Type="http://schemas.openxmlformats.org/officeDocument/2006/relationships/hyperlink" Target="http://www.sec.gov/Archives/edgar/data/771497/000119312512382523/d383898dex101.htm" TargetMode="External"/><Relationship Id="rId10" Type="http://schemas.openxmlformats.org/officeDocument/2006/relationships/image" Target="file:///E:\projects\LLMs\new_data_collection\data_new\htm\ABM%20INDUSTRIES%20INC%20DE\abm-20211031_g7.jpg" TargetMode="External"/><Relationship Id="rId31" Type="http://schemas.openxmlformats.org/officeDocument/2006/relationships/hyperlink" Target="http://www.sec.gov/Archives/edgar/data/771497/000162828018015372/abm10312018ex109.htm" TargetMode="External"/><Relationship Id="rId44" Type="http://schemas.openxmlformats.org/officeDocument/2006/relationships/hyperlink" Target="https://www.sec.gov/Archives/edgar/data/771497/000077149721000016/abm4302021ex101.htm" TargetMode="External"/><Relationship Id="rId52" Type="http://schemas.openxmlformats.org/officeDocument/2006/relationships/hyperlink" Target="https://www.sec.gov/Archives/edgar/data/771497/000077149721000016/abm4302021ex102.htm" TargetMode="External"/><Relationship Id="rId60" Type="http://schemas.openxmlformats.org/officeDocument/2006/relationships/hyperlink" Target="http://www.sec.gov/Archives/edgar/data/771497/000095012308010739/y71046exv10w5.htm" TargetMode="External"/><Relationship Id="rId65" Type="http://schemas.openxmlformats.org/officeDocument/2006/relationships/hyperlink" Target="http://www.sec.gov/Archives/edgar/data/771497/000162828018002860/abm1312018ex102.htm" TargetMode="External"/><Relationship Id="rId73" Type="http://schemas.openxmlformats.org/officeDocument/2006/relationships/hyperlink" Target="https://www.sec.gov/Archives/edgar/data/771497/000077149721000016/abm4302021ex104.htm" TargetMode="External"/><Relationship Id="rId78" Type="http://schemas.openxmlformats.org/officeDocument/2006/relationships/hyperlink" Target="abm10312021ex231.htm" TargetMode="External"/><Relationship Id="rId81" Type="http://schemas.openxmlformats.org/officeDocument/2006/relationships/hyperlink" Target="abm10312021ex321.htm" TargetMode="External"/><Relationship Id="rId4" Type="http://schemas.openxmlformats.org/officeDocument/2006/relationships/image" Target="file:///E:\projects\LLMs\new_data_collection\data_new\htm\ABM%20INDUSTRIES%20INC%20DE\abm-20211031_g1.jpg" TargetMode="External"/><Relationship Id="rId9" Type="http://schemas.openxmlformats.org/officeDocument/2006/relationships/image" Target="file:///E:\projects\LLMs\new_data_collection\data_new\htm\ABM%20INDUSTRIES%20INC%20DE\abm-20211031_g6.jpg" TargetMode="External"/><Relationship Id="rId13" Type="http://schemas.openxmlformats.org/officeDocument/2006/relationships/image" Target="file:///E:\projects\LLMs\new_data_collection\data_new\htm\ABM%20INDUSTRIES%20INC%20DE\abm-20211031_g10.jpg" TargetMode="External"/><Relationship Id="rId18" Type="http://schemas.openxmlformats.org/officeDocument/2006/relationships/hyperlink" Target="https://www.sec.gov/Archives/edgar/data/771497/000110465921109342/tm2125912d1_ex2-1.htm" TargetMode="External"/><Relationship Id="rId39" Type="http://schemas.openxmlformats.org/officeDocument/2006/relationships/hyperlink" Target="https://www.sec.gov/Archives/edgar/data/771497/000162828020003032/abm1312020ex101.htm" TargetMode="External"/><Relationship Id="rId34" Type="http://schemas.openxmlformats.org/officeDocument/2006/relationships/hyperlink" Target="http://www.sec.gov/Archives/edgar/data/771497/000162828015004719/abm4302015ex102.htm" TargetMode="External"/><Relationship Id="rId50" Type="http://schemas.openxmlformats.org/officeDocument/2006/relationships/hyperlink" Target="https://www.sec.gov/Archives/edgar/data/771497/000162828020003032/abm1312020ex102.htm" TargetMode="External"/><Relationship Id="rId55" Type="http://schemas.openxmlformats.org/officeDocument/2006/relationships/hyperlink" Target="https://www.sec.gov/Archives/edgar/data/771497/000162828019015259/abm10312019ex1018.htm" TargetMode="External"/><Relationship Id="rId76" Type="http://schemas.openxmlformats.org/officeDocument/2006/relationships/hyperlink" Target="https://www.sec.gov/Archives/edgar/data/771497/000077149721000016/abm4302021ex103.htm" TargetMode="External"/><Relationship Id="rId7" Type="http://schemas.openxmlformats.org/officeDocument/2006/relationships/image" Target="file:///E:\projects\LLMs\new_data_collection\data_new\htm\ABM%20INDUSTRIES%20INC%20DE\abm-20211031_g4.jpg" TargetMode="External"/><Relationship Id="rId71" Type="http://schemas.openxmlformats.org/officeDocument/2006/relationships/hyperlink" Target="http://www.sec.gov/Archives/edgar/data/771497/000162828019002600/abm1312019ex102.htm" TargetMode="External"/><Relationship Id="rId2" Type="http://schemas.openxmlformats.org/officeDocument/2006/relationships/settings" Target="settings.xml"/><Relationship Id="rId29" Type="http://schemas.openxmlformats.org/officeDocument/2006/relationships/hyperlink" Target="http://www.sec.gov/Archives/edgar/data/771497/000095013406017513/f23539exv10w1.htm" TargetMode="External"/><Relationship Id="rId24" Type="http://schemas.openxmlformats.org/officeDocument/2006/relationships/hyperlink" Target="http://www.sec.gov/Archives/edgar/data/771497/000162828018011684/abm7312018ex101.htm" TargetMode="External"/><Relationship Id="rId40" Type="http://schemas.openxmlformats.org/officeDocument/2006/relationships/hyperlink" Target="https://www.sec.gov/Archives/edgar/data/771497/000077149720000018/abm10312020ex1016.htm" TargetMode="External"/><Relationship Id="rId45" Type="http://schemas.openxmlformats.org/officeDocument/2006/relationships/hyperlink" Target="http://www.sec.gov/Archives/edgar/data/771497/000162828015004719/abm4302015ex103.htm" TargetMode="External"/><Relationship Id="rId66" Type="http://schemas.openxmlformats.org/officeDocument/2006/relationships/hyperlink" Target="https://www.sec.gov/Archives/edgar/data/771497/000077149721000016/abm4302021ex10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56408</Words>
  <Characters>321529</Characters>
  <Application>Microsoft Office Word</Application>
  <DocSecurity>0</DocSecurity>
  <Lines>2679</Lines>
  <Paragraphs>754</Paragraphs>
  <ScaleCrop>false</ScaleCrop>
  <Company/>
  <LinksUpToDate>false</LinksUpToDate>
  <CharactersWithSpaces>377183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abm-20211031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