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9409C">
      <w:pPr>
        <w:divId w:val="1339582225"/>
        <w:rPr>
          <w:rFonts w:eastAsia="Times New Roman"/>
          <w:vanish/>
        </w:rPr>
      </w:pPr>
      <w:r>
        <w:rPr>
          <w:rFonts w:eastAsia="Times New Roman"/>
          <w:vanish/>
        </w:rPr>
        <w:t>000077149710/312022Q3FALSE00007714972021-11-012022-07-3100007714972022-09-08xbrli:shares00007714972022-07-31iso4217:USD00007714972021-10-31iso4217:USDxbrli:shares00007714972022-05-012022-07-3100007714972021-05-012021-07-3100007714972020-11-01</w:t>
      </w:r>
      <w:r>
        <w:rPr>
          <w:rFonts w:eastAsia="Times New Roman"/>
          <w:vanish/>
        </w:rPr>
        <w:t>2021-07-310000771497us-gaap:CommonStockMember2022-04-300000771497us-gaap:CommonStockMember2021-04-300000771497us-gaap:CommonStockMember2021-10-310000771497us-gaap:CommonStockMember2020-10-310000771497us-gaap:CommonStockMember2022-05-012022-07-310000771497u</w:t>
      </w:r>
      <w:r>
        <w:rPr>
          <w:rFonts w:eastAsia="Times New Roman"/>
          <w:vanish/>
        </w:rPr>
        <w:t>s-gaap:CommonStockMember2021-05-012021-07-310000771497us-gaap:CommonStockMember2021-11-012022-07-310000771497us-gaap:CommonStockMember2020-11-012021-07-310000771497us-gaap:CommonStockMember2022-07-310000771497us-gaap:CommonStockMember2021-07-310000771497us</w:t>
      </w:r>
      <w:r>
        <w:rPr>
          <w:rFonts w:eastAsia="Times New Roman"/>
          <w:vanish/>
        </w:rPr>
        <w:t>-gaap:AdditionalPaidInCapitalMember2022-04-300000771497us-gaap:AdditionalPaidInCapitalMember2021-04-300000771497us-gaap:AdditionalPaidInCapitalMember2021-10-310000771497us-gaap:AdditionalPaidInCapitalMember2020-10-310000771497us-gaap:AdditionalPaidInCapita</w:t>
      </w:r>
      <w:r>
        <w:rPr>
          <w:rFonts w:eastAsia="Times New Roman"/>
          <w:vanish/>
        </w:rPr>
        <w:t>lMember2022-05-012022-07-310000771497us-gaap:AdditionalPaidInCapitalMember2021-05-012021-07-310000771497us-gaap:AdditionalPaidInCapitalMember2021-11-012022-07-310000771497us-gaap:AdditionalPaidInCapitalMember2020-11-012021-07-310000771497us-gaap:Additional</w:t>
      </w:r>
      <w:r>
        <w:rPr>
          <w:rFonts w:eastAsia="Times New Roman"/>
          <w:vanish/>
        </w:rPr>
        <w:t>PaidInCapitalMember2022-07-310000771497us-gaap:AdditionalPaidInCapitalMember2021-07-310000771497us-gaap:AccumulatedOtherComprehensiveIncomeMember2022-04-300000771497us-gaap:AccumulatedOtherComprehensiveIncomeMember2021-04-300000771497us-gaap:AccumulatedOth</w:t>
      </w:r>
      <w:r>
        <w:rPr>
          <w:rFonts w:eastAsia="Times New Roman"/>
          <w:vanish/>
        </w:rPr>
        <w:t>erComprehensiveIncomeMember2021-10-310000771497us-gaap:AccumulatedOtherComprehensiveIncomeMember2020-10-310000771497us-gaap:AccumulatedOtherComprehensiveIncomeMember2022-05-012022-07-310000771497us-gaap:AccumulatedOtherComprehensiveIncomeMember2021-05-0120</w:t>
      </w:r>
      <w:r>
        <w:rPr>
          <w:rFonts w:eastAsia="Times New Roman"/>
          <w:vanish/>
        </w:rPr>
        <w:t>21-07-310000771497us-gaap:AccumulatedOtherComprehensiveIncomeMember2021-11-012022-07-310000771497us-gaap:AccumulatedOtherComprehensiveIncomeMember2020-11-012021-07-310000771497us-gaap:AccumulatedOtherComprehensiveIncomeMember2022-07-310000771497us-gaap:Acc</w:t>
      </w:r>
      <w:r>
        <w:rPr>
          <w:rFonts w:eastAsia="Times New Roman"/>
          <w:vanish/>
        </w:rPr>
        <w:t>umulatedOtherComprehensiveIncomeMember2021-07-310000771497us-gaap:RetainedEarningsMember2022-04-300000771497us-gaap:RetainedEarningsMember2021-04-300000771497us-gaap:RetainedEarningsMember2021-10-310000771497us-gaap:RetainedEarningsMember2020-10-3100007714</w:t>
      </w:r>
      <w:r>
        <w:rPr>
          <w:rFonts w:eastAsia="Times New Roman"/>
          <w:vanish/>
        </w:rPr>
        <w:t>97us-gaap:RetainedEarningsMember2022-05-012022-07-310000771497us-gaap:RetainedEarningsMember2021-05-012021-07-310000771497us-gaap:RetainedEarningsMember2021-11-012022-07-310000771497us-gaap:RetainedEarningsMember2020-11-012021-07-310000771497us-gaap:Retain</w:t>
      </w:r>
      <w:r>
        <w:rPr>
          <w:rFonts w:eastAsia="Times New Roman"/>
          <w:vanish/>
        </w:rPr>
        <w:t>edEarningsMember2022-07-310000771497us-gaap:RetainedEarningsMember2021-07-3100007714972021-07-3100007714972020-10-31abm:industryGroupabm:segment0000771497abm:ManagementReimbursementRevenueMemberabm:BusinessAndIndustryMember2022-05-012022-07-310000771497abm</w:t>
      </w:r>
      <w:r>
        <w:rPr>
          <w:rFonts w:eastAsia="Times New Roman"/>
          <w:vanish/>
        </w:rPr>
        <w:t>:ManagementReimbursementRevenueMemberabm:BusinessAndIndustryMember2021-05-012021-07-310000771497abm:ManagementReimbursementRevenueMemberabm:BusinessAndIndustryMember2021-11-012022-07-310000771497abm:ManagementReimbursementRevenueMemberabm:BusinessAndIndust</w:t>
      </w:r>
      <w:r>
        <w:rPr>
          <w:rFonts w:eastAsia="Times New Roman"/>
          <w:vanish/>
        </w:rPr>
        <w:t>ryMember2020-11-012021-07-310000771497abm:AviationMemberabm:ManagementReimbursementRevenueMember2022-05-012022-07-310000771497abm:AviationMemberabm:ManagementReimbursementRevenueMember2021-05-012021-07-310000771497abm:AviationMemberabm:ManagementReimbursem</w:t>
      </w:r>
      <w:r>
        <w:rPr>
          <w:rFonts w:eastAsia="Times New Roman"/>
          <w:vanish/>
        </w:rPr>
        <w:t>entRevenueMember2021-11-012022-07-310000771497abm:AviationMemberabm:ManagementReimbursementRevenueMember2020-11-012021-07-310000771497abm:ManagementReimbursementRevenueMember2022-05-012022-07-310000771497abm:ManagementReimbursementRevenueMember2021-05-0120</w:t>
      </w:r>
      <w:r>
        <w:rPr>
          <w:rFonts w:eastAsia="Times New Roman"/>
          <w:vanish/>
        </w:rPr>
        <w:t>21-07-310000771497abm:ManagementReimbursementRevenueMember2021-11-012022-07-310000771497abm:ManagementReimbursementRevenueMember2020-11-012021-07-310000771497abm:AbleMember2021-09-300000771497abm:AbleMember2022-07-310000771497abm:AbleMember2021-09-302022-0</w:t>
      </w:r>
      <w:r>
        <w:rPr>
          <w:rFonts w:eastAsia="Times New Roman"/>
          <w:vanish/>
        </w:rPr>
        <w:t>7-310000771497abm:AbleMemberus-gaap:CustomerRelationshipsMember2021-09-300000771497abm:AbleMemberus-gaap:CustomerRelationshipsMember2022-07-310000771497abm:AbleMemberus-gaap:TradeNamesMember2021-09-300000771497abm:AbleMemberus-gaap:TradeNamesMember2022-07-</w:t>
      </w:r>
      <w:r>
        <w:rPr>
          <w:rFonts w:eastAsia="Times New Roman"/>
          <w:vanish/>
        </w:rPr>
        <w:t>310000771497abm:AbleMemberus-gaap:CustomerRelationshipsMember2021-09-302021-09-300000771497abm:AbleMemberus-gaap:TradeNamesMember2021-09-302021-09-300000771497abm:AbleMember2022-05-012022-07-310000771497abm:AbleMember2021-11-012022-07-310000771497abm:AbleM</w:t>
      </w:r>
      <w:r>
        <w:rPr>
          <w:rFonts w:eastAsia="Times New Roman"/>
          <w:vanish/>
        </w:rPr>
        <w:t>ember2021-09-302021-09-30xbrli:pure0000771497abm:AbleMember2021-05-012021-07-310000771497abm:AbleMember2020-11-012021-07-310000771497abm:AbleMember2021-10-310000771497abm:AbleLegalMattersMembersrt:MinimumMember2022-07-310000771497srt:MaximumMemberabm:AbleL</w:t>
      </w:r>
      <w:r>
        <w:rPr>
          <w:rFonts w:eastAsia="Times New Roman"/>
          <w:vanish/>
        </w:rPr>
        <w:t>egalMattersMember2022-07-310000771497abm:MaybinSupportServicesLimitedMomentumSupportLimitedUKAndMomentumPropertySupportServicesLimitedMember2022-04-072022-04-070000771497abm:MaybinSupportServicesLimitedMomentumSupportLimitedUKAndMomentumPropertySupportServ</w:t>
      </w:r>
      <w:r>
        <w:rPr>
          <w:rFonts w:eastAsia="Times New Roman"/>
          <w:vanish/>
        </w:rPr>
        <w:t>icesLimitedMember2022-07-310000771497abm:MaybinSupportServicesLimitedMomentumSupportLimitedUKAndMomentumPropertySupportServicesLimitedMember2022-05-012022-07-310000771497abm:MaybinSupportServicesLimitedMomentumSupportLimitedUKAndMomentumPropertySupportServ</w:t>
      </w:r>
      <w:r>
        <w:rPr>
          <w:rFonts w:eastAsia="Times New Roman"/>
          <w:vanish/>
        </w:rPr>
        <w:t>icesLimitedMember2021-11-012022-07-310000771497abm:CustomerContractsForHealthcareTechnologyManagementMemberabm:TechnicalSolutionsMemberus-gaap:DisposalGroupDisposedOfBySaleNotDiscontinuedOperationsMember2022-01-310000771497abm:CustomerContractsForHealthcar</w:t>
      </w:r>
      <w:r>
        <w:rPr>
          <w:rFonts w:eastAsia="Times New Roman"/>
          <w:vanish/>
        </w:rPr>
        <w:t>eTechnologyManagementMemberabm:TechnicalSolutionsMemberus-gaap:DisposalGroupDisposedOfBySaleNotDiscontinuedOperationsMember2021-11-012022-07-310000771497abm:JanitorialMemberus-gaap:OperatingSegmentsMemberabm:BusinessAndIndustryMember2022-05-012022-07-31000</w:t>
      </w:r>
      <w:r>
        <w:rPr>
          <w:rFonts w:eastAsia="Times New Roman"/>
          <w:vanish/>
        </w:rPr>
        <w:t>0771497abm:ManufacturingAndDistributionMemberabm:JanitorialMemberus-gaap:OperatingSegmentsMember2022-05-012022-07-310000771497abm:EducationMemberabm:JanitorialMemberus-gaap:OperatingSegmentsMember2022-05-012022-07-310000771497abm:AviationMemberabm:Janitori</w:t>
      </w:r>
      <w:r>
        <w:rPr>
          <w:rFonts w:eastAsia="Times New Roman"/>
          <w:vanish/>
        </w:rPr>
        <w:t>alMemberus-gaap:OperatingSegmentsMember2022-05-012022-07-310000771497abm:TechnicalSolutionsMemberabm:JanitorialMemberus-gaap:OperatingSegmentsMember2022-05-012022-07-310000771497abm:JanitorialMemberus-gaap:OperatingSegmentsMember2022-05-012022-07-310000771</w:t>
      </w:r>
      <w:r>
        <w:rPr>
          <w:rFonts w:eastAsia="Times New Roman"/>
          <w:vanish/>
        </w:rPr>
        <w:t>497abm:JanitorialMemberus-gaap:OperatingSegmentsMemberabm:BusinessAndIndustryMember2021-11-012022-07-310000771497abm:ManufacturingAndDistributionMemberabm:JanitorialMemberus-gaap:OperatingSegmentsMember2021-11-012022-07-310000771497abm:EducationMemberabm:J</w:t>
      </w:r>
      <w:r>
        <w:rPr>
          <w:rFonts w:eastAsia="Times New Roman"/>
          <w:vanish/>
        </w:rPr>
        <w:t>anitorialMemberus-gaap:OperatingSegmentsMember2021-11-012022-07-310000771497abm:AviationMemberabm:JanitorialMemberus-gaap:OperatingSegmentsMember2021-11-012022-07-310000771497abm:TechnicalSolutionsMemberabm:JanitorialMemberus-gaap:OperatingSegmentsMember20</w:t>
      </w:r>
      <w:r>
        <w:rPr>
          <w:rFonts w:eastAsia="Times New Roman"/>
          <w:vanish/>
        </w:rPr>
        <w:t>21-11-012022-07-310000771497abm:JanitorialMemberus-gaap:OperatingSegmentsMember2021-11-012022-07-310000771497us-gaap:ParkingMemberus-gaap:OperatingSegmentsMemberabm:BusinessAndIndustryMember2022-05-012022-07-310000771497us-gaap:ParkingMemberabm:Manufacturi</w:t>
      </w:r>
      <w:r>
        <w:rPr>
          <w:rFonts w:eastAsia="Times New Roman"/>
          <w:vanish/>
        </w:rPr>
        <w:t>ngAndDistributionMemberus-gaap:OperatingSegmentsMember2022-05-012022-07-310000771497abm:EducationMemberus-gaap:ParkingMemberus-gaap:OperatingSegmentsMember2022-05-012022-07-310000771497abm:AviationMemberus-gaap:ParkingMemberus-gaap:OperatingSegmentsMember2</w:t>
      </w:r>
      <w:r>
        <w:rPr>
          <w:rFonts w:eastAsia="Times New Roman"/>
          <w:vanish/>
        </w:rPr>
        <w:t>022-05-012022-07-310000771497abm:TechnicalSolutionsMemberus-gaap:ParkingMemberus-gaap:OperatingSegmentsMember2022-05-012022-07-310000771497us-gaap:ParkingMemberus-gaap:OperatingSegmentsMember2022-05-012022-07-310000771497us-gaap:ParkingMemberus-gaap:Operat</w:t>
      </w:r>
      <w:r>
        <w:rPr>
          <w:rFonts w:eastAsia="Times New Roman"/>
          <w:vanish/>
        </w:rPr>
        <w:t>ingSegmentsMemberabm:BusinessAndIndustryMember2021-11-012022-07-310000771497us-gaap:ParkingMemberabm:ManufacturingAndDistributionMemberus-gaap:OperatingSegmentsMember2021-11-012022-07-310000771497abm:EducationMemberus-gaap:ParkingMemberus-gaap:OperatingSeg</w:t>
      </w:r>
      <w:r>
        <w:rPr>
          <w:rFonts w:eastAsia="Times New Roman"/>
          <w:vanish/>
        </w:rPr>
        <w:t>mentsMember2021-11-012022-07-310000771497abm:AviationMemberus-gaap:ParkingMemberus-gaap:OperatingSegmentsMember2021-11-012022-07-310000771497abm:TechnicalSolutionsMemberus-gaap:ParkingMemberus-gaap:OperatingSegmentsMember2021-11-012022-07-310000771497us-ga</w:t>
      </w:r>
      <w:r>
        <w:rPr>
          <w:rFonts w:eastAsia="Times New Roman"/>
          <w:vanish/>
        </w:rPr>
        <w:t>ap:ParkingMemberus-gaap:OperatingSegmentsMember2021-11-012022-07-310000771497abm:FacilityServicesMemberus-gaap:OperatingSegmentsMemberabm:BusinessAndIndustryMember2022-05-012022-07-310000771497abm:FacilityServicesMemberabm:ManufacturingAndDistributionMembe</w:t>
      </w:r>
      <w:r>
        <w:rPr>
          <w:rFonts w:eastAsia="Times New Roman"/>
          <w:vanish/>
        </w:rPr>
        <w:t>rus-gaap:OperatingSegmentsMember2022-05-012022-07-310000771497abm:EducationMemberabm:FacilityServicesMemberus-gaap:OperatingSegmentsMember2022-05-012022-07-310000771497abm:AviationMemberabm:FacilityServicesMemberus-gaap:OperatingSegmentsMember2022-05-01202</w:t>
      </w:r>
      <w:r>
        <w:rPr>
          <w:rFonts w:eastAsia="Times New Roman"/>
          <w:vanish/>
        </w:rPr>
        <w:t>2-07-310000771497abm:FacilityServicesMemberabm:TechnicalSolutionsMemberus-gaap:OperatingSegmentsMember2022-05-012022-07-310000771497abm:FacilityServicesMemberus-gaap:OperatingSegmentsMember2022-05-012022-07-310000771497abm:FacilityServicesMemberus-gaap:Ope</w:t>
      </w:r>
      <w:r>
        <w:rPr>
          <w:rFonts w:eastAsia="Times New Roman"/>
          <w:vanish/>
        </w:rPr>
        <w:t>ratingSegmentsMemberabm:BusinessAndIndustryMember2021-11-012022-07-310000771497abm:FacilityServicesMemberabm:ManufacturingAndDistributionMemberus-gaap:OperatingSegmentsMember2021-11-012022-07-310000771497abm:EducationMemberabm:FacilityServicesMemberus-gaap</w:t>
      </w:r>
      <w:r>
        <w:rPr>
          <w:rFonts w:eastAsia="Times New Roman"/>
          <w:vanish/>
        </w:rPr>
        <w:t>:OperatingSegmentsMember2021-11-012022-07-310000771497abm:AviationMemberabm:FacilityServicesMemberus-gaap:OperatingSegmentsMember2021-11-012022-07-310000771497abm:FacilityServicesMemberabm:TechnicalSolutionsMemberus-gaap:OperatingSegmentsMember2021-11-0120</w:t>
      </w:r>
      <w:r>
        <w:rPr>
          <w:rFonts w:eastAsia="Times New Roman"/>
          <w:vanish/>
        </w:rPr>
        <w:t>22-07-310000771497abm:FacilityServicesMemberus-gaap:OperatingSegmentsMember2021-11-012022-07-310000771497abm:BuildingAndEnergySolutionsMemberus-gaap:OperatingSegmentsMemberabm:BusinessAndIndustryMember2022-05-012022-07-310000771497abm:BuildingAndEnergySolu</w:t>
      </w:r>
      <w:r>
        <w:rPr>
          <w:rFonts w:eastAsia="Times New Roman"/>
          <w:vanish/>
        </w:rPr>
        <w:t>tionsMemberabm:ManufacturingAndDistributionMemberus-gaap:OperatingSegmentsMember2022-05-012022-07-310000771497abm:BuildingAndEnergySolutionsMemberabm:EducationMemberus-gaap:OperatingSegmentsMember2022-05-012022-07-310000771497abm:BuildingAndEnergySolutions</w:t>
      </w:r>
      <w:r>
        <w:rPr>
          <w:rFonts w:eastAsia="Times New Roman"/>
          <w:vanish/>
        </w:rPr>
        <w:t>Memberabm:AviationMemberus-gaap:OperatingSegmentsMember2022-05-012022-07-310000771497abm:BuildingAndEnergySolutionsMemberabm:TechnicalSolutionsMemberus-gaap:OperatingSegmentsMember2022-05-012022-07-310000771497abm:BuildingAndEnergySolutionsMemberus-gaap:Op</w:t>
      </w:r>
      <w:r>
        <w:rPr>
          <w:rFonts w:eastAsia="Times New Roman"/>
          <w:vanish/>
        </w:rPr>
        <w:t>eratingSegmentsMember2022-05-012022-07-310000771497abm:BuildingAndEnergySolutionsMemberus-gaap:OperatingSegmentsMemberabm:BusinessAndIndustryMember2021-11-012022-07-310000771497abm:BuildingAndEnergySolutionsMemberabm:ManufacturingAndDistributionMemberus-ga</w:t>
      </w:r>
      <w:r>
        <w:rPr>
          <w:rFonts w:eastAsia="Times New Roman"/>
          <w:vanish/>
        </w:rPr>
        <w:t>ap:OperatingSegmentsMember2021-11-012022-07-310000771497abm:BuildingAndEnergySolutionsMemberabm:EducationMemberus-gaap:OperatingSegmentsMember2021-11-012022-07-310000771497abm:BuildingAndEnergySolutionsMemberabm:AviationMemberus-gaap:OperatingSegmentsMembe</w:t>
      </w:r>
      <w:r>
        <w:rPr>
          <w:rFonts w:eastAsia="Times New Roman"/>
          <w:vanish/>
        </w:rPr>
        <w:t>r2021-11-012022-07-310000771497abm:BuildingAndEnergySolutionsMemberabm:TechnicalSolutionsMemberus-gaap:OperatingSegmentsMember2021-11-012022-07-310000771497abm:BuildingAndEnergySolutionsMemberus-gaap:OperatingSegmentsMember2021-11-012022-07-310000771497abm</w:t>
      </w:r>
      <w:r>
        <w:rPr>
          <w:rFonts w:eastAsia="Times New Roman"/>
          <w:vanish/>
        </w:rPr>
        <w:t>:AirlineServicesMemberus-gaap:OperatingSegmentsMemberabm:BusinessAndIndustryMember2022-05-012022-07-310000771497abm:AirlineServicesMemberabm:ManufacturingAndDistributionMemberus-gaap:OperatingSegmentsMember2022-05-012022-07-310000771497abm:EducationMembera</w:t>
      </w:r>
      <w:r>
        <w:rPr>
          <w:rFonts w:eastAsia="Times New Roman"/>
          <w:vanish/>
        </w:rPr>
        <w:t>bm:AirlineServicesMemberus-gaap:OperatingSegmentsMember2022-05-012022-07-310000771497abm:AviationMemberabm:AirlineServicesMemberus-gaap:OperatingSegmentsMember2022-05-012022-07-310000771497abm:AirlineServicesMemberabm:TechnicalSolutionsMemberus-gaap:Operat</w:t>
      </w:r>
      <w:r>
        <w:rPr>
          <w:rFonts w:eastAsia="Times New Roman"/>
          <w:vanish/>
        </w:rPr>
        <w:t>ingSegmentsMember2022-05-012022-07-310000771497abm:AirlineServicesMemberus-gaap:OperatingSegmentsMember2022-05-012022-07-310000771497abm:AirlineServicesMemberus-gaap:OperatingSegmentsMemberabm:BusinessAndIndustryMember2021-11-012022-07-310000771497abm:Airl</w:t>
      </w:r>
      <w:r>
        <w:rPr>
          <w:rFonts w:eastAsia="Times New Roman"/>
          <w:vanish/>
        </w:rPr>
        <w:t>ineServicesMemberabm:ManufacturingAndDistributionMemberus-gaap:OperatingSegmentsMember2021-11-012022-07-310000771497abm:EducationMemberabm:AirlineServicesMemberus-gaap:OperatingSegmentsMember2021-11-012022-07-310000771497abm:AviationMemberabm:AirlineServic</w:t>
      </w:r>
      <w:r>
        <w:rPr>
          <w:rFonts w:eastAsia="Times New Roman"/>
          <w:vanish/>
        </w:rPr>
        <w:t>esMemberus-gaap:OperatingSegmentsMember2021-11-012022-07-310000771497abm:AirlineServicesMemberabm:TechnicalSolutionsMemberus-gaap:OperatingSegmentsMember2021-11-012022-07-310000771497abm:AirlineServicesMemberus-gaap:OperatingSegmentsMember2021-11-012022-07</w:t>
      </w:r>
      <w:r>
        <w:rPr>
          <w:rFonts w:eastAsia="Times New Roman"/>
          <w:vanish/>
        </w:rPr>
        <w:t>-310000771497us-gaap:OperatingSegmentsMemberabm:BusinessAndIndustryMember2022-05-012022-07-310000771497abm:ManufacturingAndDistributionMemberus-gaap:OperatingSegmentsMember2022-05-012022-07-310000771497abm:EducationMemberus-gaap:OperatingSegmentsMember2022</w:t>
      </w:r>
      <w:r>
        <w:rPr>
          <w:rFonts w:eastAsia="Times New Roman"/>
          <w:vanish/>
        </w:rPr>
        <w:t>-05-012022-07-310000771497abm:AviationMemberus-gaap:OperatingSegmentsMember2022-05-012022-07-310000771497abm:TechnicalSolutionsMemberus-gaap:OperatingSegmentsMember2022-05-012022-07-310000771497us-gaap:OperatingSegmentsMember2022-05-012022-07-310000771497u</w:t>
      </w:r>
      <w:r>
        <w:rPr>
          <w:rFonts w:eastAsia="Times New Roman"/>
          <w:vanish/>
        </w:rPr>
        <w:t>s-gaap:OperatingSegmentsMemberabm:BusinessAndIndustryMember2021-11-012022-07-310000771497abm:ManufacturingAndDistributionMemberus-gaap:OperatingSegmentsMember2021-11-012022-07-310000771497abm:EducationMemberus-gaap:OperatingSegmentsMember2021-11-012022-07-</w:t>
      </w:r>
      <w:r>
        <w:rPr>
          <w:rFonts w:eastAsia="Times New Roman"/>
          <w:vanish/>
        </w:rPr>
        <w:t>310000771497abm:AviationMemberus-gaap:OperatingSegmentsMember2021-11-012022-07-310000771497abm:TechnicalSolutionsMemberus-gaap:OperatingSegmentsMember2021-11-012022-07-310000771497us-gaap:OperatingSegmentsMember2021-11-012022-07-310000771497abm:JanitorialM</w:t>
      </w:r>
      <w:r>
        <w:rPr>
          <w:rFonts w:eastAsia="Times New Roman"/>
          <w:vanish/>
        </w:rPr>
        <w:t>emberus-gaap:OperatingSegmentsMemberabm:BusinessAndIndustryMember2021-05-012021-07-310000771497abm:ManufacturingAndDistributionMemberabm:JanitorialMemberus-gaap:OperatingSegmentsMember2021-05-012021-07-310000771497abm:EducationMemberabm:JanitorialMemberus-</w:t>
      </w:r>
      <w:r>
        <w:rPr>
          <w:rFonts w:eastAsia="Times New Roman"/>
          <w:vanish/>
        </w:rPr>
        <w:t>gaap:OperatingSegmentsMember2021-05-012021-07-310000771497abm:AviationMemberabm:JanitorialMemberus-gaap:OperatingSegmentsMember2021-05-012021-07-310000771497abm:TechnicalSolutionsMemberabm:JanitorialMemberus-gaap:OperatingSegmentsMember2021-05-012021-07-31</w:t>
      </w:r>
      <w:r>
        <w:rPr>
          <w:rFonts w:eastAsia="Times New Roman"/>
          <w:vanish/>
        </w:rPr>
        <w:t>0000771497abm:JanitorialMemberus-gaap:OperatingSegmentsMember2021-05-012021-07-310000771497abm:JanitorialMemberus-gaap:OperatingSegmentsMemberabm:BusinessAndIndustryMember2020-11-012021-07-310000771497abm:ManufacturingAndDistributionMemberabm:JanitorialMem</w:t>
      </w:r>
      <w:r>
        <w:rPr>
          <w:rFonts w:eastAsia="Times New Roman"/>
          <w:vanish/>
        </w:rPr>
        <w:t>berus-gaap:OperatingSegmentsMember2020-11-012021-07-310000771497abm:EducationMemberabm:JanitorialMemberus-gaap:OperatingSegmentsMember2020-11-012021-07-310000771497abm:AviationMemberabm:JanitorialMemberus-gaap:OperatingSegmentsMember2020-11-012021-07-31000</w:t>
      </w:r>
      <w:r>
        <w:rPr>
          <w:rFonts w:eastAsia="Times New Roman"/>
          <w:vanish/>
        </w:rPr>
        <w:t>0771497abm:TechnicalSolutionsMemberabm:JanitorialMemberus-gaap:OperatingSegmentsMember2020-11-012021-07-310000771497abm:JanitorialMemberus-gaap:OperatingSegmentsMember2020-11-012021-07-310000771497us-gaap:ParkingMemberus-gaap:OperatingSegmentsMemberabm:Bus</w:t>
      </w:r>
      <w:r>
        <w:rPr>
          <w:rFonts w:eastAsia="Times New Roman"/>
          <w:vanish/>
        </w:rPr>
        <w:t>inessAndIndustryMember2021-05-012021-07-310000771497us-gaap:ParkingMemberabm:ManufacturingAndDistributionMemberus-gaap:OperatingSegmentsMember2021-05-012021-07-310000771497abm:EducationMemberus-gaap:ParkingMemberus-gaap:OperatingSegmentsMember2021-05-01202</w:t>
      </w:r>
      <w:r>
        <w:rPr>
          <w:rFonts w:eastAsia="Times New Roman"/>
          <w:vanish/>
        </w:rPr>
        <w:t>1-07-310000771497abm:AviationMemberus-gaap:ParkingMemberus-gaap:OperatingSegmentsMember2021-05-012021-07-310000771497abm:TechnicalSolutionsMemberus-gaap:ParkingMemberus-gaap:OperatingSegmentsMember2021-05-012021-07-310000771497us-gaap:ParkingMemberus-gaap:</w:t>
      </w:r>
      <w:r>
        <w:rPr>
          <w:rFonts w:eastAsia="Times New Roman"/>
          <w:vanish/>
        </w:rPr>
        <w:t>OperatingSegmentsMember2021-05-012021-07-310000771497us-gaap:ParkingMemberus-gaap:OperatingSegmentsMemberabm:BusinessAndIndustryMember2020-11-012021-07-310000771497us-gaap:ParkingMemberabm:ManufacturingAndDistributionMemberus-gaap:OperatingSegmentsMember20</w:t>
      </w:r>
      <w:r>
        <w:rPr>
          <w:rFonts w:eastAsia="Times New Roman"/>
          <w:vanish/>
        </w:rPr>
        <w:t>20-11-012021-07-310000771497abm:EducationMemberus-gaap:ParkingMemberus-gaap:OperatingSegmentsMember2020-11-012021-07-310000771497abm:AviationMemberus-gaap:ParkingMemberus-gaap:OperatingSegmentsMember2020-11-012021-07-310000771497abm:TechnicalSolutionsMembe</w:t>
      </w:r>
      <w:r>
        <w:rPr>
          <w:rFonts w:eastAsia="Times New Roman"/>
          <w:vanish/>
        </w:rPr>
        <w:t>rus-gaap:ParkingMemberus-gaap:OperatingSegmentsMember2020-11-012021-07-310000771497us-gaap:ParkingMemberus-gaap:OperatingSegmentsMember2020-11-012021-07-310000771497abm:FacilityServicesMemberus-gaap:OperatingSegmentsMemberabm:BusinessAndIndustryMember2021-</w:t>
      </w:r>
      <w:r>
        <w:rPr>
          <w:rFonts w:eastAsia="Times New Roman"/>
          <w:vanish/>
        </w:rPr>
        <w:t>05-012021-07-310000771497abm:FacilityServicesMemberabm:ManufacturingAndDistributionMemberus-gaap:OperatingSegmentsMember2021-05-012021-07-310000771497abm:EducationMemberabm:FacilityServicesMemberus-gaap:OperatingSegmentsMember2021-05-012021-07-310000771497</w:t>
      </w:r>
      <w:r>
        <w:rPr>
          <w:rFonts w:eastAsia="Times New Roman"/>
          <w:vanish/>
        </w:rPr>
        <w:t>abm:AviationMemberabm:FacilityServicesMemberus-gaap:OperatingSegmentsMember2021-05-012021-07-310000771497abm:FacilityServicesMemberabm:TechnicalSolutionsMemberus-gaap:OperatingSegmentsMember2021-05-012021-07-310000771497abm:FacilityServicesMemberus-gaap:Op</w:t>
      </w:r>
      <w:r>
        <w:rPr>
          <w:rFonts w:eastAsia="Times New Roman"/>
          <w:vanish/>
        </w:rPr>
        <w:t>eratingSegmentsMember2021-05-012021-07-310000771497abm:FacilityServicesMemberus-gaap:OperatingSegmentsMemberabm:BusinessAndIndustryMember2020-11-012021-07-310000771497abm:FacilityServicesMemberabm:ManufacturingAndDistributionMemberus-gaap:OperatingSegments</w:t>
      </w:r>
      <w:r>
        <w:rPr>
          <w:rFonts w:eastAsia="Times New Roman"/>
          <w:vanish/>
        </w:rPr>
        <w:t>Member2020-11-012021-07-310000771497abm:EducationMemberabm:FacilityServicesMemberus-gaap:OperatingSegmentsMember2020-11-012021-07-310000771497abm:AviationMemberabm:FacilityServicesMemberus-gaap:OperatingSegmentsMember2020-11-012021-07-310000771497abm:Facil</w:t>
      </w:r>
      <w:r>
        <w:rPr>
          <w:rFonts w:eastAsia="Times New Roman"/>
          <w:vanish/>
        </w:rPr>
        <w:t>ityServicesMemberabm:TechnicalSolutionsMemberus-gaap:OperatingSegmentsMember2020-11-012021-07-310000771497abm:FacilityServicesMemberus-gaap:OperatingSegmentsMember2020-11-012021-07-310000771497abm:BuildingAndEnergySolutionsMemberus-gaap:OperatingSegmentsMe</w:t>
      </w:r>
      <w:r>
        <w:rPr>
          <w:rFonts w:eastAsia="Times New Roman"/>
          <w:vanish/>
        </w:rPr>
        <w:t>mberabm:BusinessAndIndustryMember2021-05-012021-07-310000771497abm:BuildingAndEnergySolutionsMemberabm:ManufacturingAndDistributionMemberus-gaap:OperatingSegmentsMember2021-05-012021-07-310000771497abm:BuildingAndEnergySolutionsMemberabm:EducationMemberus-</w:t>
      </w:r>
      <w:r>
        <w:rPr>
          <w:rFonts w:eastAsia="Times New Roman"/>
          <w:vanish/>
        </w:rPr>
        <w:t>gaap:OperatingSegmentsMember2021-05-012021-07-310000771497abm:BuildingAndEnergySolutionsMemberabm:AviationMemberus-gaap:OperatingSegmentsMember2021-05-012021-07-310000771497abm:BuildingAndEnergySolutionsMemberabm:TechnicalSolutionsMemberus-gaap:OperatingSe</w:t>
      </w:r>
      <w:r>
        <w:rPr>
          <w:rFonts w:eastAsia="Times New Roman"/>
          <w:vanish/>
        </w:rPr>
        <w:t>gmentsMember2021-05-012021-07-310000771497abm:BuildingAndEnergySolutionsMemberus-gaap:OperatingSegmentsMember2021-05-012021-07-310000771497abm:BuildingAndEnergySolutionsMemberus-gaap:OperatingSegmentsMemberabm:BusinessAndIndustryMember2020-11-012021-07-310</w:t>
      </w:r>
      <w:r>
        <w:rPr>
          <w:rFonts w:eastAsia="Times New Roman"/>
          <w:vanish/>
        </w:rPr>
        <w:t>000771497abm:BuildingAndEnergySolutionsMemberabm:ManufacturingAndDistributionMemberus-gaap:OperatingSegmentsMember2020-11-012021-07-310000771497abm:BuildingAndEnergySolutionsMemberabm:EducationMemberus-gaap:OperatingSegmentsMember2020-11-012021-07-31000077</w:t>
      </w:r>
      <w:r>
        <w:rPr>
          <w:rFonts w:eastAsia="Times New Roman"/>
          <w:vanish/>
        </w:rPr>
        <w:t>1497abm:BuildingAndEnergySolutionsMemberabm:AviationMemberus-gaap:OperatingSegmentsMember2020-11-012021-07-310000771497abm:BuildingAndEnergySolutionsMemberabm:TechnicalSolutionsMemberus-gaap:OperatingSegmentsMember2020-11-012021-07-310000771497abm:Building</w:t>
      </w:r>
      <w:r>
        <w:rPr>
          <w:rFonts w:eastAsia="Times New Roman"/>
          <w:vanish/>
        </w:rPr>
        <w:t>AndEnergySolutionsMemberus-gaap:OperatingSegmentsMember2020-11-012021-07-310000771497abm:AirlineServicesMemberus-gaap:OperatingSegmentsMemberabm:BusinessAndIndustryMember2021-05-012021-07-310000771497abm:AirlineServicesMemberabm:ManufacturingAndDistributio</w:t>
      </w:r>
      <w:r>
        <w:rPr>
          <w:rFonts w:eastAsia="Times New Roman"/>
          <w:vanish/>
        </w:rPr>
        <w:t>nMemberus-gaap:OperatingSegmentsMember2021-05-012021-07-310000771497abm:EducationMemberabm:AirlineServicesMemberus-gaap:OperatingSegmentsMember2021-05-012021-07-310000771497abm:AviationMemberabm:AirlineServicesMemberus-gaap:OperatingSegmentsMember2021-05-0</w:t>
      </w:r>
      <w:r>
        <w:rPr>
          <w:rFonts w:eastAsia="Times New Roman"/>
          <w:vanish/>
        </w:rPr>
        <w:t>12021-07-310000771497abm:AirlineServicesMemberabm:TechnicalSolutionsMemberus-gaap:OperatingSegmentsMember2021-05-012021-07-310000771497abm:AirlineServicesMemberus-gaap:OperatingSegmentsMember2021-05-012021-07-310000771497abm:AirlineServicesMemberus-gaap:Op</w:t>
      </w:r>
      <w:r>
        <w:rPr>
          <w:rFonts w:eastAsia="Times New Roman"/>
          <w:vanish/>
        </w:rPr>
        <w:t>eratingSegmentsMemberabm:BusinessAndIndustryMember2020-11-012021-07-310000771497abm:AirlineServicesMemberabm:ManufacturingAndDistributionMemberus-gaap:OperatingSegmentsMember2020-11-012021-07-310000771497abm:EducationMemberabm:AirlineServicesMemberus-gaap:</w:t>
      </w:r>
      <w:r>
        <w:rPr>
          <w:rFonts w:eastAsia="Times New Roman"/>
          <w:vanish/>
        </w:rPr>
        <w:t>OperatingSegmentsMember2020-11-012021-07-310000771497abm:AviationMemberabm:AirlineServicesMemberus-gaap:OperatingSegmentsMember2020-11-012021-07-310000771497abm:AirlineServicesMemberabm:TechnicalSolutionsMemberus-gaap:OperatingSegmentsMember2020-11-012021-</w:t>
      </w:r>
      <w:r>
        <w:rPr>
          <w:rFonts w:eastAsia="Times New Roman"/>
          <w:vanish/>
        </w:rPr>
        <w:t>07-310000771497abm:AirlineServicesMemberus-gaap:OperatingSegmentsMember2020-11-012021-07-310000771497us-gaap:OperatingSegmentsMemberabm:BusinessAndIndustryMember2021-05-012021-07-310000771497abm:ManufacturingAndDistributionMemberus-gaap:OperatingSegmentsMe</w:t>
      </w:r>
      <w:r>
        <w:rPr>
          <w:rFonts w:eastAsia="Times New Roman"/>
          <w:vanish/>
        </w:rPr>
        <w:t>mber2021-05-012021-07-310000771497abm:EducationMemberus-gaap:OperatingSegmentsMember2021-05-012021-07-310000771497abm:AviationMemberus-gaap:OperatingSegmentsMember2021-05-012021-07-310000771497abm:TechnicalSolutionsMemberus-gaap:OperatingSegmentsMember2021</w:t>
      </w:r>
      <w:r>
        <w:rPr>
          <w:rFonts w:eastAsia="Times New Roman"/>
          <w:vanish/>
        </w:rPr>
        <w:t>-05-012021-07-310000771497us-gaap:OperatingSegmentsMember2021-05-012021-07-310000771497us-gaap:OperatingSegmentsMemberabm:BusinessAndIndustryMember2020-11-012021-07-310000771497abm:ManufacturingAndDistributionMemberus-gaap:OperatingSegmentsMember2020-11-01</w:t>
      </w:r>
      <w:r>
        <w:rPr>
          <w:rFonts w:eastAsia="Times New Roman"/>
          <w:vanish/>
        </w:rPr>
        <w:t>2021-07-310000771497abm:EducationMemberus-gaap:OperatingSegmentsMember2020-11-012021-07-310000771497abm:AviationMemberus-gaap:OperatingSegmentsMember2020-11-012021-07-310000771497abm:TechnicalSolutionsMemberus-gaap:OperatingSegmentsMember2020-11-012021-07-</w:t>
      </w:r>
      <w:r>
        <w:rPr>
          <w:rFonts w:eastAsia="Times New Roman"/>
          <w:vanish/>
        </w:rPr>
        <w:t>310000771497us-gaap:OperatingSegmentsMember2020-11-012021-07-3100007714972022-08-012022-07-310000771497us-gaap:RestrictedStockUnitsRSUMember2022-05-012022-07-310000771497us-gaap:RestrictedStockUnitsRSUMember2021-05-012021-07-310000771497us-gaap:RestrictedS</w:t>
      </w:r>
      <w:r>
        <w:rPr>
          <w:rFonts w:eastAsia="Times New Roman"/>
          <w:vanish/>
        </w:rPr>
        <w:t>tockUnitsRSUMember2021-11-012022-07-310000771497us-gaap:RestrictedStockUnitsRSUMember2020-11-012021-07-310000771497us-gaap:PerformanceSharesMember2022-05-012022-07-310000771497us-gaap:PerformanceSharesMember2021-05-012021-07-310000771497us-gaap:Performance</w:t>
      </w:r>
      <w:r>
        <w:rPr>
          <w:rFonts w:eastAsia="Times New Roman"/>
          <w:vanish/>
        </w:rPr>
        <w:t>SharesMember2021-11-012022-07-310000771497us-gaap:PerformanceSharesMember2020-11-012021-07-310000771497us-gaap:FairValueMeasurementsRecurringMemberus-gaap:FairValueInputsLevel1Member2022-07-310000771497us-gaap:FairValueMeasurementsRecurringMemberus-gaap:Fa</w:t>
      </w:r>
      <w:r>
        <w:rPr>
          <w:rFonts w:eastAsia="Times New Roman"/>
          <w:vanish/>
        </w:rPr>
        <w:t>irValueInputsLevel1Member2021-10-310000771497us-gaap:FairValueInputsLevel2Memberus-gaap:FairValueMeasurementsRecurringMember2022-07-310000771497us-gaap:FairValueInputsLevel2Memberus-gaap:FairValueMeasurementsRecurringMember2021-10-310000771497us-gaap:FairV</w:t>
      </w:r>
      <w:r>
        <w:rPr>
          <w:rFonts w:eastAsia="Times New Roman"/>
          <w:vanish/>
        </w:rPr>
        <w:t>alueInputsLevel3Memberus-gaap:FairValueMeasurementsRecurringMember2022-07-310000771497us-gaap:FairValueInputsLevel3Memberus-gaap:FairValueMeasurementsRecurringMember2021-10-310000771497abm:PrivatelyHeldCompanyMember2022-01-310000771497abm:ReorganizationOfB</w:t>
      </w:r>
      <w:r>
        <w:rPr>
          <w:rFonts w:eastAsia="Times New Roman"/>
          <w:vanish/>
        </w:rPr>
        <w:t>usinessSegmentsFromBusinessAndIndustrySegmentMemberabm:ManufacturingAndDistributionMember2021-11-010000771497abm:ManufacturingAndDistributionMember2021-11-010000771497abm:ManufacturingAndDistributionMemberabm:ReorganizationOfBusinessSegmentsFromTechnologyA</w:t>
      </w:r>
      <w:r>
        <w:rPr>
          <w:rFonts w:eastAsia="Times New Roman"/>
          <w:vanish/>
        </w:rPr>
        <w:t>ndManufacturingSegmentMember2021-11-010000771497srt:MinimumMember2022-07-310000771497srt:MaximumMember2022-07-310000771497abm:AllOtherClaimTypesExcludingMedicalAndDentalSelfInsuranceProgramMember2022-07-310000771497abm:AllOtherClaimTypesExcludingMedicalAnd</w:t>
      </w:r>
      <w:r>
        <w:rPr>
          <w:rFonts w:eastAsia="Times New Roman"/>
          <w:vanish/>
        </w:rPr>
        <w:t>DentalSelfInsuranceProgramMember2021-10-310000771497abm:MedicalAndDentalSelfInsuranceProgramMember2022-07-310000771497abm:MedicalAndDentalSelfInsuranceProgramMember2021-10-310000771497us-gaap:StandbyLettersOfCreditMember2022-07-310000771497us-gaap:StandbyL</w:t>
      </w:r>
      <w:r>
        <w:rPr>
          <w:rFonts w:eastAsia="Times New Roman"/>
          <w:vanish/>
        </w:rPr>
        <w:t>ettersOfCreditMember2021-10-310000771497us-gaap:SuretyBondMember2022-07-310000771497us-gaap:SuretyBondMember2021-10-310000771497us-gaap:DepositsMember2022-07-310000771497us-gaap:DepositsMember2021-10-310000771497abm:AmendedCreditFacilityMember2022-07-31000</w:t>
      </w:r>
      <w:r>
        <w:rPr>
          <w:rFonts w:eastAsia="Times New Roman"/>
          <w:vanish/>
        </w:rPr>
        <w:t>0771497abm:PriorCreditFacilityMemberus-gaap:LineOfCreditMemberus-gaap:RevolvingCreditFacilityMember2017-08-310000771497abm:CreditFacilityMember2017-09-012017-09-010000771497us-gaap:LineOfCreditMemberabm:CreditFacilityMemberus-gaap:RevolvingCreditFacilityMe</w:t>
      </w:r>
      <w:r>
        <w:rPr>
          <w:rFonts w:eastAsia="Times New Roman"/>
          <w:vanish/>
        </w:rPr>
        <w:t>mber2017-09-010000771497abm:CreditFacilityMemberus-gaap:LoansPayableMember2017-09-010000771497us-gaap:LineOfCreditMemberabm:CreditFacilityMemberus-gaap:RevolvingCreditFacilityMember2018-09-010000771497us-gaap:LineOfCreditMemberabm:CreditFacilityMemberus-ga</w:t>
      </w:r>
      <w:r>
        <w:rPr>
          <w:rFonts w:eastAsia="Times New Roman"/>
          <w:vanish/>
        </w:rPr>
        <w:t>ap:RevolvingCreditFacilityMember2021-06-270000771497us-gaap:LineOfCreditMemberabm:AmendedCreditFacilityMemberus-gaap:RevolvingCreditFacilityMember2021-06-280000771497abm:CreditFacilityMemberus-gaap:LoansPayableMember2021-06-270000771497abm:AmendedCreditFac</w:t>
      </w:r>
      <w:r>
        <w:rPr>
          <w:rFonts w:eastAsia="Times New Roman"/>
          <w:vanish/>
        </w:rPr>
        <w:t>ilityMemberus-gaap:LoansPayableMember2021-06-280000771497us-gaap:StandbyLettersOfCreditMemberabm:AmendedCreditFacilityMember2021-06-280000771497abm:SwingLineLoanMemberabm:AmendedCreditFacilityMember2021-06-280000771497srt:MinimumMemberabm:AmendedCreditFaci</w:t>
      </w:r>
      <w:r>
        <w:rPr>
          <w:rFonts w:eastAsia="Times New Roman"/>
          <w:vanish/>
        </w:rPr>
        <w:t>lityMemberus-gaap:EurodollarMember2021-06-282021-06-280000771497srt:MaximumMemberabm:AmendedCreditFacilityMemberus-gaap:EurodollarMember2021-06-282021-06-280000771497srt:MinimumMemberus-gaap:BaseRateMemberabm:AmendedCreditFacilityMember2021-06-282021-06-28</w:t>
      </w:r>
      <w:r>
        <w:rPr>
          <w:rFonts w:eastAsia="Times New Roman"/>
          <w:vanish/>
        </w:rPr>
        <w:t>0000771497srt:MaximumMemberus-gaap:BaseRateMemberabm:AmendedCreditFacilityMember2021-06-282021-06-280000771497srt:MinimumMemberabm:AmendedCreditFacilityMemberus-gaap:RevolvingCreditFacilityMember2021-06-282021-06-280000771497srt:MaximumMemberabm:AmendedCre</w:t>
      </w:r>
      <w:r>
        <w:rPr>
          <w:rFonts w:eastAsia="Times New Roman"/>
          <w:vanish/>
        </w:rPr>
        <w:t>ditFacilityMemberus-gaap:RevolvingCreditFacilityMember2021-06-282021-06-280000771497abm:AmendedCreditFacilityMember2021-06-280000771497abm:AmendedCreditFacilityMemberus-gaap:ScenarioPlanMember2021-06-280000771497abm:CreditFacilityMember2021-06-280000771497</w:t>
      </w:r>
      <w:r>
        <w:rPr>
          <w:rFonts w:eastAsia="Times New Roman"/>
          <w:vanish/>
        </w:rPr>
        <w:t>abm:CreditFacilityMemberus-gaap:LoansPayableMember2021-06-2800007714972021-06-280000771497us-gaap:LoansPayableMember2021-06-280000771497us-gaap:LineOfCreditMember2021-06-2800007714972022-03-010000771497abm:ReceivablesFacilityMemberus-gaap:SecuredOvernightF</w:t>
      </w:r>
      <w:r>
        <w:rPr>
          <w:rFonts w:eastAsia="Times New Roman"/>
          <w:vanish/>
        </w:rPr>
        <w:t>inancingRateSofrOvernightIndexSwapRateMember2022-03-012022-03-010000771497us-gaap:LoansPayableMember2022-07-310000771497abm:InterestRateSwapEffective1112018Member2018-11-010000771497abm:InterestRateSwapEffective292022Member2022-02-090000771497abm:InterestR</w:t>
      </w:r>
      <w:r>
        <w:rPr>
          <w:rFonts w:eastAsia="Times New Roman"/>
          <w:vanish/>
        </w:rPr>
        <w:t>ateSwapEffective2252022Member2022-02-250000771497abm:InterestRateSwapEffective542022Member2022-05-040000771497abm:InterestRateSwapEffective772022Member2022-07-070000771497abm:InterestRateSwapEffective7182022Member2022-07-180000771497srt:ScenarioForecastMem</w:t>
      </w:r>
      <w:r>
        <w:rPr>
          <w:rFonts w:eastAsia="Times New Roman"/>
          <w:vanish/>
        </w:rPr>
        <w:t>ber2024-04-300000771497srt:ScenarioForecastMember2024-10-310000771497srt:ScenarioForecastMember2025-10-310000771497us-gaap:AccumulatedGainLossNetCashFlowHedgeParentMember2021-11-012022-07-310000771497us-gaap:AccumulatedGainLossNetCashFlowHedgeParentMember2</w:t>
      </w:r>
      <w:r>
        <w:rPr>
          <w:rFonts w:eastAsia="Times New Roman"/>
          <w:vanish/>
        </w:rPr>
        <w:t>021-11-012022-01-310000771497us-gaap:AccumulatedGainLossNetCashFlowHedgeParentMember2022-05-012022-07-310000771497us-gaap:AccumulatedGainLossNetCashFlowHedgeParentMember2021-05-012021-07-310000771497us-gaap:AccumulatedGainLossNetCashFlowHedgeParentMember20</w:t>
      </w:r>
      <w:r>
        <w:rPr>
          <w:rFonts w:eastAsia="Times New Roman"/>
          <w:vanish/>
        </w:rPr>
        <w:t>20-11-012021-07-3100007714972019-12-180000771497abm:EnergySavingsContractsMember2022-07-310000771497us-gaap:PendingLitigationMember2022-07-310000771497us-gaap:SettledLitigationMemberabm:BucioMember2021-07-072021-07-070000771497us-gaap:SettledLitigationMemb</w:t>
      </w:r>
      <w:r>
        <w:rPr>
          <w:rFonts w:eastAsia="Times New Roman"/>
          <w:vanish/>
        </w:rPr>
        <w:t>erabm:BucioMember2022-04-202022-04-200000771497abm:BucioMemberus-gaap:SettledLitigationMemberus-gaap:OtherCurrentLiabilitiesMember2022-04-202022-04-200000771497us-gaap:SettledLitigationMemberabm:BucioMember2021-11-012022-07-310000771497us-gaap:SettledLitig</w:t>
      </w:r>
      <w:r>
        <w:rPr>
          <w:rFonts w:eastAsia="Times New Roman"/>
          <w:vanish/>
        </w:rPr>
        <w:t>ationMemberabm:BucioMember2021-05-012021-07-310000771497us-gaap:SettledLitigationMemberabm:BucioMember2020-11-012021-07-3100007714972020-12-3100007714972021-12-012021-12-310000771497abm:GovernmentServicesMemberus-gaap:OperatingSegmentsMember2022-05-012022-</w:t>
      </w:r>
      <w:r>
        <w:rPr>
          <w:rFonts w:eastAsia="Times New Roman"/>
          <w:vanish/>
        </w:rPr>
        <w:t>07-310000771497abm:GovernmentServicesMemberus-gaap:OperatingSegmentsMember2021-05-012021-07-310000771497abm:GovernmentServicesMemberus-gaap:OperatingSegmentsMember2021-11-012022-07-310000771497abm:GovernmentServicesMemberus-gaap:OperatingSegmentsMember2020</w:t>
      </w:r>
      <w:r>
        <w:rPr>
          <w:rFonts w:eastAsia="Times New Roman"/>
          <w:vanish/>
        </w:rPr>
        <w:t>-11-012021-07-310000771497us-gaap:CorporateNonSegmentMember2022-05-012022-07-310000771497us-gaap:CorporateNonSegmentMember2021-05-012021-07-310000771497us-gaap:CorporateNonSegmentMember2021-11-012022-07-310000771497us-gaap:CorporateNonSegmentMember2020-11-</w:t>
      </w:r>
      <w:r>
        <w:rPr>
          <w:rFonts w:eastAsia="Times New Roman"/>
          <w:vanish/>
        </w:rPr>
        <w:t>012021-07-310000771497us-gaap:MaterialReconcilingItemsMember2022-05-012022-07-310000771497us-gaap:MaterialReconcilingItemsMember2021-05-012021-07-310000771497us-gaap:MaterialReconcilingItemsMember2021-11-012022-07-310000771497us-gaap:MaterialReconcilingIte</w:t>
      </w:r>
      <w:r>
        <w:rPr>
          <w:rFonts w:eastAsia="Times New Roman"/>
          <w:vanish/>
        </w:rPr>
        <w:t>msMember2020-11-012021-07-310000771497us-gaap:SubsequentEventMemberabm:RavenVoltIncMember2022-09-012022-09-010000771497srt:MaximumMembersrt:ScenarioForecastMemberus-gaap:SubsequentEventMemberabm:RavenVoltIncMember2022-09-01</w:t>
      </w:r>
    </w:p>
    <w:p w:rsidR="00000000" w:rsidRDefault="0099409C">
      <w:pPr>
        <w:ind w:firstLine="720"/>
        <w:jc w:val="center"/>
        <w:divId w:val="696007282"/>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495263264"/>
          <w:jc w:val="center"/>
        </w:trPr>
        <w:tc>
          <w:tcPr>
            <w:tcW w:w="50" w:type="pct"/>
            <w:vAlign w:val="center"/>
            <w:hideMark/>
          </w:tcPr>
          <w:p w:rsidR="00000000" w:rsidRDefault="0099409C">
            <w:pPr>
              <w:ind w:firstLine="720"/>
              <w:jc w:val="center"/>
              <w:rPr>
                <w:rFonts w:eastAsia="Times New Roman"/>
              </w:rPr>
            </w:pPr>
          </w:p>
        </w:tc>
        <w:tc>
          <w:tcPr>
            <w:tcW w:w="494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495263264"/>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jc w:val="center"/>
        <w:rPr>
          <w:rFonts w:eastAsia="Times New Roman"/>
        </w:rPr>
      </w:pPr>
      <w:r>
        <w:rPr>
          <w:rFonts w:ascii="Arial" w:eastAsia="Times New Roman" w:hAnsi="Arial" w:cs="Arial"/>
          <w:b/>
          <w:bCs/>
          <w:color w:val="000000"/>
          <w:sz w:val="36"/>
          <w:szCs w:val="36"/>
        </w:rPr>
        <w:t>UNITED STATES</w:t>
      </w:r>
    </w:p>
    <w:p w:rsidR="00000000" w:rsidRDefault="0099409C">
      <w:pPr>
        <w:jc w:val="center"/>
        <w:rPr>
          <w:rFonts w:eastAsia="Times New Roman"/>
        </w:rPr>
      </w:pPr>
      <w:r>
        <w:rPr>
          <w:rFonts w:ascii="Arial" w:eastAsia="Times New Roman" w:hAnsi="Arial" w:cs="Arial"/>
          <w:b/>
          <w:bCs/>
          <w:color w:val="000000"/>
          <w:sz w:val="36"/>
          <w:szCs w:val="36"/>
        </w:rPr>
        <w:t>SECURITIES AND EXCHANGE COMMISSION</w:t>
      </w:r>
    </w:p>
    <w:p w:rsidR="00000000" w:rsidRDefault="0099409C">
      <w:pPr>
        <w:jc w:val="center"/>
        <w:rPr>
          <w:rFonts w:eastAsia="Times New Roman"/>
        </w:rPr>
      </w:pPr>
      <w:r>
        <w:rPr>
          <w:rFonts w:ascii="Arial" w:eastAsia="Times New Roman" w:hAnsi="Arial" w:cs="Arial"/>
          <w:b/>
          <w:bCs/>
          <w:color w:val="000000"/>
        </w:rPr>
        <w:t>Washington, D.C. 20549</w:t>
      </w:r>
    </w:p>
    <w:p w:rsidR="00000000" w:rsidRDefault="0099409C">
      <w:pPr>
        <w:jc w:val="center"/>
        <w:rPr>
          <w:rFonts w:eastAsia="Times New Roman"/>
        </w:rPr>
      </w:pPr>
      <w:r>
        <w:rPr>
          <w:rFonts w:ascii="Arial" w:eastAsia="Times New Roman" w:hAnsi="Arial" w:cs="Arial"/>
          <w:color w:val="000000"/>
        </w:rPr>
        <w:t>__________________________</w:t>
      </w:r>
    </w:p>
    <w:p w:rsidR="00000000" w:rsidRDefault="0099409C">
      <w:pPr>
        <w:jc w:val="center"/>
        <w:divId w:val="962812460"/>
        <w:rPr>
          <w:rFonts w:eastAsia="Times New Roman"/>
        </w:rPr>
      </w:pPr>
      <w:r>
        <w:rPr>
          <w:rFonts w:ascii="Arial" w:eastAsia="Times New Roman" w:hAnsi="Arial" w:cs="Arial"/>
          <w:b/>
          <w:bCs/>
          <w:color w:val="000000"/>
          <w:sz w:val="36"/>
          <w:szCs w:val="36"/>
        </w:rPr>
        <w:t xml:space="preserve">FORM 10-Q </w:t>
      </w:r>
    </w:p>
    <w:p w:rsidR="00000000" w:rsidRDefault="0099409C">
      <w:pPr>
        <w:divId w:val="2004696645"/>
        <w:rPr>
          <w:rFonts w:eastAsia="Times New Roman"/>
        </w:rPr>
      </w:pPr>
      <w:r>
        <w:rPr>
          <w:rFonts w:ascii="Arial" w:eastAsia="Times New Roman" w:hAnsi="Arial" w:cs="Arial"/>
          <w:color w:val="000000"/>
          <w:sz w:val="20"/>
          <w:szCs w:val="20"/>
        </w:rPr>
        <w:t>(Mark One)</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divId w:val="2090225731"/>
        </w:trPr>
        <w:tc>
          <w:tcPr>
            <w:tcW w:w="50" w:type="pct"/>
            <w:vAlign w:val="center"/>
            <w:hideMark/>
          </w:tcPr>
          <w:p w:rsidR="00000000" w:rsidRDefault="0099409C">
            <w:pPr>
              <w:rPr>
                <w:rFonts w:eastAsia="Times New Roman"/>
              </w:rPr>
            </w:pPr>
          </w:p>
        </w:tc>
        <w:tc>
          <w:tcPr>
            <w:tcW w:w="23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65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2090225731"/>
        </w:trPr>
        <w:tc>
          <w:tcPr>
            <w:tcW w:w="0" w:type="auto"/>
            <w:gridSpan w:val="3"/>
            <w:tcMar>
              <w:top w:w="30" w:type="dxa"/>
              <w:left w:w="20" w:type="dxa"/>
              <w:bottom w:w="30" w:type="dxa"/>
              <w:right w:w="20" w:type="dxa"/>
            </w:tcMar>
            <w:hideMark/>
          </w:tcPr>
          <w:p w:rsidR="00000000" w:rsidRDefault="0099409C">
            <w:pPr>
              <w:spacing w:after="100"/>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b/>
                <w:bCs/>
                <w:color w:val="000000"/>
              </w:rPr>
              <w:t>QUARTERLY REPORT PURSUANT TO SECTION 13 OR 15(d) OF THE SECURITIES EXCHANGE ACT OF 1934</w:t>
            </w:r>
          </w:p>
        </w:tc>
      </w:tr>
    </w:tbl>
    <w:p w:rsidR="00000000" w:rsidRDefault="0099409C">
      <w:pPr>
        <w:ind w:firstLine="630"/>
        <w:jc w:val="center"/>
        <w:divId w:val="1067608882"/>
        <w:rPr>
          <w:rFonts w:eastAsia="Times New Roman"/>
        </w:rPr>
      </w:pPr>
      <w:r>
        <w:rPr>
          <w:rFonts w:ascii="Arial" w:eastAsia="Times New Roman" w:hAnsi="Arial" w:cs="Arial"/>
          <w:b/>
          <w:bCs/>
          <w:color w:val="000000"/>
        </w:rPr>
        <w:t xml:space="preserve">For the quarterly period ended </w:t>
      </w:r>
      <w:r>
        <w:rPr>
          <w:rFonts w:ascii="Arial" w:eastAsia="Times New Roman" w:hAnsi="Arial" w:cs="Arial"/>
          <w:b/>
          <w:bCs/>
          <w:color w:val="000000"/>
          <w:u w:val="single"/>
        </w:rPr>
        <w:t>July 31, 2022</w:t>
      </w:r>
    </w:p>
    <w:p w:rsidR="00000000" w:rsidRDefault="0099409C">
      <w:pPr>
        <w:jc w:val="center"/>
        <w:rPr>
          <w:rFonts w:eastAsia="Times New Roman"/>
        </w:rPr>
      </w:pPr>
      <w:r>
        <w:rPr>
          <w:rFonts w:ascii="Arial" w:eastAsia="Times New Roman" w:hAnsi="Arial" w:cs="Arial"/>
          <w:color w:val="000000"/>
        </w:rPr>
        <w:t>or</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divId w:val="1891262141"/>
        </w:trPr>
        <w:tc>
          <w:tcPr>
            <w:tcW w:w="50" w:type="pct"/>
            <w:vAlign w:val="center"/>
            <w:hideMark/>
          </w:tcPr>
          <w:p w:rsidR="00000000" w:rsidRDefault="0099409C">
            <w:pPr>
              <w:jc w:val="center"/>
              <w:rPr>
                <w:rFonts w:eastAsia="Times New Roman"/>
              </w:rPr>
            </w:pPr>
          </w:p>
        </w:tc>
        <w:tc>
          <w:tcPr>
            <w:tcW w:w="23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65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891262141"/>
        </w:trPr>
        <w:tc>
          <w:tcPr>
            <w:tcW w:w="0" w:type="auto"/>
            <w:gridSpan w:val="3"/>
            <w:tcMar>
              <w:top w:w="30" w:type="dxa"/>
              <w:left w:w="20" w:type="dxa"/>
              <w:bottom w:w="30" w:type="dxa"/>
              <w:right w:w="20" w:type="dxa"/>
            </w:tcMar>
            <w:hideMark/>
          </w:tcPr>
          <w:p w:rsidR="00000000" w:rsidRDefault="0099409C">
            <w:pPr>
              <w:spacing w:after="100"/>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b/>
                <w:bCs/>
                <w:color w:val="000000"/>
              </w:rPr>
              <w:t>TRANSITION REPORT PURSUANT TO SECTION 13 OR 15(d) OF THE SECURITIES EXCHANGE ACT OF 1934</w:t>
            </w:r>
          </w:p>
        </w:tc>
      </w:tr>
    </w:tbl>
    <w:p w:rsidR="00000000" w:rsidRDefault="0099409C">
      <w:pPr>
        <w:jc w:val="center"/>
        <w:divId w:val="433481597"/>
        <w:rPr>
          <w:rFonts w:eastAsia="Times New Roman"/>
        </w:rPr>
      </w:pPr>
      <w:r>
        <w:rPr>
          <w:rFonts w:ascii="Arial" w:eastAsia="Times New Roman" w:hAnsi="Arial" w:cs="Arial"/>
          <w:b/>
          <w:bCs/>
          <w:color w:val="000000"/>
          <w:sz w:val="20"/>
          <w:szCs w:val="20"/>
        </w:rPr>
        <w:t xml:space="preserve">For the transition period from </w:t>
      </w:r>
      <w:r>
        <w:rPr>
          <w:rFonts w:ascii="Arial" w:eastAsia="Times New Roman" w:hAnsi="Arial" w:cs="Arial"/>
          <w:b/>
          <w:bCs/>
          <w:color w:val="000000"/>
          <w:sz w:val="20"/>
          <w:szCs w:val="20"/>
          <w:u w:val="single"/>
        </w:rPr>
        <w:t>            </w:t>
      </w:r>
      <w:r>
        <w:rPr>
          <w:rFonts w:ascii="Arial" w:eastAsia="Times New Roman" w:hAnsi="Arial" w:cs="Arial"/>
          <w:b/>
          <w:bCs/>
          <w:color w:val="000000"/>
          <w:sz w:val="20"/>
          <w:szCs w:val="20"/>
        </w:rPr>
        <w:t xml:space="preserve"> to  </w:t>
      </w:r>
      <w:r>
        <w:rPr>
          <w:rFonts w:ascii="Arial" w:eastAsia="Times New Roman" w:hAnsi="Arial" w:cs="Arial"/>
          <w:b/>
          <w:bCs/>
          <w:color w:val="000000"/>
          <w:sz w:val="20"/>
          <w:szCs w:val="20"/>
          <w:u w:val="single"/>
        </w:rPr>
        <w:t>           </w:t>
      </w:r>
    </w:p>
    <w:p w:rsidR="00000000" w:rsidRDefault="0099409C">
      <w:pPr>
        <w:jc w:val="center"/>
        <w:divId w:val="1456175972"/>
        <w:rPr>
          <w:rFonts w:eastAsia="Times New Roman"/>
        </w:rPr>
      </w:pPr>
      <w:r>
        <w:rPr>
          <w:rFonts w:ascii="Arial" w:eastAsia="Times New Roman" w:hAnsi="Arial" w:cs="Arial"/>
          <w:b/>
          <w:bCs/>
          <w:color w:val="000000"/>
          <w:sz w:val="20"/>
          <w:szCs w:val="20"/>
        </w:rPr>
        <w:t xml:space="preserve">Commission File Number: </w:t>
      </w:r>
      <w:r>
        <w:rPr>
          <w:rFonts w:ascii="Arial" w:eastAsia="Times New Roman" w:hAnsi="Arial" w:cs="Arial"/>
          <w:b/>
          <w:bCs/>
          <w:color w:val="000000"/>
          <w:sz w:val="20"/>
          <w:szCs w:val="20"/>
          <w:u w:val="single"/>
        </w:rPr>
        <w:t>1-8929</w:t>
      </w:r>
      <w:r>
        <w:rPr>
          <w:rFonts w:ascii="Arial" w:eastAsia="Times New Roman" w:hAnsi="Arial" w:cs="Arial"/>
          <w:color w:val="000000"/>
          <w:sz w:val="20"/>
          <w:szCs w:val="20"/>
        </w:rPr>
        <w:t> </w:t>
      </w:r>
    </w:p>
    <w:p w:rsidR="00000000" w:rsidRDefault="0099409C">
      <w:pPr>
        <w:jc w:val="center"/>
        <w:divId w:val="1339190966"/>
        <w:rPr>
          <w:rFonts w:eastAsia="Times New Roman"/>
        </w:rPr>
      </w:pPr>
    </w:p>
    <w:p w:rsidR="00000000" w:rsidRDefault="0099409C">
      <w:pPr>
        <w:jc w:val="center"/>
        <w:rPr>
          <w:rFonts w:eastAsia="Times New Roman"/>
        </w:rPr>
      </w:pPr>
      <w:r>
        <w:rPr>
          <w:rFonts w:ascii="Arial" w:eastAsia="Times New Roman" w:hAnsi="Arial" w:cs="Arial"/>
          <w:b/>
          <w:bCs/>
          <w:color w:val="000000"/>
          <w:sz w:val="48"/>
          <w:szCs w:val="48"/>
        </w:rPr>
        <w:t>ABM INDUSTRIES INCORPORATED</w:t>
      </w:r>
    </w:p>
    <w:p w:rsidR="00000000" w:rsidRDefault="0099409C">
      <w:pPr>
        <w:jc w:val="center"/>
        <w:rPr>
          <w:rFonts w:eastAsia="Times New Roman"/>
        </w:rPr>
      </w:pPr>
      <w:r>
        <w:rPr>
          <w:rFonts w:ascii="Arial" w:eastAsia="Times New Roman" w:hAnsi="Arial" w:cs="Arial"/>
          <w:color w:val="000000"/>
          <w:sz w:val="20"/>
          <w:szCs w:val="20"/>
        </w:rPr>
        <w:t>(Exact name of registrant as specified in its charter)</w:t>
      </w:r>
    </w:p>
    <w:tbl>
      <w:tblPr>
        <w:tblW w:w="4978" w:type="pct"/>
        <w:tblCellMar>
          <w:top w:w="15" w:type="dxa"/>
          <w:left w:w="15" w:type="dxa"/>
          <w:bottom w:w="15" w:type="dxa"/>
          <w:right w:w="15" w:type="dxa"/>
        </w:tblCellMar>
        <w:tblLook w:val="04A0" w:firstRow="1" w:lastRow="0" w:firstColumn="1" w:lastColumn="0" w:noHBand="0" w:noVBand="1"/>
      </w:tblPr>
      <w:tblGrid>
        <w:gridCol w:w="69"/>
        <w:gridCol w:w="2164"/>
        <w:gridCol w:w="36"/>
        <w:gridCol w:w="69"/>
        <w:gridCol w:w="3623"/>
        <w:gridCol w:w="36"/>
        <w:gridCol w:w="69"/>
        <w:gridCol w:w="2167"/>
        <w:gridCol w:w="36"/>
      </w:tblGrid>
      <w:tr w:rsidR="00000000">
        <w:trPr>
          <w:divId w:val="479930519"/>
        </w:trPr>
        <w:tc>
          <w:tcPr>
            <w:tcW w:w="50" w:type="pct"/>
            <w:vAlign w:val="center"/>
            <w:hideMark/>
          </w:tcPr>
          <w:p w:rsidR="00000000" w:rsidRDefault="0099409C">
            <w:pPr>
              <w:jc w:val="center"/>
              <w:rPr>
                <w:rFonts w:eastAsia="Times New Roman"/>
              </w:rPr>
            </w:pPr>
          </w:p>
        </w:tc>
        <w:tc>
          <w:tcPr>
            <w:tcW w:w="131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19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131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479930519"/>
          <w:trHeight w:val="1200"/>
        </w:trPr>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Delaware</w:t>
            </w:r>
          </w:p>
        </w:tc>
        <w:tc>
          <w:tcPr>
            <w:tcW w:w="0" w:type="auto"/>
            <w:gridSpan w:val="3"/>
            <w:vMerge w:val="restart"/>
            <w:tcMar>
              <w:top w:w="0" w:type="dxa"/>
              <w:left w:w="20" w:type="dxa"/>
              <w:bottom w:w="0" w:type="dxa"/>
              <w:right w:w="20" w:type="dxa"/>
            </w:tcMar>
            <w:vAlign w:val="center"/>
            <w:hideMark/>
          </w:tcPr>
          <w:p w:rsidR="00000000" w:rsidRDefault="0099409C">
            <w:pPr>
              <w:spacing w:after="100"/>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94-1369354</w:t>
            </w:r>
          </w:p>
        </w:tc>
      </w:tr>
      <w:tr w:rsidR="00000000">
        <w:trPr>
          <w:divId w:val="479930519"/>
          <w:trHeight w:val="460"/>
        </w:trPr>
        <w:tc>
          <w:tcPr>
            <w:tcW w:w="0" w:type="auto"/>
            <w:gridSpan w:val="3"/>
            <w:tcMar>
              <w:top w:w="30" w:type="dxa"/>
              <w:left w:w="20" w:type="dxa"/>
              <w:bottom w:w="30" w:type="dxa"/>
              <w:right w:w="20" w:type="dxa"/>
            </w:tcMar>
            <w:hideMark/>
          </w:tcPr>
          <w:p w:rsidR="00000000" w:rsidRDefault="0099409C">
            <w:pPr>
              <w:spacing w:after="100"/>
              <w:jc w:val="center"/>
              <w:rPr>
                <w:rFonts w:eastAsia="Times New Roman"/>
              </w:rPr>
            </w:pPr>
            <w:r>
              <w:rPr>
                <w:rFonts w:ascii="Arial" w:eastAsia="Times New Roman" w:hAnsi="Arial" w:cs="Arial"/>
                <w:color w:val="000000"/>
                <w:sz w:val="18"/>
                <w:szCs w:val="18"/>
              </w:rPr>
              <w:t>(State or other jurisdiction of</w:t>
            </w:r>
            <w:r>
              <w:rPr>
                <w:rFonts w:ascii="Arial" w:eastAsia="Times New Roman" w:hAnsi="Arial" w:cs="Arial"/>
                <w:color w:val="000000"/>
                <w:sz w:val="18"/>
                <w:szCs w:val="18"/>
              </w:rPr>
              <w:br/>
              <w:t>incorporation or organization)</w:t>
            </w:r>
          </w:p>
        </w:tc>
        <w:tc>
          <w:tcPr>
            <w:tcW w:w="0" w:type="auto"/>
            <w:gridSpan w:val="3"/>
            <w:vMerge/>
            <w:vAlign w:val="center"/>
            <w:hideMark/>
          </w:tcPr>
          <w:p w:rsidR="00000000" w:rsidRDefault="0099409C">
            <w:pPr>
              <w:spacing w:after="100"/>
              <w:rPr>
                <w:rFonts w:eastAsia="Times New Roman"/>
              </w:rPr>
            </w:pPr>
          </w:p>
        </w:tc>
        <w:tc>
          <w:tcPr>
            <w:tcW w:w="0" w:type="auto"/>
            <w:gridSpan w:val="3"/>
            <w:tcMar>
              <w:top w:w="30" w:type="dxa"/>
              <w:left w:w="20" w:type="dxa"/>
              <w:bottom w:w="30" w:type="dxa"/>
              <w:right w:w="20" w:type="dxa"/>
            </w:tcMar>
            <w:hideMark/>
          </w:tcPr>
          <w:p w:rsidR="00000000" w:rsidRDefault="0099409C">
            <w:pPr>
              <w:spacing w:after="100"/>
              <w:jc w:val="center"/>
              <w:rPr>
                <w:rFonts w:eastAsia="Times New Roman"/>
              </w:rPr>
            </w:pPr>
            <w:r>
              <w:rPr>
                <w:rFonts w:ascii="Arial" w:eastAsia="Times New Roman" w:hAnsi="Arial" w:cs="Arial"/>
                <w:color w:val="000000"/>
                <w:sz w:val="18"/>
                <w:szCs w:val="18"/>
              </w:rPr>
              <w:t>(I.R.S. Employer</w:t>
            </w:r>
            <w:r>
              <w:rPr>
                <w:rFonts w:ascii="Arial" w:eastAsia="Times New Roman" w:hAnsi="Arial" w:cs="Arial"/>
                <w:color w:val="000000"/>
                <w:sz w:val="18"/>
                <w:szCs w:val="18"/>
              </w:rPr>
              <w:br/>
            </w:r>
            <w:r>
              <w:rPr>
                <w:rFonts w:ascii="Arial" w:eastAsia="Times New Roman" w:hAnsi="Arial" w:cs="Arial"/>
                <w:color w:val="000000"/>
                <w:sz w:val="18"/>
                <w:szCs w:val="18"/>
              </w:rPr>
              <w:t>Identification No.)</w:t>
            </w:r>
          </w:p>
        </w:tc>
      </w:tr>
    </w:tbl>
    <w:p w:rsidR="00000000" w:rsidRDefault="0099409C">
      <w:pPr>
        <w:jc w:val="center"/>
        <w:rPr>
          <w:rFonts w:eastAsia="Times New Roman"/>
        </w:rPr>
      </w:pPr>
      <w:r>
        <w:rPr>
          <w:rFonts w:ascii="Arial" w:eastAsia="Times New Roman" w:hAnsi="Arial" w:cs="Arial"/>
          <w:color w:val="000000"/>
          <w:sz w:val="20"/>
          <w:szCs w:val="20"/>
        </w:rPr>
        <w:t>__________________________</w:t>
      </w:r>
    </w:p>
    <w:p w:rsidR="00000000" w:rsidRDefault="0099409C">
      <w:pPr>
        <w:jc w:val="center"/>
        <w:divId w:val="1193153004"/>
        <w:rPr>
          <w:rFonts w:eastAsia="Times New Roman"/>
        </w:rPr>
      </w:pPr>
      <w:r>
        <w:rPr>
          <w:rFonts w:ascii="Arial" w:eastAsia="Times New Roman" w:hAnsi="Arial" w:cs="Arial"/>
          <w:b/>
          <w:bCs/>
          <w:color w:val="000000"/>
          <w:sz w:val="20"/>
          <w:szCs w:val="20"/>
        </w:rPr>
        <w:t xml:space="preserve">One Liberty Plaza, </w:t>
      </w:r>
      <w:r>
        <w:rPr>
          <w:rFonts w:ascii="Arial" w:eastAsia="Times New Roman" w:hAnsi="Arial" w:cs="Arial"/>
          <w:b/>
          <w:bCs/>
          <w:color w:val="000000"/>
          <w:sz w:val="20"/>
          <w:szCs w:val="20"/>
        </w:rPr>
        <w:t>7</w:t>
      </w:r>
      <w:r>
        <w:rPr>
          <w:rFonts w:ascii="Arial" w:eastAsia="Times New Roman" w:hAnsi="Arial" w:cs="Arial"/>
          <w:b/>
          <w:bCs/>
          <w:color w:val="000000"/>
          <w:sz w:val="13"/>
          <w:szCs w:val="13"/>
        </w:rPr>
        <w:t>t</w:t>
      </w:r>
      <w:r>
        <w:rPr>
          <w:rFonts w:ascii="Arial" w:eastAsia="Times New Roman" w:hAnsi="Arial" w:cs="Arial"/>
          <w:b/>
          <w:bCs/>
          <w:color w:val="000000"/>
          <w:sz w:val="13"/>
          <w:szCs w:val="13"/>
        </w:rPr>
        <w:t>h</w:t>
      </w:r>
      <w:r>
        <w:rPr>
          <w:rFonts w:ascii="Arial" w:eastAsia="Times New Roman" w:hAnsi="Arial" w:cs="Arial"/>
          <w:b/>
          <w:bCs/>
          <w:color w:val="000000"/>
          <w:sz w:val="20"/>
          <w:szCs w:val="20"/>
        </w:rPr>
        <w:t xml:space="preserve"> Floor </w:t>
      </w:r>
    </w:p>
    <w:p w:rsidR="00000000" w:rsidRDefault="0099409C">
      <w:pPr>
        <w:jc w:val="center"/>
        <w:divId w:val="518936599"/>
        <w:rPr>
          <w:rFonts w:eastAsia="Times New Roman"/>
        </w:rPr>
      </w:pPr>
      <w:r>
        <w:rPr>
          <w:rFonts w:ascii="Arial" w:eastAsia="Times New Roman" w:hAnsi="Arial" w:cs="Arial"/>
          <w:b/>
          <w:bCs/>
          <w:color w:val="000000"/>
          <w:sz w:val="20"/>
          <w:szCs w:val="20"/>
        </w:rPr>
        <w:t xml:space="preserve">New York, New York 10006 </w:t>
      </w:r>
    </w:p>
    <w:p w:rsidR="00000000" w:rsidRDefault="0099409C">
      <w:pPr>
        <w:jc w:val="center"/>
        <w:divId w:val="398946980"/>
        <w:rPr>
          <w:rFonts w:eastAsia="Times New Roman"/>
        </w:rPr>
      </w:pPr>
      <w:r>
        <w:rPr>
          <w:rFonts w:ascii="Arial" w:eastAsia="Times New Roman" w:hAnsi="Arial" w:cs="Arial"/>
          <w:color w:val="000000"/>
          <w:sz w:val="20"/>
          <w:szCs w:val="20"/>
        </w:rPr>
        <w:t>(Address of principal executive offices)</w:t>
      </w:r>
    </w:p>
    <w:p w:rsidR="00000000" w:rsidRDefault="0099409C">
      <w:pPr>
        <w:jc w:val="center"/>
        <w:rPr>
          <w:rFonts w:eastAsia="Times New Roman"/>
        </w:rPr>
      </w:pPr>
    </w:p>
    <w:p w:rsidR="00000000" w:rsidRDefault="0099409C">
      <w:pPr>
        <w:jc w:val="center"/>
        <w:divId w:val="962660052"/>
        <w:rPr>
          <w:rFonts w:eastAsia="Times New Roman"/>
        </w:rPr>
      </w:pPr>
      <w:r>
        <w:rPr>
          <w:rFonts w:ascii="Arial" w:eastAsia="Times New Roman" w:hAnsi="Arial" w:cs="Arial"/>
          <w:b/>
          <w:bCs/>
          <w:color w:val="000000"/>
          <w:sz w:val="20"/>
          <w:szCs w:val="20"/>
          <w:u w:val="single"/>
        </w:rPr>
        <w:t>(212) 297-0200</w:t>
      </w:r>
    </w:p>
    <w:p w:rsidR="00000000" w:rsidRDefault="0099409C">
      <w:pPr>
        <w:jc w:val="center"/>
        <w:divId w:val="1784689248"/>
        <w:rPr>
          <w:rFonts w:eastAsia="Times New Roman"/>
        </w:rPr>
      </w:pPr>
      <w:r>
        <w:rPr>
          <w:rFonts w:ascii="Arial" w:eastAsia="Times New Roman" w:hAnsi="Arial" w:cs="Arial"/>
          <w:color w:val="000000"/>
          <w:sz w:val="20"/>
          <w:szCs w:val="20"/>
        </w:rPr>
        <w:t>(Registrant’</w:t>
      </w:r>
      <w:r>
        <w:rPr>
          <w:rFonts w:ascii="Arial" w:eastAsia="Times New Roman" w:hAnsi="Arial" w:cs="Arial"/>
          <w:color w:val="000000"/>
          <w:sz w:val="20"/>
          <w:szCs w:val="20"/>
        </w:rPr>
        <w:t>s telephone number, including area code)</w:t>
      </w:r>
    </w:p>
    <w:p w:rsidR="00000000" w:rsidRDefault="0099409C">
      <w:pPr>
        <w:jc w:val="center"/>
        <w:divId w:val="758211750"/>
        <w:rPr>
          <w:rFonts w:eastAsia="Times New Roman"/>
        </w:rPr>
      </w:pPr>
      <w:r>
        <w:rPr>
          <w:rFonts w:ascii="Arial" w:eastAsia="Times New Roman" w:hAnsi="Arial" w:cs="Arial"/>
          <w:b/>
          <w:bCs/>
          <w:color w:val="000000"/>
          <w:sz w:val="20"/>
          <w:szCs w:val="20"/>
        </w:rPr>
        <w:t>None</w:t>
      </w:r>
    </w:p>
    <w:p w:rsidR="00000000" w:rsidRDefault="0099409C">
      <w:pPr>
        <w:jc w:val="center"/>
        <w:rPr>
          <w:rFonts w:eastAsia="Times New Roman"/>
        </w:rPr>
      </w:pPr>
      <w:r>
        <w:rPr>
          <w:rFonts w:ascii="Arial" w:eastAsia="Times New Roman" w:hAnsi="Arial" w:cs="Arial"/>
          <w:color w:val="000000"/>
          <w:sz w:val="20"/>
          <w:szCs w:val="20"/>
        </w:rPr>
        <w:t>(Former name, former address and former fiscal year, if changed since last report)</w:t>
      </w:r>
    </w:p>
    <w:p w:rsidR="00000000" w:rsidRDefault="0099409C">
      <w:pPr>
        <w:jc w:val="center"/>
        <w:rPr>
          <w:rFonts w:eastAsia="Times New Roman"/>
        </w:rPr>
      </w:pPr>
      <w:r>
        <w:rPr>
          <w:rFonts w:ascii="Arial" w:eastAsia="Times New Roman" w:hAnsi="Arial" w:cs="Arial"/>
          <w:color w:val="000000"/>
          <w:sz w:val="20"/>
          <w:szCs w:val="20"/>
        </w:rPr>
        <w:t>__________________________</w:t>
      </w:r>
    </w:p>
    <w:p w:rsidR="00000000" w:rsidRDefault="0099409C">
      <w:pPr>
        <w:jc w:val="center"/>
        <w:divId w:val="1318804580"/>
        <w:rPr>
          <w:rFonts w:eastAsia="Times New Roman"/>
        </w:rPr>
      </w:pPr>
      <w:r>
        <w:rPr>
          <w:rFonts w:ascii="Arial" w:eastAsia="Times New Roman" w:hAnsi="Arial" w:cs="Arial"/>
          <w:color w:val="000000"/>
          <w:sz w:val="20"/>
          <w:szCs w:val="20"/>
        </w:rPr>
        <w:t>Securities registered pursuant to Section 12(b) of the Act:</w:t>
      </w:r>
    </w:p>
    <w:tbl>
      <w:tblPr>
        <w:tblW w:w="4941" w:type="pct"/>
        <w:tblCellMar>
          <w:top w:w="15" w:type="dxa"/>
          <w:left w:w="15" w:type="dxa"/>
          <w:bottom w:w="15" w:type="dxa"/>
          <w:right w:w="15" w:type="dxa"/>
        </w:tblCellMar>
        <w:tblLook w:val="04A0" w:firstRow="1" w:lastRow="0" w:firstColumn="1" w:lastColumn="0" w:noHBand="0" w:noVBand="1"/>
      </w:tblPr>
      <w:tblGrid>
        <w:gridCol w:w="47"/>
        <w:gridCol w:w="2584"/>
        <w:gridCol w:w="37"/>
        <w:gridCol w:w="36"/>
        <w:gridCol w:w="36"/>
        <w:gridCol w:w="36"/>
        <w:gridCol w:w="48"/>
        <w:gridCol w:w="1928"/>
        <w:gridCol w:w="36"/>
        <w:gridCol w:w="36"/>
        <w:gridCol w:w="36"/>
        <w:gridCol w:w="36"/>
        <w:gridCol w:w="48"/>
        <w:gridCol w:w="3228"/>
        <w:gridCol w:w="36"/>
      </w:tblGrid>
      <w:tr w:rsidR="00000000">
        <w:trPr>
          <w:divId w:val="1443767970"/>
        </w:trPr>
        <w:tc>
          <w:tcPr>
            <w:tcW w:w="50" w:type="pct"/>
            <w:vAlign w:val="center"/>
            <w:hideMark/>
          </w:tcPr>
          <w:p w:rsidR="00000000" w:rsidRDefault="0099409C">
            <w:pPr>
              <w:jc w:val="center"/>
              <w:rPr>
                <w:rFonts w:eastAsia="Times New Roman"/>
              </w:rPr>
            </w:pPr>
          </w:p>
        </w:tc>
        <w:tc>
          <w:tcPr>
            <w:tcW w:w="159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119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198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443767970"/>
        </w:trPr>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Title of each class</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Trading Symbol</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Name of each exchange on which registered</w:t>
            </w:r>
          </w:p>
        </w:tc>
      </w:tr>
      <w:tr w:rsidR="00000000">
        <w:trPr>
          <w:divId w:val="144376797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lastRenderedPageBreak/>
              <w:t>Common Stock, $0.01 par value</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ABM</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New York Stock Exchange</w:t>
            </w:r>
          </w:p>
        </w:tc>
      </w:tr>
    </w:tbl>
    <w:p w:rsidR="00000000" w:rsidRDefault="0099409C">
      <w:pPr>
        <w:jc w:val="both"/>
        <w:divId w:val="699553670"/>
        <w:rPr>
          <w:rFonts w:eastAsia="Times New Roman"/>
        </w:rPr>
      </w:pPr>
      <w:r>
        <w:rPr>
          <w:rFonts w:ascii="Arial" w:eastAsia="Times New Roman" w:hAnsi="Arial" w:cs="Arial"/>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Times New Roman" w:hAnsi="Arial" w:cs="Arial"/>
          <w:color w:val="000000"/>
          <w:sz w:val="20"/>
          <w:szCs w:val="20"/>
        </w:rPr>
        <w:t>uch reports), and (2) has been subject to such filing requirements for the past 90 days.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w:t>
      </w:r>
    </w:p>
    <w:p w:rsidR="00000000" w:rsidRDefault="0099409C">
      <w:pPr>
        <w:divId w:val="1442534567"/>
        <w:rPr>
          <w:rFonts w:eastAsia="Times New Roman"/>
        </w:rPr>
      </w:pPr>
    </w:p>
    <w:p w:rsidR="00000000" w:rsidRDefault="0099409C">
      <w:pPr>
        <w:rPr>
          <w:rFonts w:eastAsia="Times New Roman"/>
        </w:rPr>
      </w:pPr>
      <w:r>
        <w:rPr>
          <w:rFonts w:eastAsia="Times New Roman"/>
        </w:rPr>
        <w:pict>
          <v:rect id="_x0000_i1026" style="width:0;height:1.5pt" o:hralign="center" o:hrstd="t" o:hr="t" fillcolor="#a0a0a0" stroked="f"/>
        </w:pict>
      </w:r>
    </w:p>
    <w:p w:rsidR="00000000" w:rsidRDefault="0099409C">
      <w:pPr>
        <w:divId w:val="533660365"/>
        <w:rPr>
          <w:rFonts w:eastAsia="Times New Roman"/>
        </w:rPr>
      </w:pPr>
    </w:p>
    <w:p w:rsidR="00000000" w:rsidRDefault="0099409C">
      <w:pPr>
        <w:jc w:val="both"/>
        <w:divId w:val="543640528"/>
        <w:rPr>
          <w:rFonts w:eastAsia="Times New Roman"/>
        </w:rPr>
      </w:pPr>
      <w:r>
        <w:rPr>
          <w:rFonts w:ascii="Arial" w:eastAsia="Times New Roman" w:hAnsi="Arial" w:cs="Arial"/>
          <w:color w:val="000000"/>
          <w:sz w:val="20"/>
          <w:szCs w:val="20"/>
        </w:rPr>
        <w:t>Indicate by check mark whether the registrant has submitted electronically every Interactive Data File required to be submitted pursuant to Rule 405 of Regulation S-T (§ 232.405 of this chapter) during the preceding 12</w:t>
      </w:r>
      <w:r>
        <w:rPr>
          <w:rFonts w:ascii="Arial" w:eastAsia="Times New Roman" w:hAnsi="Arial" w:cs="Arial"/>
          <w:color w:val="000000"/>
          <w:sz w:val="20"/>
          <w:szCs w:val="20"/>
        </w:rPr>
        <w:t xml:space="preserve"> months (or for such shorter period that the registrant was required to submit such files).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w:t>
      </w:r>
    </w:p>
    <w:p w:rsidR="00000000" w:rsidRDefault="0099409C">
      <w:pPr>
        <w:jc w:val="both"/>
        <w:divId w:val="202836488"/>
        <w:rPr>
          <w:rFonts w:eastAsia="Times New Roman"/>
        </w:rPr>
      </w:pPr>
      <w:r>
        <w:rPr>
          <w:rFonts w:ascii="Arial" w:eastAsia="Times New Roman" w:hAnsi="Arial" w:cs="Arial"/>
          <w:color w:val="000000"/>
          <w:sz w:val="20"/>
          <w:szCs w:val="20"/>
        </w:rPr>
        <w:t>Indicate by check mark whether the registrant is a large accelerated filer, an accelerated filer, a non-accelerated filer, a smaller reporting c</w:t>
      </w:r>
      <w:r>
        <w:rPr>
          <w:rFonts w:ascii="Arial" w:eastAsia="Times New Roman" w:hAnsi="Arial" w:cs="Arial"/>
          <w:color w:val="000000"/>
          <w:sz w:val="20"/>
          <w:szCs w:val="20"/>
        </w:rPr>
        <w:t>ompany, or an emerging growth company. See the definitions of “large accelerated filer,” “accelerated filer,” “smaller reporting company,” and “emerging growth company” in Rule 12b-2 of the Exchange Act.</w:t>
      </w:r>
    </w:p>
    <w:tbl>
      <w:tblPr>
        <w:tblW w:w="4963" w:type="pct"/>
        <w:jc w:val="center"/>
        <w:tblCellMar>
          <w:top w:w="15" w:type="dxa"/>
          <w:left w:w="15" w:type="dxa"/>
          <w:bottom w:w="15" w:type="dxa"/>
          <w:right w:w="15" w:type="dxa"/>
        </w:tblCellMar>
        <w:tblLook w:val="04A0" w:firstRow="1" w:lastRow="0" w:firstColumn="1" w:lastColumn="0" w:noHBand="0" w:noVBand="1"/>
      </w:tblPr>
      <w:tblGrid>
        <w:gridCol w:w="61"/>
        <w:gridCol w:w="1279"/>
        <w:gridCol w:w="36"/>
        <w:gridCol w:w="37"/>
        <w:gridCol w:w="292"/>
        <w:gridCol w:w="36"/>
        <w:gridCol w:w="86"/>
        <w:gridCol w:w="1003"/>
        <w:gridCol w:w="36"/>
        <w:gridCol w:w="37"/>
        <w:gridCol w:w="198"/>
        <w:gridCol w:w="36"/>
        <w:gridCol w:w="69"/>
        <w:gridCol w:w="1079"/>
        <w:gridCol w:w="36"/>
        <w:gridCol w:w="37"/>
        <w:gridCol w:w="198"/>
        <w:gridCol w:w="36"/>
        <w:gridCol w:w="43"/>
        <w:gridCol w:w="1472"/>
        <w:gridCol w:w="36"/>
        <w:gridCol w:w="37"/>
        <w:gridCol w:w="196"/>
        <w:gridCol w:w="36"/>
        <w:gridCol w:w="46"/>
        <w:gridCol w:w="1480"/>
        <w:gridCol w:w="36"/>
        <w:gridCol w:w="37"/>
        <w:gridCol w:w="198"/>
        <w:gridCol w:w="36"/>
      </w:tblGrid>
      <w:tr w:rsidR="00000000">
        <w:trPr>
          <w:divId w:val="806554202"/>
          <w:jc w:val="center"/>
        </w:trPr>
        <w:tc>
          <w:tcPr>
            <w:tcW w:w="50" w:type="pct"/>
            <w:vAlign w:val="center"/>
            <w:hideMark/>
          </w:tcPr>
          <w:p w:rsidR="00000000" w:rsidRDefault="0099409C">
            <w:pPr>
              <w:jc w:val="both"/>
              <w:rPr>
                <w:rFonts w:eastAsia="Times New Roman"/>
              </w:rPr>
            </w:pPr>
          </w:p>
        </w:tc>
        <w:tc>
          <w:tcPr>
            <w:tcW w:w="8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2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58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2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3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2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953"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1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93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3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806554202"/>
          <w:jc w:val="center"/>
        </w:trPr>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20"/>
                <w:szCs w:val="20"/>
              </w:rPr>
              <w:t>Large accelerated filer</w:t>
            </w:r>
          </w:p>
        </w:tc>
        <w:tc>
          <w:tcPr>
            <w:tcW w:w="0" w:type="auto"/>
            <w:gridSpan w:val="3"/>
            <w:tcMar>
              <w:top w:w="30" w:type="dxa"/>
              <w:left w:w="20" w:type="dxa"/>
              <w:bottom w:w="30" w:type="dxa"/>
              <w:right w:w="20" w:type="dxa"/>
            </w:tcMar>
            <w:vAlign w:val="center"/>
            <w:hideMark/>
          </w:tcPr>
          <w:p w:rsidR="00000000" w:rsidRDefault="0099409C">
            <w:pPr>
              <w:spacing w:after="100"/>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20"/>
                <w:szCs w:val="20"/>
              </w:rPr>
              <w:t>Accelerated filer</w:t>
            </w:r>
          </w:p>
        </w:tc>
        <w:tc>
          <w:tcPr>
            <w:tcW w:w="0" w:type="auto"/>
            <w:gridSpan w:val="3"/>
            <w:tcMar>
              <w:top w:w="30" w:type="dxa"/>
              <w:left w:w="20" w:type="dxa"/>
              <w:bottom w:w="30" w:type="dxa"/>
              <w:right w:w="20" w:type="dxa"/>
            </w:tcMar>
            <w:vAlign w:val="center"/>
            <w:hideMark/>
          </w:tcPr>
          <w:p w:rsidR="00000000" w:rsidRDefault="0099409C">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20"/>
                <w:szCs w:val="20"/>
              </w:rPr>
              <w:t>Non-accelerated filer</w:t>
            </w:r>
          </w:p>
        </w:tc>
        <w:tc>
          <w:tcPr>
            <w:tcW w:w="0" w:type="auto"/>
            <w:gridSpan w:val="3"/>
            <w:tcMar>
              <w:top w:w="30" w:type="dxa"/>
              <w:left w:w="20" w:type="dxa"/>
              <w:bottom w:w="30" w:type="dxa"/>
              <w:right w:w="20" w:type="dxa"/>
            </w:tcMar>
            <w:vAlign w:val="center"/>
            <w:hideMark/>
          </w:tcPr>
          <w:p w:rsidR="00000000" w:rsidRDefault="0099409C">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20"/>
                <w:szCs w:val="20"/>
              </w:rPr>
              <w:t>Smaller reporting company</w:t>
            </w:r>
          </w:p>
        </w:tc>
        <w:tc>
          <w:tcPr>
            <w:tcW w:w="0" w:type="auto"/>
            <w:gridSpan w:val="3"/>
            <w:tcMar>
              <w:top w:w="30" w:type="dxa"/>
              <w:left w:w="20" w:type="dxa"/>
              <w:bottom w:w="30" w:type="dxa"/>
              <w:right w:w="20" w:type="dxa"/>
            </w:tcMar>
            <w:vAlign w:val="center"/>
            <w:hideMark/>
          </w:tcPr>
          <w:p w:rsidR="00000000" w:rsidRDefault="0099409C">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20"/>
                <w:szCs w:val="20"/>
              </w:rPr>
              <w:t>Emerging growth company</w:t>
            </w:r>
          </w:p>
        </w:tc>
        <w:tc>
          <w:tcPr>
            <w:tcW w:w="0" w:type="auto"/>
            <w:gridSpan w:val="3"/>
            <w:tcMar>
              <w:top w:w="30" w:type="dxa"/>
              <w:left w:w="20" w:type="dxa"/>
              <w:bottom w:w="30" w:type="dxa"/>
              <w:right w:w="20" w:type="dxa"/>
            </w:tcMar>
            <w:vAlign w:val="center"/>
            <w:hideMark/>
          </w:tcPr>
          <w:p w:rsidR="00000000" w:rsidRDefault="0099409C">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99409C">
      <w:pPr>
        <w:jc w:val="both"/>
        <w:divId w:val="552280140"/>
        <w:rPr>
          <w:rFonts w:eastAsia="Times New Roman"/>
        </w:rPr>
      </w:pPr>
      <w:r>
        <w:rPr>
          <w:rFonts w:ascii="Arial" w:eastAsia="Times New Roman" w:hAnsi="Arial" w:cs="Arial"/>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99409C">
      <w:pPr>
        <w:divId w:val="257064145"/>
        <w:rPr>
          <w:rFonts w:eastAsia="Times New Roman"/>
        </w:rPr>
      </w:pPr>
      <w:r>
        <w:rPr>
          <w:rFonts w:ascii="Arial" w:eastAsia="Times New Roman" w:hAnsi="Arial" w:cs="Arial"/>
          <w:color w:val="000000"/>
          <w:sz w:val="20"/>
          <w:szCs w:val="20"/>
        </w:rPr>
        <w:t>Ind</w:t>
      </w:r>
      <w:r>
        <w:rPr>
          <w:rFonts w:ascii="Arial" w:eastAsia="Times New Roman" w:hAnsi="Arial" w:cs="Arial"/>
          <w:color w:val="000000"/>
          <w:sz w:val="20"/>
          <w:szCs w:val="20"/>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No</w:t>
      </w:r>
      <w:r>
        <w:rPr>
          <w:rFonts w:ascii="Wingdings" w:eastAsia="Times New Roman" w:hAnsi="Wingdings"/>
          <w:color w:val="000000"/>
          <w:sz w:val="20"/>
          <w:szCs w:val="20"/>
        </w:rPr>
        <w:t xml:space="preserve"> </w:t>
      </w:r>
      <w:r>
        <w:rPr>
          <w:rFonts w:ascii="Segoe UI Emoji" w:eastAsia="Times New Roman" w:hAnsi="Segoe UI Emoji" w:cs="Segoe UI Emoji"/>
          <w:color w:val="000000"/>
          <w:sz w:val="20"/>
          <w:szCs w:val="20"/>
        </w:rPr>
        <w:t>☑</w:t>
      </w:r>
    </w:p>
    <w:p w:rsidR="00000000" w:rsidRDefault="0099409C">
      <w:pPr>
        <w:jc w:val="center"/>
        <w:divId w:val="80296438"/>
        <w:rPr>
          <w:rFonts w:eastAsia="Times New Roman"/>
        </w:rPr>
      </w:pPr>
      <w:r>
        <w:rPr>
          <w:rFonts w:ascii="Arial" w:eastAsia="Times New Roman" w:hAnsi="Arial" w:cs="Arial"/>
          <w:color w:val="000000"/>
          <w:sz w:val="20"/>
          <w:szCs w:val="20"/>
        </w:rPr>
        <w:t>Number of shares of the registrant’</w:t>
      </w:r>
      <w:r>
        <w:rPr>
          <w:rFonts w:ascii="Arial" w:eastAsia="Times New Roman" w:hAnsi="Arial" w:cs="Arial"/>
          <w:color w:val="000000"/>
          <w:sz w:val="20"/>
          <w:szCs w:val="20"/>
        </w:rPr>
        <w:t>s common stock outstanding as of September 8, 2022: 66,151,540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993832195"/>
          <w:jc w:val="center"/>
        </w:trPr>
        <w:tc>
          <w:tcPr>
            <w:tcW w:w="50" w:type="pct"/>
            <w:vAlign w:val="center"/>
            <w:hideMark/>
          </w:tcPr>
          <w:p w:rsidR="00000000" w:rsidRDefault="0099409C">
            <w:pPr>
              <w:jc w:val="center"/>
              <w:rPr>
                <w:rFonts w:eastAsia="Times New Roman"/>
              </w:rPr>
            </w:pPr>
          </w:p>
        </w:tc>
        <w:tc>
          <w:tcPr>
            <w:tcW w:w="494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993832195"/>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jc w:val="center"/>
        <w:divId w:val="1433819476"/>
        <w:rPr>
          <w:rFonts w:eastAsia="Times New Roman"/>
        </w:rPr>
      </w:pPr>
    </w:p>
    <w:p w:rsidR="00000000" w:rsidRDefault="0099409C">
      <w:pPr>
        <w:rPr>
          <w:rFonts w:eastAsia="Times New Roman"/>
        </w:rPr>
      </w:pPr>
      <w:r>
        <w:rPr>
          <w:rFonts w:eastAsia="Times New Roman"/>
        </w:rPr>
        <w:pict>
          <v:rect id="_x0000_i1027" style="width:0;height:1.5pt" o:hralign="center" o:hrstd="t" o:hr="t" fillcolor="#a0a0a0" stroked="f"/>
        </w:pict>
      </w:r>
    </w:p>
    <w:p w:rsidR="00000000" w:rsidRDefault="0099409C">
      <w:pPr>
        <w:divId w:val="71709363"/>
        <w:rPr>
          <w:rFonts w:eastAsia="Times New Roman"/>
        </w:rPr>
      </w:pPr>
    </w:p>
    <w:p w:rsidR="00000000" w:rsidRDefault="0099409C">
      <w:pPr>
        <w:jc w:val="center"/>
        <w:divId w:val="2133741164"/>
        <w:rPr>
          <w:rFonts w:eastAsia="Times New Roman"/>
        </w:rPr>
      </w:pPr>
      <w:r>
        <w:rPr>
          <w:rFonts w:ascii="Arial" w:eastAsia="Times New Roman" w:hAnsi="Arial" w:cs="Arial"/>
          <w:b/>
          <w:bCs/>
          <w:color w:val="000000"/>
          <w:sz w:val="20"/>
          <w:szCs w:val="20"/>
        </w:rPr>
        <w:t>ABM INDUSTRIES INCORPORATED AND SUBSIDIARIES</w:t>
      </w:r>
    </w:p>
    <w:p w:rsidR="00000000" w:rsidRDefault="0099409C">
      <w:pPr>
        <w:jc w:val="center"/>
        <w:divId w:val="888342434"/>
        <w:rPr>
          <w:rFonts w:eastAsia="Times New Roman"/>
        </w:rPr>
      </w:pPr>
      <w:r>
        <w:rPr>
          <w:rFonts w:ascii="Arial" w:eastAsia="Times New Roman" w:hAnsi="Arial" w:cs="Arial"/>
          <w:b/>
          <w:bCs/>
          <w:color w:val="000000"/>
          <w:sz w:val="20"/>
          <w:szCs w:val="20"/>
        </w:rPr>
        <w:t>TABLE OF CONTENTS</w:t>
      </w:r>
    </w:p>
    <w:tbl>
      <w:tblPr>
        <w:tblW w:w="4956" w:type="pct"/>
        <w:tblCellMar>
          <w:top w:w="15" w:type="dxa"/>
          <w:left w:w="15" w:type="dxa"/>
          <w:bottom w:w="15" w:type="dxa"/>
          <w:right w:w="15" w:type="dxa"/>
        </w:tblCellMar>
        <w:tblLook w:val="04A0" w:firstRow="1" w:lastRow="0" w:firstColumn="1" w:lastColumn="0" w:noHBand="0" w:noVBand="1"/>
      </w:tblPr>
      <w:tblGrid>
        <w:gridCol w:w="68"/>
        <w:gridCol w:w="7681"/>
        <w:gridCol w:w="36"/>
        <w:gridCol w:w="68"/>
        <w:gridCol w:w="344"/>
        <w:gridCol w:w="36"/>
      </w:tblGrid>
      <w:tr w:rsidR="00000000">
        <w:trPr>
          <w:divId w:val="1515025788"/>
        </w:trPr>
        <w:tc>
          <w:tcPr>
            <w:tcW w:w="50" w:type="pct"/>
            <w:vAlign w:val="center"/>
            <w:hideMark/>
          </w:tcPr>
          <w:p w:rsidR="00000000" w:rsidRDefault="0099409C">
            <w:pPr>
              <w:jc w:val="center"/>
              <w:rPr>
                <w:rFonts w:eastAsia="Times New Roman"/>
              </w:rPr>
            </w:pPr>
          </w:p>
        </w:tc>
        <w:tc>
          <w:tcPr>
            <w:tcW w:w="467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1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51502578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FORWARD-LOOKING STATEMENTS</w:t>
            </w:r>
          </w:p>
        </w:tc>
        <w:tc>
          <w:tcPr>
            <w:tcW w:w="0" w:type="auto"/>
            <w:gridSpan w:val="3"/>
            <w:tcMar>
              <w:top w:w="30" w:type="dxa"/>
              <w:left w:w="20" w:type="dxa"/>
              <w:bottom w:w="30" w:type="dxa"/>
              <w:right w:w="20" w:type="dxa"/>
            </w:tcMar>
            <w:vAlign w:val="bottom"/>
            <w:hideMark/>
          </w:tcPr>
          <w:p w:rsidR="00000000" w:rsidRDefault="0099409C">
            <w:pPr>
              <w:spacing w:after="100"/>
              <w:jc w:val="right"/>
              <w:rPr>
                <w:rFonts w:eastAsia="Times New Roman"/>
              </w:rPr>
            </w:pPr>
            <w:hyperlink w:anchor="i6e8df79507534bcd8d464d3da8ba754e_10" w:history="1">
              <w:r>
                <w:rPr>
                  <w:rStyle w:val="a3"/>
                  <w:rFonts w:ascii="Arial" w:eastAsia="Times New Roman" w:hAnsi="Arial" w:cs="Arial"/>
                  <w:sz w:val="17"/>
                  <w:szCs w:val="17"/>
                </w:rPr>
                <w:t>1</w:t>
              </w:r>
            </w:hyperlink>
          </w:p>
        </w:tc>
      </w:tr>
      <w:tr w:rsidR="00000000">
        <w:trPr>
          <w:divId w:val="151502578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PART I. FINANCIAL INFORMATION</w:t>
            </w:r>
          </w:p>
        </w:tc>
        <w:tc>
          <w:tcPr>
            <w:tcW w:w="0" w:type="auto"/>
            <w:gridSpan w:val="3"/>
            <w:tcMar>
              <w:top w:w="30" w:type="dxa"/>
              <w:left w:w="20" w:type="dxa"/>
              <w:bottom w:w="30" w:type="dxa"/>
              <w:right w:w="20" w:type="dxa"/>
            </w:tcMar>
            <w:vAlign w:val="bottom"/>
            <w:hideMark/>
          </w:tcPr>
          <w:p w:rsidR="00000000" w:rsidRDefault="0099409C">
            <w:pPr>
              <w:spacing w:after="100"/>
              <w:jc w:val="right"/>
              <w:rPr>
                <w:rFonts w:eastAsia="Times New Roman"/>
              </w:rPr>
            </w:pPr>
            <w:hyperlink w:anchor="i6e8df79507534bcd8d464d3da8ba754e_13" w:history="1">
              <w:r>
                <w:rPr>
                  <w:rStyle w:val="a3"/>
                  <w:rFonts w:ascii="Arial" w:eastAsia="Times New Roman" w:hAnsi="Arial" w:cs="Arial"/>
                  <w:sz w:val="17"/>
                  <w:szCs w:val="17"/>
                </w:rPr>
                <w:t>3</w:t>
              </w:r>
            </w:hyperlink>
          </w:p>
        </w:tc>
      </w:tr>
      <w:tr w:rsidR="00000000">
        <w:trPr>
          <w:divId w:val="151502578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 xml:space="preserve">Item 1. Consolidated Financial Statements </w:t>
            </w:r>
          </w:p>
        </w:tc>
        <w:tc>
          <w:tcPr>
            <w:tcW w:w="0" w:type="auto"/>
            <w:gridSpan w:val="3"/>
            <w:tcMar>
              <w:top w:w="30" w:type="dxa"/>
              <w:left w:w="20" w:type="dxa"/>
              <w:bottom w:w="30" w:type="dxa"/>
              <w:right w:w="20" w:type="dxa"/>
            </w:tcMar>
            <w:vAlign w:val="bottom"/>
            <w:hideMark/>
          </w:tcPr>
          <w:p w:rsidR="00000000" w:rsidRDefault="0099409C">
            <w:pPr>
              <w:spacing w:after="100"/>
              <w:jc w:val="right"/>
              <w:rPr>
                <w:rFonts w:eastAsia="Times New Roman"/>
              </w:rPr>
            </w:pPr>
            <w:hyperlink w:anchor="i6e8df79507534bcd8d464d3da8ba754e_13" w:history="1">
              <w:r>
                <w:rPr>
                  <w:rStyle w:val="a3"/>
                  <w:rFonts w:ascii="Arial" w:eastAsia="Times New Roman" w:hAnsi="Arial" w:cs="Arial"/>
                  <w:sz w:val="17"/>
                  <w:szCs w:val="17"/>
                </w:rPr>
                <w:t>3</w:t>
              </w:r>
            </w:hyperlink>
          </w:p>
        </w:tc>
      </w:tr>
      <w:tr w:rsidR="00000000">
        <w:trPr>
          <w:divId w:val="1515025788"/>
        </w:trPr>
        <w:tc>
          <w:tcPr>
            <w:tcW w:w="0" w:type="auto"/>
            <w:gridSpan w:val="3"/>
            <w:vAlign w:val="center"/>
            <w:hideMark/>
          </w:tcPr>
          <w:p w:rsidR="00000000" w:rsidRDefault="0099409C">
            <w:pPr>
              <w:spacing w:after="100"/>
              <w:jc w:val="right"/>
              <w:rPr>
                <w:rFonts w:eastAsia="Times New Roman"/>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1515025788"/>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1515025788"/>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1515025788"/>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151502578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Item 2. Management’</w:t>
            </w:r>
            <w:r>
              <w:rPr>
                <w:rFonts w:ascii="Arial" w:eastAsia="Times New Roman" w:hAnsi="Arial" w:cs="Arial"/>
                <w:color w:val="000000"/>
                <w:sz w:val="16"/>
                <w:szCs w:val="16"/>
              </w:rPr>
              <w:t>s Discussion and Analysis of Financial Condition and Results of Operations</w:t>
            </w:r>
          </w:p>
        </w:tc>
        <w:tc>
          <w:tcPr>
            <w:tcW w:w="0" w:type="auto"/>
            <w:gridSpan w:val="3"/>
            <w:tcMar>
              <w:top w:w="30" w:type="dxa"/>
              <w:left w:w="20" w:type="dxa"/>
              <w:bottom w:w="30" w:type="dxa"/>
              <w:right w:w="20" w:type="dxa"/>
            </w:tcMar>
            <w:vAlign w:val="bottom"/>
            <w:hideMark/>
          </w:tcPr>
          <w:p w:rsidR="00000000" w:rsidRDefault="0099409C">
            <w:pPr>
              <w:spacing w:after="100"/>
              <w:jc w:val="right"/>
              <w:rPr>
                <w:rFonts w:eastAsia="Times New Roman"/>
              </w:rPr>
            </w:pPr>
            <w:hyperlink w:anchor="i6e8df79507534bcd8d464d3da8ba754e_85" w:history="1">
              <w:r>
                <w:rPr>
                  <w:rStyle w:val="a3"/>
                  <w:rFonts w:ascii="Arial" w:eastAsia="Times New Roman" w:hAnsi="Arial" w:cs="Arial"/>
                  <w:sz w:val="17"/>
                  <w:szCs w:val="17"/>
                </w:rPr>
                <w:t>25</w:t>
              </w:r>
            </w:hyperlink>
          </w:p>
        </w:tc>
      </w:tr>
      <w:tr w:rsidR="00000000">
        <w:trPr>
          <w:divId w:val="151502578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Item 3. Quantitative and Qualitative Disclosures About Market Risk</w:t>
            </w:r>
          </w:p>
        </w:tc>
        <w:tc>
          <w:tcPr>
            <w:tcW w:w="0" w:type="auto"/>
            <w:gridSpan w:val="3"/>
            <w:tcMar>
              <w:top w:w="30" w:type="dxa"/>
              <w:left w:w="20" w:type="dxa"/>
              <w:bottom w:w="30" w:type="dxa"/>
              <w:right w:w="20" w:type="dxa"/>
            </w:tcMar>
            <w:vAlign w:val="bottom"/>
            <w:hideMark/>
          </w:tcPr>
          <w:p w:rsidR="00000000" w:rsidRDefault="0099409C">
            <w:pPr>
              <w:spacing w:after="100"/>
              <w:jc w:val="right"/>
              <w:rPr>
                <w:rFonts w:eastAsia="Times New Roman"/>
              </w:rPr>
            </w:pPr>
            <w:hyperlink w:anchor="i6e8df79507534bcd8d464d3da8ba754e_115" w:history="1">
              <w:r>
                <w:rPr>
                  <w:rStyle w:val="a3"/>
                  <w:rFonts w:ascii="Arial" w:eastAsia="Times New Roman" w:hAnsi="Arial" w:cs="Arial"/>
                  <w:sz w:val="17"/>
                  <w:szCs w:val="17"/>
                </w:rPr>
                <w:t>43</w:t>
              </w:r>
            </w:hyperlink>
          </w:p>
        </w:tc>
      </w:tr>
      <w:tr w:rsidR="00000000">
        <w:trPr>
          <w:divId w:val="151502578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Item 4. Controls and Procedures</w:t>
            </w:r>
          </w:p>
        </w:tc>
        <w:tc>
          <w:tcPr>
            <w:tcW w:w="0" w:type="auto"/>
            <w:gridSpan w:val="3"/>
            <w:tcMar>
              <w:top w:w="30" w:type="dxa"/>
              <w:left w:w="20" w:type="dxa"/>
              <w:bottom w:w="30" w:type="dxa"/>
              <w:right w:w="20" w:type="dxa"/>
            </w:tcMar>
            <w:vAlign w:val="bottom"/>
            <w:hideMark/>
          </w:tcPr>
          <w:p w:rsidR="00000000" w:rsidRDefault="0099409C">
            <w:pPr>
              <w:spacing w:after="100"/>
              <w:jc w:val="right"/>
              <w:rPr>
                <w:rFonts w:eastAsia="Times New Roman"/>
              </w:rPr>
            </w:pPr>
            <w:hyperlink w:anchor="i6e8df79507534bcd8d464d3da8ba754e_118" w:history="1">
              <w:r>
                <w:rPr>
                  <w:rStyle w:val="a3"/>
                  <w:rFonts w:ascii="Arial" w:eastAsia="Times New Roman" w:hAnsi="Arial" w:cs="Arial"/>
                  <w:sz w:val="17"/>
                  <w:szCs w:val="17"/>
                </w:rPr>
                <w:t>43</w:t>
              </w:r>
            </w:hyperlink>
          </w:p>
        </w:tc>
      </w:tr>
      <w:tr w:rsidR="00000000">
        <w:trPr>
          <w:divId w:val="151502578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PART II. OTHER INFORMATION</w:t>
            </w:r>
          </w:p>
        </w:tc>
        <w:tc>
          <w:tcPr>
            <w:tcW w:w="0" w:type="auto"/>
            <w:gridSpan w:val="3"/>
            <w:tcMar>
              <w:top w:w="30" w:type="dxa"/>
              <w:left w:w="20" w:type="dxa"/>
              <w:bottom w:w="30" w:type="dxa"/>
              <w:right w:w="20" w:type="dxa"/>
            </w:tcMar>
            <w:vAlign w:val="bottom"/>
            <w:hideMark/>
          </w:tcPr>
          <w:p w:rsidR="00000000" w:rsidRDefault="0099409C">
            <w:pPr>
              <w:spacing w:after="100"/>
              <w:jc w:val="right"/>
              <w:rPr>
                <w:rFonts w:eastAsia="Times New Roman"/>
              </w:rPr>
            </w:pPr>
            <w:hyperlink w:anchor="i6e8df79507534bcd8d464d3da8ba754e_121" w:history="1">
              <w:r>
                <w:rPr>
                  <w:rStyle w:val="a3"/>
                  <w:rFonts w:ascii="Arial" w:eastAsia="Times New Roman" w:hAnsi="Arial" w:cs="Arial"/>
                  <w:sz w:val="17"/>
                  <w:szCs w:val="17"/>
                </w:rPr>
                <w:t>43</w:t>
              </w:r>
            </w:hyperlink>
          </w:p>
        </w:tc>
      </w:tr>
      <w:tr w:rsidR="00000000">
        <w:trPr>
          <w:divId w:val="151502578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lastRenderedPageBreak/>
              <w:t>Item 1. Legal Proceedings</w:t>
            </w:r>
          </w:p>
        </w:tc>
        <w:tc>
          <w:tcPr>
            <w:tcW w:w="0" w:type="auto"/>
            <w:gridSpan w:val="3"/>
            <w:tcMar>
              <w:top w:w="30" w:type="dxa"/>
              <w:left w:w="20" w:type="dxa"/>
              <w:bottom w:w="30" w:type="dxa"/>
              <w:right w:w="20" w:type="dxa"/>
            </w:tcMar>
            <w:vAlign w:val="bottom"/>
            <w:hideMark/>
          </w:tcPr>
          <w:p w:rsidR="00000000" w:rsidRDefault="0099409C">
            <w:pPr>
              <w:spacing w:after="100"/>
              <w:jc w:val="right"/>
              <w:rPr>
                <w:rFonts w:eastAsia="Times New Roman"/>
              </w:rPr>
            </w:pPr>
            <w:hyperlink w:anchor="i6e8df79507534bcd8d464d3da8ba754e_124" w:history="1">
              <w:r>
                <w:rPr>
                  <w:rStyle w:val="a3"/>
                  <w:rFonts w:ascii="Arial" w:eastAsia="Times New Roman" w:hAnsi="Arial" w:cs="Arial"/>
                  <w:sz w:val="17"/>
                  <w:szCs w:val="17"/>
                </w:rPr>
                <w:t>43</w:t>
              </w:r>
            </w:hyperlink>
          </w:p>
        </w:tc>
      </w:tr>
      <w:tr w:rsidR="00000000">
        <w:trPr>
          <w:divId w:val="151502578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Item 1A. Risk Factors</w:t>
            </w:r>
          </w:p>
        </w:tc>
        <w:tc>
          <w:tcPr>
            <w:tcW w:w="0" w:type="auto"/>
            <w:gridSpan w:val="3"/>
            <w:tcMar>
              <w:top w:w="30" w:type="dxa"/>
              <w:left w:w="20" w:type="dxa"/>
              <w:bottom w:w="30" w:type="dxa"/>
              <w:right w:w="20" w:type="dxa"/>
            </w:tcMar>
            <w:vAlign w:val="bottom"/>
            <w:hideMark/>
          </w:tcPr>
          <w:p w:rsidR="00000000" w:rsidRDefault="0099409C">
            <w:pPr>
              <w:spacing w:after="100"/>
              <w:jc w:val="right"/>
              <w:rPr>
                <w:rFonts w:eastAsia="Times New Roman"/>
              </w:rPr>
            </w:pPr>
            <w:hyperlink w:anchor="i6e8df79507534bcd8d464d3da8ba754e_127" w:history="1">
              <w:r>
                <w:rPr>
                  <w:rStyle w:val="a3"/>
                  <w:rFonts w:ascii="Arial" w:eastAsia="Times New Roman" w:hAnsi="Arial" w:cs="Arial"/>
                  <w:sz w:val="17"/>
                  <w:szCs w:val="17"/>
                </w:rPr>
                <w:t>43</w:t>
              </w:r>
            </w:hyperlink>
          </w:p>
        </w:tc>
      </w:tr>
      <w:tr w:rsidR="00000000">
        <w:trPr>
          <w:divId w:val="151502578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Item 2. Unregistered Sales of Equity Securities and Use of Proceeds</w:t>
            </w:r>
          </w:p>
        </w:tc>
        <w:tc>
          <w:tcPr>
            <w:tcW w:w="0" w:type="auto"/>
            <w:gridSpan w:val="3"/>
            <w:tcMar>
              <w:top w:w="30" w:type="dxa"/>
              <w:left w:w="20" w:type="dxa"/>
              <w:bottom w:w="30" w:type="dxa"/>
              <w:right w:w="20" w:type="dxa"/>
            </w:tcMar>
            <w:vAlign w:val="bottom"/>
            <w:hideMark/>
          </w:tcPr>
          <w:p w:rsidR="00000000" w:rsidRDefault="0099409C">
            <w:pPr>
              <w:spacing w:after="100"/>
              <w:jc w:val="right"/>
              <w:rPr>
                <w:rFonts w:eastAsia="Times New Roman"/>
              </w:rPr>
            </w:pPr>
            <w:hyperlink w:anchor="i6e8df79507534bcd8d464d3da8ba754e_130" w:history="1">
              <w:r>
                <w:rPr>
                  <w:rStyle w:val="a3"/>
                  <w:rFonts w:ascii="Arial" w:eastAsia="Times New Roman" w:hAnsi="Arial" w:cs="Arial"/>
                  <w:sz w:val="17"/>
                  <w:szCs w:val="17"/>
                </w:rPr>
                <w:t>43</w:t>
              </w:r>
            </w:hyperlink>
          </w:p>
        </w:tc>
      </w:tr>
      <w:tr w:rsidR="00000000">
        <w:trPr>
          <w:divId w:val="151502578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Item 3. Defaults Upon Senior Securities</w:t>
            </w:r>
          </w:p>
        </w:tc>
        <w:tc>
          <w:tcPr>
            <w:tcW w:w="0" w:type="auto"/>
            <w:gridSpan w:val="3"/>
            <w:tcMar>
              <w:top w:w="30" w:type="dxa"/>
              <w:left w:w="20" w:type="dxa"/>
              <w:bottom w:w="30" w:type="dxa"/>
              <w:right w:w="20" w:type="dxa"/>
            </w:tcMar>
            <w:vAlign w:val="bottom"/>
            <w:hideMark/>
          </w:tcPr>
          <w:p w:rsidR="00000000" w:rsidRDefault="0099409C">
            <w:pPr>
              <w:spacing w:after="100"/>
              <w:jc w:val="right"/>
              <w:rPr>
                <w:rFonts w:eastAsia="Times New Roman"/>
              </w:rPr>
            </w:pPr>
            <w:hyperlink w:anchor="i6e8df79507534bcd8d464d3da8ba754e_133" w:history="1">
              <w:r>
                <w:rPr>
                  <w:rStyle w:val="a3"/>
                  <w:rFonts w:ascii="Arial" w:eastAsia="Times New Roman" w:hAnsi="Arial" w:cs="Arial"/>
                  <w:sz w:val="17"/>
                  <w:szCs w:val="17"/>
                </w:rPr>
                <w:t>44</w:t>
              </w:r>
            </w:hyperlink>
          </w:p>
        </w:tc>
      </w:tr>
      <w:tr w:rsidR="00000000">
        <w:trPr>
          <w:divId w:val="151502578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Item 4. Mine Safety Disclosures</w:t>
            </w:r>
          </w:p>
        </w:tc>
        <w:tc>
          <w:tcPr>
            <w:tcW w:w="0" w:type="auto"/>
            <w:gridSpan w:val="3"/>
            <w:tcMar>
              <w:top w:w="30" w:type="dxa"/>
              <w:left w:w="20" w:type="dxa"/>
              <w:bottom w:w="30" w:type="dxa"/>
              <w:right w:w="20" w:type="dxa"/>
            </w:tcMar>
            <w:vAlign w:val="bottom"/>
            <w:hideMark/>
          </w:tcPr>
          <w:p w:rsidR="00000000" w:rsidRDefault="0099409C">
            <w:pPr>
              <w:spacing w:after="100"/>
              <w:jc w:val="right"/>
              <w:rPr>
                <w:rFonts w:eastAsia="Times New Roman"/>
              </w:rPr>
            </w:pPr>
            <w:hyperlink w:anchor="i6e8df79507534bcd8d464d3da8ba754e_136" w:history="1">
              <w:r>
                <w:rPr>
                  <w:rStyle w:val="a3"/>
                  <w:rFonts w:ascii="Arial" w:eastAsia="Times New Roman" w:hAnsi="Arial" w:cs="Arial"/>
                  <w:sz w:val="17"/>
                  <w:szCs w:val="17"/>
                </w:rPr>
                <w:t>44</w:t>
              </w:r>
            </w:hyperlink>
          </w:p>
        </w:tc>
      </w:tr>
      <w:tr w:rsidR="00000000">
        <w:trPr>
          <w:divId w:val="151502578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Item 5. Other Information</w:t>
            </w:r>
          </w:p>
        </w:tc>
        <w:tc>
          <w:tcPr>
            <w:tcW w:w="0" w:type="auto"/>
            <w:gridSpan w:val="3"/>
            <w:tcMar>
              <w:top w:w="30" w:type="dxa"/>
              <w:left w:w="20" w:type="dxa"/>
              <w:bottom w:w="30" w:type="dxa"/>
              <w:right w:w="20" w:type="dxa"/>
            </w:tcMar>
            <w:vAlign w:val="bottom"/>
            <w:hideMark/>
          </w:tcPr>
          <w:p w:rsidR="00000000" w:rsidRDefault="0099409C">
            <w:pPr>
              <w:spacing w:after="100"/>
              <w:jc w:val="right"/>
              <w:rPr>
                <w:rFonts w:eastAsia="Times New Roman"/>
              </w:rPr>
            </w:pPr>
            <w:hyperlink w:anchor="i6e8df79507534bcd8d464d3da8ba754e_139" w:history="1">
              <w:r>
                <w:rPr>
                  <w:rStyle w:val="a3"/>
                  <w:rFonts w:ascii="Arial" w:eastAsia="Times New Roman" w:hAnsi="Arial" w:cs="Arial"/>
                  <w:sz w:val="17"/>
                  <w:szCs w:val="17"/>
                </w:rPr>
                <w:t>44</w:t>
              </w:r>
            </w:hyperlink>
          </w:p>
        </w:tc>
      </w:tr>
      <w:tr w:rsidR="00000000">
        <w:trPr>
          <w:divId w:val="151502578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Item 6. Exhibits</w:t>
            </w:r>
          </w:p>
        </w:tc>
        <w:tc>
          <w:tcPr>
            <w:tcW w:w="0" w:type="auto"/>
            <w:gridSpan w:val="3"/>
            <w:tcMar>
              <w:top w:w="30" w:type="dxa"/>
              <w:left w:w="20" w:type="dxa"/>
              <w:bottom w:w="30" w:type="dxa"/>
              <w:right w:w="20" w:type="dxa"/>
            </w:tcMar>
            <w:vAlign w:val="bottom"/>
            <w:hideMark/>
          </w:tcPr>
          <w:p w:rsidR="00000000" w:rsidRDefault="0099409C">
            <w:pPr>
              <w:spacing w:after="100"/>
              <w:jc w:val="right"/>
              <w:rPr>
                <w:rFonts w:eastAsia="Times New Roman"/>
              </w:rPr>
            </w:pPr>
            <w:hyperlink w:anchor="i6e8df79507534bcd8d464d3da8ba754e_142" w:history="1">
              <w:r>
                <w:rPr>
                  <w:rStyle w:val="a3"/>
                  <w:rFonts w:ascii="Arial" w:eastAsia="Times New Roman" w:hAnsi="Arial" w:cs="Arial"/>
                  <w:sz w:val="17"/>
                  <w:szCs w:val="17"/>
                </w:rPr>
                <w:t>45</w:t>
              </w:r>
            </w:hyperlink>
          </w:p>
        </w:tc>
      </w:tr>
      <w:tr w:rsidR="00000000">
        <w:trPr>
          <w:divId w:val="151502578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SIGNATURES</w:t>
            </w:r>
          </w:p>
        </w:tc>
        <w:tc>
          <w:tcPr>
            <w:tcW w:w="0" w:type="auto"/>
            <w:gridSpan w:val="3"/>
            <w:tcMar>
              <w:top w:w="30" w:type="dxa"/>
              <w:left w:w="20" w:type="dxa"/>
              <w:bottom w:w="30" w:type="dxa"/>
              <w:right w:w="20" w:type="dxa"/>
            </w:tcMar>
            <w:vAlign w:val="bottom"/>
            <w:hideMark/>
          </w:tcPr>
          <w:p w:rsidR="00000000" w:rsidRDefault="0099409C">
            <w:pPr>
              <w:spacing w:after="100"/>
              <w:jc w:val="right"/>
              <w:rPr>
                <w:rFonts w:eastAsia="Times New Roman"/>
              </w:rPr>
            </w:pPr>
            <w:hyperlink w:anchor="i6e8df79507534bcd8d464d3da8ba754e_145" w:history="1">
              <w:r>
                <w:rPr>
                  <w:rStyle w:val="a3"/>
                  <w:rFonts w:ascii="Arial" w:eastAsia="Times New Roman" w:hAnsi="Arial" w:cs="Arial"/>
                  <w:sz w:val="17"/>
                  <w:szCs w:val="17"/>
                </w:rPr>
                <w:t>46</w:t>
              </w:r>
            </w:hyperlink>
          </w:p>
        </w:tc>
      </w:tr>
    </w:tbl>
    <w:p w:rsidR="00000000" w:rsidRDefault="0099409C">
      <w:pPr>
        <w:jc w:val="center"/>
        <w:divId w:val="818423754"/>
        <w:rPr>
          <w:rFonts w:eastAsia="Times New Roman"/>
        </w:rPr>
      </w:pPr>
    </w:p>
    <w:p w:rsidR="00000000" w:rsidRDefault="0099409C">
      <w:pPr>
        <w:rPr>
          <w:rFonts w:eastAsia="Times New Roman"/>
        </w:rPr>
      </w:pPr>
      <w:r>
        <w:rPr>
          <w:rFonts w:eastAsia="Times New Roman"/>
        </w:rPr>
        <w:pict>
          <v:rect id="_x0000_i1028" style="width:0;height:1.5pt" o:hralign="center" o:hrstd="t" o:hr="t" fillcolor="#a0a0a0" stroked="f"/>
        </w:pict>
      </w:r>
    </w:p>
    <w:p w:rsidR="00000000" w:rsidRDefault="0099409C">
      <w:pPr>
        <w:divId w:val="1665281358"/>
        <w:rPr>
          <w:rFonts w:eastAsia="Times New Roman"/>
        </w:rPr>
      </w:pPr>
    </w:p>
    <w:p w:rsidR="00000000" w:rsidRDefault="0099409C">
      <w:pPr>
        <w:divId w:val="382801178"/>
        <w:rPr>
          <w:rFonts w:eastAsia="Times New Roman"/>
        </w:rPr>
      </w:pPr>
      <w:r>
        <w:rPr>
          <w:rFonts w:ascii="Arial" w:eastAsia="Times New Roman" w:hAnsi="Arial" w:cs="Arial"/>
          <w:b/>
          <w:bCs/>
          <w:color w:val="0046AD"/>
          <w:sz w:val="20"/>
          <w:szCs w:val="20"/>
        </w:rPr>
        <w:t>FORWARD-LOOKING STATEMENTS</w:t>
      </w:r>
    </w:p>
    <w:p w:rsidR="00000000" w:rsidRDefault="0099409C">
      <w:pPr>
        <w:ind w:firstLine="720"/>
        <w:jc w:val="both"/>
        <w:divId w:val="173228345"/>
        <w:rPr>
          <w:rFonts w:eastAsia="Times New Roman"/>
        </w:rPr>
      </w:pPr>
      <w:r>
        <w:rPr>
          <w:rFonts w:ascii="Arial" w:eastAsia="Times New Roman" w:hAnsi="Arial" w:cs="Arial"/>
          <w:color w:val="000000"/>
          <w:sz w:val="20"/>
          <w:szCs w:val="20"/>
        </w:rPr>
        <w:t>This Form 10-Q contains both historical and forward-looking statements regarding ABM and its subsidiaries (collectively referred to as “ABM,” “we,” “us,” “our,” or the “Company”). We make for</w:t>
      </w:r>
      <w:r>
        <w:rPr>
          <w:rFonts w:ascii="Arial" w:eastAsia="Times New Roman" w:hAnsi="Arial" w:cs="Arial"/>
          <w:color w:val="000000"/>
          <w:sz w:val="20"/>
          <w:szCs w:val="20"/>
        </w:rPr>
        <w:t>ward-looking statements related to future expectations, estimates, and projections that are uncertain and often contain words such as “anticipate,” “believe,” “could,” “estimate,” “expect,” “forecast,” “intend,” “likely,” “may,” “outlook,” “plan,” “predict</w:t>
      </w:r>
      <w:r>
        <w:rPr>
          <w:rFonts w:ascii="Arial" w:eastAsia="Times New Roman" w:hAnsi="Arial" w:cs="Arial"/>
          <w:color w:val="000000"/>
          <w:sz w:val="20"/>
          <w:szCs w:val="20"/>
        </w:rPr>
        <w:t>,” “should,” “target,” or other similar words or phrases. These statements are not guarantees of future performance and are subject to known and unknown risks, uncertainties, and assumptions that are difficult to predict. Particular risks and uncertainties</w:t>
      </w:r>
      <w:r>
        <w:rPr>
          <w:rFonts w:ascii="Arial" w:eastAsia="Times New Roman" w:hAnsi="Arial" w:cs="Arial"/>
          <w:color w:val="000000"/>
          <w:sz w:val="20"/>
          <w:szCs w:val="20"/>
        </w:rPr>
        <w:t xml:space="preserve"> that could cause our actual results to be materially different from those expressed in our forward-looking statements include those listed below. </w:t>
      </w:r>
    </w:p>
    <w:p w:rsidR="00000000" w:rsidRDefault="0099409C">
      <w:pPr>
        <w:ind w:hanging="360"/>
        <w:jc w:val="both"/>
        <w:divId w:val="1082290838"/>
        <w:rPr>
          <w:rFonts w:eastAsia="Times New Roman"/>
        </w:rPr>
      </w:pPr>
      <w:r>
        <w:rPr>
          <w:rFonts w:ascii="Arial" w:eastAsia="Times New Roman" w:hAnsi="Arial" w:cs="Arial"/>
          <w:color w:val="000000"/>
          <w:sz w:val="20"/>
          <w:szCs w:val="20"/>
        </w:rPr>
        <w:t>•The novel coronavirus (“COVID-19”) pandemic (the “Pandemic”) has had and is expected to continue having a n</w:t>
      </w:r>
      <w:r>
        <w:rPr>
          <w:rFonts w:ascii="Arial" w:eastAsia="Times New Roman" w:hAnsi="Arial" w:cs="Arial"/>
          <w:color w:val="000000"/>
          <w:sz w:val="20"/>
          <w:szCs w:val="20"/>
        </w:rPr>
        <w:t>egative effect on the global economy and the U.S. economy. It has disrupted and is expected to continue disrupting our operations and our clients’ operations, which may adversely affect our business, results of operations, cash flows, and financial conditi</w:t>
      </w:r>
      <w:r>
        <w:rPr>
          <w:rFonts w:ascii="Arial" w:eastAsia="Times New Roman" w:hAnsi="Arial" w:cs="Arial"/>
          <w:color w:val="000000"/>
          <w:sz w:val="20"/>
          <w:szCs w:val="20"/>
        </w:rPr>
        <w:t>on.</w:t>
      </w:r>
    </w:p>
    <w:p w:rsidR="00000000" w:rsidRDefault="0099409C">
      <w:pPr>
        <w:ind w:hanging="360"/>
        <w:jc w:val="both"/>
        <w:divId w:val="563486154"/>
        <w:rPr>
          <w:rFonts w:eastAsia="Times New Roman"/>
        </w:rPr>
      </w:pPr>
      <w:r>
        <w:rPr>
          <w:rFonts w:ascii="Arial" w:eastAsia="Times New Roman" w:hAnsi="Arial" w:cs="Arial"/>
          <w:color w:val="000000"/>
          <w:sz w:val="20"/>
          <w:szCs w:val="20"/>
        </w:rPr>
        <w:t>•Our success depends on our ability to gain profitable business despite competitive market pressures.</w:t>
      </w:r>
    </w:p>
    <w:p w:rsidR="00000000" w:rsidRDefault="0099409C">
      <w:pPr>
        <w:ind w:hanging="360"/>
        <w:jc w:val="both"/>
        <w:divId w:val="1886791236"/>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business success depends on our ability to attract and retain qualified personnel and senior management and to manage labor costs.</w:t>
      </w:r>
    </w:p>
    <w:p w:rsidR="00000000" w:rsidRDefault="0099409C">
      <w:pPr>
        <w:ind w:hanging="360"/>
        <w:jc w:val="both"/>
        <w:divId w:val="545992575"/>
        <w:rPr>
          <w:rFonts w:eastAsia="Times New Roman"/>
        </w:rPr>
      </w:pPr>
      <w:r>
        <w:rPr>
          <w:rFonts w:ascii="Arial" w:eastAsia="Times New Roman" w:hAnsi="Arial" w:cs="Arial"/>
          <w:color w:val="000000"/>
          <w:sz w:val="20"/>
          <w:szCs w:val="20"/>
        </w:rPr>
        <w:t xml:space="preserve">•Investments in and changes to our businesses, operating structure, financial reporting structure, or personnel relating </w:t>
      </w:r>
      <w:r>
        <w:rPr>
          <w:rFonts w:ascii="Arial" w:eastAsia="Times New Roman" w:hAnsi="Arial" w:cs="Arial"/>
          <w:color w:val="000000"/>
          <w:sz w:val="20"/>
          <w:szCs w:val="20"/>
        </w:rPr>
        <w:t>to our multiyear strategic plan (“</w:t>
      </w:r>
      <w:r>
        <w:rPr>
          <w:rFonts w:ascii="Arial" w:eastAsia="Times New Roman" w:hAnsi="Arial" w:cs="Arial"/>
          <w:b/>
          <w:bCs/>
          <w:color w:val="E98300"/>
          <w:sz w:val="20"/>
          <w:szCs w:val="20"/>
        </w:rPr>
        <w:t>ELEVATE</w:t>
      </w:r>
      <w:r>
        <w:rPr>
          <w:rFonts w:ascii="Arial" w:eastAsia="Times New Roman" w:hAnsi="Arial" w:cs="Arial"/>
          <w:color w:val="000000"/>
          <w:sz w:val="20"/>
          <w:szCs w:val="20"/>
        </w:rPr>
        <w:t>”), including the implementation of strategic transformations, enhanced business processes, and technology initiatives, may not have the desired effects on our financial condition and results of operations.</w:t>
      </w:r>
    </w:p>
    <w:p w:rsidR="00000000" w:rsidRDefault="0099409C">
      <w:pPr>
        <w:ind w:hanging="360"/>
        <w:jc w:val="both"/>
        <w:divId w:val="681013585"/>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ability to preserve long-term client relationships is essential to our continued success.</w:t>
      </w:r>
    </w:p>
    <w:p w:rsidR="00000000" w:rsidRDefault="0099409C">
      <w:pPr>
        <w:ind w:hanging="360"/>
        <w:jc w:val="both"/>
        <w:divId w:val="1755008155"/>
        <w:rPr>
          <w:rFonts w:eastAsia="Times New Roman"/>
        </w:rPr>
      </w:pPr>
      <w:r>
        <w:rPr>
          <w:rFonts w:ascii="Arial" w:eastAsia="Times New Roman" w:hAnsi="Arial" w:cs="Arial"/>
          <w:color w:val="000000"/>
          <w:sz w:val="20"/>
          <w:szCs w:val="20"/>
        </w:rPr>
        <w:t xml:space="preserve">•Our international business involves risks different from those we face in the United States that could have an effect on our results of operations and financial </w:t>
      </w:r>
      <w:r>
        <w:rPr>
          <w:rFonts w:ascii="Arial" w:eastAsia="Times New Roman" w:hAnsi="Arial" w:cs="Arial"/>
          <w:color w:val="000000"/>
          <w:sz w:val="20"/>
          <w:szCs w:val="20"/>
        </w:rPr>
        <w:t>condition.</w:t>
      </w:r>
    </w:p>
    <w:p w:rsidR="00000000" w:rsidRDefault="0099409C">
      <w:pPr>
        <w:ind w:hanging="360"/>
        <w:jc w:val="both"/>
        <w:divId w:val="70003454"/>
        <w:rPr>
          <w:rFonts w:eastAsia="Times New Roman"/>
        </w:rPr>
      </w:pPr>
      <w:r>
        <w:rPr>
          <w:rFonts w:ascii="Arial" w:eastAsia="Times New Roman" w:hAnsi="Arial" w:cs="Arial"/>
          <w:color w:val="000000"/>
          <w:sz w:val="20"/>
          <w:szCs w:val="20"/>
        </w:rPr>
        <w:t>•Our use of subcontractors or joint venture partners to perform work under customer contracts exposes us to liability and financial risk.</w:t>
      </w:r>
    </w:p>
    <w:p w:rsidR="00000000" w:rsidRDefault="0099409C">
      <w:pPr>
        <w:ind w:hanging="360"/>
        <w:jc w:val="both"/>
        <w:divId w:val="1780295776"/>
        <w:rPr>
          <w:rFonts w:eastAsia="Times New Roman"/>
        </w:rPr>
      </w:pPr>
      <w:r>
        <w:rPr>
          <w:rFonts w:ascii="Arial" w:eastAsia="Times New Roman" w:hAnsi="Arial" w:cs="Arial"/>
          <w:color w:val="000000"/>
          <w:sz w:val="20"/>
          <w:szCs w:val="20"/>
        </w:rPr>
        <w:t xml:space="preserve">•Acquisitions, divestitures, and other strategic transactions could fail to achieve financial or strategic </w:t>
      </w:r>
      <w:r>
        <w:rPr>
          <w:rFonts w:ascii="Arial" w:eastAsia="Times New Roman" w:hAnsi="Arial" w:cs="Arial"/>
          <w:color w:val="000000"/>
          <w:sz w:val="20"/>
          <w:szCs w:val="20"/>
        </w:rPr>
        <w:t>objectives, disrupt our ongoing business, and adversely impact our results of operations.</w:t>
      </w:r>
    </w:p>
    <w:p w:rsidR="00000000" w:rsidRDefault="0099409C">
      <w:pPr>
        <w:ind w:hanging="360"/>
        <w:jc w:val="both"/>
        <w:divId w:val="2067293733"/>
        <w:rPr>
          <w:rFonts w:eastAsia="Times New Roman"/>
        </w:rPr>
      </w:pPr>
      <w:r>
        <w:rPr>
          <w:rFonts w:ascii="Arial" w:eastAsia="Times New Roman" w:hAnsi="Arial" w:cs="Arial"/>
          <w:color w:val="000000"/>
          <w:sz w:val="20"/>
          <w:szCs w:val="20"/>
        </w:rPr>
        <w:t>•We may experience difficulties integrating our acquisition of Crown Building Maintenance Co. and Crown Energy Services, Inc. (collectively, “Able”) and may not reali</w:t>
      </w:r>
      <w:r>
        <w:rPr>
          <w:rFonts w:ascii="Arial" w:eastAsia="Times New Roman" w:hAnsi="Arial" w:cs="Arial"/>
          <w:color w:val="000000"/>
          <w:sz w:val="20"/>
          <w:szCs w:val="20"/>
        </w:rPr>
        <w:t xml:space="preserve">ze the growth opportunities and cost synergies that are anticipated from the acquisition of Able. </w:t>
      </w:r>
    </w:p>
    <w:p w:rsidR="00000000" w:rsidRDefault="0099409C">
      <w:pPr>
        <w:ind w:hanging="360"/>
        <w:jc w:val="both"/>
        <w:divId w:val="1159152455"/>
        <w:rPr>
          <w:rFonts w:eastAsia="Times New Roman"/>
        </w:rPr>
      </w:pPr>
      <w:r>
        <w:rPr>
          <w:rFonts w:ascii="Arial" w:eastAsia="Times New Roman" w:hAnsi="Arial" w:cs="Arial"/>
          <w:color w:val="000000"/>
          <w:sz w:val="20"/>
          <w:szCs w:val="20"/>
        </w:rPr>
        <w:t>•We manage our insurable risks through a combination of third-party purchased policies and self-insurance, and we retain a substantial portion of the risk as</w:t>
      </w:r>
      <w:r>
        <w:rPr>
          <w:rFonts w:ascii="Arial" w:eastAsia="Times New Roman" w:hAnsi="Arial" w:cs="Arial"/>
          <w:color w:val="000000"/>
          <w:sz w:val="20"/>
          <w:szCs w:val="20"/>
        </w:rPr>
        <w:t>sociated with expected losses under these programs, which exposes us to volatility associated with those risks, including the possibility that changes in estimates to our ultimate insurance loss reserves could result in material charges against our earning</w:t>
      </w:r>
      <w:r>
        <w:rPr>
          <w:rFonts w:ascii="Arial" w:eastAsia="Times New Roman" w:hAnsi="Arial" w:cs="Arial"/>
          <w:color w:val="000000"/>
          <w:sz w:val="20"/>
          <w:szCs w:val="20"/>
        </w:rPr>
        <w:t>s.</w:t>
      </w:r>
    </w:p>
    <w:p w:rsidR="00000000" w:rsidRDefault="0099409C">
      <w:pPr>
        <w:ind w:hanging="360"/>
        <w:jc w:val="both"/>
        <w:divId w:val="495078963"/>
        <w:rPr>
          <w:rFonts w:eastAsia="Times New Roman"/>
        </w:rPr>
      </w:pPr>
      <w:r>
        <w:rPr>
          <w:rFonts w:ascii="Arial" w:eastAsia="Times New Roman" w:hAnsi="Arial" w:cs="Arial"/>
          <w:color w:val="000000"/>
          <w:sz w:val="20"/>
          <w:szCs w:val="20"/>
        </w:rPr>
        <w:lastRenderedPageBreak/>
        <w:t>•Our risk management and safety programs may not have the intended effect of reducing our liability for personal injury or property loss.</w:t>
      </w:r>
    </w:p>
    <w:p w:rsidR="00000000" w:rsidRDefault="0099409C">
      <w:pPr>
        <w:ind w:hanging="360"/>
        <w:jc w:val="both"/>
        <w:divId w:val="264848335"/>
        <w:rPr>
          <w:rFonts w:eastAsia="Times New Roman"/>
        </w:rPr>
      </w:pPr>
      <w:r>
        <w:rPr>
          <w:rFonts w:ascii="Arial" w:eastAsia="Times New Roman" w:hAnsi="Arial" w:cs="Arial"/>
          <w:color w:val="000000"/>
          <w:sz w:val="20"/>
          <w:szCs w:val="20"/>
        </w:rPr>
        <w:t>•We may experience breaches of, or disruptions to, our information technology systems or those of our third-party p</w:t>
      </w:r>
      <w:r>
        <w:rPr>
          <w:rFonts w:ascii="Arial" w:eastAsia="Times New Roman" w:hAnsi="Arial" w:cs="Arial"/>
          <w:color w:val="000000"/>
          <w:sz w:val="20"/>
          <w:szCs w:val="20"/>
        </w:rPr>
        <w:t>roviders or clients, or other compromises of our data that could adversely affect our business.</w:t>
      </w:r>
    </w:p>
    <w:p w:rsidR="00000000" w:rsidRDefault="0099409C">
      <w:pPr>
        <w:ind w:hanging="360"/>
        <w:jc w:val="both"/>
        <w:divId w:val="1833908094"/>
        <w:rPr>
          <w:rFonts w:eastAsia="Times New Roman"/>
        </w:rPr>
      </w:pPr>
      <w:r>
        <w:rPr>
          <w:rFonts w:ascii="Arial" w:eastAsia="Times New Roman" w:hAnsi="Arial" w:cs="Arial"/>
          <w:color w:val="000000"/>
          <w:sz w:val="20"/>
          <w:szCs w:val="20"/>
        </w:rPr>
        <w:t>•Unfavorable developments in our class and representative actions and other lawsuits alleging various claims could cause us to incur substantial liabilities.</w:t>
      </w:r>
    </w:p>
    <w:p w:rsidR="00000000" w:rsidRDefault="0099409C">
      <w:pPr>
        <w:ind w:hanging="360"/>
        <w:jc w:val="both"/>
        <w:divId w:val="1693611905"/>
        <w:rPr>
          <w:rFonts w:eastAsia="Times New Roman"/>
        </w:rPr>
      </w:pPr>
      <w:r>
        <w:rPr>
          <w:rFonts w:ascii="Arial" w:eastAsia="Times New Roman" w:hAnsi="Arial" w:cs="Arial"/>
          <w:color w:val="000000"/>
          <w:sz w:val="20"/>
          <w:szCs w:val="20"/>
        </w:rPr>
        <w:t>•A</w:t>
      </w:r>
      <w:r>
        <w:rPr>
          <w:rFonts w:ascii="Arial" w:eastAsia="Times New Roman" w:hAnsi="Arial" w:cs="Arial"/>
          <w:color w:val="000000"/>
          <w:sz w:val="20"/>
          <w:szCs w:val="20"/>
        </w:rPr>
        <w:t xml:space="preserve"> significant number of our employees are covered by collective bargaining agreements that could expose us to potential liabilities in relation to our participation in multiemployer pension plans, requirements to make contributions to other benefit plans, a</w:t>
      </w:r>
      <w:r>
        <w:rPr>
          <w:rFonts w:ascii="Arial" w:eastAsia="Times New Roman" w:hAnsi="Arial" w:cs="Arial"/>
          <w:color w:val="000000"/>
          <w:sz w:val="20"/>
          <w:szCs w:val="20"/>
        </w:rPr>
        <w:t>nd the potential for strikes, work slowdowns or similar activities, and union organizing drives.</w:t>
      </w:r>
    </w:p>
    <w:p w:rsidR="00000000" w:rsidRDefault="0099409C">
      <w:pPr>
        <w:ind w:hanging="360"/>
        <w:jc w:val="both"/>
        <w:divId w:val="890262475"/>
        <w:rPr>
          <w:rFonts w:eastAsia="Times New Roman"/>
        </w:rPr>
      </w:pPr>
      <w:r>
        <w:rPr>
          <w:rFonts w:ascii="Arial" w:eastAsia="Times New Roman" w:hAnsi="Arial" w:cs="Arial"/>
          <w:color w:val="000000"/>
          <w:sz w:val="20"/>
          <w:szCs w:val="20"/>
        </w:rPr>
        <w:t>•Our business may be materially affected by changes to fiscal and tax policies. Negative or unexpected tax consequences could adversely affect our results of o</w:t>
      </w:r>
      <w:r>
        <w:rPr>
          <w:rFonts w:ascii="Arial" w:eastAsia="Times New Roman" w:hAnsi="Arial" w:cs="Arial"/>
          <w:color w:val="000000"/>
          <w:sz w:val="20"/>
          <w:szCs w:val="20"/>
        </w:rPr>
        <w:t>perations.</w:t>
      </w:r>
    </w:p>
    <w:p w:rsidR="00000000" w:rsidRDefault="0099409C">
      <w:pPr>
        <w:ind w:hanging="360"/>
        <w:jc w:val="both"/>
        <w:divId w:val="1039011305"/>
        <w:rPr>
          <w:rFonts w:eastAsia="Times New Roman"/>
        </w:rPr>
      </w:pPr>
      <w:r>
        <w:rPr>
          <w:rFonts w:ascii="Arial" w:eastAsia="Times New Roman" w:hAnsi="Arial" w:cs="Arial"/>
          <w:color w:val="000000"/>
          <w:sz w:val="20"/>
          <w:szCs w:val="20"/>
        </w:rPr>
        <w:t>•Changes in general economic conditions, such as changes in energy prices, government regulations, or consumer preferences, could reduce the demand for facility services and, as a result, reduce our earnings and adversely affect our financial co</w:t>
      </w:r>
      <w:r>
        <w:rPr>
          <w:rFonts w:ascii="Arial" w:eastAsia="Times New Roman" w:hAnsi="Arial" w:cs="Arial"/>
          <w:color w:val="000000"/>
          <w:sz w:val="20"/>
          <w:szCs w:val="20"/>
        </w:rPr>
        <w:t>ndition.</w:t>
      </w:r>
    </w:p>
    <w:p w:rsidR="00000000" w:rsidRDefault="0099409C">
      <w:pPr>
        <w:ind w:hanging="360"/>
        <w:jc w:val="both"/>
        <w:divId w:val="868177595"/>
        <w:rPr>
          <w:rFonts w:eastAsia="Times New Roman"/>
        </w:rPr>
      </w:pPr>
      <w:r>
        <w:rPr>
          <w:rFonts w:ascii="Arial" w:eastAsia="Times New Roman" w:hAnsi="Arial" w:cs="Arial"/>
          <w:color w:val="000000"/>
          <w:sz w:val="20"/>
          <w:szCs w:val="20"/>
        </w:rPr>
        <w:t>•Future increases in the level of our borrowings or in interest rates could affect our results of operations.</w:t>
      </w:r>
    </w:p>
    <w:p w:rsidR="00000000" w:rsidRDefault="0099409C">
      <w:pPr>
        <w:ind w:hanging="360"/>
        <w:jc w:val="both"/>
        <w:divId w:val="1751004232"/>
        <w:rPr>
          <w:rFonts w:eastAsia="Times New Roman"/>
        </w:rPr>
      </w:pPr>
      <w:r>
        <w:rPr>
          <w:rFonts w:ascii="Arial" w:eastAsia="Times New Roman" w:hAnsi="Arial" w:cs="Arial"/>
          <w:color w:val="000000"/>
          <w:sz w:val="20"/>
          <w:szCs w:val="20"/>
        </w:rPr>
        <w:t>•Impairment of goodwill and long-lived assets could have a material adverse effect on our financial condition and results of operations.</w:t>
      </w:r>
    </w:p>
    <w:p w:rsidR="00000000" w:rsidRDefault="0099409C">
      <w:pPr>
        <w:jc w:val="center"/>
        <w:divId w:val="899293815"/>
        <w:rPr>
          <w:rFonts w:eastAsia="Times New Roman"/>
        </w:rPr>
      </w:pPr>
      <w:r>
        <w:rPr>
          <w:rFonts w:ascii="Arial" w:eastAsia="Times New Roman" w:hAnsi="Arial" w:cs="Arial"/>
          <w:color w:val="000000"/>
          <w:sz w:val="20"/>
          <w:szCs w:val="20"/>
        </w:rPr>
        <w:t>1</w:t>
      </w:r>
    </w:p>
    <w:p w:rsidR="00000000" w:rsidRDefault="0099409C">
      <w:pPr>
        <w:rPr>
          <w:rFonts w:eastAsia="Times New Roman"/>
        </w:rPr>
      </w:pPr>
      <w:r>
        <w:rPr>
          <w:rFonts w:eastAsia="Times New Roman"/>
        </w:rPr>
        <w:pict>
          <v:rect id="_x0000_i1029" style="width:0;height:1.5pt" o:hralign="center" o:hrstd="t" o:hr="t" fillcolor="#a0a0a0" stroked="f"/>
        </w:pict>
      </w:r>
    </w:p>
    <w:p w:rsidR="00000000" w:rsidRDefault="0099409C">
      <w:pPr>
        <w:divId w:val="1456559410"/>
        <w:rPr>
          <w:rFonts w:eastAsia="Times New Roman"/>
        </w:rPr>
      </w:pPr>
    </w:p>
    <w:p w:rsidR="00000000" w:rsidRDefault="0099409C">
      <w:pPr>
        <w:ind w:hanging="360"/>
        <w:jc w:val="both"/>
        <w:divId w:val="1741637810"/>
        <w:rPr>
          <w:rFonts w:eastAsia="Times New Roman"/>
        </w:rPr>
      </w:pPr>
      <w:r>
        <w:rPr>
          <w:rFonts w:ascii="Arial" w:eastAsia="Times New Roman" w:hAnsi="Arial" w:cs="Arial"/>
          <w:color w:val="000000"/>
          <w:sz w:val="20"/>
          <w:szCs w:val="20"/>
        </w:rPr>
        <w:t>•If we fail to maintain proper and effective internal control over financial reporting in the future, our ability to produce accurate and timely financial statements could be negatively impacted, which could harm our</w:t>
      </w:r>
      <w:r>
        <w:rPr>
          <w:rFonts w:ascii="Arial" w:eastAsia="Times New Roman" w:hAnsi="Arial" w:cs="Arial"/>
          <w:color w:val="000000"/>
          <w:sz w:val="20"/>
          <w:szCs w:val="20"/>
        </w:rPr>
        <w:t xml:space="preserve"> operating results and investor perceptions of our Company and, as a result, may have a material adverse effect on the value of our common stock.</w:t>
      </w:r>
    </w:p>
    <w:p w:rsidR="00000000" w:rsidRDefault="0099409C">
      <w:pPr>
        <w:ind w:hanging="360"/>
        <w:jc w:val="both"/>
        <w:divId w:val="1902672991"/>
        <w:rPr>
          <w:rFonts w:eastAsia="Times New Roman"/>
        </w:rPr>
      </w:pPr>
      <w:r>
        <w:rPr>
          <w:rFonts w:ascii="Arial" w:eastAsia="Times New Roman" w:hAnsi="Arial" w:cs="Arial"/>
          <w:color w:val="000000"/>
          <w:sz w:val="20"/>
          <w:szCs w:val="20"/>
        </w:rPr>
        <w:t>•Our business may be negatively impacted by adverse weather conditions.</w:t>
      </w:r>
    </w:p>
    <w:p w:rsidR="00000000" w:rsidRDefault="0099409C">
      <w:pPr>
        <w:ind w:hanging="360"/>
        <w:jc w:val="both"/>
        <w:divId w:val="1714229269"/>
        <w:rPr>
          <w:rFonts w:eastAsia="Times New Roman"/>
        </w:rPr>
      </w:pPr>
      <w:r>
        <w:rPr>
          <w:rFonts w:ascii="Arial" w:eastAsia="Times New Roman" w:hAnsi="Arial" w:cs="Arial"/>
          <w:color w:val="000000"/>
          <w:sz w:val="20"/>
          <w:szCs w:val="20"/>
        </w:rPr>
        <w:t>•Catastrophic events, disasters, and t</w:t>
      </w:r>
      <w:r>
        <w:rPr>
          <w:rFonts w:ascii="Arial" w:eastAsia="Times New Roman" w:hAnsi="Arial" w:cs="Arial"/>
          <w:color w:val="000000"/>
          <w:sz w:val="20"/>
          <w:szCs w:val="20"/>
        </w:rPr>
        <w:t>errorist attacks could disrupt our services.</w:t>
      </w:r>
    </w:p>
    <w:p w:rsidR="00000000" w:rsidRDefault="0099409C">
      <w:pPr>
        <w:ind w:hanging="360"/>
        <w:jc w:val="both"/>
        <w:divId w:val="2003773596"/>
        <w:rPr>
          <w:rFonts w:eastAsia="Times New Roman"/>
        </w:rPr>
      </w:pPr>
      <w:r>
        <w:rPr>
          <w:rFonts w:ascii="Arial" w:eastAsia="Times New Roman" w:hAnsi="Arial" w:cs="Arial"/>
          <w:color w:val="000000"/>
          <w:sz w:val="20"/>
          <w:szCs w:val="20"/>
        </w:rPr>
        <w:t>•Actions of activist investors could disrupt our business.</w:t>
      </w:r>
    </w:p>
    <w:p w:rsidR="00000000" w:rsidRDefault="0099409C">
      <w:pPr>
        <w:ind w:firstLine="720"/>
        <w:jc w:val="both"/>
        <w:divId w:val="14504533"/>
        <w:rPr>
          <w:rFonts w:eastAsia="Times New Roman"/>
        </w:rPr>
      </w:pPr>
      <w:r>
        <w:rPr>
          <w:rFonts w:ascii="Arial" w:eastAsia="Times New Roman" w:hAnsi="Arial" w:cs="Arial"/>
          <w:color w:val="000000"/>
          <w:sz w:val="20"/>
          <w:szCs w:val="20"/>
        </w:rPr>
        <w:t>The list of factors above is illustrative and by no means exhaustive. Additional information regarding these and other risks and uncertainties we face i</w:t>
      </w:r>
      <w:r>
        <w:rPr>
          <w:rFonts w:ascii="Arial" w:eastAsia="Times New Roman" w:hAnsi="Arial" w:cs="Arial"/>
          <w:color w:val="000000"/>
          <w:sz w:val="20"/>
          <w:szCs w:val="20"/>
        </w:rPr>
        <w:t xml:space="preserve">s contained in our Annual Report on Form 10-K for the year ended October 31, 2021, and in other reports (including all amendments to those reports) we file from time to time with the Securities and Exchange Commission (“SEC”). </w:t>
      </w:r>
    </w:p>
    <w:p w:rsidR="00000000" w:rsidRDefault="0099409C">
      <w:pPr>
        <w:ind w:firstLine="720"/>
        <w:jc w:val="both"/>
        <w:divId w:val="515731455"/>
        <w:rPr>
          <w:rFonts w:eastAsia="Times New Roman"/>
        </w:rPr>
      </w:pPr>
      <w:r>
        <w:rPr>
          <w:rFonts w:ascii="Arial" w:eastAsia="Times New Roman" w:hAnsi="Arial" w:cs="Arial"/>
          <w:color w:val="000000"/>
          <w:sz w:val="20"/>
          <w:szCs w:val="20"/>
        </w:rPr>
        <w:t xml:space="preserve">We urge readers to consider </w:t>
      </w:r>
      <w:r>
        <w:rPr>
          <w:rFonts w:ascii="Arial" w:eastAsia="Times New Roman" w:hAnsi="Arial" w:cs="Arial"/>
          <w:color w:val="000000"/>
          <w:sz w:val="20"/>
          <w:szCs w:val="20"/>
        </w:rPr>
        <w:t>these risks and uncertainties in evaluating our forward-looking statements. We caution readers not to place undue reliance upon any such forward-looking statements, which speak only as of the date made. We undertake no obligation to publicly update any for</w:t>
      </w:r>
      <w:r>
        <w:rPr>
          <w:rFonts w:ascii="Arial" w:eastAsia="Times New Roman" w:hAnsi="Arial" w:cs="Arial"/>
          <w:color w:val="000000"/>
          <w:sz w:val="20"/>
          <w:szCs w:val="20"/>
        </w:rPr>
        <w:t xml:space="preserve">ward-looking statements, whether as a result of new information, future events, or otherwise, except as required by law. </w:t>
      </w:r>
    </w:p>
    <w:p w:rsidR="00000000" w:rsidRDefault="0099409C">
      <w:pPr>
        <w:jc w:val="center"/>
        <w:divId w:val="791359818"/>
        <w:rPr>
          <w:rFonts w:eastAsia="Times New Roman"/>
        </w:rPr>
      </w:pPr>
      <w:r>
        <w:rPr>
          <w:rFonts w:ascii="Arial" w:eastAsia="Times New Roman" w:hAnsi="Arial" w:cs="Arial"/>
          <w:color w:val="000000"/>
          <w:sz w:val="20"/>
          <w:szCs w:val="20"/>
        </w:rPr>
        <w:t>2</w:t>
      </w:r>
    </w:p>
    <w:p w:rsidR="00000000" w:rsidRDefault="0099409C">
      <w:pPr>
        <w:rPr>
          <w:rFonts w:eastAsia="Times New Roman"/>
        </w:rPr>
      </w:pPr>
      <w:r>
        <w:rPr>
          <w:rFonts w:eastAsia="Times New Roman"/>
        </w:rPr>
        <w:pict>
          <v:rect id="_x0000_i1030" style="width:0;height:1.5pt" o:hralign="center" o:hrstd="t" o:hr="t" fillcolor="#a0a0a0" stroked="f"/>
        </w:pict>
      </w:r>
    </w:p>
    <w:p w:rsidR="00000000" w:rsidRDefault="0099409C">
      <w:pPr>
        <w:jc w:val="both"/>
        <w:divId w:val="959147410"/>
        <w:rPr>
          <w:rFonts w:eastAsia="Times New Roman"/>
        </w:rPr>
      </w:pPr>
    </w:p>
    <w:p w:rsidR="00000000" w:rsidRDefault="0099409C">
      <w:pPr>
        <w:jc w:val="both"/>
        <w:divId w:val="469057970"/>
        <w:rPr>
          <w:rFonts w:eastAsia="Times New Roman"/>
        </w:rPr>
      </w:pPr>
      <w:r>
        <w:rPr>
          <w:rFonts w:ascii="Arial" w:eastAsia="Times New Roman" w:hAnsi="Arial" w:cs="Arial"/>
          <w:b/>
          <w:bCs/>
          <w:color w:val="0046AD"/>
          <w:sz w:val="20"/>
          <w:szCs w:val="20"/>
        </w:rPr>
        <w:t>PART I. FINANCIAL INFORMATION</w:t>
      </w:r>
    </w:p>
    <w:p w:rsidR="00000000" w:rsidRDefault="0099409C">
      <w:pPr>
        <w:jc w:val="both"/>
        <w:divId w:val="1920600539"/>
        <w:rPr>
          <w:rFonts w:eastAsia="Times New Roman"/>
        </w:rPr>
      </w:pPr>
      <w:r>
        <w:rPr>
          <w:rFonts w:ascii="Arial" w:eastAsia="Times New Roman" w:hAnsi="Arial" w:cs="Arial"/>
          <w:b/>
          <w:bCs/>
          <w:color w:val="0046AD"/>
          <w:sz w:val="20"/>
          <w:szCs w:val="20"/>
        </w:rPr>
        <w:t xml:space="preserve">ITEM 1. CONSOLIDATED FINANCIAL STATEMENTS. </w:t>
      </w:r>
    </w:p>
    <w:p w:rsidR="00000000" w:rsidRDefault="0099409C">
      <w:pPr>
        <w:jc w:val="center"/>
        <w:divId w:val="726153080"/>
        <w:rPr>
          <w:rFonts w:eastAsia="Times New Roman"/>
        </w:rPr>
      </w:pPr>
      <w:r>
        <w:rPr>
          <w:rFonts w:ascii="Arial" w:eastAsia="Times New Roman" w:hAnsi="Arial" w:cs="Arial"/>
          <w:b/>
          <w:bCs/>
          <w:color w:val="0046AD"/>
          <w:sz w:val="20"/>
          <w:szCs w:val="20"/>
        </w:rPr>
        <w:t>ABM INDUSTRIES INCORPORATED AND SUBSIDIARIES</w:t>
      </w:r>
    </w:p>
    <w:p w:rsidR="00000000" w:rsidRDefault="0099409C">
      <w:pPr>
        <w:jc w:val="center"/>
        <w:divId w:val="82997893"/>
        <w:rPr>
          <w:rFonts w:eastAsia="Times New Roman"/>
        </w:rPr>
      </w:pPr>
      <w:r>
        <w:rPr>
          <w:rFonts w:ascii="Arial" w:eastAsia="Times New Roman" w:hAnsi="Arial" w:cs="Arial"/>
          <w:b/>
          <w:bCs/>
          <w:color w:val="0046AD"/>
          <w:sz w:val="20"/>
          <w:szCs w:val="20"/>
        </w:rPr>
        <w:t>CONSOLIDATED BALANCE SHEETS</w:t>
      </w:r>
    </w:p>
    <w:p w:rsidR="00000000" w:rsidRDefault="0099409C">
      <w:pPr>
        <w:jc w:val="center"/>
        <w:divId w:val="48001392"/>
        <w:rPr>
          <w:rFonts w:eastAsia="Times New Roman"/>
        </w:rPr>
      </w:pPr>
      <w:r>
        <w:rPr>
          <w:rFonts w:ascii="Arial" w:eastAsia="Times New Roman" w:hAnsi="Arial" w:cs="Arial"/>
          <w:b/>
          <w:bCs/>
          <w:color w:val="0046AD"/>
          <w:sz w:val="20"/>
          <w:szCs w:val="20"/>
        </w:rPr>
        <w:t>(UNAUDITED)</w:t>
      </w:r>
    </w:p>
    <w:tbl>
      <w:tblPr>
        <w:tblW w:w="4948" w:type="pct"/>
        <w:jc w:val="center"/>
        <w:tblCellMar>
          <w:top w:w="15" w:type="dxa"/>
          <w:left w:w="15" w:type="dxa"/>
          <w:bottom w:w="15" w:type="dxa"/>
          <w:right w:w="15" w:type="dxa"/>
        </w:tblCellMar>
        <w:tblLook w:val="04A0" w:firstRow="1" w:lastRow="0" w:firstColumn="1" w:lastColumn="0" w:noHBand="0" w:noVBand="1"/>
      </w:tblPr>
      <w:tblGrid>
        <w:gridCol w:w="40"/>
        <w:gridCol w:w="5309"/>
        <w:gridCol w:w="39"/>
        <w:gridCol w:w="115"/>
        <w:gridCol w:w="1228"/>
        <w:gridCol w:w="36"/>
        <w:gridCol w:w="36"/>
        <w:gridCol w:w="36"/>
        <w:gridCol w:w="36"/>
        <w:gridCol w:w="115"/>
        <w:gridCol w:w="1194"/>
        <w:gridCol w:w="36"/>
      </w:tblGrid>
      <w:tr w:rsidR="00000000">
        <w:trPr>
          <w:divId w:val="1613708346"/>
          <w:jc w:val="center"/>
        </w:trPr>
        <w:tc>
          <w:tcPr>
            <w:tcW w:w="50" w:type="pct"/>
            <w:vAlign w:val="center"/>
            <w:hideMark/>
          </w:tcPr>
          <w:p w:rsidR="00000000" w:rsidRDefault="0099409C">
            <w:pPr>
              <w:jc w:val="center"/>
              <w:rPr>
                <w:rFonts w:eastAsia="Times New Roman"/>
              </w:rPr>
            </w:pPr>
          </w:p>
        </w:tc>
        <w:tc>
          <w:tcPr>
            <w:tcW w:w="3253"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7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7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613708346"/>
          <w:jc w:val="center"/>
        </w:trPr>
        <w:tc>
          <w:tcPr>
            <w:tcW w:w="0" w:type="auto"/>
            <w:gridSpan w:val="3"/>
            <w:tcMar>
              <w:top w:w="30" w:type="dxa"/>
              <w:left w:w="20" w:type="dxa"/>
              <w:bottom w:w="30" w:type="dxa"/>
              <w:right w:w="20" w:type="dxa"/>
            </w:tcMar>
            <w:hideMark/>
          </w:tcPr>
          <w:p w:rsidR="00000000" w:rsidRDefault="0099409C">
            <w:pPr>
              <w:spacing w:after="100"/>
              <w:rPr>
                <w:rFonts w:eastAsia="Times New Roman"/>
              </w:rPr>
            </w:pPr>
            <w:r>
              <w:rPr>
                <w:rFonts w:eastAsia="Times New Roman"/>
                <w:i/>
                <w:iCs/>
                <w:color w:val="000000"/>
                <w:sz w:val="16"/>
                <w:szCs w:val="16"/>
                <w:u w:val="single"/>
              </w:rPr>
              <w:lastRenderedPageBreak/>
              <w:t>(in millions, except share and per share amounts)</w:t>
            </w: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7"/>
                <w:szCs w:val="17"/>
              </w:rPr>
              <w:t>July 31, 2022</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7"/>
                <w:szCs w:val="17"/>
              </w:rPr>
              <w:t>October 31, 2021</w:t>
            </w:r>
          </w:p>
        </w:tc>
      </w:tr>
      <w:tr w:rsidR="00000000">
        <w:trPr>
          <w:divId w:val="161370834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7"/>
                <w:szCs w:val="17"/>
              </w:rPr>
              <w:t>ASSETS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61370834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613708346"/>
          <w:jc w:val="center"/>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Cash and cash equivalents</w:t>
            </w: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63.9 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62.8 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17515261"/>
              <w:rPr>
                <w:rFonts w:eastAsia="Times New Roman"/>
              </w:rPr>
            </w:pPr>
            <w:r>
              <w:rPr>
                <w:rFonts w:ascii="Arial" w:eastAsia="Times New Roman" w:hAnsi="Arial" w:cs="Arial"/>
                <w:color w:val="000000"/>
                <w:sz w:val="17"/>
                <w:szCs w:val="17"/>
              </w:rPr>
              <w:t>Trade accounts receivable, net of allowances of $28.5 and $32.7</w:t>
            </w:r>
          </w:p>
          <w:p w:rsidR="00000000" w:rsidRDefault="0099409C">
            <w:pPr>
              <w:spacing w:after="100"/>
              <w:divId w:val="1880044188"/>
              <w:rPr>
                <w:rFonts w:eastAsia="Times New Roman"/>
              </w:rPr>
            </w:pPr>
            <w:r>
              <w:rPr>
                <w:rFonts w:ascii="Arial" w:eastAsia="Times New Roman" w:hAnsi="Arial" w:cs="Arial"/>
                <w:color w:val="000000"/>
                <w:sz w:val="17"/>
                <w:szCs w:val="17"/>
              </w:rPr>
              <w:t>   at July 31, 2022 and October 31, 2021, respectively</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1,239.8 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1,137.1 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Costs incurred in excess of amounts billed</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78.7 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52.5 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FFFFF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Prepaid expenses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90.7 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88.7 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Other current assets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66.7 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60.0 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FFFFFF"/>
            <w:tcMar>
              <w:top w:w="30" w:type="dxa"/>
              <w:left w:w="74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1,539.7 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1,401.2 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Other investments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11.8 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ind w:hanging="180"/>
              <w:divId w:val="407773933"/>
              <w:rPr>
                <w:rFonts w:eastAsia="Times New Roman"/>
              </w:rPr>
            </w:pPr>
            <w:r>
              <w:rPr>
                <w:rFonts w:ascii="Arial" w:eastAsia="Times New Roman" w:hAnsi="Arial" w:cs="Arial"/>
                <w:color w:val="000000"/>
                <w:sz w:val="17"/>
                <w:szCs w:val="17"/>
              </w:rPr>
              <w:t>Property, plant and equipment, net of accumulated depreciation of $294.0 and $274.7</w:t>
            </w:r>
          </w:p>
          <w:p w:rsidR="00000000" w:rsidRDefault="0099409C">
            <w:pPr>
              <w:spacing w:after="100"/>
              <w:ind w:hanging="180"/>
              <w:divId w:val="2024627259"/>
              <w:rPr>
                <w:rFonts w:eastAsia="Times New Roman"/>
              </w:rPr>
            </w:pPr>
            <w:r>
              <w:rPr>
                <w:rFonts w:ascii="Arial" w:eastAsia="Times New Roman" w:hAnsi="Arial" w:cs="Arial"/>
                <w:color w:val="000000"/>
                <w:sz w:val="17"/>
                <w:szCs w:val="17"/>
              </w:rPr>
              <w:t xml:space="preserve">    at July 31, 2022 and October 31, 2021, respectively </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115.2 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111.9 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Right-of-use assets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116.6 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126.5 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ind w:hanging="180"/>
              <w:divId w:val="1902979405"/>
              <w:rPr>
                <w:rFonts w:eastAsia="Times New Roman"/>
              </w:rPr>
            </w:pPr>
            <w:r>
              <w:rPr>
                <w:rFonts w:ascii="Arial" w:eastAsia="Times New Roman" w:hAnsi="Arial" w:cs="Arial"/>
                <w:color w:val="000000"/>
                <w:sz w:val="17"/>
                <w:szCs w:val="17"/>
              </w:rPr>
              <w:t>Other intangible assets, net of accumulated amortization of $441.1 and $389.3</w:t>
            </w:r>
          </w:p>
          <w:p w:rsidR="00000000" w:rsidRDefault="0099409C">
            <w:pPr>
              <w:spacing w:after="100"/>
              <w:ind w:hanging="180"/>
              <w:divId w:val="37970648"/>
              <w:rPr>
                <w:rFonts w:eastAsia="Times New Roman"/>
              </w:rPr>
            </w:pPr>
            <w:r>
              <w:rPr>
                <w:rFonts w:ascii="Arial" w:eastAsia="Times New Roman" w:hAnsi="Arial" w:cs="Arial"/>
                <w:color w:val="000000"/>
                <w:sz w:val="17"/>
                <w:szCs w:val="17"/>
              </w:rPr>
              <w:t>    at July 31, 2022 and October 31, 2021, respectively</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381.5 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424.8 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Goodwill</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2,295.0 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2,228.9 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vAlign w:val="center"/>
            <w:hideMark/>
          </w:tcPr>
          <w:p w:rsidR="00000000" w:rsidRDefault="0099409C">
            <w:pPr>
              <w:spacing w:after="100"/>
              <w:jc w:val="right"/>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161370834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144.8 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131.2 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Total assets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4,607.6 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4,436.2 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7"/>
                <w:szCs w:val="17"/>
              </w:rPr>
              <w:t>LIABILITIES AND STOCKHOLDERS’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61370834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Current liabilities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613708346"/>
          <w:jc w:val="center"/>
        </w:trPr>
        <w:tc>
          <w:tcPr>
            <w:tcW w:w="0" w:type="auto"/>
            <w:gridSpan w:val="3"/>
            <w:shd w:val="clear" w:color="auto" w:fill="FFFFF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Current portion of debt, net</w:t>
            </w: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181.5 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31.4 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Trade accounts payable</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299.8 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289.4 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FFFFF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Accrued compensation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188.5 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238.0 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Accrued taxes — other than income</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125.5 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124.9 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FFFFF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Insurance claims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172.7 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171.4 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Income taxes payable</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7.2 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11.4 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FFFFF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Current portion of lease liabilities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30.2 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31.8 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Other accrued liabilities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268.3 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387.4 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FFFFFF"/>
            <w:tcMar>
              <w:top w:w="30" w:type="dxa"/>
              <w:left w:w="74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1,273.7 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1,285.8 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Long-term debt, net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1,009.2 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852.8 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Long-term lease liabilities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106.5 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116.6 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Deferred income tax liability, net</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64.9 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22.5 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Noncurrent insurance claims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399.9 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413.3 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Other noncurrent liabilities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64.4 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123.5 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Noncurrent income taxes payable</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8.9 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12.5 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Total liabilities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2,927.3 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2,827.0 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lastRenderedPageBreak/>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61370834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7"/>
                <w:szCs w:val="17"/>
              </w:rPr>
              <w:t>Stockholders’ Equity</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61370834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334069143"/>
              <w:rPr>
                <w:rFonts w:eastAsia="Times New Roman"/>
              </w:rPr>
            </w:pPr>
            <w:r>
              <w:rPr>
                <w:rFonts w:ascii="Arial" w:eastAsia="Times New Roman" w:hAnsi="Arial" w:cs="Arial"/>
                <w:color w:val="000000"/>
                <w:sz w:val="17"/>
                <w:szCs w:val="17"/>
              </w:rPr>
              <w:t xml:space="preserve">Preferred stock, $0.01 par value; 500,000 shares authorized; none issued </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divId w:val="679116649"/>
              <w:rPr>
                <w:rFonts w:eastAsia="Times New Roman"/>
              </w:rPr>
            </w:pPr>
            <w:r>
              <w:rPr>
                <w:rFonts w:ascii="Arial" w:eastAsia="Times New Roman" w:hAnsi="Arial" w:cs="Arial"/>
                <w:color w:val="000000"/>
                <w:sz w:val="17"/>
                <w:szCs w:val="17"/>
              </w:rPr>
              <w:t xml:space="preserve">Common stock, $0.01 par value; 100,000,000 shares authorized; </w:t>
            </w:r>
          </w:p>
          <w:p w:rsidR="00000000" w:rsidRDefault="0099409C">
            <w:pPr>
              <w:spacing w:after="100"/>
              <w:divId w:val="402721117"/>
              <w:rPr>
                <w:rFonts w:eastAsia="Times New Roman"/>
              </w:rPr>
            </w:pPr>
            <w:r>
              <w:rPr>
                <w:rFonts w:ascii="Arial" w:eastAsia="Times New Roman" w:hAnsi="Arial" w:cs="Arial"/>
                <w:color w:val="000000"/>
                <w:sz w:val="17"/>
                <w:szCs w:val="17"/>
              </w:rPr>
              <w:t xml:space="preserve">66,144,897 and 67,302,449 shares issued and outstanding at </w:t>
            </w:r>
          </w:p>
          <w:p w:rsidR="00000000" w:rsidRDefault="0099409C">
            <w:pPr>
              <w:spacing w:after="100"/>
              <w:divId w:val="1307591480"/>
              <w:rPr>
                <w:rFonts w:eastAsia="Times New Roman"/>
              </w:rPr>
            </w:pPr>
            <w:r>
              <w:rPr>
                <w:rFonts w:ascii="Arial" w:eastAsia="Times New Roman" w:hAnsi="Arial" w:cs="Arial"/>
                <w:color w:val="000000"/>
                <w:sz w:val="17"/>
                <w:szCs w:val="17"/>
              </w:rPr>
              <w:t>July 31, 2022 and October 31, 2021, respectively</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0.7 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0.7 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FFFFF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691.4 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750.9 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Accumulated other comprehensive loss, net of taxes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(33.3)</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(22.5)</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FFFFF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1,021.4 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880.2 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Total stockholders’ equity</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1,680.3 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1,609.2 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370834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4,607.6 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7"/>
                <w:szCs w:val="17"/>
              </w:rPr>
              <w:t>4,436.2 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jc w:val="center"/>
        <w:divId w:val="360009966"/>
        <w:rPr>
          <w:rFonts w:eastAsia="Times New Roman"/>
        </w:rPr>
      </w:pPr>
      <w:r>
        <w:rPr>
          <w:rFonts w:ascii="Arial" w:eastAsia="Times New Roman" w:hAnsi="Arial" w:cs="Arial"/>
          <w:color w:val="000000"/>
          <w:sz w:val="20"/>
          <w:szCs w:val="20"/>
        </w:rPr>
        <w:t>See accompanying notes to unaudited consolidated financial statements.</w:t>
      </w:r>
    </w:p>
    <w:p w:rsidR="00000000" w:rsidRDefault="0099409C">
      <w:pPr>
        <w:jc w:val="center"/>
        <w:divId w:val="1392730405"/>
        <w:rPr>
          <w:rFonts w:eastAsia="Times New Roman"/>
        </w:rPr>
      </w:pPr>
      <w:r>
        <w:rPr>
          <w:rFonts w:ascii="Arial" w:eastAsia="Times New Roman" w:hAnsi="Arial" w:cs="Arial"/>
          <w:color w:val="000000"/>
          <w:sz w:val="20"/>
          <w:szCs w:val="20"/>
        </w:rPr>
        <w:t>3</w:t>
      </w:r>
    </w:p>
    <w:p w:rsidR="00000000" w:rsidRDefault="0099409C">
      <w:pPr>
        <w:rPr>
          <w:rFonts w:eastAsia="Times New Roman"/>
        </w:rPr>
      </w:pPr>
      <w:r>
        <w:rPr>
          <w:rFonts w:eastAsia="Times New Roman"/>
        </w:rPr>
        <w:pict>
          <v:rect id="_x0000_i1031" style="width:0;height:1.5pt" o:hralign="center" o:hrstd="t" o:hr="t" fillcolor="#a0a0a0" stroked="f"/>
        </w:pict>
      </w:r>
    </w:p>
    <w:p w:rsidR="00000000" w:rsidRDefault="0099409C">
      <w:pPr>
        <w:jc w:val="both"/>
        <w:divId w:val="1760520297"/>
        <w:rPr>
          <w:rFonts w:eastAsia="Times New Roman"/>
        </w:rPr>
      </w:pPr>
    </w:p>
    <w:p w:rsidR="00000000" w:rsidRDefault="0099409C">
      <w:pPr>
        <w:jc w:val="center"/>
        <w:divId w:val="2125342162"/>
        <w:rPr>
          <w:rFonts w:eastAsia="Times New Roman"/>
        </w:rPr>
      </w:pPr>
      <w:r>
        <w:rPr>
          <w:rFonts w:ascii="Arial" w:eastAsia="Times New Roman" w:hAnsi="Arial" w:cs="Arial"/>
          <w:b/>
          <w:bCs/>
          <w:color w:val="0046AD"/>
          <w:sz w:val="20"/>
          <w:szCs w:val="20"/>
        </w:rPr>
        <w:t>ABM INDUSTRIES INCORPORATED AND SUBSIDIARIES</w:t>
      </w:r>
    </w:p>
    <w:p w:rsidR="00000000" w:rsidRDefault="0099409C">
      <w:pPr>
        <w:jc w:val="center"/>
        <w:divId w:val="19094122"/>
        <w:rPr>
          <w:rFonts w:eastAsia="Times New Roman"/>
        </w:rPr>
      </w:pPr>
      <w:r>
        <w:rPr>
          <w:rFonts w:ascii="Arial" w:eastAsia="Times New Roman" w:hAnsi="Arial" w:cs="Arial"/>
          <w:b/>
          <w:bCs/>
          <w:color w:val="0046AD"/>
          <w:sz w:val="20"/>
          <w:szCs w:val="20"/>
        </w:rPr>
        <w:t>CONSOLIDATED STATEMENTS OF COMPREHENSIVE INCOME (LOSS)</w:t>
      </w:r>
    </w:p>
    <w:p w:rsidR="00000000" w:rsidRDefault="0099409C">
      <w:pPr>
        <w:jc w:val="center"/>
        <w:divId w:val="1007100748"/>
        <w:rPr>
          <w:rFonts w:eastAsia="Times New Roman"/>
        </w:rPr>
      </w:pPr>
      <w:r>
        <w:rPr>
          <w:rFonts w:ascii="Arial" w:eastAsia="Times New Roman" w:hAnsi="Arial" w:cs="Arial"/>
          <w:b/>
          <w:bCs/>
          <w:color w:val="0046AD"/>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893"/>
        <w:gridCol w:w="40"/>
        <w:gridCol w:w="121"/>
        <w:gridCol w:w="878"/>
        <w:gridCol w:w="36"/>
        <w:gridCol w:w="36"/>
        <w:gridCol w:w="36"/>
        <w:gridCol w:w="36"/>
        <w:gridCol w:w="121"/>
        <w:gridCol w:w="834"/>
        <w:gridCol w:w="36"/>
        <w:gridCol w:w="36"/>
        <w:gridCol w:w="36"/>
        <w:gridCol w:w="36"/>
        <w:gridCol w:w="121"/>
        <w:gridCol w:w="834"/>
        <w:gridCol w:w="36"/>
        <w:gridCol w:w="36"/>
        <w:gridCol w:w="36"/>
        <w:gridCol w:w="36"/>
        <w:gridCol w:w="121"/>
        <w:gridCol w:w="834"/>
        <w:gridCol w:w="36"/>
      </w:tblGrid>
      <w:tr w:rsidR="00000000">
        <w:trPr>
          <w:divId w:val="703098952"/>
          <w:jc w:val="center"/>
        </w:trPr>
        <w:tc>
          <w:tcPr>
            <w:tcW w:w="50" w:type="pct"/>
            <w:vAlign w:val="center"/>
            <w:hideMark/>
          </w:tcPr>
          <w:p w:rsidR="00000000" w:rsidRDefault="0099409C">
            <w:pPr>
              <w:jc w:val="center"/>
              <w:rPr>
                <w:rFonts w:eastAsia="Times New Roman"/>
              </w:rPr>
            </w:pPr>
          </w:p>
        </w:tc>
        <w:tc>
          <w:tcPr>
            <w:tcW w:w="237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55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55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55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55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703098952"/>
          <w:jc w:val="center"/>
        </w:trPr>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Nine Months Ended July 31,</w:t>
            </w:r>
          </w:p>
        </w:tc>
      </w:tr>
      <w:tr w:rsidR="00000000">
        <w:trPr>
          <w:divId w:val="703098952"/>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r>
      <w:tr w:rsidR="00000000">
        <w:trPr>
          <w:divId w:val="703098952"/>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 xml:space="preserve">Revenues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1,961.4 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1,543.1 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5,795.5 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4,533.0 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703098952"/>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xml:space="preserve">Operating expenses </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1,696.4 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1,288.1 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5,004.4 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3,812.0 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703098952"/>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158.6 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253.8 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468.5 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538.3 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703098952"/>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Amortization of intangible assets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17.7 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52.9 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32.1 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703098952"/>
          <w:jc w:val="center"/>
        </w:trPr>
        <w:tc>
          <w:tcPr>
            <w:tcW w:w="0" w:type="auto"/>
            <w:gridSpan w:val="3"/>
            <w:vAlign w:val="center"/>
            <w:hideMark/>
          </w:tcPr>
          <w:p w:rsidR="00000000" w:rsidRDefault="0099409C">
            <w:pPr>
              <w:spacing w:after="100"/>
              <w:jc w:val="right"/>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703098952"/>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Operating profit (loss)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88.7 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(9.4)</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269.7 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150.6 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703098952"/>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703098952"/>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(11.1)</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(6.3)</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(25.2)</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(22.6)</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703098952"/>
          <w:jc w:val="center"/>
        </w:trPr>
        <w:tc>
          <w:tcPr>
            <w:tcW w:w="0" w:type="auto"/>
            <w:gridSpan w:val="3"/>
            <w:shd w:val="clear" w:color="auto" w:fill="FFFFFF"/>
            <w:tcMar>
              <w:top w:w="30" w:type="dxa"/>
              <w:left w:w="200" w:type="dxa"/>
              <w:bottom w:w="30" w:type="dxa"/>
              <w:right w:w="20" w:type="dxa"/>
            </w:tcMar>
            <w:vAlign w:val="bottom"/>
            <w:hideMark/>
          </w:tcPr>
          <w:p w:rsidR="00000000" w:rsidRDefault="0099409C">
            <w:pPr>
              <w:spacing w:after="100"/>
              <w:ind w:hanging="180"/>
              <w:rPr>
                <w:rFonts w:eastAsia="Times New Roman"/>
              </w:rPr>
            </w:pPr>
            <w:r>
              <w:rPr>
                <w:rFonts w:ascii="Arial" w:eastAsia="Times New Roman" w:hAnsi="Arial" w:cs="Arial"/>
                <w:color w:val="000000"/>
                <w:sz w:val="18"/>
                <w:szCs w:val="18"/>
              </w:rPr>
              <w:t>Income (loss)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246.3 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129.4 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703098952"/>
          <w:jc w:val="center"/>
        </w:trPr>
        <w:tc>
          <w:tcPr>
            <w:tcW w:w="0" w:type="auto"/>
            <w:gridSpan w:val="3"/>
            <w:shd w:val="clear" w:color="auto" w:fill="DCE2EF"/>
            <w:tcMar>
              <w:top w:w="30" w:type="dxa"/>
              <w:left w:w="200" w:type="dxa"/>
              <w:bottom w:w="30" w:type="dxa"/>
              <w:right w:w="20" w:type="dxa"/>
            </w:tcMar>
            <w:vAlign w:val="bottom"/>
            <w:hideMark/>
          </w:tcPr>
          <w:p w:rsidR="00000000" w:rsidRDefault="0099409C">
            <w:pPr>
              <w:spacing w:after="100"/>
              <w:ind w:hanging="180"/>
              <w:rPr>
                <w:rFonts w:eastAsia="Times New Roman"/>
              </w:rPr>
            </w:pPr>
            <w:r>
              <w:rPr>
                <w:rFonts w:ascii="Arial" w:eastAsia="Times New Roman" w:hAnsi="Arial" w:cs="Arial"/>
                <w:color w:val="000000"/>
                <w:sz w:val="18"/>
                <w:szCs w:val="18"/>
              </w:rPr>
              <w:t>Income tax (provision) benefit</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(21.5)</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(64.8)</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(37.4)</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703098952"/>
          <w:jc w:val="center"/>
        </w:trPr>
        <w:tc>
          <w:tcPr>
            <w:tcW w:w="0" w:type="auto"/>
            <w:gridSpan w:val="3"/>
            <w:shd w:val="clear" w:color="auto" w:fill="FFFFFF"/>
            <w:tcMar>
              <w:top w:w="30" w:type="dxa"/>
              <w:left w:w="200" w:type="dxa"/>
              <w:bottom w:w="30" w:type="dxa"/>
              <w:right w:w="20" w:type="dxa"/>
            </w:tcMar>
            <w:vAlign w:val="bottom"/>
            <w:hideMark/>
          </w:tcPr>
          <w:p w:rsidR="00000000" w:rsidRDefault="0099409C">
            <w:pPr>
              <w:spacing w:after="100"/>
              <w:ind w:hanging="180"/>
              <w:rPr>
                <w:rFonts w:eastAsia="Times New Roman"/>
              </w:rPr>
            </w:pPr>
            <w:r>
              <w:rPr>
                <w:rFonts w:ascii="Arial" w:eastAsia="Times New Roman" w:hAnsi="Arial" w:cs="Arial"/>
                <w:color w:val="000000"/>
                <w:sz w:val="18"/>
                <w:szCs w:val="18"/>
              </w:rPr>
              <w:t>Net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181.6 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703098952"/>
          <w:jc w:val="center"/>
        </w:trPr>
        <w:tc>
          <w:tcPr>
            <w:tcW w:w="0" w:type="auto"/>
            <w:gridSpan w:val="3"/>
            <w:shd w:val="clear" w:color="auto" w:fill="DCE2EF"/>
            <w:tcMar>
              <w:top w:w="30" w:type="dxa"/>
              <w:left w:w="200" w:type="dxa"/>
              <w:bottom w:w="30" w:type="dxa"/>
              <w:right w:w="20" w:type="dxa"/>
            </w:tcMar>
            <w:vAlign w:val="bottom"/>
            <w:hideMark/>
          </w:tcPr>
          <w:p w:rsidR="00000000" w:rsidRDefault="0099409C">
            <w:pPr>
              <w:spacing w:after="100"/>
              <w:ind w:hanging="180"/>
              <w:rPr>
                <w:rFonts w:eastAsia="Times New Roman"/>
              </w:rPr>
            </w:pPr>
            <w:r>
              <w:rPr>
                <w:rFonts w:ascii="Arial" w:eastAsia="Times New Roman" w:hAnsi="Arial" w:cs="Arial"/>
                <w:color w:val="000000"/>
                <w:sz w:val="18"/>
                <w:szCs w:val="18"/>
              </w:rPr>
              <w:t>Other comprehensive income (loss)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ind w:hanging="18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703098952"/>
          <w:jc w:val="center"/>
        </w:trPr>
        <w:tc>
          <w:tcPr>
            <w:tcW w:w="0" w:type="auto"/>
            <w:gridSpan w:val="3"/>
            <w:shd w:val="clear" w:color="auto" w:fill="FFFFFF"/>
            <w:tcMar>
              <w:top w:w="30" w:type="dxa"/>
              <w:left w:w="560" w:type="dxa"/>
              <w:bottom w:w="30" w:type="dxa"/>
              <w:right w:w="20" w:type="dxa"/>
            </w:tcMar>
            <w:vAlign w:val="bottom"/>
            <w:hideMark/>
          </w:tcPr>
          <w:p w:rsidR="00000000" w:rsidRDefault="0099409C">
            <w:pPr>
              <w:spacing w:after="100"/>
              <w:ind w:hanging="180"/>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(5.7)</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6.2 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703098952"/>
          <w:jc w:val="center"/>
        </w:trPr>
        <w:tc>
          <w:tcPr>
            <w:tcW w:w="0" w:type="auto"/>
            <w:gridSpan w:val="3"/>
            <w:shd w:val="clear" w:color="auto" w:fill="DCE2EF"/>
            <w:tcMar>
              <w:top w:w="30" w:type="dxa"/>
              <w:left w:w="560" w:type="dxa"/>
              <w:bottom w:w="30" w:type="dxa"/>
              <w:right w:w="20" w:type="dxa"/>
            </w:tcMar>
            <w:vAlign w:val="bottom"/>
            <w:hideMark/>
          </w:tcPr>
          <w:p w:rsidR="00000000" w:rsidRDefault="0099409C">
            <w:pPr>
              <w:spacing w:after="100"/>
              <w:ind w:hanging="180"/>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(3.7)</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(15.1)</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5.3 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703098952"/>
          <w:jc w:val="center"/>
        </w:trPr>
        <w:tc>
          <w:tcPr>
            <w:tcW w:w="0" w:type="auto"/>
            <w:gridSpan w:val="3"/>
            <w:shd w:val="clear" w:color="auto" w:fill="FFFFFF"/>
            <w:tcMar>
              <w:top w:w="30" w:type="dxa"/>
              <w:left w:w="560" w:type="dxa"/>
              <w:bottom w:w="30" w:type="dxa"/>
              <w:right w:w="20" w:type="dxa"/>
            </w:tcMar>
            <w:vAlign w:val="bottom"/>
            <w:hideMark/>
          </w:tcPr>
          <w:p w:rsidR="00000000" w:rsidRDefault="0099409C">
            <w:pPr>
              <w:spacing w:after="100"/>
              <w:ind w:hanging="180"/>
              <w:rPr>
                <w:rFonts w:eastAsia="Times New Roman"/>
              </w:rPr>
            </w:pPr>
            <w:r>
              <w:rPr>
                <w:rFonts w:ascii="Arial" w:eastAsia="Times New Roman" w:hAnsi="Arial" w:cs="Arial"/>
                <w:color w:val="000000"/>
                <w:sz w:val="18"/>
                <w:szCs w:val="18"/>
              </w:rPr>
              <w:t>Income tax benefit (provision)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(1.7)</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703098952"/>
          <w:jc w:val="center"/>
        </w:trPr>
        <w:tc>
          <w:tcPr>
            <w:tcW w:w="0" w:type="auto"/>
            <w:gridSpan w:val="3"/>
            <w:shd w:val="clear" w:color="auto" w:fill="DCE2EF"/>
            <w:tcMar>
              <w:top w:w="30" w:type="dxa"/>
              <w:left w:w="200" w:type="dxa"/>
              <w:bottom w:w="30" w:type="dxa"/>
              <w:right w:w="20" w:type="dxa"/>
            </w:tcMar>
            <w:vAlign w:val="bottom"/>
            <w:hideMark/>
          </w:tcPr>
          <w:p w:rsidR="00000000" w:rsidRDefault="0099409C">
            <w:pPr>
              <w:spacing w:after="100"/>
              <w:ind w:hanging="180"/>
              <w:rPr>
                <w:rFonts w:eastAsia="Times New Roman"/>
              </w:rPr>
            </w:pPr>
            <w:r>
              <w:rPr>
                <w:rFonts w:ascii="Arial" w:eastAsia="Times New Roman" w:hAnsi="Arial" w:cs="Arial"/>
                <w:color w:val="000000"/>
                <w:sz w:val="18"/>
                <w:szCs w:val="18"/>
              </w:rPr>
              <w:t>Comprehensive income (loss)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48.9 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(13.1)</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171.1 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99.9 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703098952"/>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Net income (loss)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703098952"/>
          <w:jc w:val="center"/>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xml:space="preserve">Basic </w:t>
            </w: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0.85 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(0.20)</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2.70 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1.37 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703098952"/>
          <w:jc w:val="center"/>
        </w:trPr>
        <w:tc>
          <w:tcPr>
            <w:tcW w:w="0" w:type="auto"/>
            <w:gridSpan w:val="3"/>
            <w:shd w:val="clear" w:color="auto" w:fill="FFFFF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Diluted</w:t>
            </w: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0.85 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(0.20)</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2.68 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1.36 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703098952"/>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Weighted-average common and common equivalent</w:t>
            </w:r>
            <w:r>
              <w:rPr>
                <w:rFonts w:ascii="Arial" w:eastAsia="Times New Roman" w:hAnsi="Arial" w:cs="Arial"/>
                <w:b/>
                <w:bCs/>
                <w:color w:val="000000"/>
                <w:sz w:val="18"/>
                <w:szCs w:val="18"/>
              </w:rPr>
              <w:br/>
              <w:t>   shares outstanding</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703098952"/>
          <w:jc w:val="center"/>
        </w:trPr>
        <w:tc>
          <w:tcPr>
            <w:tcW w:w="0" w:type="auto"/>
            <w:gridSpan w:val="3"/>
            <w:shd w:val="clear" w:color="auto" w:fill="FFFFF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Basic</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66.8 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67.5 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67.3 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67.3 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703098952"/>
          <w:jc w:val="center"/>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Diluted</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67.2 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67.5 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67.7 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67.8 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jc w:val="center"/>
        <w:divId w:val="867447094"/>
        <w:rPr>
          <w:rFonts w:eastAsia="Times New Roman"/>
        </w:rPr>
      </w:pPr>
      <w:r>
        <w:rPr>
          <w:rFonts w:ascii="Arial" w:eastAsia="Times New Roman" w:hAnsi="Arial" w:cs="Arial"/>
          <w:color w:val="000000"/>
          <w:sz w:val="20"/>
          <w:szCs w:val="20"/>
        </w:rPr>
        <w:t xml:space="preserve">See accompanying notes to unaudited consolidated financial statements. </w:t>
      </w:r>
    </w:p>
    <w:p w:rsidR="00000000" w:rsidRDefault="0099409C">
      <w:pPr>
        <w:jc w:val="center"/>
        <w:divId w:val="2086224398"/>
        <w:rPr>
          <w:rFonts w:eastAsia="Times New Roman"/>
        </w:rPr>
      </w:pPr>
    </w:p>
    <w:p w:rsidR="00000000" w:rsidRDefault="0099409C">
      <w:pPr>
        <w:jc w:val="center"/>
        <w:divId w:val="931204897"/>
        <w:rPr>
          <w:rFonts w:eastAsia="Times New Roman"/>
        </w:rPr>
      </w:pPr>
      <w:r>
        <w:rPr>
          <w:rFonts w:ascii="Arial" w:eastAsia="Times New Roman" w:hAnsi="Arial" w:cs="Arial"/>
          <w:color w:val="000000"/>
          <w:sz w:val="20"/>
          <w:szCs w:val="20"/>
        </w:rPr>
        <w:t>4</w:t>
      </w:r>
    </w:p>
    <w:p w:rsidR="00000000" w:rsidRDefault="0099409C">
      <w:pPr>
        <w:rPr>
          <w:rFonts w:eastAsia="Times New Roman"/>
        </w:rPr>
      </w:pPr>
      <w:r>
        <w:rPr>
          <w:rFonts w:eastAsia="Times New Roman"/>
        </w:rPr>
        <w:pict>
          <v:rect id="_x0000_i1032" style="width:0;height:1.5pt" o:hralign="center" o:hrstd="t" o:hr="t" fillcolor="#a0a0a0" stroked="f"/>
        </w:pict>
      </w:r>
    </w:p>
    <w:p w:rsidR="00000000" w:rsidRDefault="0099409C">
      <w:pPr>
        <w:jc w:val="both"/>
        <w:divId w:val="882446918"/>
        <w:rPr>
          <w:rFonts w:eastAsia="Times New Roman"/>
        </w:rPr>
      </w:pPr>
    </w:p>
    <w:p w:rsidR="00000000" w:rsidRDefault="0099409C">
      <w:pPr>
        <w:jc w:val="center"/>
        <w:divId w:val="2101565802"/>
        <w:rPr>
          <w:rFonts w:eastAsia="Times New Roman"/>
        </w:rPr>
      </w:pPr>
      <w:r>
        <w:rPr>
          <w:rFonts w:ascii="Arial" w:eastAsia="Times New Roman" w:hAnsi="Arial" w:cs="Arial"/>
          <w:b/>
          <w:bCs/>
          <w:color w:val="0046AD"/>
          <w:sz w:val="20"/>
          <w:szCs w:val="20"/>
        </w:rPr>
        <w:t>ABM INDUSTRIES INCORPORATED AND SUBSIDIARIES</w:t>
      </w:r>
    </w:p>
    <w:p w:rsidR="00000000" w:rsidRDefault="0099409C">
      <w:pPr>
        <w:jc w:val="center"/>
        <w:divId w:val="1509252677"/>
        <w:rPr>
          <w:rFonts w:eastAsia="Times New Roman"/>
        </w:rPr>
      </w:pPr>
      <w:r>
        <w:rPr>
          <w:rFonts w:ascii="Arial" w:eastAsia="Times New Roman" w:hAnsi="Arial" w:cs="Arial"/>
          <w:b/>
          <w:bCs/>
          <w:color w:val="0046AD"/>
          <w:sz w:val="20"/>
          <w:szCs w:val="20"/>
        </w:rPr>
        <w:t xml:space="preserve">CONSOLIDATED STATEMENTS OF STOCKHOLDERS’ EQUITY </w:t>
      </w:r>
    </w:p>
    <w:p w:rsidR="00000000" w:rsidRDefault="0099409C">
      <w:pPr>
        <w:jc w:val="center"/>
        <w:divId w:val="786582702"/>
        <w:rPr>
          <w:rFonts w:eastAsia="Times New Roman"/>
        </w:rPr>
      </w:pPr>
      <w:r>
        <w:rPr>
          <w:rFonts w:ascii="Arial" w:eastAsia="Times New Roman" w:hAnsi="Arial" w:cs="Arial"/>
          <w:b/>
          <w:bCs/>
          <w:color w:val="0046AD"/>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057"/>
        <w:gridCol w:w="40"/>
        <w:gridCol w:w="36"/>
        <w:gridCol w:w="36"/>
        <w:gridCol w:w="36"/>
        <w:gridCol w:w="81"/>
        <w:gridCol w:w="485"/>
        <w:gridCol w:w="36"/>
        <w:gridCol w:w="36"/>
        <w:gridCol w:w="36"/>
        <w:gridCol w:w="36"/>
        <w:gridCol w:w="109"/>
        <w:gridCol w:w="579"/>
        <w:gridCol w:w="36"/>
        <w:gridCol w:w="36"/>
        <w:gridCol w:w="36"/>
        <w:gridCol w:w="36"/>
        <w:gridCol w:w="81"/>
        <w:gridCol w:w="485"/>
        <w:gridCol w:w="36"/>
        <w:gridCol w:w="36"/>
        <w:gridCol w:w="36"/>
        <w:gridCol w:w="36"/>
        <w:gridCol w:w="109"/>
        <w:gridCol w:w="579"/>
        <w:gridCol w:w="36"/>
        <w:gridCol w:w="36"/>
        <w:gridCol w:w="36"/>
        <w:gridCol w:w="36"/>
        <w:gridCol w:w="81"/>
        <w:gridCol w:w="485"/>
        <w:gridCol w:w="36"/>
        <w:gridCol w:w="36"/>
        <w:gridCol w:w="36"/>
        <w:gridCol w:w="36"/>
        <w:gridCol w:w="109"/>
        <w:gridCol w:w="579"/>
        <w:gridCol w:w="36"/>
        <w:gridCol w:w="36"/>
        <w:gridCol w:w="36"/>
        <w:gridCol w:w="36"/>
        <w:gridCol w:w="81"/>
        <w:gridCol w:w="485"/>
        <w:gridCol w:w="36"/>
        <w:gridCol w:w="36"/>
        <w:gridCol w:w="36"/>
        <w:gridCol w:w="36"/>
        <w:gridCol w:w="109"/>
        <w:gridCol w:w="579"/>
        <w:gridCol w:w="36"/>
      </w:tblGrid>
      <w:tr w:rsidR="00000000">
        <w:trPr>
          <w:divId w:val="1350840585"/>
        </w:trPr>
        <w:tc>
          <w:tcPr>
            <w:tcW w:w="50" w:type="pct"/>
            <w:vAlign w:val="center"/>
            <w:hideMark/>
          </w:tcPr>
          <w:p w:rsidR="00000000" w:rsidRDefault="0099409C">
            <w:pPr>
              <w:jc w:val="center"/>
              <w:rPr>
                <w:rFonts w:eastAsia="Times New Roman"/>
              </w:rPr>
            </w:pPr>
          </w:p>
        </w:tc>
        <w:tc>
          <w:tcPr>
            <w:tcW w:w="178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303"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303"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303"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303"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303"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303"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303"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303"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350840585"/>
        </w:trPr>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6"/>
                <w:szCs w:val="16"/>
              </w:rPr>
              <w:t>Three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6"/>
                <w:szCs w:val="16"/>
              </w:rPr>
              <w:t>Nine Months Ended July 31,</w:t>
            </w:r>
          </w:p>
        </w:tc>
      </w:tr>
      <w:tr w:rsidR="00000000">
        <w:trPr>
          <w:divId w:val="1350840585"/>
        </w:trPr>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6"/>
                <w:szCs w:val="16"/>
              </w:rPr>
              <w:t>2021</w:t>
            </w:r>
          </w:p>
        </w:tc>
      </w:tr>
      <w:tr w:rsidR="00000000">
        <w:trPr>
          <w:divId w:val="1350840585"/>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4"/>
                <w:szCs w:val="14"/>
                <w:u w:val="single"/>
              </w:rPr>
              <w:t>(in millions, except per share amounts)</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6"/>
                <w:szCs w:val="16"/>
              </w:rPr>
              <w:t>Amount</w:t>
            </w:r>
          </w:p>
        </w:tc>
      </w:tr>
      <w:tr w:rsidR="00000000">
        <w:trPr>
          <w:divId w:val="135084058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Common Stock</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99409C">
        <w:trPr>
          <w:divId w:val="1350840585"/>
        </w:trPr>
        <w:tc>
          <w:tcPr>
            <w:tcW w:w="0" w:type="auto"/>
            <w:gridSpan w:val="3"/>
            <w:shd w:val="clear" w:color="auto" w:fill="FFFFF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66.8 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67.1 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67.3 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66.7 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35084058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ind w:hanging="180"/>
              <w:divId w:val="1524974166"/>
              <w:rPr>
                <w:rFonts w:eastAsia="Times New Roman"/>
              </w:rPr>
            </w:pPr>
            <w:r>
              <w:rPr>
                <w:rFonts w:ascii="Arial" w:eastAsia="Times New Roman" w:hAnsi="Arial" w:cs="Arial"/>
                <w:color w:val="000000"/>
                <w:sz w:val="16"/>
                <w:szCs w:val="16"/>
              </w:rPr>
              <w:t>Stock issued under employee stock purchase and share-based compensation plans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ind w:hanging="18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0.6 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0.5 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350840585"/>
        </w:trPr>
        <w:tc>
          <w:tcPr>
            <w:tcW w:w="0" w:type="auto"/>
            <w:gridSpan w:val="3"/>
            <w:shd w:val="clear" w:color="auto" w:fill="FFFFF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(0.7)</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(1.7)</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350840585"/>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66.1 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67.2 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66.1 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67.2 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35084058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Additional Paid-in Capital</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350840585"/>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716.4 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737.1 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750.9 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724.1 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350840585"/>
        </w:trPr>
        <w:tc>
          <w:tcPr>
            <w:tcW w:w="0" w:type="auto"/>
            <w:gridSpan w:val="3"/>
            <w:shd w:val="clear" w:color="auto" w:fill="FFFFFF"/>
            <w:tcMar>
              <w:top w:w="30" w:type="dxa"/>
              <w:left w:w="335" w:type="dxa"/>
              <w:bottom w:w="30" w:type="dxa"/>
              <w:right w:w="20" w:type="dxa"/>
            </w:tcMar>
            <w:vAlign w:val="center"/>
            <w:hideMark/>
          </w:tcPr>
          <w:p w:rsidR="00000000" w:rsidRDefault="0099409C">
            <w:pPr>
              <w:spacing w:after="100"/>
              <w:ind w:hanging="180"/>
              <w:rPr>
                <w:rFonts w:eastAsia="Times New Roman"/>
              </w:rPr>
            </w:pPr>
            <w:r>
              <w:rPr>
                <w:rFonts w:ascii="Arial" w:eastAsia="Times New Roman" w:hAnsi="Arial" w:cs="Arial"/>
                <w:color w:val="000000"/>
                <w:sz w:val="16"/>
                <w:szCs w:val="16"/>
              </w:rPr>
              <w:t>Taxes withheld under employee stock purchase and share-based compensation plans, net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(1.3)</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(2.0)</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(9.4)</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(6.5)</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350840585"/>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 xml:space="preserve">Share-based compensation expense </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7.5 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8.4 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24.4 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26.0 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350840585"/>
        </w:trPr>
        <w:tc>
          <w:tcPr>
            <w:tcW w:w="0" w:type="auto"/>
            <w:gridSpan w:val="3"/>
            <w:shd w:val="clear" w:color="auto" w:fill="FFFFF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(31.2)</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(74.5)</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350840585"/>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691.4 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743.6 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691.4 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743.6 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35084058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ind w:hanging="180"/>
              <w:divId w:val="1825662135"/>
              <w:rPr>
                <w:rFonts w:eastAsia="Times New Roman"/>
              </w:rPr>
            </w:pPr>
            <w:r>
              <w:rPr>
                <w:rFonts w:ascii="Arial" w:eastAsia="Times New Roman" w:hAnsi="Arial" w:cs="Arial"/>
                <w:b/>
                <w:bCs/>
                <w:color w:val="000000"/>
                <w:sz w:val="16"/>
                <w:szCs w:val="16"/>
              </w:rPr>
              <w:t>Accumulated Other Comprehensive Loss, Net of Taxes</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350840585"/>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(25.2)</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(23.6)</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(22.5)</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(30.8)</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350840585"/>
        </w:trPr>
        <w:tc>
          <w:tcPr>
            <w:tcW w:w="0" w:type="auto"/>
            <w:gridSpan w:val="3"/>
            <w:shd w:val="clear" w:color="auto" w:fill="FFFFF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Other comprehensive (loss) income</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(8.1)</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(10.7)</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7.8 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350840585"/>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(33.3)</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(22.9)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(33.3)</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(22.9)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35084058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350840585"/>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977.7 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885.6 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880.2 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806.4 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350840585"/>
        </w:trPr>
        <w:tc>
          <w:tcPr>
            <w:tcW w:w="0" w:type="auto"/>
            <w:gridSpan w:val="3"/>
            <w:shd w:val="clear" w:color="auto" w:fill="FFFFF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56.8 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(13.7)</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181.6 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92.0 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350840585"/>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 xml:space="preserve">Dividends </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35084058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1953511058"/>
              <w:rPr>
                <w:rFonts w:eastAsia="Times New Roman"/>
              </w:rPr>
            </w:pPr>
            <w:r>
              <w:rPr>
                <w:rFonts w:ascii="Arial" w:eastAsia="Times New Roman" w:hAnsi="Arial" w:cs="Arial"/>
                <w:color w:val="000000"/>
                <w:sz w:val="16"/>
                <w:szCs w:val="16"/>
              </w:rPr>
              <w:t>Common stock ($0.195, $0.190, $0.585, and $0.570 per share)</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(12.9)</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(12.8)</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(39.0)</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(38.2)</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350840585"/>
        </w:trPr>
        <w:tc>
          <w:tcPr>
            <w:tcW w:w="0" w:type="auto"/>
            <w:gridSpan w:val="3"/>
            <w:shd w:val="clear" w:color="auto" w:fill="DCE2EF"/>
            <w:tcMar>
              <w:top w:w="30" w:type="dxa"/>
              <w:left w:w="26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 xml:space="preserve">Stock issued under share-based compensation </w:t>
            </w:r>
            <w:r>
              <w:rPr>
                <w:rFonts w:ascii="Arial" w:eastAsia="Times New Roman" w:hAnsi="Arial" w:cs="Arial"/>
                <w:color w:val="000000"/>
                <w:sz w:val="16"/>
                <w:szCs w:val="16"/>
              </w:rPr>
              <w:br/>
              <w:t>    plans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(0.2)</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(0.2)</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1.3)</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(1.3)</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350840585"/>
        </w:trPr>
        <w:tc>
          <w:tcPr>
            <w:tcW w:w="0" w:type="auto"/>
            <w:gridSpan w:val="3"/>
            <w:shd w:val="clear" w:color="auto" w:fill="FFFFF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1,021.4 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859.0 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1,021.4 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859.0 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35084058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Total Stockholders’ Equity</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1,680.3 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1,580.3 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1,680.3 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1,580.3 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divId w:val="954756711"/>
        <w:rPr>
          <w:rFonts w:eastAsia="Times New Roman"/>
        </w:rPr>
      </w:pPr>
    </w:p>
    <w:p w:rsidR="00000000" w:rsidRDefault="0099409C">
      <w:pPr>
        <w:jc w:val="center"/>
        <w:divId w:val="525295771"/>
        <w:rPr>
          <w:rFonts w:eastAsia="Times New Roman"/>
        </w:rPr>
      </w:pPr>
      <w:r>
        <w:rPr>
          <w:rFonts w:ascii="Arial" w:eastAsia="Times New Roman" w:hAnsi="Arial" w:cs="Arial"/>
          <w:color w:val="000000"/>
          <w:sz w:val="20"/>
          <w:szCs w:val="20"/>
        </w:rPr>
        <w:t xml:space="preserve">See accompanying notes to unaudited consolidated financial statements. </w:t>
      </w:r>
    </w:p>
    <w:p w:rsidR="00000000" w:rsidRDefault="0099409C">
      <w:pPr>
        <w:jc w:val="center"/>
        <w:divId w:val="1237713769"/>
        <w:rPr>
          <w:rFonts w:eastAsia="Times New Roman"/>
        </w:rPr>
      </w:pPr>
      <w:r>
        <w:rPr>
          <w:rFonts w:ascii="Arial" w:eastAsia="Times New Roman" w:hAnsi="Arial" w:cs="Arial"/>
          <w:color w:val="000000"/>
          <w:sz w:val="20"/>
          <w:szCs w:val="20"/>
        </w:rPr>
        <w:t>5</w:t>
      </w:r>
    </w:p>
    <w:p w:rsidR="00000000" w:rsidRDefault="0099409C">
      <w:pPr>
        <w:rPr>
          <w:rFonts w:eastAsia="Times New Roman"/>
        </w:rPr>
      </w:pPr>
      <w:r>
        <w:rPr>
          <w:rFonts w:eastAsia="Times New Roman"/>
        </w:rPr>
        <w:pict>
          <v:rect id="_x0000_i1033" style="width:0;height:1.5pt" o:hralign="center" o:hrstd="t" o:hr="t" fillcolor="#a0a0a0" stroked="f"/>
        </w:pict>
      </w:r>
    </w:p>
    <w:p w:rsidR="00000000" w:rsidRDefault="0099409C">
      <w:pPr>
        <w:jc w:val="both"/>
        <w:divId w:val="1608079515"/>
        <w:rPr>
          <w:rFonts w:eastAsia="Times New Roman"/>
        </w:rPr>
      </w:pPr>
    </w:p>
    <w:p w:rsidR="00000000" w:rsidRDefault="0099409C">
      <w:pPr>
        <w:jc w:val="center"/>
        <w:divId w:val="1988430569"/>
        <w:rPr>
          <w:rFonts w:eastAsia="Times New Roman"/>
        </w:rPr>
      </w:pPr>
      <w:r>
        <w:rPr>
          <w:rFonts w:ascii="Arial" w:eastAsia="Times New Roman" w:hAnsi="Arial" w:cs="Arial"/>
          <w:b/>
          <w:bCs/>
          <w:color w:val="0046AD"/>
          <w:sz w:val="20"/>
          <w:szCs w:val="20"/>
        </w:rPr>
        <w:t>ABM INDUSTRIES INCORPORATED AND SUBSIDIARIES</w:t>
      </w:r>
    </w:p>
    <w:p w:rsidR="00000000" w:rsidRDefault="0099409C">
      <w:pPr>
        <w:jc w:val="center"/>
        <w:divId w:val="126629897"/>
        <w:rPr>
          <w:rFonts w:eastAsia="Times New Roman"/>
        </w:rPr>
      </w:pPr>
      <w:r>
        <w:rPr>
          <w:rFonts w:ascii="Arial" w:eastAsia="Times New Roman" w:hAnsi="Arial" w:cs="Arial"/>
          <w:b/>
          <w:bCs/>
          <w:color w:val="0046AD"/>
          <w:sz w:val="20"/>
          <w:szCs w:val="20"/>
        </w:rPr>
        <w:t>CONSOLIDATED STATEMENTS OF CASH FLOWS</w:t>
      </w:r>
    </w:p>
    <w:p w:rsidR="00000000" w:rsidRDefault="0099409C">
      <w:pPr>
        <w:jc w:val="center"/>
        <w:divId w:val="1289355716"/>
        <w:rPr>
          <w:rFonts w:eastAsia="Times New Roman"/>
        </w:rPr>
      </w:pPr>
      <w:r>
        <w:rPr>
          <w:rFonts w:ascii="Arial" w:eastAsia="Times New Roman" w:hAnsi="Arial" w:cs="Arial"/>
          <w:b/>
          <w:bCs/>
          <w:color w:val="0046AD"/>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5952"/>
        <w:gridCol w:w="38"/>
        <w:gridCol w:w="109"/>
        <w:gridCol w:w="977"/>
        <w:gridCol w:w="36"/>
        <w:gridCol w:w="36"/>
        <w:gridCol w:w="36"/>
        <w:gridCol w:w="36"/>
        <w:gridCol w:w="109"/>
        <w:gridCol w:w="896"/>
        <w:gridCol w:w="36"/>
      </w:tblGrid>
      <w:tr w:rsidR="00000000">
        <w:trPr>
          <w:divId w:val="368997576"/>
          <w:jc w:val="center"/>
        </w:trPr>
        <w:tc>
          <w:tcPr>
            <w:tcW w:w="50" w:type="pct"/>
            <w:vAlign w:val="center"/>
            <w:hideMark/>
          </w:tcPr>
          <w:p w:rsidR="00000000" w:rsidRDefault="0099409C">
            <w:pPr>
              <w:jc w:val="center"/>
              <w:rPr>
                <w:rFonts w:eastAsia="Times New Roman"/>
              </w:rPr>
            </w:pPr>
          </w:p>
        </w:tc>
        <w:tc>
          <w:tcPr>
            <w:tcW w:w="360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1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583"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368997576"/>
          <w:jc w:val="center"/>
        </w:trPr>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6"/>
                <w:szCs w:val="16"/>
              </w:rPr>
              <w:t>Nine Months Ended July 31,</w:t>
            </w:r>
          </w:p>
        </w:tc>
      </w:tr>
      <w:tr w:rsidR="00000000">
        <w:trPr>
          <w:divId w:val="368997576"/>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6"/>
                <w:szCs w:val="16"/>
              </w:rPr>
              <w:t>2021</w:t>
            </w: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Cash flows from operating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36899757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Net income</w:t>
            </w: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181.6 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92.0 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Adjustments to reconcile net income to net cash provided by operating</w:t>
            </w:r>
            <w:r>
              <w:rPr>
                <w:rFonts w:ascii="Arial" w:eastAsia="Times New Roman" w:hAnsi="Arial" w:cs="Arial"/>
                <w:b/>
                <w:bCs/>
                <w:color w:val="000000"/>
                <w:sz w:val="16"/>
                <w:szCs w:val="16"/>
              </w:rPr>
              <w:br/>
              <w:t>    activities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36899757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82.4 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66.2 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vAlign w:val="center"/>
            <w:hideMark/>
          </w:tcPr>
          <w:p w:rsidR="00000000" w:rsidRDefault="0099409C">
            <w:pPr>
              <w:spacing w:after="100"/>
              <w:jc w:val="right"/>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Impairment loss on fixed assets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9.1 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39.7 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(50.0)</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Share-based compensation expense</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24.4 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26.0 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Recovery of bad debt</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(2.0)</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(1.3)</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 xml:space="preserve">Amortization of accumulated other comprehensive gain on interest rate swaps </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(4.3)</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(4.8)</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vAlign w:val="center"/>
            <w:hideMark/>
          </w:tcPr>
          <w:p w:rsidR="00000000" w:rsidRDefault="0099409C">
            <w:pPr>
              <w:spacing w:after="100"/>
              <w:jc w:val="right"/>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36899757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(Gain)/Loss on sale of assets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(0.8)</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1.3 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Income from unconsolidated affiliates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(1.8)</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(1.4)</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Distributions from unconsolidated affiliates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Changes in operating assets and liabilities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368997576"/>
          <w:jc w:val="center"/>
        </w:trPr>
        <w:tc>
          <w:tcPr>
            <w:tcW w:w="0" w:type="auto"/>
            <w:gridSpan w:val="3"/>
            <w:shd w:val="clear" w:color="auto" w:fill="FFFFF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Trade accounts receivable and costs incurred in excess of amounts billed</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(129.4)</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(45.4)</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Prepaid expenses and other current assets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(8.0)</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FFFFF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Right-of-use assets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10.0 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13.6 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Other noncurrent assets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(6.6)</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14.4 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FFFFF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Trade accounts payable and other accrued liabilities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(178.0)</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193.1 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Long-term lease liabilities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(10.1)</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(11.9)</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FFFFF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Insurance claims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(18.8)</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(22.2)</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Income taxes payable</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(10.3)</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11.5 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FFFFF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Other noncurrent liabilities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(66.5)</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(34.9)</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Total adjustments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(278.3)</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166.7 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Net cash (used in)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(96.7)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258.8 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Cash flows from investing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36899757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Additions to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(37.7)</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(23.3)</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Proceeds from sale of assets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4.1 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Purchase of businesses, net of cash acquired</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(56.7)</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Investments in equity securities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(3.0)</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(93.3)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Cash flows from financing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36899757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 xml:space="preserve">Taxes withheld from issuance of share-based compensation awards, net </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(10.7)</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(7.8)</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Repurchases of common stock</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(74.5)</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Dividends paid</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(39.0)</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(38.2)</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Deferred financing costs paid</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(6.4)</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Borrowings from debt</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990.1 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32.7 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Repayment of borrowings from debt</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(684.5)</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(97.9)</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Changes in book cash overdrafts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5.4 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(19.6)</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Financing of energy savings performance contracts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8.7 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10.8 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Repayment of finance lease obligations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(1.2)</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(2.3)</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Net cash provided by (used in) financing activities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194.2 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(128.7)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Effect of exchange rate changes on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Net increase in cash and cash equivalents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111.2 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Cash and cash equivalents at beginning of year</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62.8 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394.2 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68997576"/>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6"/>
                <w:szCs w:val="16"/>
              </w:rPr>
              <w:t>Cash and cash equivalents at end of period</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63.9 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6"/>
                <w:szCs w:val="16"/>
              </w:rPr>
              <w:t>505.4 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jc w:val="center"/>
        <w:divId w:val="1454443976"/>
        <w:rPr>
          <w:rFonts w:eastAsia="Times New Roman"/>
        </w:rPr>
      </w:pPr>
      <w:r>
        <w:rPr>
          <w:rFonts w:ascii="Arial" w:eastAsia="Times New Roman" w:hAnsi="Arial" w:cs="Arial"/>
          <w:color w:val="000000"/>
          <w:sz w:val="20"/>
          <w:szCs w:val="20"/>
        </w:rPr>
        <w:t>See accompanying notes to unaudited consolidated financial statements.</w:t>
      </w:r>
    </w:p>
    <w:p w:rsidR="00000000" w:rsidRDefault="0099409C">
      <w:pPr>
        <w:jc w:val="center"/>
        <w:divId w:val="758866547"/>
        <w:rPr>
          <w:rFonts w:eastAsia="Times New Roman"/>
        </w:rPr>
      </w:pPr>
      <w:r>
        <w:rPr>
          <w:rFonts w:ascii="Arial" w:eastAsia="Times New Roman" w:hAnsi="Arial" w:cs="Arial"/>
          <w:color w:val="000000"/>
          <w:sz w:val="20"/>
          <w:szCs w:val="20"/>
        </w:rPr>
        <w:t>6</w:t>
      </w:r>
    </w:p>
    <w:p w:rsidR="00000000" w:rsidRDefault="0099409C">
      <w:pPr>
        <w:rPr>
          <w:rFonts w:eastAsia="Times New Roman"/>
        </w:rPr>
      </w:pPr>
      <w:r>
        <w:rPr>
          <w:rFonts w:eastAsia="Times New Roman"/>
        </w:rPr>
        <w:pict>
          <v:rect id="_x0000_i1034" style="width:0;height:1.5pt" o:hralign="center" o:hrstd="t" o:hr="t" fillcolor="#a0a0a0" stroked="f"/>
        </w:pict>
      </w:r>
    </w:p>
    <w:p w:rsidR="00000000" w:rsidRDefault="0099409C">
      <w:pPr>
        <w:jc w:val="both"/>
        <w:divId w:val="80882580"/>
        <w:rPr>
          <w:rFonts w:eastAsia="Times New Roman"/>
        </w:rPr>
      </w:pPr>
    </w:p>
    <w:p w:rsidR="00000000" w:rsidRDefault="0099409C">
      <w:pPr>
        <w:jc w:val="center"/>
        <w:divId w:val="161899293"/>
        <w:rPr>
          <w:rFonts w:eastAsia="Times New Roman"/>
        </w:rPr>
      </w:pPr>
      <w:r>
        <w:rPr>
          <w:rFonts w:ascii="Arial" w:eastAsia="Times New Roman" w:hAnsi="Arial" w:cs="Arial"/>
          <w:b/>
          <w:bCs/>
          <w:color w:val="0046AD"/>
          <w:sz w:val="20"/>
          <w:szCs w:val="20"/>
        </w:rPr>
        <w:t>ABM INDUSTRIES INCORPORATED AND SUBSIDIARIES</w:t>
      </w:r>
    </w:p>
    <w:p w:rsidR="00000000" w:rsidRDefault="0099409C">
      <w:pPr>
        <w:jc w:val="center"/>
        <w:divId w:val="83890971"/>
        <w:rPr>
          <w:rFonts w:eastAsia="Times New Roman"/>
        </w:rPr>
      </w:pPr>
      <w:r>
        <w:rPr>
          <w:rFonts w:ascii="Arial" w:eastAsia="Times New Roman" w:hAnsi="Arial" w:cs="Arial"/>
          <w:b/>
          <w:bCs/>
          <w:color w:val="0046AD"/>
          <w:sz w:val="20"/>
          <w:szCs w:val="20"/>
        </w:rPr>
        <w:t>NOTES TO CONSOLIDATED FINANCIAL STATEMENTS</w:t>
      </w:r>
    </w:p>
    <w:p w:rsidR="00000000" w:rsidRDefault="0099409C">
      <w:pPr>
        <w:jc w:val="center"/>
        <w:divId w:val="104083207"/>
        <w:rPr>
          <w:rFonts w:eastAsia="Times New Roman"/>
        </w:rPr>
      </w:pPr>
      <w:r>
        <w:rPr>
          <w:rFonts w:ascii="Arial" w:eastAsia="Times New Roman" w:hAnsi="Arial" w:cs="Arial"/>
          <w:b/>
          <w:bCs/>
          <w:color w:val="0046AD"/>
          <w:sz w:val="20"/>
          <w:szCs w:val="20"/>
        </w:rPr>
        <w:t>(UNAUDITED)</w:t>
      </w:r>
    </w:p>
    <w:p w:rsidR="00000000" w:rsidRDefault="0099409C">
      <w:pPr>
        <w:divId w:val="1124618825"/>
        <w:rPr>
          <w:rFonts w:eastAsia="Times New Roman"/>
        </w:rPr>
      </w:pPr>
      <w:r>
        <w:rPr>
          <w:rFonts w:ascii="Arial" w:eastAsia="Times New Roman" w:hAnsi="Arial" w:cs="Arial"/>
          <w:b/>
          <w:bCs/>
          <w:color w:val="0046AD"/>
          <w:sz w:val="20"/>
          <w:szCs w:val="20"/>
        </w:rPr>
        <w:t xml:space="preserve">1. THE COMPANY AND NATURE OF OPERATIONS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552617280"/>
        </w:trPr>
        <w:tc>
          <w:tcPr>
            <w:tcW w:w="5" w:type="pct"/>
            <w:vAlign w:val="center"/>
            <w:hideMark/>
          </w:tcPr>
          <w:p w:rsidR="00000000" w:rsidRDefault="0099409C">
            <w:pPr>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552617280"/>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ind w:firstLine="720"/>
        <w:jc w:val="both"/>
        <w:divId w:val="1359042491"/>
        <w:rPr>
          <w:rFonts w:eastAsia="Times New Roman"/>
        </w:rPr>
      </w:pPr>
      <w:r>
        <w:rPr>
          <w:rFonts w:ascii="Arial" w:eastAsia="Times New Roman" w:hAnsi="Arial" w:cs="Arial"/>
          <w:color w:val="000000"/>
          <w:sz w:val="20"/>
          <w:szCs w:val="20"/>
        </w:rPr>
        <w:t xml:space="preserve">ABM is a leading provider of integrated facility services with a mission to make a difference, every person, every day. We are organized into four industry groups and one Technical Solutions segment: </w:t>
      </w:r>
    </w:p>
    <w:p w:rsidR="00000000" w:rsidRDefault="0099409C">
      <w:pPr>
        <w:spacing w:before="180"/>
        <w:jc w:val="center"/>
        <w:divId w:val="1062601285"/>
        <w:rPr>
          <w:rFonts w:eastAsia="Times New Roman"/>
        </w:rPr>
      </w:pPr>
      <w:r>
        <w:rPr>
          <w:rFonts w:eastAsia="Times New Roman"/>
          <w:noProof/>
        </w:rPr>
        <w:drawing>
          <wp:inline distT="0" distB="0" distL="0" distR="0">
            <wp:extent cx="304800"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9409C">
      <w:pPr>
        <w:ind w:firstLine="720"/>
        <w:jc w:val="both"/>
        <w:divId w:val="161162847"/>
        <w:rPr>
          <w:rFonts w:eastAsia="Times New Roman"/>
        </w:rPr>
      </w:pPr>
      <w:r>
        <w:rPr>
          <w:rFonts w:ascii="Arial" w:eastAsia="Times New Roman" w:hAnsi="Arial" w:cs="Arial"/>
          <w:color w:val="000000"/>
          <w:sz w:val="20"/>
          <w:szCs w:val="20"/>
        </w:rPr>
        <w:t>Through these groups, we offer janitorial, facilities engineering, parking, and specialized mechanical and electrical technical solutions, on a standalone basis or in combina</w:t>
      </w:r>
      <w:r>
        <w:rPr>
          <w:rFonts w:ascii="Arial" w:eastAsia="Times New Roman" w:hAnsi="Arial" w:cs="Arial"/>
          <w:color w:val="000000"/>
          <w:sz w:val="20"/>
          <w:szCs w:val="20"/>
        </w:rPr>
        <w:t xml:space="preserve">tion with other services. </w:t>
      </w:r>
    </w:p>
    <w:p w:rsidR="00000000" w:rsidRDefault="0099409C">
      <w:pPr>
        <w:jc w:val="both"/>
        <w:divId w:val="543955500"/>
        <w:rPr>
          <w:rFonts w:eastAsia="Times New Roman"/>
        </w:rPr>
      </w:pPr>
      <w:r>
        <w:rPr>
          <w:rFonts w:ascii="Arial" w:eastAsia="Times New Roman" w:hAnsi="Arial" w:cs="Arial"/>
          <w:b/>
          <w:bCs/>
          <w:color w:val="0046AD"/>
          <w:sz w:val="20"/>
          <w:szCs w:val="20"/>
        </w:rPr>
        <w:t>2. BASIS OF PRESENTATION AND SIGNIFICANT ACCOUNTING POLICIES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975569096"/>
        </w:trPr>
        <w:tc>
          <w:tcPr>
            <w:tcW w:w="5" w:type="pct"/>
            <w:vAlign w:val="center"/>
            <w:hideMark/>
          </w:tcPr>
          <w:p w:rsidR="00000000" w:rsidRDefault="0099409C">
            <w:pPr>
              <w:jc w:val="both"/>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975569096"/>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jc w:val="both"/>
        <w:divId w:val="217323248"/>
        <w:rPr>
          <w:rFonts w:eastAsia="Times New Roman"/>
        </w:rPr>
      </w:pPr>
      <w:r>
        <w:rPr>
          <w:rFonts w:ascii="Arial" w:eastAsia="Times New Roman" w:hAnsi="Arial" w:cs="Arial"/>
          <w:b/>
          <w:bCs/>
          <w:color w:val="0046AD"/>
          <w:sz w:val="20"/>
          <w:szCs w:val="20"/>
        </w:rPr>
        <w:t>Basis of Presentation</w:t>
      </w:r>
      <w:r>
        <w:rPr>
          <w:rFonts w:ascii="Arial" w:eastAsia="Times New Roman" w:hAnsi="Arial" w:cs="Arial"/>
          <w:color w:val="000000"/>
          <w:sz w:val="20"/>
          <w:szCs w:val="20"/>
        </w:rPr>
        <w:t xml:space="preserve"> </w:t>
      </w:r>
    </w:p>
    <w:p w:rsidR="00000000" w:rsidRDefault="0099409C">
      <w:pPr>
        <w:ind w:firstLine="720"/>
        <w:jc w:val="both"/>
        <w:divId w:val="2128888002"/>
        <w:rPr>
          <w:rFonts w:eastAsia="Times New Roman"/>
        </w:rPr>
      </w:pPr>
      <w:r>
        <w:rPr>
          <w:rFonts w:ascii="Arial" w:eastAsia="Times New Roman" w:hAnsi="Arial" w:cs="Arial"/>
          <w:color w:val="000000"/>
          <w:sz w:val="20"/>
          <w:szCs w:val="20"/>
        </w:rPr>
        <w:t>The accompanying unaudited consolidated financial statements have been prepared in accordance with (i) United States generally accepted accounting principles (“U.S. GAAP”) for interim financial information and (ii) the instructions to Form 10-Q and Article</w:t>
      </w:r>
      <w:r>
        <w:rPr>
          <w:rFonts w:ascii="Arial" w:eastAsia="Times New Roman" w:hAnsi="Arial" w:cs="Arial"/>
          <w:color w:val="000000"/>
          <w:sz w:val="20"/>
          <w:szCs w:val="20"/>
        </w:rPr>
        <w:t xml:space="preserve"> 10 of Regulation S-X. In the opinion of our management, our unaudited consolidated financial statements and accompanying notes (the “Financial Statements”) include all normal recurring adjustments that are necessary for the fair statement of the interim p</w:t>
      </w:r>
      <w:r>
        <w:rPr>
          <w:rFonts w:ascii="Arial" w:eastAsia="Times New Roman" w:hAnsi="Arial" w:cs="Arial"/>
          <w:color w:val="000000"/>
          <w:sz w:val="20"/>
          <w:szCs w:val="20"/>
        </w:rPr>
        <w:t xml:space="preserve">eriods presented. Interim results of operations are not necessarily indicative of results for the full year. The Financial Statements should be read in conjunction with our audited consolidated financial statements (and notes thereto) in our Annual Report </w:t>
      </w:r>
      <w:r>
        <w:rPr>
          <w:rFonts w:ascii="Arial" w:eastAsia="Times New Roman" w:hAnsi="Arial" w:cs="Arial"/>
          <w:color w:val="000000"/>
          <w:sz w:val="20"/>
          <w:szCs w:val="20"/>
        </w:rPr>
        <w:t>on Form 10-K for the year ended October 31, 2021. Unless otherwise indicated, all references to years are to our fiscal years, which end on October 31.</w:t>
      </w:r>
    </w:p>
    <w:p w:rsidR="00000000" w:rsidRDefault="0099409C">
      <w:pPr>
        <w:jc w:val="both"/>
        <w:divId w:val="1719432573"/>
        <w:rPr>
          <w:rFonts w:eastAsia="Times New Roman"/>
        </w:rPr>
      </w:pPr>
      <w:r>
        <w:rPr>
          <w:rFonts w:ascii="Arial" w:eastAsia="Times New Roman" w:hAnsi="Arial" w:cs="Arial"/>
          <w:b/>
          <w:bCs/>
          <w:color w:val="0046AD"/>
          <w:sz w:val="20"/>
          <w:szCs w:val="20"/>
        </w:rPr>
        <w:t>Reorganization of Our Business</w:t>
      </w:r>
    </w:p>
    <w:p w:rsidR="00000000" w:rsidRDefault="0099409C">
      <w:pPr>
        <w:ind w:firstLine="720"/>
        <w:jc w:val="both"/>
        <w:divId w:val="1525441309"/>
        <w:rPr>
          <w:rFonts w:eastAsia="Times New Roman"/>
        </w:rPr>
      </w:pPr>
      <w:r>
        <w:rPr>
          <w:rFonts w:ascii="Arial" w:eastAsia="Times New Roman" w:hAnsi="Arial" w:cs="Arial"/>
          <w:color w:val="000000"/>
          <w:sz w:val="20"/>
          <w:szCs w:val="20"/>
        </w:rPr>
        <w:t xml:space="preserve">Effective November 1, 2021, the Manufacturing &amp; Distribution (“M&amp;D”) industry group replaced our Technology and Manufacturing (“T&amp;M”) industry group as part of our strategic transformation initiative </w:t>
      </w:r>
      <w:r>
        <w:rPr>
          <w:rFonts w:ascii="Arial" w:eastAsia="Times New Roman" w:hAnsi="Arial" w:cs="Arial"/>
          <w:b/>
          <w:bCs/>
          <w:color w:val="E98300"/>
          <w:sz w:val="20"/>
          <w:szCs w:val="20"/>
        </w:rPr>
        <w:t>ELEVATE</w:t>
      </w:r>
      <w:r>
        <w:rPr>
          <w:rFonts w:ascii="Arial" w:eastAsia="Times New Roman" w:hAnsi="Arial" w:cs="Arial"/>
          <w:color w:val="000000"/>
          <w:sz w:val="20"/>
          <w:szCs w:val="20"/>
        </w:rPr>
        <w:t>. M&amp;D retained our large manufacturing clients fr</w:t>
      </w:r>
      <w:r>
        <w:rPr>
          <w:rFonts w:ascii="Arial" w:eastAsia="Times New Roman" w:hAnsi="Arial" w:cs="Arial"/>
          <w:color w:val="000000"/>
          <w:sz w:val="20"/>
          <w:szCs w:val="20"/>
        </w:rPr>
        <w:t>om T&amp;M and added clients in the distribution sector from our Business and Industry (“B&amp;I”) group. Technology clients with commercial real estate properties serviced by T&amp;M shifted into B&amp;I. Additionally, we have modified the presentation of segment revenue</w:t>
      </w:r>
      <w:r>
        <w:rPr>
          <w:rFonts w:ascii="Arial" w:eastAsia="Times New Roman" w:hAnsi="Arial" w:cs="Arial"/>
          <w:color w:val="000000"/>
          <w:sz w:val="20"/>
          <w:szCs w:val="20"/>
        </w:rPr>
        <w:t>s as inter-segment revenues are now allocated at the segment level. Our prior period segment data in Note 4, “Revenues,” and Note 12, “Segment Information,” have been reclassified to conform with our current period presentation. These changes had no impact</w:t>
      </w:r>
      <w:r>
        <w:rPr>
          <w:rFonts w:ascii="Arial" w:eastAsia="Times New Roman" w:hAnsi="Arial" w:cs="Arial"/>
          <w:color w:val="000000"/>
          <w:sz w:val="20"/>
          <w:szCs w:val="20"/>
        </w:rPr>
        <w:t xml:space="preserve"> on our previously reported consolidated financial statements.</w:t>
      </w:r>
    </w:p>
    <w:p w:rsidR="00000000" w:rsidRDefault="0099409C">
      <w:pPr>
        <w:jc w:val="both"/>
        <w:divId w:val="24916658"/>
        <w:rPr>
          <w:rFonts w:eastAsia="Times New Roman"/>
        </w:rPr>
      </w:pPr>
      <w:r>
        <w:rPr>
          <w:rFonts w:ascii="Arial" w:eastAsia="Times New Roman" w:hAnsi="Arial" w:cs="Arial"/>
          <w:b/>
          <w:bCs/>
          <w:color w:val="0046AD"/>
          <w:sz w:val="20"/>
          <w:szCs w:val="20"/>
        </w:rPr>
        <w:t>Rounding</w:t>
      </w:r>
    </w:p>
    <w:p w:rsidR="00000000" w:rsidRDefault="0099409C">
      <w:pPr>
        <w:ind w:firstLine="720"/>
        <w:jc w:val="both"/>
        <w:divId w:val="1915318876"/>
        <w:rPr>
          <w:rFonts w:eastAsia="Times New Roman"/>
        </w:rPr>
      </w:pPr>
      <w:r>
        <w:rPr>
          <w:rFonts w:ascii="Arial" w:eastAsia="Times New Roman" w:hAnsi="Arial" w:cs="Arial"/>
          <w:color w:val="000000"/>
          <w:sz w:val="20"/>
          <w:szCs w:val="20"/>
        </w:rPr>
        <w:t xml:space="preserve">We round amounts in the Financial Statements to millions and calculate all percentages and per-share data from the underlying whole-dollar amounts. Thus, certain amounts may not foot, </w:t>
      </w:r>
      <w:r>
        <w:rPr>
          <w:rFonts w:ascii="Arial" w:eastAsia="Times New Roman" w:hAnsi="Arial" w:cs="Arial"/>
          <w:color w:val="000000"/>
          <w:sz w:val="20"/>
          <w:szCs w:val="20"/>
        </w:rPr>
        <w:t>crossfoot, or recalculate based on reported numbers due to rounding.</w:t>
      </w:r>
    </w:p>
    <w:p w:rsidR="00000000" w:rsidRDefault="0099409C">
      <w:pPr>
        <w:divId w:val="1484732146"/>
        <w:rPr>
          <w:rFonts w:eastAsia="Times New Roman"/>
        </w:rPr>
      </w:pPr>
      <w:r>
        <w:rPr>
          <w:rFonts w:ascii="Arial" w:eastAsia="Times New Roman" w:hAnsi="Arial" w:cs="Arial"/>
          <w:b/>
          <w:bCs/>
          <w:color w:val="0046AD"/>
          <w:sz w:val="20"/>
          <w:szCs w:val="20"/>
        </w:rPr>
        <w:t>Management Reimbursement Revenue by Segment</w:t>
      </w:r>
    </w:p>
    <w:p w:rsidR="00000000" w:rsidRDefault="0099409C">
      <w:pPr>
        <w:ind w:firstLine="720"/>
        <w:jc w:val="both"/>
        <w:divId w:val="84423961"/>
        <w:rPr>
          <w:rFonts w:eastAsia="Times New Roman"/>
        </w:rPr>
      </w:pPr>
      <w:r>
        <w:rPr>
          <w:rFonts w:ascii="Arial" w:eastAsia="Times New Roman" w:hAnsi="Arial" w:cs="Arial"/>
          <w:color w:val="000000"/>
          <w:sz w:val="20"/>
          <w:szCs w:val="20"/>
        </w:rPr>
        <w:t>We operate certain parking facilities under management reimbursement arrangements. Under these arrangements, we manage the parking facilities f</w:t>
      </w:r>
      <w:r>
        <w:rPr>
          <w:rFonts w:ascii="Arial" w:eastAsia="Times New Roman" w:hAnsi="Arial" w:cs="Arial"/>
          <w:color w:val="000000"/>
          <w:sz w:val="20"/>
          <w:szCs w:val="20"/>
        </w:rPr>
        <w:t>or management fees and pass through the revenues and expenses associated with the facilities to the owners. These revenues and expenses are reported in equal amounts as costs reimbursed from our managed locations:</w:t>
      </w:r>
    </w:p>
    <w:p w:rsidR="00000000" w:rsidRDefault="0099409C">
      <w:pPr>
        <w:jc w:val="center"/>
        <w:divId w:val="655575669"/>
        <w:rPr>
          <w:rFonts w:eastAsia="Times New Roman"/>
        </w:rPr>
      </w:pPr>
      <w:r>
        <w:rPr>
          <w:rFonts w:ascii="Arial" w:eastAsia="Times New Roman" w:hAnsi="Arial" w:cs="Arial"/>
          <w:color w:val="000000"/>
          <w:sz w:val="20"/>
          <w:szCs w:val="20"/>
        </w:rPr>
        <w:t>7</w:t>
      </w:r>
    </w:p>
    <w:p w:rsidR="00000000" w:rsidRDefault="0099409C">
      <w:pPr>
        <w:rPr>
          <w:rFonts w:eastAsia="Times New Roman"/>
        </w:rPr>
      </w:pPr>
      <w:r>
        <w:rPr>
          <w:rFonts w:eastAsia="Times New Roman"/>
        </w:rPr>
        <w:pict>
          <v:rect id="_x0000_i1036" style="width:0;height:1.5pt" o:hralign="center" o:hrstd="t" o:hr="t" fillcolor="#a0a0a0" stroked="f"/>
        </w:pict>
      </w:r>
    </w:p>
    <w:p w:rsidR="00000000" w:rsidRDefault="0099409C">
      <w:pPr>
        <w:jc w:val="both"/>
        <w:divId w:val="39814053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265"/>
        <w:gridCol w:w="37"/>
        <w:gridCol w:w="121"/>
        <w:gridCol w:w="1035"/>
        <w:gridCol w:w="36"/>
        <w:gridCol w:w="36"/>
        <w:gridCol w:w="36"/>
        <w:gridCol w:w="36"/>
        <w:gridCol w:w="121"/>
        <w:gridCol w:w="993"/>
        <w:gridCol w:w="36"/>
        <w:gridCol w:w="36"/>
        <w:gridCol w:w="36"/>
        <w:gridCol w:w="36"/>
        <w:gridCol w:w="121"/>
        <w:gridCol w:w="993"/>
        <w:gridCol w:w="36"/>
        <w:gridCol w:w="36"/>
        <w:gridCol w:w="36"/>
        <w:gridCol w:w="36"/>
        <w:gridCol w:w="121"/>
        <w:gridCol w:w="993"/>
        <w:gridCol w:w="36"/>
      </w:tblGrid>
      <w:tr w:rsidR="00000000">
        <w:trPr>
          <w:divId w:val="1557351182"/>
        </w:trPr>
        <w:tc>
          <w:tcPr>
            <w:tcW w:w="50" w:type="pct"/>
            <w:vAlign w:val="center"/>
            <w:hideMark/>
          </w:tcPr>
          <w:p w:rsidR="00000000" w:rsidRDefault="0099409C">
            <w:pPr>
              <w:jc w:val="both"/>
              <w:rPr>
                <w:rFonts w:eastAsia="Times New Roman"/>
              </w:rPr>
            </w:pPr>
          </w:p>
        </w:tc>
        <w:tc>
          <w:tcPr>
            <w:tcW w:w="199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5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5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5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5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557351182"/>
        </w:trPr>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Nine Months Ended July 31,</w:t>
            </w:r>
          </w:p>
        </w:tc>
      </w:tr>
      <w:tr w:rsidR="00000000">
        <w:trPr>
          <w:divId w:val="1557351182"/>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r>
      <w:tr w:rsidR="00000000">
        <w:trPr>
          <w:divId w:val="1557351182"/>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Business &amp; Industry</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165.0 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134.1 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557351182"/>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14.2 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13.4 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39.0 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39.9 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557351182"/>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 xml:space="preserve">Total </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72.8 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60.9 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204.1 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174.1 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divId w:val="1980383534"/>
        <w:rPr>
          <w:rFonts w:eastAsia="Times New Roman"/>
        </w:rPr>
      </w:pPr>
      <w:r>
        <w:rPr>
          <w:rFonts w:ascii="Arial" w:eastAsia="Times New Roman" w:hAnsi="Arial" w:cs="Arial"/>
          <w:b/>
          <w:bCs/>
          <w:color w:val="0046AD"/>
          <w:sz w:val="20"/>
          <w:szCs w:val="20"/>
        </w:rPr>
        <w:t>Recently Adopted Accounting Standards</w:t>
      </w:r>
    </w:p>
    <w:p w:rsidR="00000000" w:rsidRDefault="0099409C">
      <w:pPr>
        <w:ind w:firstLine="720"/>
        <w:jc w:val="both"/>
        <w:divId w:val="763502275"/>
        <w:rPr>
          <w:rFonts w:eastAsia="Times New Roman"/>
        </w:rPr>
      </w:pPr>
      <w:r>
        <w:rPr>
          <w:rFonts w:ascii="Arial" w:eastAsia="Times New Roman" w:hAnsi="Arial" w:cs="Arial"/>
          <w:color w:val="000000"/>
          <w:sz w:val="20"/>
          <w:szCs w:val="20"/>
        </w:rPr>
        <w:t xml:space="preserve">In December 2019, the Financial Accounting Standards Board (“FASB”) issued ASU No. 2019-12, </w:t>
      </w:r>
      <w:r>
        <w:rPr>
          <w:rFonts w:ascii="Arial" w:eastAsia="Times New Roman" w:hAnsi="Arial" w:cs="Arial"/>
          <w:i/>
          <w:iCs/>
          <w:color w:val="000000"/>
          <w:sz w:val="20"/>
          <w:szCs w:val="20"/>
        </w:rPr>
        <w:t>Simplifying the Accounting for Income Taxes (Topic 740)</w:t>
      </w:r>
      <w:r>
        <w:rPr>
          <w:rFonts w:ascii="Arial" w:eastAsia="Times New Roman" w:hAnsi="Arial" w:cs="Arial"/>
          <w:color w:val="000000"/>
          <w:sz w:val="20"/>
          <w:szCs w:val="20"/>
        </w:rPr>
        <w:t>. This accounting update simplifies the accounting for income taxes and clarifies and amends existing income tax guidance. Impacted areas include intraperiod tax allocations, interim period taxes, defe</w:t>
      </w:r>
      <w:r>
        <w:rPr>
          <w:rFonts w:ascii="Arial" w:eastAsia="Times New Roman" w:hAnsi="Arial" w:cs="Arial"/>
          <w:color w:val="000000"/>
          <w:sz w:val="20"/>
          <w:szCs w:val="20"/>
        </w:rPr>
        <w:t>rred tax liabilities with outside basis differences, franchise taxes, and transactions that result in the “step-up” of goodwill. We adopted this standard, effective November 1, 2021, on a prospective basis. The adoption of this guidance did not have a mate</w:t>
      </w:r>
      <w:r>
        <w:rPr>
          <w:rFonts w:ascii="Arial" w:eastAsia="Times New Roman" w:hAnsi="Arial" w:cs="Arial"/>
          <w:color w:val="000000"/>
          <w:sz w:val="20"/>
          <w:szCs w:val="20"/>
        </w:rPr>
        <w:t>rial impact on our consolidated financial statements.</w:t>
      </w:r>
    </w:p>
    <w:p w:rsidR="00000000" w:rsidRDefault="0099409C">
      <w:pPr>
        <w:ind w:firstLine="720"/>
        <w:jc w:val="both"/>
        <w:divId w:val="1057820599"/>
        <w:rPr>
          <w:rFonts w:eastAsia="Times New Roman"/>
        </w:rPr>
      </w:pPr>
      <w:r>
        <w:rPr>
          <w:rFonts w:ascii="Arial" w:eastAsia="Times New Roman" w:hAnsi="Arial" w:cs="Arial"/>
          <w:color w:val="000000"/>
          <w:sz w:val="20"/>
          <w:szCs w:val="20"/>
        </w:rPr>
        <w:t xml:space="preserve">In January 2020, the FASB issued ASU 2020-01, </w:t>
      </w:r>
      <w:r>
        <w:rPr>
          <w:rFonts w:ascii="Arial" w:eastAsia="Times New Roman" w:hAnsi="Arial" w:cs="Arial"/>
          <w:i/>
          <w:iCs/>
          <w:color w:val="000000"/>
          <w:sz w:val="20"/>
          <w:szCs w:val="20"/>
        </w:rPr>
        <w:t>Investments–Equity Securities (Topic 321), Investments–Equity Method and Joint Ventures (Topic 323), and Derivatives and Hedging (Topic 815)</w:t>
      </w:r>
      <w:r>
        <w:rPr>
          <w:rFonts w:ascii="Arial" w:eastAsia="Times New Roman" w:hAnsi="Arial" w:cs="Arial"/>
          <w:color w:val="000000"/>
          <w:sz w:val="20"/>
          <w:szCs w:val="20"/>
        </w:rPr>
        <w:t>. This accountin</w:t>
      </w:r>
      <w:r>
        <w:rPr>
          <w:rFonts w:ascii="Arial" w:eastAsia="Times New Roman" w:hAnsi="Arial" w:cs="Arial"/>
          <w:color w:val="000000"/>
          <w:sz w:val="20"/>
          <w:szCs w:val="20"/>
        </w:rPr>
        <w:t>g update clarifies the interaction between the accounting for investments in equity securities under Topic 321, investments accounted for under the equity method under Topic 323, and certain derivatives instruments under Topic 815. We adopted this standard</w:t>
      </w:r>
      <w:r>
        <w:rPr>
          <w:rFonts w:ascii="Arial" w:eastAsia="Times New Roman" w:hAnsi="Arial" w:cs="Arial"/>
          <w:color w:val="000000"/>
          <w:sz w:val="20"/>
          <w:szCs w:val="20"/>
        </w:rPr>
        <w:t>, effective November 1, 2021, on a prospective basis. The adoption of this guidance did not have a material impact on our consolidated financial statements.</w:t>
      </w:r>
    </w:p>
    <w:p w:rsidR="00000000" w:rsidRDefault="0099409C">
      <w:pPr>
        <w:ind w:firstLine="720"/>
        <w:jc w:val="both"/>
        <w:divId w:val="2011252546"/>
        <w:rPr>
          <w:rFonts w:eastAsia="Times New Roman"/>
        </w:rPr>
      </w:pPr>
      <w:r>
        <w:rPr>
          <w:rFonts w:ascii="Arial" w:eastAsia="Times New Roman" w:hAnsi="Arial" w:cs="Arial"/>
          <w:color w:val="000000"/>
          <w:sz w:val="20"/>
          <w:szCs w:val="20"/>
        </w:rPr>
        <w:t>No other recently adopted accounting standards have had a significant impact on our fiscal 2022 con</w:t>
      </w:r>
      <w:r>
        <w:rPr>
          <w:rFonts w:ascii="Arial" w:eastAsia="Times New Roman" w:hAnsi="Arial" w:cs="Arial"/>
          <w:color w:val="000000"/>
          <w:sz w:val="20"/>
          <w:szCs w:val="20"/>
        </w:rPr>
        <w:t>solidated financial statements.</w:t>
      </w:r>
    </w:p>
    <w:p w:rsidR="00000000" w:rsidRDefault="0099409C">
      <w:pPr>
        <w:ind w:firstLine="720"/>
        <w:jc w:val="both"/>
        <w:divId w:val="1549606885"/>
        <w:rPr>
          <w:rFonts w:eastAsia="Times New Roman"/>
        </w:rPr>
      </w:pPr>
    </w:p>
    <w:p w:rsidR="00000000" w:rsidRDefault="0099409C">
      <w:pPr>
        <w:jc w:val="center"/>
        <w:divId w:val="756286106"/>
        <w:rPr>
          <w:rFonts w:eastAsia="Times New Roman"/>
        </w:rPr>
      </w:pPr>
      <w:r>
        <w:rPr>
          <w:rFonts w:ascii="Arial" w:eastAsia="Times New Roman" w:hAnsi="Arial" w:cs="Arial"/>
          <w:color w:val="000000"/>
          <w:sz w:val="20"/>
          <w:szCs w:val="20"/>
        </w:rPr>
        <w:t>8</w:t>
      </w:r>
    </w:p>
    <w:p w:rsidR="00000000" w:rsidRDefault="0099409C">
      <w:pPr>
        <w:rPr>
          <w:rFonts w:eastAsia="Times New Roman"/>
        </w:rPr>
      </w:pPr>
      <w:r>
        <w:rPr>
          <w:rFonts w:eastAsia="Times New Roman"/>
        </w:rPr>
        <w:pict>
          <v:rect id="_x0000_i1037" style="width:0;height:1.5pt" o:hralign="center" o:hrstd="t" o:hr="t" fillcolor="#a0a0a0" stroked="f"/>
        </w:pict>
      </w:r>
    </w:p>
    <w:p w:rsidR="00000000" w:rsidRDefault="0099409C">
      <w:pPr>
        <w:jc w:val="both"/>
        <w:divId w:val="908073835"/>
        <w:rPr>
          <w:rFonts w:eastAsia="Times New Roman"/>
        </w:rPr>
      </w:pPr>
    </w:p>
    <w:p w:rsidR="00000000" w:rsidRDefault="0099409C">
      <w:pPr>
        <w:jc w:val="both"/>
        <w:divId w:val="1196046445"/>
        <w:rPr>
          <w:rFonts w:eastAsia="Times New Roman"/>
        </w:rPr>
      </w:pPr>
      <w:r>
        <w:rPr>
          <w:rFonts w:ascii="Arial" w:eastAsia="Times New Roman" w:hAnsi="Arial" w:cs="Arial"/>
          <w:b/>
          <w:bCs/>
          <w:color w:val="0046AD"/>
          <w:sz w:val="20"/>
          <w:szCs w:val="20"/>
        </w:rPr>
        <w:t>3. ACQUISITIONS AND DISPOSITIONS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966157586"/>
        </w:trPr>
        <w:tc>
          <w:tcPr>
            <w:tcW w:w="5" w:type="pct"/>
            <w:vAlign w:val="center"/>
            <w:hideMark/>
          </w:tcPr>
          <w:p w:rsidR="00000000" w:rsidRDefault="0099409C">
            <w:pPr>
              <w:jc w:val="both"/>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966157586"/>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jc w:val="both"/>
        <w:divId w:val="1389186619"/>
        <w:rPr>
          <w:rFonts w:eastAsia="Times New Roman"/>
        </w:rPr>
      </w:pPr>
      <w:r>
        <w:rPr>
          <w:rFonts w:ascii="Arial" w:eastAsia="Times New Roman" w:hAnsi="Arial" w:cs="Arial"/>
          <w:b/>
          <w:bCs/>
          <w:color w:val="0046AD"/>
          <w:sz w:val="20"/>
          <w:szCs w:val="20"/>
        </w:rPr>
        <w:t>Acquisition of Able</w:t>
      </w:r>
    </w:p>
    <w:p w:rsidR="00000000" w:rsidRDefault="0099409C">
      <w:pPr>
        <w:ind w:firstLine="720"/>
        <w:jc w:val="both"/>
        <w:divId w:val="1335037530"/>
        <w:rPr>
          <w:rFonts w:eastAsia="Times New Roman"/>
        </w:rPr>
      </w:pPr>
      <w:r>
        <w:rPr>
          <w:rFonts w:ascii="Arial" w:eastAsia="Times New Roman" w:hAnsi="Arial" w:cs="Arial"/>
          <w:color w:val="000000"/>
          <w:sz w:val="20"/>
          <w:szCs w:val="20"/>
        </w:rPr>
        <w:t>On September 30, 2021, we acquired Able, a leading facilities services company headquartered in San Francisco, California, for a net cash purchase price of $741.7 million (the “Able Acquisition”). The purchase price was revised during the second quarter of</w:t>
      </w:r>
      <w:r>
        <w:rPr>
          <w:rFonts w:ascii="Arial" w:eastAsia="Times New Roman" w:hAnsi="Arial" w:cs="Arial"/>
          <w:color w:val="000000"/>
          <w:sz w:val="20"/>
          <w:szCs w:val="20"/>
        </w:rPr>
        <w:t xml:space="preserve"> 2022 to reflect a post-close purchase price adjustment related to a net working capital settlement. Pursuant to the terms of the purchase agreement, approximately $12.1 million of the cash consideration was placed into escrow accounts, of which approximat</w:t>
      </w:r>
      <w:r>
        <w:rPr>
          <w:rFonts w:ascii="Arial" w:eastAsia="Times New Roman" w:hAnsi="Arial" w:cs="Arial"/>
          <w:color w:val="000000"/>
          <w:sz w:val="20"/>
          <w:szCs w:val="20"/>
        </w:rPr>
        <w:t xml:space="preserve">ely $8.2 million satisfies any applicable indemnification claims for a period of 12 months. </w:t>
      </w:r>
    </w:p>
    <w:p w:rsidR="00000000" w:rsidRDefault="0099409C">
      <w:pPr>
        <w:jc w:val="both"/>
        <w:divId w:val="202136725"/>
        <w:rPr>
          <w:rFonts w:eastAsia="Times New Roman"/>
        </w:rPr>
      </w:pPr>
      <w:r>
        <w:rPr>
          <w:rFonts w:ascii="Arial" w:eastAsia="Times New Roman" w:hAnsi="Arial" w:cs="Arial"/>
          <w:b/>
          <w:bCs/>
          <w:i/>
          <w:iCs/>
          <w:color w:val="0046AD"/>
          <w:sz w:val="20"/>
          <w:szCs w:val="20"/>
        </w:rPr>
        <w:t>Preliminary Purchase Price Allocation</w:t>
      </w:r>
    </w:p>
    <w:p w:rsidR="00000000" w:rsidRDefault="0099409C">
      <w:pPr>
        <w:ind w:firstLine="720"/>
        <w:jc w:val="both"/>
        <w:divId w:val="1621064715"/>
        <w:rPr>
          <w:rFonts w:eastAsia="Times New Roman"/>
        </w:rPr>
      </w:pPr>
      <w:r>
        <w:rPr>
          <w:rFonts w:ascii="Arial" w:eastAsia="Times New Roman" w:hAnsi="Arial" w:cs="Arial"/>
          <w:color w:val="000000"/>
          <w:sz w:val="20"/>
          <w:szCs w:val="20"/>
        </w:rPr>
        <w:t>Our preliminary purchase price allocation is based on information that is currently available, and we are continuing to evalu</w:t>
      </w:r>
      <w:r>
        <w:rPr>
          <w:rFonts w:ascii="Arial" w:eastAsia="Times New Roman" w:hAnsi="Arial" w:cs="Arial"/>
          <w:color w:val="000000"/>
          <w:sz w:val="20"/>
          <w:szCs w:val="20"/>
        </w:rPr>
        <w:t>ate the underlying inputs and assumptions used in our valuations. Accordingly, the purchase price allocation is subject to, among other items: further analysis of deferred taxes and the final valuation of insurance claims reserves. During the nine months e</w:t>
      </w:r>
      <w:r>
        <w:rPr>
          <w:rFonts w:ascii="Arial" w:eastAsia="Times New Roman" w:hAnsi="Arial" w:cs="Arial"/>
          <w:color w:val="000000"/>
          <w:sz w:val="20"/>
          <w:szCs w:val="20"/>
        </w:rPr>
        <w:t xml:space="preserve">nded July 31, 2022, we adjusted the purchase price allocation for a working capital adjustment, probable litigation losses (as described below), and refined certain other estimates. </w:t>
      </w:r>
    </w:p>
    <w:p w:rsidR="00000000" w:rsidRDefault="0099409C">
      <w:pPr>
        <w:ind w:firstLine="720"/>
        <w:jc w:val="both"/>
        <w:divId w:val="1624922111"/>
        <w:rPr>
          <w:rFonts w:eastAsia="Times New Roman"/>
        </w:rPr>
      </w:pPr>
      <w:r>
        <w:rPr>
          <w:rFonts w:ascii="Arial" w:eastAsia="Times New Roman" w:hAnsi="Arial" w:cs="Arial"/>
          <w:color w:val="000000"/>
          <w:sz w:val="20"/>
          <w:szCs w:val="20"/>
        </w:rPr>
        <w:t xml:space="preserve">The following table summarizes the preliminary acquisition accounting on </w:t>
      </w:r>
      <w:r>
        <w:rPr>
          <w:rFonts w:ascii="Arial" w:eastAsia="Times New Roman" w:hAnsi="Arial" w:cs="Arial"/>
          <w:color w:val="000000"/>
          <w:sz w:val="20"/>
          <w:szCs w:val="20"/>
        </w:rPr>
        <w:t>the date of acquisition as previously reported at year-end 2021 and at the end of the third quarter of 2022:</w:t>
      </w:r>
    </w:p>
    <w:tbl>
      <w:tblPr>
        <w:tblW w:w="5000" w:type="pct"/>
        <w:tblCellMar>
          <w:top w:w="15" w:type="dxa"/>
          <w:left w:w="15" w:type="dxa"/>
          <w:bottom w:w="15" w:type="dxa"/>
          <w:right w:w="15" w:type="dxa"/>
        </w:tblCellMar>
        <w:tblLook w:val="04A0" w:firstRow="1" w:lastRow="0" w:firstColumn="1" w:lastColumn="0" w:noHBand="0" w:noVBand="1"/>
      </w:tblPr>
      <w:tblGrid>
        <w:gridCol w:w="40"/>
        <w:gridCol w:w="3704"/>
        <w:gridCol w:w="38"/>
        <w:gridCol w:w="36"/>
        <w:gridCol w:w="36"/>
        <w:gridCol w:w="36"/>
        <w:gridCol w:w="122"/>
        <w:gridCol w:w="1202"/>
        <w:gridCol w:w="36"/>
        <w:gridCol w:w="36"/>
        <w:gridCol w:w="36"/>
        <w:gridCol w:w="36"/>
        <w:gridCol w:w="122"/>
        <w:gridCol w:w="1262"/>
        <w:gridCol w:w="36"/>
        <w:gridCol w:w="36"/>
        <w:gridCol w:w="36"/>
        <w:gridCol w:w="36"/>
        <w:gridCol w:w="122"/>
        <w:gridCol w:w="1262"/>
        <w:gridCol w:w="36"/>
      </w:tblGrid>
      <w:tr w:rsidR="00000000">
        <w:trPr>
          <w:divId w:val="425342733"/>
        </w:trPr>
        <w:tc>
          <w:tcPr>
            <w:tcW w:w="50" w:type="pct"/>
            <w:vAlign w:val="center"/>
            <w:hideMark/>
          </w:tcPr>
          <w:p w:rsidR="00000000" w:rsidRDefault="0099409C">
            <w:pPr>
              <w:ind w:firstLine="720"/>
              <w:jc w:val="both"/>
              <w:rPr>
                <w:rFonts w:eastAsia="Times New Roman"/>
              </w:rPr>
            </w:pPr>
          </w:p>
        </w:tc>
        <w:tc>
          <w:tcPr>
            <w:tcW w:w="228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80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80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80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425342733"/>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Preliminary Purchase Price Allocation</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Adjustments</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Updated Preliminary Purchase Price Allocation</w:t>
            </w:r>
          </w:p>
        </w:tc>
      </w:tr>
      <w:tr w:rsidR="00000000">
        <w:trPr>
          <w:divId w:val="425342733"/>
        </w:trPr>
        <w:tc>
          <w:tcPr>
            <w:tcW w:w="0" w:type="auto"/>
            <w:gridSpan w:val="3"/>
            <w:vAlign w:val="center"/>
            <w:hideMark/>
          </w:tcPr>
          <w:p w:rsidR="00000000" w:rsidRDefault="0099409C">
            <w:pPr>
              <w:spacing w:after="100"/>
              <w:jc w:val="center"/>
              <w:rPr>
                <w:rFonts w:eastAsia="Times New Roman"/>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425342733"/>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425342733"/>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425342733"/>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425342733"/>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Cash and cash equivalents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31.5 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31.5 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425342733"/>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48311536"/>
              <w:rPr>
                <w:rFonts w:eastAsia="Times New Roman"/>
              </w:rPr>
            </w:pPr>
            <w:r>
              <w:rPr>
                <w:rFonts w:ascii="Arial" w:eastAsia="Times New Roman" w:hAnsi="Arial" w:cs="Arial"/>
                <w:color w:val="000000"/>
                <w:sz w:val="18"/>
                <w:szCs w:val="18"/>
              </w:rPr>
              <w:t>Trade accounts receivabl</w:t>
            </w:r>
            <w:r>
              <w:rPr>
                <w:rFonts w:ascii="Arial" w:eastAsia="Times New Roman" w:hAnsi="Arial" w:cs="Arial"/>
                <w:color w:val="000000"/>
                <w:sz w:val="18"/>
                <w:szCs w:val="18"/>
              </w:rPr>
              <w:t>e</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159.3 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(0.7)</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158.5 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425342733"/>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Other assets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24.9 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(4.4)</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425342733"/>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182256769"/>
              <w:rPr>
                <w:rFonts w:eastAsia="Times New Roman"/>
              </w:rPr>
            </w:pPr>
            <w:r>
              <w:rPr>
                <w:rFonts w:ascii="Arial" w:eastAsia="Times New Roman" w:hAnsi="Arial" w:cs="Arial"/>
                <w:color w:val="000000"/>
                <w:sz w:val="18"/>
                <w:szCs w:val="18"/>
              </w:rPr>
              <w:t>Customer relationship</w:t>
            </w:r>
            <w:r>
              <w:rPr>
                <w:rFonts w:ascii="Arial" w:eastAsia="Times New Roman" w:hAnsi="Arial" w:cs="Arial"/>
                <w:color w:val="000000"/>
                <w:sz w:val="18"/>
                <w:szCs w:val="18"/>
              </w:rPr>
              <w:t>s</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220.0 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220.0 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425342733"/>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divId w:val="1666931559"/>
              <w:rPr>
                <w:rFonts w:eastAsia="Times New Roman"/>
              </w:rPr>
            </w:pPr>
            <w:r>
              <w:rPr>
                <w:rFonts w:ascii="Arial" w:eastAsia="Times New Roman" w:hAnsi="Arial" w:cs="Arial"/>
                <w:color w:val="000000"/>
                <w:sz w:val="18"/>
                <w:szCs w:val="18"/>
              </w:rPr>
              <w:t>Trade name</w:t>
            </w:r>
            <w:r>
              <w:rPr>
                <w:rFonts w:ascii="Arial" w:eastAsia="Times New Roman" w:hAnsi="Arial" w:cs="Arial"/>
                <w:color w:val="000000"/>
                <w:sz w:val="18"/>
                <w:szCs w:val="18"/>
              </w:rPr>
              <w:t>s</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425342733"/>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721565533"/>
              <w:rPr>
                <w:rFonts w:eastAsia="Times New Roman"/>
              </w:rPr>
            </w:pPr>
            <w:r>
              <w:rPr>
                <w:rFonts w:ascii="Arial" w:eastAsia="Times New Roman" w:hAnsi="Arial" w:cs="Arial"/>
                <w:color w:val="000000"/>
                <w:sz w:val="18"/>
                <w:szCs w:val="18"/>
              </w:rPr>
              <w:t>Goodwil</w:t>
            </w:r>
            <w:r>
              <w:rPr>
                <w:rFonts w:ascii="Arial" w:eastAsia="Times New Roman" w:hAnsi="Arial" w:cs="Arial"/>
                <w:color w:val="000000"/>
                <w:sz w:val="18"/>
                <w:szCs w:val="18"/>
              </w:rPr>
              <w:t>l</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554.0 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34.0 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588.0 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425342733"/>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Trade accounts payable</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(27.0)</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(4.1)</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(31.1)</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425342733"/>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Accrued compensation</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(38.2)</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(2.1)</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(40.3)</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425342733"/>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Insurance claims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(91.6)</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(1.1)</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(92.7)</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425342733"/>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(41.7)</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(16.0)</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(57.7)</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425342733"/>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Deferred income tax liability, net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(59.5)</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0.3 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(59.2)</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425342733"/>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Net assets acquired</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741.7 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747.5 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jc w:val="both"/>
        <w:divId w:val="42534273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The gross amount of trade accounts receivable was $160.5 million, of which $1.9 million was deemed uncollectible.</w:t>
      </w:r>
    </w:p>
    <w:p w:rsidR="00000000" w:rsidRDefault="0099409C">
      <w:pPr>
        <w:ind w:hanging="180"/>
        <w:jc w:val="both"/>
        <w:divId w:val="277879467"/>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The amortization periods for the acquired intangible assets are 15 years for customer relationships and two years for trade names.</w:t>
      </w:r>
    </w:p>
    <w:p w:rsidR="00000000" w:rsidRDefault="0099409C">
      <w:pPr>
        <w:ind w:hanging="180"/>
        <w:jc w:val="both"/>
        <w:divId w:val="435910942"/>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Goo</w:t>
      </w:r>
      <w:r>
        <w:rPr>
          <w:rFonts w:ascii="Arial" w:eastAsia="Times New Roman" w:hAnsi="Arial" w:cs="Arial"/>
          <w:color w:val="000000"/>
          <w:sz w:val="18"/>
          <w:szCs w:val="18"/>
        </w:rPr>
        <w:t>dwill is largely attributable to value we expect to obtain from long-term business growth, the established workforce, and buyer-specific synergies. This goodwill is not deductible for income tax purposes.</w:t>
      </w:r>
    </w:p>
    <w:p w:rsidR="00000000" w:rsidRDefault="0099409C">
      <w:pPr>
        <w:ind w:hanging="180"/>
        <w:jc w:val="both"/>
        <w:divId w:val="220874025"/>
        <w:rPr>
          <w:rFonts w:eastAsia="Times New Roman"/>
        </w:rPr>
      </w:pPr>
      <w:r>
        <w:rPr>
          <w:rFonts w:ascii="Arial" w:eastAsia="Times New Roman" w:hAnsi="Arial" w:cs="Arial"/>
          <w:b/>
          <w:bCs/>
          <w:i/>
          <w:iCs/>
          <w:color w:val="0046AD"/>
          <w:sz w:val="20"/>
          <w:szCs w:val="20"/>
        </w:rPr>
        <w:t>Financial Information</w:t>
      </w:r>
    </w:p>
    <w:p w:rsidR="00000000" w:rsidRDefault="0099409C">
      <w:pPr>
        <w:ind w:firstLine="720"/>
        <w:jc w:val="both"/>
        <w:divId w:val="1319387373"/>
        <w:rPr>
          <w:rFonts w:eastAsia="Times New Roman"/>
        </w:rPr>
      </w:pPr>
      <w:r>
        <w:rPr>
          <w:rFonts w:ascii="Arial" w:eastAsia="Times New Roman" w:hAnsi="Arial" w:cs="Arial"/>
          <w:color w:val="000000"/>
          <w:sz w:val="20"/>
          <w:szCs w:val="20"/>
        </w:rPr>
        <w:t>The unaudited Consolidated Statements of Comprehensive Income (Loss) for the three and nine months ended July 31, 2022, include revenue attributable to Able of $286.9 million and $878.4 million, respectively, and operating profit of $9.2 million and $36.0 </w:t>
      </w:r>
      <w:r>
        <w:rPr>
          <w:rFonts w:ascii="Arial" w:eastAsia="Times New Roman" w:hAnsi="Arial" w:cs="Arial"/>
          <w:color w:val="000000"/>
          <w:sz w:val="20"/>
          <w:szCs w:val="20"/>
        </w:rPr>
        <w:t>million, respectively. For the three and nine months ended July 31, 2022, we also incurred acquisition-related and integration costs of $2.0 million and $10.7 million, respectively, which are included in “Selling, general and administrative expenses” in th</w:t>
      </w:r>
      <w:r>
        <w:rPr>
          <w:rFonts w:ascii="Arial" w:eastAsia="Times New Roman" w:hAnsi="Arial" w:cs="Arial"/>
          <w:color w:val="000000"/>
          <w:sz w:val="20"/>
          <w:szCs w:val="20"/>
        </w:rPr>
        <w:t xml:space="preserve">e accompanying unaudited Consolidated Statements of Comprehensive Income (Loss). </w:t>
      </w:r>
    </w:p>
    <w:p w:rsidR="00000000" w:rsidRDefault="0099409C">
      <w:pPr>
        <w:ind w:firstLine="720"/>
        <w:jc w:val="both"/>
        <w:divId w:val="1346788109"/>
        <w:rPr>
          <w:rFonts w:eastAsia="Times New Roman"/>
        </w:rPr>
      </w:pPr>
      <w:r>
        <w:rPr>
          <w:rFonts w:ascii="Arial" w:eastAsia="Times New Roman" w:hAnsi="Arial" w:cs="Arial"/>
          <w:color w:val="000000"/>
          <w:sz w:val="20"/>
          <w:szCs w:val="20"/>
        </w:rPr>
        <w:t>The following table presents our unaudited pro forma results as though the acquisition occurred on November 1, 2020. These results include adjustments for the estimated amort</w:t>
      </w:r>
      <w:r>
        <w:rPr>
          <w:rFonts w:ascii="Arial" w:eastAsia="Times New Roman" w:hAnsi="Arial" w:cs="Arial"/>
          <w:color w:val="000000"/>
          <w:sz w:val="20"/>
          <w:szCs w:val="20"/>
        </w:rPr>
        <w:t xml:space="preserve">ization of intangible assets, interest expense, and the income tax impact of the pro forma adjustments at the statutory rate of 28%. These unaudited pro </w:t>
      </w:r>
    </w:p>
    <w:p w:rsidR="00000000" w:rsidRDefault="0099409C">
      <w:pPr>
        <w:jc w:val="center"/>
        <w:divId w:val="516700907"/>
        <w:rPr>
          <w:rFonts w:eastAsia="Times New Roman"/>
        </w:rPr>
      </w:pPr>
      <w:r>
        <w:rPr>
          <w:rFonts w:ascii="Arial" w:eastAsia="Times New Roman" w:hAnsi="Arial" w:cs="Arial"/>
          <w:color w:val="000000"/>
          <w:sz w:val="20"/>
          <w:szCs w:val="20"/>
        </w:rPr>
        <w:t>9</w:t>
      </w:r>
    </w:p>
    <w:p w:rsidR="00000000" w:rsidRDefault="0099409C">
      <w:pPr>
        <w:rPr>
          <w:rFonts w:eastAsia="Times New Roman"/>
        </w:rPr>
      </w:pPr>
      <w:r>
        <w:rPr>
          <w:rFonts w:eastAsia="Times New Roman"/>
        </w:rPr>
        <w:pict>
          <v:rect id="_x0000_i1038" style="width:0;height:1.5pt" o:hralign="center" o:hrstd="t" o:hr="t" fillcolor="#a0a0a0" stroked="f"/>
        </w:pict>
      </w:r>
    </w:p>
    <w:p w:rsidR="00000000" w:rsidRDefault="0099409C">
      <w:pPr>
        <w:jc w:val="both"/>
        <w:divId w:val="1724594901"/>
        <w:rPr>
          <w:rFonts w:eastAsia="Times New Roman"/>
        </w:rPr>
      </w:pPr>
    </w:p>
    <w:p w:rsidR="00000000" w:rsidRDefault="0099409C">
      <w:pPr>
        <w:jc w:val="both"/>
        <w:divId w:val="1369447372"/>
        <w:rPr>
          <w:rFonts w:eastAsia="Times New Roman"/>
        </w:rPr>
      </w:pPr>
      <w:r>
        <w:rPr>
          <w:rFonts w:ascii="Arial" w:eastAsia="Times New Roman" w:hAnsi="Arial" w:cs="Arial"/>
          <w:color w:val="000000"/>
          <w:sz w:val="20"/>
          <w:szCs w:val="20"/>
        </w:rPr>
        <w:t>forma results do not reflect the cost of integration activitie</w:t>
      </w:r>
      <w:r>
        <w:rPr>
          <w:rFonts w:ascii="Arial" w:eastAsia="Times New Roman" w:hAnsi="Arial" w:cs="Arial"/>
          <w:color w:val="000000"/>
          <w:sz w:val="20"/>
          <w:szCs w:val="20"/>
        </w:rPr>
        <w:t>s or benefits from expected revenue enhancements and synergies.</w:t>
      </w:r>
    </w:p>
    <w:tbl>
      <w:tblPr>
        <w:tblW w:w="5000" w:type="pct"/>
        <w:tblCellMar>
          <w:top w:w="15" w:type="dxa"/>
          <w:left w:w="15" w:type="dxa"/>
          <w:bottom w:w="15" w:type="dxa"/>
          <w:right w:w="15" w:type="dxa"/>
        </w:tblCellMar>
        <w:tblLook w:val="04A0" w:firstRow="1" w:lastRow="0" w:firstColumn="1" w:lastColumn="0" w:noHBand="0" w:noVBand="1"/>
      </w:tblPr>
      <w:tblGrid>
        <w:gridCol w:w="39"/>
        <w:gridCol w:w="4471"/>
        <w:gridCol w:w="38"/>
        <w:gridCol w:w="36"/>
        <w:gridCol w:w="36"/>
        <w:gridCol w:w="36"/>
        <w:gridCol w:w="121"/>
        <w:gridCol w:w="1590"/>
        <w:gridCol w:w="36"/>
        <w:gridCol w:w="36"/>
        <w:gridCol w:w="36"/>
        <w:gridCol w:w="36"/>
        <w:gridCol w:w="121"/>
        <w:gridCol w:w="1638"/>
        <w:gridCol w:w="36"/>
      </w:tblGrid>
      <w:tr w:rsidR="00000000">
        <w:trPr>
          <w:divId w:val="1369447372"/>
        </w:trPr>
        <w:tc>
          <w:tcPr>
            <w:tcW w:w="50" w:type="pct"/>
            <w:vAlign w:val="center"/>
            <w:hideMark/>
          </w:tcPr>
          <w:p w:rsidR="00000000" w:rsidRDefault="0099409C">
            <w:pPr>
              <w:jc w:val="both"/>
              <w:rPr>
                <w:rFonts w:eastAsia="Times New Roman"/>
              </w:rPr>
            </w:pPr>
          </w:p>
        </w:tc>
        <w:tc>
          <w:tcPr>
            <w:tcW w:w="273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10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10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369447372"/>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Three Months Ended July 31, 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Nine Months Ended</w:t>
            </w:r>
            <w:r>
              <w:rPr>
                <w:rFonts w:ascii="Arial" w:eastAsia="Times New Roman" w:hAnsi="Arial" w:cs="Arial"/>
                <w:b/>
                <w:bCs/>
                <w:color w:val="000000"/>
                <w:sz w:val="18"/>
                <w:szCs w:val="18"/>
              </w:rPr>
              <w:br/>
              <w:t>July 31, 2021</w:t>
            </w:r>
          </w:p>
        </w:tc>
      </w:tr>
      <w:tr w:rsidR="00000000">
        <w:trPr>
          <w:divId w:val="1369447372"/>
        </w:trPr>
        <w:tc>
          <w:tcPr>
            <w:tcW w:w="0" w:type="auto"/>
            <w:gridSpan w:val="3"/>
            <w:shd w:val="clear" w:color="auto" w:fill="DCE2EF"/>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Pro forma revenue</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1,810.7 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5,338.4 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369447372"/>
        </w:trPr>
        <w:tc>
          <w:tcPr>
            <w:tcW w:w="0" w:type="auto"/>
            <w:gridSpan w:val="3"/>
            <w:tcMar>
              <w:top w:w="30" w:type="dxa"/>
              <w:left w:w="20" w:type="dxa"/>
              <w:bottom w:w="30" w:type="dxa"/>
              <w:right w:w="20" w:type="dxa"/>
            </w:tcMar>
            <w:hideMark/>
          </w:tcPr>
          <w:p w:rsidR="00000000" w:rsidRDefault="0099409C">
            <w:pPr>
              <w:spacing w:after="100"/>
              <w:divId w:val="542062329"/>
              <w:rPr>
                <w:rFonts w:eastAsia="Times New Roman"/>
              </w:rPr>
            </w:pPr>
            <w:r>
              <w:rPr>
                <w:rFonts w:ascii="Arial" w:eastAsia="Times New Roman" w:hAnsi="Arial" w:cs="Arial"/>
                <w:color w:val="000000"/>
                <w:sz w:val="18"/>
                <w:szCs w:val="18"/>
              </w:rPr>
              <w:t>Pro forma (loss) income from operation</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(12.9)</w:t>
            </w:r>
          </w:p>
        </w:tc>
        <w:tc>
          <w:tcPr>
            <w:tcW w:w="0" w:type="auto"/>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94.4 </w:t>
            </w:r>
          </w:p>
        </w:tc>
        <w:tc>
          <w:tcPr>
            <w:tcW w:w="0" w:type="auto"/>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ind w:hanging="180"/>
        <w:jc w:val="both"/>
        <w:divId w:val="2104035391"/>
        <w:rPr>
          <w:rFonts w:eastAsia="Times New Roman"/>
        </w:rPr>
      </w:pPr>
      <w:r>
        <w:rPr>
          <w:rFonts w:ascii="Arial" w:eastAsia="Times New Roman" w:hAnsi="Arial" w:cs="Arial"/>
          <w:b/>
          <w:bCs/>
          <w:i/>
          <w:iCs/>
          <w:color w:val="000000"/>
          <w:sz w:val="12"/>
          <w:szCs w:val="12"/>
        </w:rPr>
        <w:t>(1)</w:t>
      </w:r>
      <w:r>
        <w:rPr>
          <w:rFonts w:ascii="Arial" w:eastAsia="Times New Roman" w:hAnsi="Arial" w:cs="Arial"/>
          <w:b/>
          <w:bCs/>
          <w:i/>
          <w:iCs/>
          <w:color w:val="000000"/>
          <w:sz w:val="12"/>
          <w:szCs w:val="12"/>
        </w:rPr>
        <w:t xml:space="preserve"> </w:t>
      </w:r>
      <w:r>
        <w:rPr>
          <w:rFonts w:ascii="Arial" w:eastAsia="Times New Roman" w:hAnsi="Arial" w:cs="Arial"/>
          <w:color w:val="000000"/>
          <w:sz w:val="18"/>
          <w:szCs w:val="18"/>
        </w:rPr>
        <w:t>These results were adjusted to exclude $2.5 </w:t>
      </w:r>
      <w:r>
        <w:rPr>
          <w:rFonts w:ascii="Arial" w:eastAsia="Times New Roman" w:hAnsi="Arial" w:cs="Arial"/>
          <w:color w:val="000000"/>
          <w:sz w:val="18"/>
          <w:szCs w:val="18"/>
        </w:rPr>
        <w:t>million of acquisition-related costs incurred during the three and nine months ended July 31, 2021, which are included in “Selling, general and administrative expenses” in the accompanying Consolidated Statements of Comprehensive Income (Loss).</w:t>
      </w:r>
      <w:r>
        <w:rPr>
          <w:rFonts w:ascii="Arial" w:eastAsia="Times New Roman" w:hAnsi="Arial" w:cs="Arial"/>
          <w:color w:val="000000"/>
          <w:sz w:val="20"/>
          <w:szCs w:val="20"/>
        </w:rPr>
        <w:t xml:space="preserve"> </w:t>
      </w:r>
    </w:p>
    <w:p w:rsidR="00000000" w:rsidRDefault="0099409C">
      <w:pPr>
        <w:ind w:hanging="180"/>
        <w:jc w:val="both"/>
        <w:divId w:val="1496408830"/>
        <w:rPr>
          <w:rFonts w:eastAsia="Times New Roman"/>
        </w:rPr>
      </w:pPr>
      <w:r>
        <w:rPr>
          <w:rFonts w:ascii="Arial" w:eastAsia="Times New Roman" w:hAnsi="Arial" w:cs="Arial"/>
          <w:b/>
          <w:bCs/>
          <w:i/>
          <w:iCs/>
          <w:color w:val="0046AD"/>
          <w:sz w:val="20"/>
          <w:szCs w:val="20"/>
        </w:rPr>
        <w:t>Legal Matt</w:t>
      </w:r>
      <w:r>
        <w:rPr>
          <w:rFonts w:ascii="Arial" w:eastAsia="Times New Roman" w:hAnsi="Arial" w:cs="Arial"/>
          <w:b/>
          <w:bCs/>
          <w:i/>
          <w:iCs/>
          <w:color w:val="0046AD"/>
          <w:sz w:val="20"/>
          <w:szCs w:val="20"/>
        </w:rPr>
        <w:t>ers Related to Legacy Able</w:t>
      </w:r>
    </w:p>
    <w:p w:rsidR="00000000" w:rsidRDefault="0099409C">
      <w:pPr>
        <w:ind w:firstLine="720"/>
        <w:jc w:val="both"/>
        <w:divId w:val="1344287132"/>
        <w:rPr>
          <w:rFonts w:eastAsia="Times New Roman"/>
        </w:rPr>
      </w:pPr>
      <w:r>
        <w:rPr>
          <w:rFonts w:ascii="Arial" w:eastAsia="Times New Roman" w:hAnsi="Arial" w:cs="Arial"/>
          <w:color w:val="000000"/>
          <w:sz w:val="20"/>
          <w:szCs w:val="20"/>
        </w:rPr>
        <w:t>Able is a party to a number of lawsuits, claims, and proceedings incident to the operation of the business, including those pertaining to labor and employment, contracts, personal injury, and other matters, some of which allege s</w:t>
      </w:r>
      <w:r>
        <w:rPr>
          <w:rFonts w:ascii="Arial" w:eastAsia="Times New Roman" w:hAnsi="Arial" w:cs="Arial"/>
          <w:color w:val="000000"/>
          <w:sz w:val="20"/>
          <w:szCs w:val="20"/>
        </w:rPr>
        <w:t xml:space="preserve">ubstantial monetary damages. Some of these actions may be brought as class actions on behalf of a class or purported class of employees. </w:t>
      </w:r>
    </w:p>
    <w:p w:rsidR="00000000" w:rsidRDefault="0099409C">
      <w:pPr>
        <w:ind w:firstLine="720"/>
        <w:jc w:val="both"/>
        <w:divId w:val="1435173676"/>
        <w:rPr>
          <w:rFonts w:eastAsia="Times New Roman"/>
        </w:rPr>
      </w:pPr>
      <w:r>
        <w:rPr>
          <w:rFonts w:ascii="Arial" w:eastAsia="Times New Roman" w:hAnsi="Arial" w:cs="Arial"/>
          <w:color w:val="000000"/>
          <w:sz w:val="20"/>
          <w:szCs w:val="20"/>
        </w:rPr>
        <w:t>If, during the purchase price allocation period, we can reasonably determine the fair values of a pre-acquisition cont</w:t>
      </w:r>
      <w:r>
        <w:rPr>
          <w:rFonts w:ascii="Arial" w:eastAsia="Times New Roman" w:hAnsi="Arial" w:cs="Arial"/>
          <w:color w:val="000000"/>
          <w:sz w:val="20"/>
          <w:szCs w:val="20"/>
        </w:rPr>
        <w:t>ingency, then we will include that amount in the purchase price allocation. Any adjustment to amounts recorded for a pre-acquisition contingency subsequent to the end of the measurement period will be included within “Selling, general and administrative ex</w:t>
      </w:r>
      <w:r>
        <w:rPr>
          <w:rFonts w:ascii="Arial" w:eastAsia="Times New Roman" w:hAnsi="Arial" w:cs="Arial"/>
          <w:color w:val="000000"/>
          <w:sz w:val="20"/>
          <w:szCs w:val="20"/>
        </w:rPr>
        <w:t>penses” in the period in which the adjustment is determined.</w:t>
      </w:r>
    </w:p>
    <w:p w:rsidR="00000000" w:rsidRDefault="0099409C">
      <w:pPr>
        <w:ind w:firstLine="720"/>
        <w:jc w:val="both"/>
        <w:divId w:val="674914794"/>
        <w:rPr>
          <w:rFonts w:eastAsia="Times New Roman"/>
        </w:rPr>
      </w:pPr>
      <w:r>
        <w:rPr>
          <w:rFonts w:ascii="Arial" w:eastAsia="Times New Roman" w:hAnsi="Arial" w:cs="Arial"/>
          <w:color w:val="000000"/>
          <w:sz w:val="20"/>
          <w:szCs w:val="20"/>
        </w:rPr>
        <w:t>During the nine months ended July 31, 2022, we adjusted our purchase price allocation for probable litigation losses in Able legal matters where a reasonable estimate of the loss could be made fr</w:t>
      </w:r>
      <w:r>
        <w:rPr>
          <w:rFonts w:ascii="Arial" w:eastAsia="Times New Roman" w:hAnsi="Arial" w:cs="Arial"/>
          <w:color w:val="000000"/>
          <w:sz w:val="20"/>
          <w:szCs w:val="20"/>
        </w:rPr>
        <w:t>om $0.9 million to $19.3 million. We do not accrue for contingent losses that, in our judgment, are considered to be reasonably possible but not probable. The estimation of reasonably possible losses also requires the analysis of multiple possible outcomes</w:t>
      </w:r>
      <w:r>
        <w:rPr>
          <w:rFonts w:ascii="Arial" w:eastAsia="Times New Roman" w:hAnsi="Arial" w:cs="Arial"/>
          <w:color w:val="000000"/>
          <w:sz w:val="20"/>
          <w:szCs w:val="20"/>
        </w:rPr>
        <w:t xml:space="preserve"> that often depend on judgments about potential actions by third parties. Our management currently estimates the range of loss for all reasonably possible losses for which a reasonable estimate of the loss can be made for Able legal matters is between zero</w:t>
      </w:r>
      <w:r>
        <w:rPr>
          <w:rFonts w:ascii="Arial" w:eastAsia="Times New Roman" w:hAnsi="Arial" w:cs="Arial"/>
          <w:color w:val="000000"/>
          <w:sz w:val="20"/>
          <w:szCs w:val="20"/>
        </w:rPr>
        <w:t xml:space="preserve"> and $1.6 million. In some cases, although a loss is probable or reasonably possible, we cannot reasonably estimate the maximum potential losses for probable matters or the range of losses for reasonably possible matters. Therefore, our accrual for probabl</w:t>
      </w:r>
      <w:r>
        <w:rPr>
          <w:rFonts w:ascii="Arial" w:eastAsia="Times New Roman" w:hAnsi="Arial" w:cs="Arial"/>
          <w:color w:val="000000"/>
          <w:sz w:val="20"/>
          <w:szCs w:val="20"/>
        </w:rPr>
        <w:t>e losses and our estimated range of loss for reasonably possible losses do not represent our maximum possible exposure.</w:t>
      </w:r>
    </w:p>
    <w:p w:rsidR="00000000" w:rsidRDefault="0099409C">
      <w:pPr>
        <w:jc w:val="both"/>
        <w:divId w:val="86005591"/>
        <w:rPr>
          <w:rFonts w:eastAsia="Times New Roman"/>
        </w:rPr>
      </w:pPr>
      <w:r>
        <w:rPr>
          <w:rFonts w:ascii="Arial" w:eastAsia="Times New Roman" w:hAnsi="Arial" w:cs="Arial"/>
          <w:b/>
          <w:bCs/>
          <w:color w:val="0046AD"/>
          <w:sz w:val="20"/>
          <w:szCs w:val="20"/>
        </w:rPr>
        <w:t>Acquisition of Momentum</w:t>
      </w:r>
    </w:p>
    <w:p w:rsidR="00000000" w:rsidRDefault="0099409C">
      <w:pPr>
        <w:ind w:firstLine="720"/>
        <w:jc w:val="both"/>
        <w:divId w:val="1413433903"/>
        <w:rPr>
          <w:rFonts w:eastAsia="Times New Roman"/>
        </w:rPr>
      </w:pPr>
      <w:r>
        <w:rPr>
          <w:rFonts w:ascii="Arial" w:eastAsia="Times New Roman" w:hAnsi="Arial" w:cs="Arial"/>
          <w:color w:val="000000"/>
          <w:sz w:val="20"/>
          <w:szCs w:val="20"/>
        </w:rPr>
        <w:t>Effective April 7, 2022, we acquired Maybin Support Services Limited, Momentum Support Limited (UK), and Momentu</w:t>
      </w:r>
      <w:r>
        <w:rPr>
          <w:rFonts w:ascii="Arial" w:eastAsia="Times New Roman" w:hAnsi="Arial" w:cs="Arial"/>
          <w:color w:val="000000"/>
          <w:sz w:val="20"/>
          <w:szCs w:val="20"/>
        </w:rPr>
        <w:t>m Property Support Services Limited (collectively “Momentum”), a leading independent provider of facility services, primarily janitorial, across the Republic of Ireland and Northern Ireland, for a purchase price of approximately $54.8 million. The acquisit</w:t>
      </w:r>
      <w:r>
        <w:rPr>
          <w:rFonts w:ascii="Arial" w:eastAsia="Times New Roman" w:hAnsi="Arial" w:cs="Arial"/>
          <w:color w:val="000000"/>
          <w:sz w:val="20"/>
          <w:szCs w:val="20"/>
        </w:rPr>
        <w:t>ion was accounted for under the acquisition method</w:t>
      </w:r>
      <w:r>
        <w:rPr>
          <w:rFonts w:ascii="Calibri" w:eastAsia="Times New Roman" w:hAnsi="Calibri" w:cs="Calibri"/>
          <w:color w:val="000000"/>
          <w:sz w:val="22"/>
          <w:szCs w:val="22"/>
        </w:rPr>
        <w:t xml:space="preserve">. </w:t>
      </w:r>
      <w:r>
        <w:rPr>
          <w:rFonts w:ascii="Arial" w:eastAsia="Times New Roman" w:hAnsi="Arial" w:cs="Arial"/>
          <w:color w:val="000000"/>
          <w:sz w:val="20"/>
          <w:szCs w:val="20"/>
        </w:rPr>
        <w:t>Accordingly, the assets acquired and liabilities assumed were recognized on the date of acquisition at their estimated fair values, with the excess of the purchase price recorded as goodwill, which is not</w:t>
      </w:r>
      <w:r>
        <w:rPr>
          <w:rFonts w:ascii="Arial" w:eastAsia="Times New Roman" w:hAnsi="Arial" w:cs="Arial"/>
          <w:color w:val="000000"/>
          <w:sz w:val="20"/>
          <w:szCs w:val="20"/>
        </w:rPr>
        <w:t xml:space="preserve"> deductible for income tax purposes. As of July 31, 2022, we recorded preliminary goodwill and intangibles of $41.6 million and $10.4 million, respectively. The purchase price allocation is subject to adjustments within the measurement period not to exceed</w:t>
      </w:r>
      <w:r>
        <w:rPr>
          <w:rFonts w:ascii="Arial" w:eastAsia="Times New Roman" w:hAnsi="Arial" w:cs="Arial"/>
          <w:color w:val="000000"/>
          <w:sz w:val="20"/>
          <w:szCs w:val="20"/>
        </w:rPr>
        <w:t xml:space="preserve"> one year from the acquisition date. </w:t>
      </w:r>
    </w:p>
    <w:p w:rsidR="00000000" w:rsidRDefault="0099409C">
      <w:pPr>
        <w:ind w:firstLine="720"/>
        <w:jc w:val="both"/>
        <w:divId w:val="2055960459"/>
        <w:rPr>
          <w:rFonts w:eastAsia="Times New Roman"/>
        </w:rPr>
      </w:pPr>
      <w:r>
        <w:rPr>
          <w:rFonts w:ascii="Arial" w:eastAsia="Times New Roman" w:hAnsi="Arial" w:cs="Arial"/>
          <w:color w:val="000000"/>
          <w:sz w:val="20"/>
          <w:szCs w:val="20"/>
        </w:rPr>
        <w:t>The unaudited Consolidated Statements of Comprehensive Income (Loss) for the three and nine months ended July 31, 2022, include revenues attributable to Momentum of $17.9 million and $22.8 million, respectively, and op</w:t>
      </w:r>
      <w:r>
        <w:rPr>
          <w:rFonts w:ascii="Arial" w:eastAsia="Times New Roman" w:hAnsi="Arial" w:cs="Arial"/>
          <w:color w:val="000000"/>
          <w:sz w:val="20"/>
          <w:szCs w:val="20"/>
        </w:rPr>
        <w:t>erating profit of $1.1 million and $1.4 million, respectively.</w:t>
      </w:r>
    </w:p>
    <w:p w:rsidR="00000000" w:rsidRDefault="0099409C">
      <w:pPr>
        <w:jc w:val="both"/>
        <w:divId w:val="1096175915"/>
        <w:rPr>
          <w:rFonts w:eastAsia="Times New Roman"/>
        </w:rPr>
      </w:pPr>
      <w:r>
        <w:rPr>
          <w:rFonts w:ascii="Arial" w:eastAsia="Times New Roman" w:hAnsi="Arial" w:cs="Arial"/>
          <w:b/>
          <w:bCs/>
          <w:color w:val="0046AD"/>
          <w:sz w:val="20"/>
          <w:szCs w:val="20"/>
        </w:rPr>
        <w:t>Disposition of Assets</w:t>
      </w:r>
    </w:p>
    <w:p w:rsidR="00000000" w:rsidRDefault="0099409C">
      <w:pPr>
        <w:ind w:firstLine="720"/>
        <w:jc w:val="both"/>
        <w:divId w:val="204408336"/>
        <w:rPr>
          <w:rFonts w:eastAsia="Times New Roman"/>
        </w:rPr>
      </w:pPr>
      <w:r>
        <w:rPr>
          <w:rFonts w:ascii="Arial" w:eastAsia="Times New Roman" w:hAnsi="Arial" w:cs="Arial"/>
          <w:color w:val="000000"/>
          <w:sz w:val="20"/>
          <w:szCs w:val="20"/>
        </w:rPr>
        <w:t>On January 31, 2022, the Company sold a group of customer contracts for healthcare technology management within our Technical Solutions segment for $8.5 million and recognized a gain of $7.6 million during the nine months ended July 31, 2022, which is incl</w:t>
      </w:r>
      <w:r>
        <w:rPr>
          <w:rFonts w:ascii="Arial" w:eastAsia="Times New Roman" w:hAnsi="Arial" w:cs="Arial"/>
          <w:color w:val="000000"/>
          <w:sz w:val="20"/>
          <w:szCs w:val="20"/>
        </w:rPr>
        <w:t>uded in “Selling, general and administrative expenses” in the accompanying unaudited Consolidated Statements of Comprehensive Income (Loss).</w:t>
      </w:r>
    </w:p>
    <w:p w:rsidR="00000000" w:rsidRDefault="0099409C">
      <w:pPr>
        <w:jc w:val="center"/>
        <w:divId w:val="669647387"/>
        <w:rPr>
          <w:rFonts w:eastAsia="Times New Roman"/>
        </w:rPr>
      </w:pPr>
      <w:r>
        <w:rPr>
          <w:rFonts w:ascii="Arial" w:eastAsia="Times New Roman" w:hAnsi="Arial" w:cs="Arial"/>
          <w:color w:val="000000"/>
          <w:sz w:val="20"/>
          <w:szCs w:val="20"/>
        </w:rPr>
        <w:t>10</w:t>
      </w:r>
    </w:p>
    <w:p w:rsidR="00000000" w:rsidRDefault="0099409C">
      <w:pPr>
        <w:rPr>
          <w:rFonts w:eastAsia="Times New Roman"/>
        </w:rPr>
      </w:pPr>
      <w:r>
        <w:rPr>
          <w:rFonts w:eastAsia="Times New Roman"/>
        </w:rPr>
        <w:pict>
          <v:rect id="_x0000_i1039" style="width:0;height:1.5pt" o:hralign="center" o:hrstd="t" o:hr="t" fillcolor="#a0a0a0" stroked="f"/>
        </w:pict>
      </w:r>
    </w:p>
    <w:p w:rsidR="00000000" w:rsidRDefault="0099409C">
      <w:pPr>
        <w:jc w:val="both"/>
        <w:divId w:val="2099446001"/>
        <w:rPr>
          <w:rFonts w:eastAsia="Times New Roman"/>
        </w:rPr>
      </w:pPr>
    </w:p>
    <w:p w:rsidR="00000000" w:rsidRDefault="0099409C">
      <w:pPr>
        <w:divId w:val="1857648699"/>
        <w:rPr>
          <w:rFonts w:eastAsia="Times New Roman"/>
        </w:rPr>
      </w:pPr>
      <w:r>
        <w:rPr>
          <w:rFonts w:ascii="Arial" w:eastAsia="Times New Roman" w:hAnsi="Arial" w:cs="Arial"/>
          <w:b/>
          <w:bCs/>
          <w:color w:val="0046AD"/>
          <w:sz w:val="20"/>
          <w:szCs w:val="20"/>
        </w:rPr>
        <w:t>4. REVENUES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282730827"/>
        </w:trPr>
        <w:tc>
          <w:tcPr>
            <w:tcW w:w="5" w:type="pct"/>
            <w:vAlign w:val="center"/>
            <w:hideMark/>
          </w:tcPr>
          <w:p w:rsidR="00000000" w:rsidRDefault="0099409C">
            <w:pPr>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282730827"/>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divId w:val="1576009984"/>
        <w:rPr>
          <w:rFonts w:eastAsia="Times New Roman"/>
        </w:rPr>
      </w:pPr>
      <w:r>
        <w:rPr>
          <w:rFonts w:ascii="Arial" w:eastAsia="Times New Roman" w:hAnsi="Arial" w:cs="Arial"/>
          <w:b/>
          <w:bCs/>
          <w:color w:val="0046AD"/>
          <w:sz w:val="20"/>
          <w:szCs w:val="20"/>
        </w:rPr>
        <w:t>Disaggregation of Revenues</w:t>
      </w:r>
    </w:p>
    <w:p w:rsidR="00000000" w:rsidRDefault="0099409C">
      <w:pPr>
        <w:ind w:firstLine="720"/>
        <w:jc w:val="both"/>
        <w:divId w:val="1378503913"/>
        <w:rPr>
          <w:rFonts w:eastAsia="Times New Roman"/>
        </w:rPr>
      </w:pPr>
      <w:r>
        <w:rPr>
          <w:rFonts w:ascii="Arial" w:eastAsia="Times New Roman" w:hAnsi="Arial" w:cs="Arial"/>
          <w:color w:val="000000"/>
          <w:sz w:val="20"/>
          <w:szCs w:val="20"/>
        </w:rPr>
        <w:t>We generate revenues under several types of contracts, which are further explained below. Generally, the type of contract is determined by the nature of the services provided by each of our major service lines throughout our repo</w:t>
      </w:r>
      <w:r>
        <w:rPr>
          <w:rFonts w:ascii="Arial" w:eastAsia="Times New Roman" w:hAnsi="Arial" w:cs="Arial"/>
          <w:color w:val="000000"/>
          <w:sz w:val="20"/>
          <w:szCs w:val="20"/>
        </w:rPr>
        <w:t xml:space="preserve">rtable segments; therefore, we disaggregate revenues from contracts with customers into major service lines. We have determined that disaggregating revenues into these categories best depicts how the nature, amount, timing, and uncertainty of revenues and </w:t>
      </w:r>
      <w:r>
        <w:rPr>
          <w:rFonts w:ascii="Arial" w:eastAsia="Times New Roman" w:hAnsi="Arial" w:cs="Arial"/>
          <w:color w:val="000000"/>
          <w:sz w:val="20"/>
          <w:szCs w:val="20"/>
        </w:rPr>
        <w:t>cash flows are affected by economic factors. Our reportable segments are B&amp;I, M&amp;D, Education, Aviation, and Technical Solutions, as described in Note 12, “Segment Information.”</w:t>
      </w:r>
    </w:p>
    <w:tbl>
      <w:tblPr>
        <w:tblW w:w="5000" w:type="pct"/>
        <w:tblCellMar>
          <w:top w:w="15" w:type="dxa"/>
          <w:left w:w="15" w:type="dxa"/>
          <w:bottom w:w="15" w:type="dxa"/>
          <w:right w:w="15" w:type="dxa"/>
        </w:tblCellMar>
        <w:tblLook w:val="04A0" w:firstRow="1" w:lastRow="0" w:firstColumn="1" w:lastColumn="0" w:noHBand="0" w:noVBand="1"/>
      </w:tblPr>
      <w:tblGrid>
        <w:gridCol w:w="79"/>
        <w:gridCol w:w="678"/>
        <w:gridCol w:w="37"/>
        <w:gridCol w:w="36"/>
        <w:gridCol w:w="36"/>
        <w:gridCol w:w="36"/>
        <w:gridCol w:w="104"/>
        <w:gridCol w:w="543"/>
        <w:gridCol w:w="36"/>
        <w:gridCol w:w="36"/>
        <w:gridCol w:w="36"/>
        <w:gridCol w:w="36"/>
        <w:gridCol w:w="104"/>
        <w:gridCol w:w="418"/>
        <w:gridCol w:w="36"/>
        <w:gridCol w:w="36"/>
        <w:gridCol w:w="36"/>
        <w:gridCol w:w="36"/>
        <w:gridCol w:w="105"/>
        <w:gridCol w:w="661"/>
        <w:gridCol w:w="36"/>
        <w:gridCol w:w="36"/>
        <w:gridCol w:w="36"/>
        <w:gridCol w:w="36"/>
        <w:gridCol w:w="105"/>
        <w:gridCol w:w="530"/>
        <w:gridCol w:w="36"/>
        <w:gridCol w:w="36"/>
        <w:gridCol w:w="36"/>
        <w:gridCol w:w="36"/>
        <w:gridCol w:w="105"/>
        <w:gridCol w:w="631"/>
        <w:gridCol w:w="36"/>
        <w:gridCol w:w="36"/>
        <w:gridCol w:w="36"/>
        <w:gridCol w:w="36"/>
        <w:gridCol w:w="104"/>
        <w:gridCol w:w="543"/>
        <w:gridCol w:w="36"/>
        <w:gridCol w:w="36"/>
        <w:gridCol w:w="36"/>
        <w:gridCol w:w="36"/>
        <w:gridCol w:w="104"/>
        <w:gridCol w:w="543"/>
        <w:gridCol w:w="36"/>
        <w:gridCol w:w="36"/>
        <w:gridCol w:w="36"/>
        <w:gridCol w:w="36"/>
        <w:gridCol w:w="104"/>
        <w:gridCol w:w="543"/>
        <w:gridCol w:w="36"/>
        <w:gridCol w:w="36"/>
        <w:gridCol w:w="36"/>
        <w:gridCol w:w="36"/>
        <w:gridCol w:w="105"/>
        <w:gridCol w:w="661"/>
        <w:gridCol w:w="36"/>
        <w:gridCol w:w="36"/>
        <w:gridCol w:w="36"/>
        <w:gridCol w:w="36"/>
        <w:gridCol w:w="105"/>
        <w:gridCol w:w="538"/>
        <w:gridCol w:w="1147"/>
      </w:tblGrid>
      <w:tr w:rsidR="00000000">
        <w:trPr>
          <w:divId w:val="2081364899"/>
        </w:trPr>
        <w:tc>
          <w:tcPr>
            <w:tcW w:w="50" w:type="pct"/>
            <w:vAlign w:val="center"/>
            <w:hideMark/>
          </w:tcPr>
          <w:p w:rsidR="00000000" w:rsidRDefault="0099409C">
            <w:pPr>
              <w:ind w:firstLine="720"/>
              <w:jc w:val="both"/>
              <w:rPr>
                <w:rFonts w:eastAsia="Times New Roman"/>
              </w:rPr>
            </w:pPr>
          </w:p>
        </w:tc>
        <w:tc>
          <w:tcPr>
            <w:tcW w:w="43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73"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1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34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8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34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5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5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5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34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8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2081364899"/>
        </w:trPr>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Three Months Ended July 31, 2022</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20"/>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Nine Months Ended July 31, 2022</w:t>
            </w:r>
          </w:p>
        </w:tc>
        <w:tc>
          <w:tcPr>
            <w:tcW w:w="0" w:type="auto"/>
            <w:vAlign w:val="center"/>
            <w:hideMark/>
          </w:tcPr>
          <w:p w:rsidR="00000000" w:rsidRDefault="0099409C">
            <w:pPr>
              <w:spacing w:after="100"/>
              <w:rPr>
                <w:rFonts w:eastAsia="Times New Roman"/>
                <w:sz w:val="20"/>
                <w:szCs w:val="20"/>
              </w:rPr>
            </w:pPr>
          </w:p>
        </w:tc>
      </w:tr>
      <w:tr w:rsidR="00000000">
        <w:trPr>
          <w:divId w:val="2081364899"/>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M&amp;D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Aviation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Total</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M&amp;D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2"/>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Aviation</w:t>
            </w:r>
          </w:p>
        </w:tc>
        <w:tc>
          <w:tcPr>
            <w:tcW w:w="0" w:type="auto"/>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SolutionsTotal</w:t>
            </w:r>
          </w:p>
        </w:tc>
      </w:tr>
      <w:tr w:rsidR="00000000">
        <w:trPr>
          <w:divId w:val="2081364899"/>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2"/>
            <w:vAlign w:val="center"/>
            <w:hideMark/>
          </w:tcPr>
          <w:p w:rsidR="00000000" w:rsidRDefault="0099409C">
            <w:pPr>
              <w:spacing w:after="100"/>
              <w:rPr>
                <w:rFonts w:eastAsia="Times New Roman"/>
                <w:sz w:val="20"/>
                <w:szCs w:val="20"/>
              </w:rPr>
            </w:pPr>
          </w:p>
        </w:tc>
        <w:tc>
          <w:tcPr>
            <w:tcW w:w="0" w:type="auto"/>
            <w:vAlign w:val="center"/>
            <w:hideMark/>
          </w:tcPr>
          <w:p w:rsidR="00000000" w:rsidRDefault="0099409C">
            <w:pPr>
              <w:spacing w:after="100"/>
              <w:rPr>
                <w:rFonts w:eastAsia="Times New Roman"/>
                <w:sz w:val="20"/>
                <w:szCs w:val="20"/>
              </w:rPr>
            </w:pPr>
          </w:p>
        </w:tc>
      </w:tr>
      <w:tr w:rsidR="00000000">
        <w:trPr>
          <w:divId w:val="2081364899"/>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5"/>
                <w:szCs w:val="15"/>
              </w:rPr>
              <w:t>Major Service Line</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99409C">
        <w:trPr>
          <w:divId w:val="2081364899"/>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890068747"/>
              <w:rPr>
                <w:rFonts w:eastAsia="Times New Roman"/>
              </w:rPr>
            </w:pPr>
            <w:r>
              <w:rPr>
                <w:rFonts w:ascii="Arial" w:eastAsia="Times New Roman" w:hAnsi="Arial" w:cs="Arial"/>
                <w:color w:val="000000"/>
                <w:sz w:val="15"/>
                <w:szCs w:val="15"/>
              </w:rPr>
              <w:t>Janitoria</w:t>
            </w:r>
            <w:r>
              <w:rPr>
                <w:rFonts w:ascii="Arial" w:eastAsia="Times New Roman" w:hAnsi="Arial" w:cs="Arial"/>
                <w:color w:val="000000"/>
                <w:sz w:val="15"/>
                <w:szCs w:val="15"/>
              </w:rPr>
              <w:t>l</w:t>
            </w:r>
            <w:r>
              <w:rPr>
                <w:rFonts w:ascii="Arial" w:eastAsia="Times New Roman" w:hAnsi="Arial" w:cs="Arial"/>
                <w:color w:val="000000"/>
                <w:sz w:val="10"/>
                <w:szCs w:val="10"/>
              </w:rPr>
              <w:t>(1</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696.2 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311.0 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178.4 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27.5 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1,213.1 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2,050.7 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922.3 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534.7 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83.8 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$3,591.5 </w:t>
            </w:r>
          </w:p>
        </w:tc>
      </w:tr>
      <w:tr w:rsidR="0099409C">
        <w:trPr>
          <w:divId w:val="2081364899"/>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divId w:val="1108819526"/>
              <w:rPr>
                <w:rFonts w:eastAsia="Times New Roman"/>
              </w:rPr>
            </w:pPr>
            <w:r>
              <w:rPr>
                <w:rFonts w:ascii="Arial" w:eastAsia="Times New Roman" w:hAnsi="Arial" w:cs="Arial"/>
                <w:color w:val="000000"/>
                <w:sz w:val="15"/>
                <w:szCs w:val="15"/>
              </w:rPr>
              <w:t>Parkin</w:t>
            </w:r>
            <w:r>
              <w:rPr>
                <w:rFonts w:ascii="Arial" w:eastAsia="Times New Roman" w:hAnsi="Arial" w:cs="Arial"/>
                <w:color w:val="000000"/>
                <w:sz w:val="15"/>
                <w:szCs w:val="15"/>
              </w:rPr>
              <w:t>g</w:t>
            </w:r>
            <w:r>
              <w:rPr>
                <w:rFonts w:ascii="Arial" w:eastAsia="Times New Roman" w:hAnsi="Arial" w:cs="Arial"/>
                <w:color w:val="000000"/>
                <w:sz w:val="10"/>
                <w:szCs w:val="10"/>
              </w:rPr>
              <w:t>(2</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91.1 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8.4 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0.1 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82.4 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182.0 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259.5 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27.9 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0.6 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237.2 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525.2 </w:t>
            </w:r>
          </w:p>
        </w:tc>
      </w:tr>
      <w:tr w:rsidR="0099409C">
        <w:trPr>
          <w:divId w:val="2081364899"/>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506867089"/>
              <w:rPr>
                <w:rFonts w:eastAsia="Times New Roman"/>
              </w:rPr>
            </w:pPr>
            <w:r>
              <w:rPr>
                <w:rFonts w:ascii="Arial" w:eastAsia="Times New Roman" w:hAnsi="Arial" w:cs="Arial"/>
                <w:color w:val="000000"/>
                <w:sz w:val="15"/>
                <w:szCs w:val="15"/>
              </w:rPr>
              <w:t>Facility Service</w:t>
            </w:r>
            <w:r>
              <w:rPr>
                <w:rFonts w:ascii="Arial" w:eastAsia="Times New Roman" w:hAnsi="Arial" w:cs="Arial"/>
                <w:color w:val="000000"/>
                <w:sz w:val="15"/>
                <w:szCs w:val="15"/>
              </w:rPr>
              <w:t>s</w:t>
            </w:r>
            <w:r>
              <w:rPr>
                <w:rFonts w:ascii="Arial" w:eastAsia="Times New Roman" w:hAnsi="Arial" w:cs="Arial"/>
                <w:color w:val="000000"/>
                <w:sz w:val="10"/>
                <w:szCs w:val="10"/>
              </w:rPr>
              <w:t>(3</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246.6 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38.7 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29.0 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7.0 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321.3 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756.7 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123.9 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82.3 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20.3 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983.2 </w:t>
            </w:r>
          </w:p>
        </w:tc>
      </w:tr>
      <w:tr w:rsidR="0099409C">
        <w:trPr>
          <w:divId w:val="2081364899"/>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divId w:val="553085738"/>
              <w:rPr>
                <w:rFonts w:eastAsia="Times New Roman"/>
              </w:rPr>
            </w:pPr>
            <w:r>
              <w:rPr>
                <w:rFonts w:ascii="Arial" w:eastAsia="Times New Roman" w:hAnsi="Arial" w:cs="Arial"/>
                <w:color w:val="000000"/>
                <w:sz w:val="15"/>
                <w:szCs w:val="15"/>
              </w:rPr>
              <w:t>Building &amp; Energy Solution</w:t>
            </w:r>
            <w:r>
              <w:rPr>
                <w:rFonts w:ascii="Arial" w:eastAsia="Times New Roman" w:hAnsi="Arial" w:cs="Arial"/>
                <w:color w:val="000000"/>
                <w:sz w:val="15"/>
                <w:szCs w:val="15"/>
              </w:rPr>
              <w:t>s</w:t>
            </w:r>
            <w:r>
              <w:rPr>
                <w:rFonts w:ascii="Arial" w:eastAsia="Times New Roman" w:hAnsi="Arial" w:cs="Arial"/>
                <w:color w:val="000000"/>
                <w:sz w:val="10"/>
                <w:szCs w:val="10"/>
              </w:rPr>
              <w:t>(4</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158.4 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158.4 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447.2 447.2 </w:t>
            </w:r>
          </w:p>
        </w:tc>
      </w:tr>
      <w:tr w:rsidR="0099409C">
        <w:trPr>
          <w:divId w:val="2081364899"/>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1112937625"/>
              <w:rPr>
                <w:rFonts w:eastAsia="Times New Roman"/>
              </w:rPr>
            </w:pPr>
            <w:r>
              <w:rPr>
                <w:rFonts w:ascii="Arial" w:eastAsia="Times New Roman" w:hAnsi="Arial" w:cs="Arial"/>
                <w:color w:val="000000"/>
                <w:sz w:val="15"/>
                <w:szCs w:val="15"/>
              </w:rPr>
              <w:t>Airline Service</w:t>
            </w:r>
            <w:r>
              <w:rPr>
                <w:rFonts w:ascii="Arial" w:eastAsia="Times New Roman" w:hAnsi="Arial" w:cs="Arial"/>
                <w:color w:val="000000"/>
                <w:sz w:val="15"/>
                <w:szCs w:val="15"/>
              </w:rPr>
              <w:t>s</w:t>
            </w:r>
            <w:r>
              <w:rPr>
                <w:rFonts w:ascii="Arial" w:eastAsia="Times New Roman" w:hAnsi="Arial" w:cs="Arial"/>
                <w:color w:val="000000"/>
                <w:sz w:val="10"/>
                <w:szCs w:val="10"/>
              </w:rPr>
              <w:t>(5</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86.6 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86.6 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248.4 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248.4 </w:t>
            </w:r>
          </w:p>
        </w:tc>
      </w:tr>
      <w:tr w:rsidR="0099409C">
        <w:trPr>
          <w:divId w:val="2081364899"/>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5"/>
                <w:szCs w:val="15"/>
              </w:rPr>
              <w:t>Total</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1,033.8 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358.1 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207.5 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203.5 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158.4 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1,961.4 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3,067.0 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1,074.1 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617.6 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589.7 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$447.2 $5,795.5 </w:t>
            </w:r>
          </w:p>
        </w:tc>
      </w:tr>
      <w:tr w:rsidR="00000000">
        <w:trPr>
          <w:divId w:val="2081364899"/>
        </w:trPr>
        <w:tc>
          <w:tcPr>
            <w:tcW w:w="0" w:type="auto"/>
            <w:gridSpan w:val="3"/>
            <w:vAlign w:val="center"/>
            <w:hideMark/>
          </w:tcPr>
          <w:p w:rsidR="00000000" w:rsidRDefault="0099409C">
            <w:pPr>
              <w:spacing w:after="100"/>
              <w:jc w:val="right"/>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2"/>
            <w:vAlign w:val="center"/>
            <w:hideMark/>
          </w:tcPr>
          <w:p w:rsidR="00000000" w:rsidRDefault="0099409C">
            <w:pPr>
              <w:spacing w:after="100"/>
              <w:rPr>
                <w:rFonts w:eastAsia="Times New Roman"/>
                <w:sz w:val="20"/>
                <w:szCs w:val="20"/>
              </w:rPr>
            </w:pPr>
          </w:p>
        </w:tc>
        <w:tc>
          <w:tcPr>
            <w:tcW w:w="0" w:type="auto"/>
            <w:vAlign w:val="center"/>
            <w:hideMark/>
          </w:tcPr>
          <w:p w:rsidR="00000000" w:rsidRDefault="0099409C">
            <w:pPr>
              <w:spacing w:after="100"/>
              <w:rPr>
                <w:rFonts w:eastAsia="Times New Roman"/>
                <w:sz w:val="20"/>
                <w:szCs w:val="20"/>
              </w:rPr>
            </w:pPr>
          </w:p>
        </w:tc>
      </w:tr>
      <w:tr w:rsidR="00000000">
        <w:trPr>
          <w:divId w:val="2081364899"/>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2"/>
            <w:vAlign w:val="center"/>
            <w:hideMark/>
          </w:tcPr>
          <w:p w:rsidR="00000000" w:rsidRDefault="0099409C">
            <w:pPr>
              <w:spacing w:after="100"/>
              <w:rPr>
                <w:rFonts w:eastAsia="Times New Roman"/>
                <w:sz w:val="20"/>
                <w:szCs w:val="20"/>
              </w:rPr>
            </w:pPr>
          </w:p>
        </w:tc>
        <w:tc>
          <w:tcPr>
            <w:tcW w:w="0" w:type="auto"/>
            <w:vAlign w:val="center"/>
            <w:hideMark/>
          </w:tcPr>
          <w:p w:rsidR="00000000" w:rsidRDefault="0099409C">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720"/>
        <w:gridCol w:w="144"/>
        <w:gridCol w:w="144"/>
        <w:gridCol w:w="144"/>
        <w:gridCol w:w="144"/>
        <w:gridCol w:w="144"/>
        <w:gridCol w:w="441"/>
        <w:gridCol w:w="144"/>
        <w:gridCol w:w="144"/>
        <w:gridCol w:w="144"/>
        <w:gridCol w:w="144"/>
        <w:gridCol w:w="144"/>
        <w:gridCol w:w="382"/>
        <w:gridCol w:w="144"/>
        <w:gridCol w:w="144"/>
        <w:gridCol w:w="144"/>
        <w:gridCol w:w="144"/>
        <w:gridCol w:w="144"/>
        <w:gridCol w:w="576"/>
        <w:gridCol w:w="144"/>
        <w:gridCol w:w="144"/>
        <w:gridCol w:w="144"/>
        <w:gridCol w:w="144"/>
        <w:gridCol w:w="144"/>
        <w:gridCol w:w="453"/>
        <w:gridCol w:w="144"/>
        <w:gridCol w:w="144"/>
        <w:gridCol w:w="144"/>
        <w:gridCol w:w="144"/>
        <w:gridCol w:w="144"/>
        <w:gridCol w:w="576"/>
        <w:gridCol w:w="144"/>
        <w:gridCol w:w="144"/>
        <w:gridCol w:w="144"/>
        <w:gridCol w:w="144"/>
        <w:gridCol w:w="144"/>
        <w:gridCol w:w="430"/>
        <w:gridCol w:w="144"/>
        <w:gridCol w:w="144"/>
        <w:gridCol w:w="144"/>
        <w:gridCol w:w="144"/>
        <w:gridCol w:w="144"/>
        <w:gridCol w:w="453"/>
        <w:gridCol w:w="144"/>
        <w:gridCol w:w="144"/>
        <w:gridCol w:w="144"/>
        <w:gridCol w:w="144"/>
        <w:gridCol w:w="144"/>
        <w:gridCol w:w="430"/>
        <w:gridCol w:w="144"/>
        <w:gridCol w:w="144"/>
        <w:gridCol w:w="144"/>
        <w:gridCol w:w="144"/>
        <w:gridCol w:w="144"/>
        <w:gridCol w:w="576"/>
        <w:gridCol w:w="144"/>
        <w:gridCol w:w="144"/>
        <w:gridCol w:w="144"/>
        <w:gridCol w:w="144"/>
        <w:gridCol w:w="144"/>
        <w:gridCol w:w="453"/>
        <w:gridCol w:w="144"/>
      </w:tblGrid>
      <w:tr w:rsidR="00000000">
        <w:tc>
          <w:tcPr>
            <w:tcW w:w="50" w:type="pct"/>
            <w:vAlign w:val="center"/>
            <w:hideMark/>
          </w:tcPr>
          <w:p w:rsidR="00000000" w:rsidRDefault="0099409C">
            <w:pPr>
              <w:rPr>
                <w:rFonts w:eastAsia="Times New Roman"/>
              </w:rPr>
            </w:pPr>
          </w:p>
        </w:tc>
        <w:tc>
          <w:tcPr>
            <w:tcW w:w="43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6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3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34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73"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34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5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73"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5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34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73"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Three Months Ended July 31, 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20"/>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Nine Months Ended July 31, 2021</w:t>
            </w:r>
          </w:p>
        </w:tc>
        <w:tc>
          <w:tcPr>
            <w:tcW w:w="0" w:type="auto"/>
            <w:vAlign w:val="center"/>
            <w:hideMark/>
          </w:tcPr>
          <w:p w:rsidR="00000000" w:rsidRDefault="0099409C">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M&amp;D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Aviation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Total</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M&amp;D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2"/>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5"/>
                <w:szCs w:val="15"/>
              </w:rPr>
              <w:t>Aviation</w:t>
            </w:r>
          </w:p>
        </w:tc>
        <w:tc>
          <w:tcPr>
            <w:tcW w:w="0" w:type="auto"/>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SolutionsTotal</w:t>
            </w:r>
          </w:p>
        </w:tc>
      </w:tr>
      <w:tr w:rsidR="00000000">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2"/>
            <w:vAlign w:val="center"/>
            <w:hideMark/>
          </w:tcPr>
          <w:p w:rsidR="00000000" w:rsidRDefault="0099409C">
            <w:pPr>
              <w:spacing w:after="100"/>
              <w:rPr>
                <w:rFonts w:eastAsia="Times New Roman"/>
                <w:sz w:val="20"/>
                <w:szCs w:val="20"/>
              </w:rPr>
            </w:pPr>
          </w:p>
        </w:tc>
        <w:tc>
          <w:tcPr>
            <w:tcW w:w="0" w:type="auto"/>
            <w:vAlign w:val="center"/>
            <w:hideMark/>
          </w:tcPr>
          <w:p w:rsidR="00000000" w:rsidRDefault="0099409C">
            <w:pPr>
              <w:spacing w:after="100"/>
              <w:rPr>
                <w:rFonts w:eastAsia="Times New Roman"/>
                <w:sz w:val="20"/>
                <w:szCs w:val="20"/>
              </w:rPr>
            </w:pPr>
          </w:p>
        </w:tc>
      </w:tr>
      <w:tr w:rsidR="00000000">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5"/>
                <w:szCs w:val="15"/>
              </w:rPr>
              <w:t>Major Service Line</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2"/>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99409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1206140805"/>
              <w:rPr>
                <w:rFonts w:eastAsia="Times New Roman"/>
              </w:rPr>
            </w:pPr>
            <w:r>
              <w:rPr>
                <w:rFonts w:ascii="Arial" w:eastAsia="Times New Roman" w:hAnsi="Arial" w:cs="Arial"/>
                <w:color w:val="000000"/>
                <w:sz w:val="15"/>
                <w:szCs w:val="15"/>
              </w:rPr>
              <w:t>Janitoria</w:t>
            </w:r>
            <w:r>
              <w:rPr>
                <w:rFonts w:ascii="Arial" w:eastAsia="Times New Roman" w:hAnsi="Arial" w:cs="Arial"/>
                <w:color w:val="000000"/>
                <w:sz w:val="15"/>
                <w:szCs w:val="15"/>
              </w:rPr>
              <w:t>l</w:t>
            </w:r>
            <w:r>
              <w:rPr>
                <w:rFonts w:ascii="Arial" w:eastAsia="Times New Roman" w:hAnsi="Arial" w:cs="Arial"/>
                <w:color w:val="000000"/>
                <w:sz w:val="10"/>
                <w:szCs w:val="10"/>
              </w:rPr>
              <w:t>(1</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530.7 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289.5 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180.2 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28.5 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1,029.0 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1,591.2 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865.3 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549.2 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86.5 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$3,092.2 </w:t>
            </w:r>
          </w:p>
        </w:tc>
      </w:tr>
      <w:tr w:rsidR="00000000">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divId w:val="1516919836"/>
              <w:rPr>
                <w:rFonts w:eastAsia="Times New Roman"/>
              </w:rPr>
            </w:pPr>
            <w:r>
              <w:rPr>
                <w:rFonts w:ascii="Arial" w:eastAsia="Times New Roman" w:hAnsi="Arial" w:cs="Arial"/>
                <w:color w:val="000000"/>
                <w:sz w:val="15"/>
                <w:szCs w:val="15"/>
              </w:rPr>
              <w:t>Parkin</w:t>
            </w:r>
            <w:r>
              <w:rPr>
                <w:rFonts w:ascii="Arial" w:eastAsia="Times New Roman" w:hAnsi="Arial" w:cs="Arial"/>
                <w:color w:val="000000"/>
                <w:sz w:val="15"/>
                <w:szCs w:val="15"/>
              </w:rPr>
              <w:t>g</w:t>
            </w:r>
            <w:r>
              <w:rPr>
                <w:rFonts w:ascii="Arial" w:eastAsia="Times New Roman" w:hAnsi="Arial" w:cs="Arial"/>
                <w:color w:val="000000"/>
                <w:sz w:val="10"/>
                <w:szCs w:val="10"/>
              </w:rPr>
              <w:t>(2</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76.3 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9.2 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0.2 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65.7 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151.4 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213.3 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30.9 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0.6 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180.6 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425.4 </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1302930561"/>
              <w:rPr>
                <w:rFonts w:eastAsia="Times New Roman"/>
              </w:rPr>
            </w:pPr>
            <w:r>
              <w:rPr>
                <w:rFonts w:ascii="Arial" w:eastAsia="Times New Roman" w:hAnsi="Arial" w:cs="Arial"/>
                <w:color w:val="000000"/>
                <w:sz w:val="15"/>
                <w:szCs w:val="15"/>
              </w:rPr>
              <w:t>Facility Service</w:t>
            </w:r>
            <w:r>
              <w:rPr>
                <w:rFonts w:ascii="Arial" w:eastAsia="Times New Roman" w:hAnsi="Arial" w:cs="Arial"/>
                <w:color w:val="000000"/>
                <w:sz w:val="15"/>
                <w:szCs w:val="15"/>
              </w:rPr>
              <w:t>s</w:t>
            </w:r>
            <w:r>
              <w:rPr>
                <w:rFonts w:ascii="Arial" w:eastAsia="Times New Roman" w:hAnsi="Arial" w:cs="Arial"/>
                <w:color w:val="000000"/>
                <w:sz w:val="10"/>
                <w:szCs w:val="10"/>
              </w:rPr>
              <w:t>(3</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75.8 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41.7 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26.7 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6.5 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150.6 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242.4 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125.3 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78.1 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18.2 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464.0 </w:t>
            </w:r>
          </w:p>
        </w:tc>
      </w:tr>
      <w:tr w:rsidR="00000000">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divId w:val="1864512034"/>
              <w:rPr>
                <w:rFonts w:eastAsia="Times New Roman"/>
              </w:rPr>
            </w:pPr>
            <w:r>
              <w:rPr>
                <w:rFonts w:ascii="Arial" w:eastAsia="Times New Roman" w:hAnsi="Arial" w:cs="Arial"/>
                <w:color w:val="000000"/>
                <w:sz w:val="15"/>
                <w:szCs w:val="15"/>
              </w:rPr>
              <w:t>Building &amp; Energy Solution</w:t>
            </w:r>
            <w:r>
              <w:rPr>
                <w:rFonts w:ascii="Arial" w:eastAsia="Times New Roman" w:hAnsi="Arial" w:cs="Arial"/>
                <w:color w:val="000000"/>
                <w:sz w:val="15"/>
                <w:szCs w:val="15"/>
              </w:rPr>
              <w:t>s</w:t>
            </w:r>
            <w:r>
              <w:rPr>
                <w:rFonts w:ascii="Arial" w:eastAsia="Times New Roman" w:hAnsi="Arial" w:cs="Arial"/>
                <w:color w:val="000000"/>
                <w:sz w:val="10"/>
                <w:szCs w:val="10"/>
              </w:rPr>
              <w:t>(4</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145.0 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145.0 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382.1 382.1 </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1367828896"/>
              <w:rPr>
                <w:rFonts w:eastAsia="Times New Roman"/>
              </w:rPr>
            </w:pPr>
            <w:r>
              <w:rPr>
                <w:rFonts w:ascii="Arial" w:eastAsia="Times New Roman" w:hAnsi="Arial" w:cs="Arial"/>
                <w:color w:val="000000"/>
                <w:sz w:val="15"/>
                <w:szCs w:val="15"/>
              </w:rPr>
              <w:t>Airline Service</w:t>
            </w:r>
            <w:r>
              <w:rPr>
                <w:rFonts w:ascii="Arial" w:eastAsia="Times New Roman" w:hAnsi="Arial" w:cs="Arial"/>
                <w:color w:val="000000"/>
                <w:sz w:val="15"/>
                <w:szCs w:val="15"/>
              </w:rPr>
              <w:t>s</w:t>
            </w:r>
            <w:r>
              <w:rPr>
                <w:rFonts w:ascii="Arial" w:eastAsia="Times New Roman" w:hAnsi="Arial" w:cs="Arial"/>
                <w:color w:val="000000"/>
                <w:sz w:val="10"/>
                <w:szCs w:val="10"/>
              </w:rPr>
              <w:t>(5</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67.1 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67.1 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169.4 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 169.4 </w:t>
            </w:r>
          </w:p>
        </w:tc>
      </w:tr>
      <w:tr w:rsidR="0099409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5"/>
                <w:szCs w:val="15"/>
              </w:rPr>
              <w:t>Total</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682.9 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340.5 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207.0 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167.8 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145.0 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1,543.1 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2,046.9 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1,021.5 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627.8 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454.7 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5"/>
                <w:szCs w:val="15"/>
              </w:rPr>
              <w:t>$382.1 $4,533.0 </w:t>
            </w:r>
          </w:p>
        </w:tc>
      </w:tr>
      <w:tr w:rsidR="00000000">
        <w:tc>
          <w:tcPr>
            <w:tcW w:w="0" w:type="auto"/>
            <w:gridSpan w:val="3"/>
            <w:vAlign w:val="center"/>
            <w:hideMark/>
          </w:tcPr>
          <w:p w:rsidR="00000000" w:rsidRDefault="0099409C">
            <w:pPr>
              <w:spacing w:after="100"/>
              <w:jc w:val="right"/>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2"/>
            <w:vAlign w:val="center"/>
            <w:hideMark/>
          </w:tcPr>
          <w:p w:rsidR="00000000" w:rsidRDefault="0099409C">
            <w:pPr>
              <w:spacing w:after="100"/>
              <w:rPr>
                <w:rFonts w:eastAsia="Times New Roman"/>
                <w:sz w:val="20"/>
                <w:szCs w:val="20"/>
              </w:rPr>
            </w:pPr>
          </w:p>
        </w:tc>
        <w:tc>
          <w:tcPr>
            <w:tcW w:w="0" w:type="auto"/>
            <w:vAlign w:val="center"/>
            <w:hideMark/>
          </w:tcPr>
          <w:p w:rsidR="00000000" w:rsidRDefault="0099409C">
            <w:pPr>
              <w:spacing w:after="100"/>
              <w:rPr>
                <w:rFonts w:eastAsia="Times New Roman"/>
                <w:sz w:val="20"/>
                <w:szCs w:val="20"/>
              </w:rPr>
            </w:pPr>
          </w:p>
        </w:tc>
      </w:tr>
      <w:tr w:rsidR="00000000">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2"/>
            <w:vAlign w:val="center"/>
            <w:hideMark/>
          </w:tcPr>
          <w:p w:rsidR="00000000" w:rsidRDefault="0099409C">
            <w:pPr>
              <w:spacing w:after="100"/>
              <w:rPr>
                <w:rFonts w:eastAsia="Times New Roman"/>
                <w:sz w:val="20"/>
                <w:szCs w:val="20"/>
              </w:rPr>
            </w:pPr>
          </w:p>
        </w:tc>
        <w:tc>
          <w:tcPr>
            <w:tcW w:w="0" w:type="auto"/>
            <w:vAlign w:val="center"/>
            <w:hideMark/>
          </w:tcPr>
          <w:p w:rsidR="00000000" w:rsidRDefault="0099409C">
            <w:pPr>
              <w:spacing w:after="100"/>
              <w:rPr>
                <w:rFonts w:eastAsia="Times New Roman"/>
                <w:sz w:val="20"/>
                <w:szCs w:val="20"/>
              </w:rPr>
            </w:pPr>
          </w:p>
        </w:tc>
      </w:tr>
    </w:tbl>
    <w:p w:rsidR="00000000" w:rsidRDefault="0099409C">
      <w:pPr>
        <w:ind w:hanging="180"/>
        <w:jc w:val="both"/>
        <w:divId w:val="268396875"/>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Janitorial arrangements provide a wide range of essential cleaning services for commercial office buildings, airports and other transportation centers, educational institutions, government buildings, health facilities, industrial buildings, retail stores,</w:t>
      </w:r>
      <w:r>
        <w:rPr>
          <w:rFonts w:ascii="Arial" w:eastAsia="Times New Roman" w:hAnsi="Arial" w:cs="Arial"/>
          <w:color w:val="000000"/>
          <w:sz w:val="18"/>
          <w:szCs w:val="18"/>
        </w:rPr>
        <w:t xml:space="preserve"> and stadiums and arenas. These arrangements are often structured as monthly fixed-price, square-foot, cost-plus, and work order contracts. </w:t>
      </w:r>
    </w:p>
    <w:p w:rsidR="00000000" w:rsidRDefault="0099409C">
      <w:pPr>
        <w:ind w:hanging="180"/>
        <w:jc w:val="both"/>
        <w:divId w:val="364521609"/>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Parking arrangements provide parking and transportation services for clients at various locations, including ai</w:t>
      </w:r>
      <w:r>
        <w:rPr>
          <w:rFonts w:ascii="Arial" w:eastAsia="Times New Roman" w:hAnsi="Arial" w:cs="Arial"/>
          <w:color w:val="000000"/>
          <w:sz w:val="18"/>
          <w:szCs w:val="18"/>
        </w:rPr>
        <w:t>rports and other transportation centers, commercial office buildings, educational institutions, health facilities, hotels, and stadiums and arenas. These arrangements are structured as management reimbursement, leased location, and allowance contracts. Cer</w:t>
      </w:r>
      <w:r>
        <w:rPr>
          <w:rFonts w:ascii="Arial" w:eastAsia="Times New Roman" w:hAnsi="Arial" w:cs="Arial"/>
          <w:color w:val="000000"/>
          <w:sz w:val="18"/>
          <w:szCs w:val="18"/>
        </w:rPr>
        <w:t>tain of these arrangements are considered service concession agreements. Rent is paid to the grantor, which is the customer in the arrangement; accordingly, rent expense related to these arrangements is recorded as a reduction of the related parking servic</w:t>
      </w:r>
      <w:r>
        <w:rPr>
          <w:rFonts w:ascii="Arial" w:eastAsia="Times New Roman" w:hAnsi="Arial" w:cs="Arial"/>
          <w:color w:val="000000"/>
          <w:sz w:val="18"/>
          <w:szCs w:val="18"/>
        </w:rPr>
        <w:t>e revenues.</w:t>
      </w:r>
    </w:p>
    <w:p w:rsidR="00000000" w:rsidRDefault="0099409C">
      <w:pPr>
        <w:ind w:hanging="180"/>
        <w:jc w:val="both"/>
        <w:divId w:val="658652544"/>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Facility Services arrangements provide onsite mechanical engineering and technical services and solutions relating to a broad range of facilities and infrastructure systems that are designed to extend the useful life of facility fixed asset</w:t>
      </w:r>
      <w:r>
        <w:rPr>
          <w:rFonts w:ascii="Arial" w:eastAsia="Times New Roman" w:hAnsi="Arial" w:cs="Arial"/>
          <w:color w:val="000000"/>
          <w:sz w:val="18"/>
          <w:szCs w:val="18"/>
        </w:rPr>
        <w:t>s, improve equipment operating efficiencies, reduce energy consumption, lower overall operational costs for clients, and enhance the sustainability of client locations. These arrangements are generally structured as monthly fixed-price, cost-plus, and work</w:t>
      </w:r>
      <w:r>
        <w:rPr>
          <w:rFonts w:ascii="Arial" w:eastAsia="Times New Roman" w:hAnsi="Arial" w:cs="Arial"/>
          <w:color w:val="000000"/>
          <w:sz w:val="18"/>
          <w:szCs w:val="18"/>
        </w:rPr>
        <w:t xml:space="preserve"> order contracts.</w:t>
      </w:r>
    </w:p>
    <w:p w:rsidR="00000000" w:rsidRDefault="0099409C">
      <w:pPr>
        <w:jc w:val="center"/>
        <w:divId w:val="1821729187"/>
        <w:rPr>
          <w:rFonts w:eastAsia="Times New Roman"/>
        </w:rPr>
      </w:pPr>
      <w:r>
        <w:rPr>
          <w:rFonts w:ascii="Arial" w:eastAsia="Times New Roman" w:hAnsi="Arial" w:cs="Arial"/>
          <w:color w:val="000000"/>
          <w:sz w:val="20"/>
          <w:szCs w:val="20"/>
        </w:rPr>
        <w:t>11</w:t>
      </w:r>
    </w:p>
    <w:p w:rsidR="00000000" w:rsidRDefault="0099409C">
      <w:pPr>
        <w:rPr>
          <w:rFonts w:eastAsia="Times New Roman"/>
        </w:rPr>
      </w:pPr>
      <w:r>
        <w:rPr>
          <w:rFonts w:eastAsia="Times New Roman"/>
        </w:rPr>
        <w:pict>
          <v:rect id="_x0000_i1040" style="width:0;height:1.5pt" o:hralign="center" o:hrstd="t" o:hr="t" fillcolor="#a0a0a0" stroked="f"/>
        </w:pict>
      </w:r>
    </w:p>
    <w:p w:rsidR="00000000" w:rsidRDefault="0099409C">
      <w:pPr>
        <w:jc w:val="both"/>
        <w:divId w:val="35013609"/>
        <w:rPr>
          <w:rFonts w:eastAsia="Times New Roman"/>
        </w:rPr>
      </w:pPr>
    </w:p>
    <w:p w:rsidR="00000000" w:rsidRDefault="0099409C">
      <w:pPr>
        <w:ind w:hanging="180"/>
        <w:jc w:val="both"/>
        <w:divId w:val="1804538563"/>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 xml:space="preserve"> </w:t>
      </w:r>
      <w:r>
        <w:rPr>
          <w:rFonts w:ascii="Arial" w:eastAsia="Times New Roman" w:hAnsi="Arial" w:cs="Arial"/>
          <w:color w:val="000000"/>
          <w:sz w:val="18"/>
          <w:szCs w:val="18"/>
        </w:rPr>
        <w:t>Building &amp; Energy Solutions arrangements provide custom energy solutions, electrical, HVAC, lighting, electric vehicle charging station installation, and other general maintenance and repair services for clients in</w:t>
      </w:r>
      <w:r>
        <w:rPr>
          <w:rFonts w:ascii="Arial" w:eastAsia="Times New Roman" w:hAnsi="Arial" w:cs="Arial"/>
          <w:color w:val="000000"/>
          <w:sz w:val="18"/>
          <w:szCs w:val="18"/>
        </w:rPr>
        <w:t xml:space="preserve"> the public and private sectors and are generally structured as energy savings, fixed-price repair, and refurbishment contracts. We also franchise certain operations under franchise agreements relating to our Linc Network and TEGG brands, pursuant to franc</w:t>
      </w:r>
      <w:r>
        <w:rPr>
          <w:rFonts w:ascii="Arial" w:eastAsia="Times New Roman" w:hAnsi="Arial" w:cs="Arial"/>
          <w:color w:val="000000"/>
          <w:sz w:val="18"/>
          <w:szCs w:val="18"/>
        </w:rPr>
        <w:t xml:space="preserve">hise contracts. </w:t>
      </w:r>
    </w:p>
    <w:p w:rsidR="00000000" w:rsidRDefault="0099409C">
      <w:pPr>
        <w:ind w:hanging="180"/>
        <w:jc w:val="both"/>
        <w:divId w:val="1612395434"/>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Airline Services arrangements support airlines and airports with services such as passenger assistance, catering logistics, and airplane cabin maintenance. These arrangements are often structured as monthly fixed-price, cost-plus, transaction price, and ho</w:t>
      </w:r>
      <w:r>
        <w:rPr>
          <w:rFonts w:ascii="Arial" w:eastAsia="Times New Roman" w:hAnsi="Arial" w:cs="Arial"/>
          <w:color w:val="000000"/>
          <w:sz w:val="18"/>
          <w:szCs w:val="18"/>
        </w:rPr>
        <w:t>urly contracts.</w:t>
      </w:r>
    </w:p>
    <w:p w:rsidR="00000000" w:rsidRDefault="0099409C">
      <w:pPr>
        <w:jc w:val="both"/>
        <w:divId w:val="439305224"/>
        <w:rPr>
          <w:rFonts w:eastAsia="Times New Roman"/>
        </w:rPr>
      </w:pPr>
      <w:r>
        <w:rPr>
          <w:rFonts w:ascii="Arial" w:eastAsia="Times New Roman" w:hAnsi="Arial" w:cs="Arial"/>
          <w:b/>
          <w:bCs/>
          <w:color w:val="0046AD"/>
          <w:sz w:val="20"/>
          <w:szCs w:val="20"/>
        </w:rPr>
        <w:t>Contract Types</w:t>
      </w:r>
    </w:p>
    <w:p w:rsidR="00000000" w:rsidRDefault="0099409C">
      <w:pPr>
        <w:ind w:firstLine="720"/>
        <w:jc w:val="both"/>
        <w:divId w:val="291181978"/>
        <w:rPr>
          <w:rFonts w:eastAsia="Times New Roman"/>
        </w:rPr>
      </w:pPr>
      <w:r>
        <w:rPr>
          <w:rFonts w:ascii="Arial" w:eastAsia="Times New Roman" w:hAnsi="Arial" w:cs="Arial"/>
          <w:color w:val="000000"/>
          <w:sz w:val="20"/>
          <w:szCs w:val="20"/>
        </w:rPr>
        <w:t>We have arrangements under various contract types, as described in Note 2, “Basis of Presentation and Significant Accounting Policies,” in our Annual Report on Form 10-K for the year ended October 31, 2021.</w:t>
      </w:r>
    </w:p>
    <w:p w:rsidR="00000000" w:rsidRDefault="0099409C">
      <w:pPr>
        <w:ind w:firstLine="720"/>
        <w:jc w:val="both"/>
        <w:divId w:val="909383664"/>
        <w:rPr>
          <w:rFonts w:eastAsia="Times New Roman"/>
        </w:rPr>
      </w:pPr>
      <w:r>
        <w:rPr>
          <w:rFonts w:ascii="Arial" w:eastAsia="Times New Roman" w:hAnsi="Arial" w:cs="Arial"/>
          <w:color w:val="000000"/>
          <w:sz w:val="20"/>
          <w:szCs w:val="20"/>
        </w:rPr>
        <w:t>Certain arrangemen</w:t>
      </w:r>
      <w:r>
        <w:rPr>
          <w:rFonts w:ascii="Arial" w:eastAsia="Times New Roman" w:hAnsi="Arial" w:cs="Arial"/>
          <w:color w:val="000000"/>
          <w:sz w:val="20"/>
          <w:szCs w:val="20"/>
        </w:rPr>
        <w:t>ts involve variable consideration (primarily per transaction fees, reimbursable expenses, and sales-based royalties). We do not estimate the variable consideration for these arrangements; rather, we recognize these variable fees as they are earned. Some of</w:t>
      </w:r>
      <w:r>
        <w:rPr>
          <w:rFonts w:ascii="Arial" w:eastAsia="Times New Roman" w:hAnsi="Arial" w:cs="Arial"/>
          <w:color w:val="000000"/>
          <w:sz w:val="20"/>
          <w:szCs w:val="20"/>
        </w:rPr>
        <w:t xml:space="preserve"> our contracts, often related to Airline Services, may also include performance incentives based on variable performance measures that are ascertained exclusively by future performance and therefore cannot be estimated at contract inception and are recogni</w:t>
      </w:r>
      <w:r>
        <w:rPr>
          <w:rFonts w:ascii="Arial" w:eastAsia="Times New Roman" w:hAnsi="Arial" w:cs="Arial"/>
          <w:color w:val="000000"/>
          <w:sz w:val="20"/>
          <w:szCs w:val="20"/>
        </w:rPr>
        <w:t>zed as revenue once known and mutually agreed upon. We include estimated amounts in the transaction price to the extent it is probable that a significant reversal of cumulative revenue recognized will not occur when the uncertainty associated with the vari</w:t>
      </w:r>
      <w:r>
        <w:rPr>
          <w:rFonts w:ascii="Arial" w:eastAsia="Times New Roman" w:hAnsi="Arial" w:cs="Arial"/>
          <w:color w:val="000000"/>
          <w:sz w:val="20"/>
          <w:szCs w:val="20"/>
        </w:rPr>
        <w:t>able consideration is resolved. Our estimates of variable consideration and determination of whether to include estimated amounts in the transaction price are based largely on an assessment of our anticipated performance and all information (historical, cu</w:t>
      </w:r>
      <w:r>
        <w:rPr>
          <w:rFonts w:ascii="Arial" w:eastAsia="Times New Roman" w:hAnsi="Arial" w:cs="Arial"/>
          <w:color w:val="000000"/>
          <w:sz w:val="20"/>
          <w:szCs w:val="20"/>
        </w:rPr>
        <w:t xml:space="preserve">rrent, and forecasted) that is reasonably available to us. </w:t>
      </w:r>
    </w:p>
    <w:p w:rsidR="00000000" w:rsidRDefault="0099409C">
      <w:pPr>
        <w:ind w:firstLine="720"/>
        <w:jc w:val="both"/>
        <w:divId w:val="1646205024"/>
        <w:rPr>
          <w:rFonts w:eastAsia="Times New Roman"/>
        </w:rPr>
      </w:pPr>
      <w:r>
        <w:rPr>
          <w:rFonts w:ascii="Arial" w:eastAsia="Times New Roman" w:hAnsi="Arial" w:cs="Arial"/>
          <w:color w:val="000000"/>
          <w:sz w:val="20"/>
          <w:szCs w:val="20"/>
        </w:rPr>
        <w:t>The majority of our contracts include performance obligations that are primarily satisfied over time as we provide the related services. These contract types include: monthly fixed-price; square-f</w:t>
      </w:r>
      <w:r>
        <w:rPr>
          <w:rFonts w:ascii="Arial" w:eastAsia="Times New Roman" w:hAnsi="Arial" w:cs="Arial"/>
          <w:color w:val="000000"/>
          <w:sz w:val="20"/>
          <w:szCs w:val="20"/>
        </w:rPr>
        <w:t xml:space="preserve">oot; cost-plus; work orders; transaction-price; hourly; management reimbursement; leased location; allowance; energy savings contracts; and fixed-price repair and refurbishment contracts, as well as our franchise and royalty fee arrangements. We recognize </w:t>
      </w:r>
      <w:r>
        <w:rPr>
          <w:rFonts w:ascii="Arial" w:eastAsia="Times New Roman" w:hAnsi="Arial" w:cs="Arial"/>
          <w:color w:val="000000"/>
          <w:sz w:val="20"/>
          <w:szCs w:val="20"/>
        </w:rPr>
        <w:t>revenue as the services are performed using a measure of progress that is determined by the contract type. Generally, most of our contracts are cancelable by either party without a substantive penalty, and the majority have a notification period of 30 to 6</w:t>
      </w:r>
      <w:r>
        <w:rPr>
          <w:rFonts w:ascii="Arial" w:eastAsia="Times New Roman" w:hAnsi="Arial" w:cs="Arial"/>
          <w:color w:val="000000"/>
          <w:sz w:val="20"/>
          <w:szCs w:val="20"/>
        </w:rPr>
        <w:t xml:space="preserve">0 days. </w:t>
      </w:r>
    </w:p>
    <w:p w:rsidR="00000000" w:rsidRDefault="0099409C">
      <w:pPr>
        <w:ind w:firstLine="720"/>
        <w:jc w:val="both"/>
        <w:divId w:val="906838913"/>
        <w:rPr>
          <w:rFonts w:eastAsia="Times New Roman"/>
        </w:rPr>
      </w:pPr>
      <w:r>
        <w:rPr>
          <w:rFonts w:ascii="Arial" w:eastAsia="Times New Roman" w:hAnsi="Arial" w:cs="Arial"/>
          <w:color w:val="000000"/>
          <w:sz w:val="20"/>
          <w:szCs w:val="20"/>
        </w:rPr>
        <w:t>We primarily account for our performance obligations under the series guidance, using the as-invoiced practical expedient when applicable. We apply the as-invoiced practical expedient to record revenue as the services are provided, given the natur</w:t>
      </w:r>
      <w:r>
        <w:rPr>
          <w:rFonts w:ascii="Arial" w:eastAsia="Times New Roman" w:hAnsi="Arial" w:cs="Arial"/>
          <w:color w:val="000000"/>
          <w:sz w:val="20"/>
          <w:szCs w:val="20"/>
        </w:rPr>
        <w:t>e of the services provided and the frequency of billing under the customer contracts. Under this practical expedient, we recognize revenue in an amount that corresponds directly with the value to the customer of our performance completed to date and for wh</w:t>
      </w:r>
      <w:r>
        <w:rPr>
          <w:rFonts w:ascii="Arial" w:eastAsia="Times New Roman" w:hAnsi="Arial" w:cs="Arial"/>
          <w:color w:val="000000"/>
          <w:sz w:val="20"/>
          <w:szCs w:val="20"/>
        </w:rPr>
        <w:t xml:space="preserve">ich we have the right to invoice the customer. </w:t>
      </w:r>
    </w:p>
    <w:p w:rsidR="00000000" w:rsidRDefault="0099409C">
      <w:pPr>
        <w:jc w:val="both"/>
        <w:divId w:val="1230463372"/>
        <w:rPr>
          <w:rFonts w:eastAsia="Times New Roman"/>
        </w:rPr>
      </w:pPr>
      <w:r>
        <w:rPr>
          <w:rFonts w:ascii="Arial" w:eastAsia="Times New Roman" w:hAnsi="Arial" w:cs="Arial"/>
          <w:b/>
          <w:bCs/>
          <w:color w:val="0046AD"/>
          <w:sz w:val="20"/>
          <w:szCs w:val="20"/>
        </w:rPr>
        <w:t>Remaining Performance Obligations</w:t>
      </w:r>
    </w:p>
    <w:p w:rsidR="00000000" w:rsidRDefault="0099409C">
      <w:pPr>
        <w:ind w:firstLine="720"/>
        <w:jc w:val="both"/>
        <w:divId w:val="1876959669"/>
        <w:rPr>
          <w:rFonts w:eastAsia="Times New Roman"/>
        </w:rPr>
      </w:pPr>
      <w:r>
        <w:rPr>
          <w:rFonts w:ascii="Arial" w:eastAsia="Times New Roman" w:hAnsi="Arial" w:cs="Arial"/>
          <w:color w:val="000000"/>
          <w:sz w:val="20"/>
          <w:szCs w:val="20"/>
        </w:rPr>
        <w:t>At July 31, 2022, performance obligations that were unsatisfied for which we expect to recognize revenue totaled $288.6 million. We expect to recognize revenue on approximate</w:t>
      </w:r>
      <w:r>
        <w:rPr>
          <w:rFonts w:ascii="Arial" w:eastAsia="Times New Roman" w:hAnsi="Arial" w:cs="Arial"/>
          <w:color w:val="000000"/>
          <w:sz w:val="20"/>
          <w:szCs w:val="20"/>
        </w:rPr>
        <w:t>ly 73% of the remaining performance obligations over the next 12 months, with the remainder recognized thereafter, based on our estimates of project timing.</w:t>
      </w:r>
    </w:p>
    <w:p w:rsidR="00000000" w:rsidRDefault="0099409C">
      <w:pPr>
        <w:ind w:firstLine="720"/>
        <w:jc w:val="both"/>
        <w:divId w:val="978191693"/>
        <w:rPr>
          <w:rFonts w:eastAsia="Times New Roman"/>
        </w:rPr>
      </w:pPr>
      <w:r>
        <w:rPr>
          <w:rFonts w:ascii="Arial" w:eastAsia="Times New Roman" w:hAnsi="Arial" w:cs="Arial"/>
          <w:color w:val="000000"/>
          <w:sz w:val="20"/>
          <w:szCs w:val="20"/>
        </w:rPr>
        <w:t>These amounts exclude variable consideration primarily related to: (i) contracts where we have dete</w:t>
      </w:r>
      <w:r>
        <w:rPr>
          <w:rFonts w:ascii="Arial" w:eastAsia="Times New Roman" w:hAnsi="Arial" w:cs="Arial"/>
          <w:color w:val="000000"/>
          <w:sz w:val="20"/>
          <w:szCs w:val="20"/>
        </w:rPr>
        <w:t>rmined that the contract consists of a series of distinct service periods and revenues are based on future performance that cannot be estimated at contract inception; (ii) parking contracts where we and the customer share the gross revenues or operating pr</w:t>
      </w:r>
      <w:r>
        <w:rPr>
          <w:rFonts w:ascii="Arial" w:eastAsia="Times New Roman" w:hAnsi="Arial" w:cs="Arial"/>
          <w:color w:val="000000"/>
          <w:sz w:val="20"/>
          <w:szCs w:val="20"/>
        </w:rPr>
        <w:t>ofit for the location; and (iii) contracts where transaction prices include performance incentives that are based on future performance and therefore cannot be estimated at contract inception. We apply the practical expedient that permits exclusion of info</w:t>
      </w:r>
      <w:r>
        <w:rPr>
          <w:rFonts w:ascii="Arial" w:eastAsia="Times New Roman" w:hAnsi="Arial" w:cs="Arial"/>
          <w:color w:val="000000"/>
          <w:sz w:val="20"/>
          <w:szCs w:val="20"/>
        </w:rPr>
        <w:t>rmation about the remaining performance obligations with original expected durations of one year or less.</w:t>
      </w:r>
    </w:p>
    <w:p w:rsidR="00000000" w:rsidRDefault="0099409C">
      <w:pPr>
        <w:divId w:val="1452437772"/>
        <w:rPr>
          <w:rFonts w:eastAsia="Times New Roman"/>
        </w:rPr>
      </w:pPr>
      <w:r>
        <w:rPr>
          <w:rFonts w:ascii="Arial" w:eastAsia="Times New Roman" w:hAnsi="Arial" w:cs="Arial"/>
          <w:b/>
          <w:bCs/>
          <w:color w:val="164FA2"/>
          <w:sz w:val="20"/>
          <w:szCs w:val="20"/>
        </w:rPr>
        <w:t xml:space="preserve">Contract Balances </w:t>
      </w:r>
    </w:p>
    <w:p w:rsidR="00000000" w:rsidRDefault="0099409C">
      <w:pPr>
        <w:ind w:firstLine="720"/>
        <w:jc w:val="both"/>
        <w:divId w:val="194587338"/>
        <w:rPr>
          <w:rFonts w:eastAsia="Times New Roman"/>
        </w:rPr>
      </w:pPr>
      <w:r>
        <w:rPr>
          <w:rFonts w:ascii="Arial" w:eastAsia="Times New Roman" w:hAnsi="Arial" w:cs="Arial"/>
          <w:color w:val="000000"/>
          <w:sz w:val="20"/>
          <w:szCs w:val="20"/>
        </w:rPr>
        <w:t>The timing of revenue recognition, billings, and cash collections results in contract assets and contract liabilities, as further e</w:t>
      </w:r>
      <w:r>
        <w:rPr>
          <w:rFonts w:ascii="Arial" w:eastAsia="Times New Roman" w:hAnsi="Arial" w:cs="Arial"/>
          <w:color w:val="000000"/>
          <w:sz w:val="20"/>
          <w:szCs w:val="20"/>
        </w:rPr>
        <w:t>xplained below. The timing of revenue recognition may differ from the timing of invoicing to customers.</w:t>
      </w:r>
    </w:p>
    <w:p w:rsidR="00000000" w:rsidRDefault="0099409C">
      <w:pPr>
        <w:ind w:firstLine="720"/>
        <w:jc w:val="both"/>
        <w:divId w:val="592665034"/>
        <w:rPr>
          <w:rFonts w:eastAsia="Times New Roman"/>
        </w:rPr>
      </w:pPr>
      <w:r>
        <w:rPr>
          <w:rFonts w:ascii="Arial" w:eastAsia="Times New Roman" w:hAnsi="Arial" w:cs="Arial"/>
          <w:color w:val="000000"/>
          <w:sz w:val="20"/>
          <w:szCs w:val="20"/>
        </w:rPr>
        <w:t>Contract assets primarily consist of billed trade receivables, unbilled trade receivables, and costs incurred in excess of amounts billed. Billed and un</w:t>
      </w:r>
      <w:r>
        <w:rPr>
          <w:rFonts w:ascii="Arial" w:eastAsia="Times New Roman" w:hAnsi="Arial" w:cs="Arial"/>
          <w:color w:val="000000"/>
          <w:sz w:val="20"/>
          <w:szCs w:val="20"/>
        </w:rPr>
        <w:t xml:space="preserve">billed trade receivables represent amounts from work completed in which we have an unconditional right to bill our customer. Costs incurred in excess of amounts billed typically arise when the </w:t>
      </w:r>
    </w:p>
    <w:p w:rsidR="00000000" w:rsidRDefault="0099409C">
      <w:pPr>
        <w:jc w:val="center"/>
        <w:divId w:val="1314598468"/>
        <w:rPr>
          <w:rFonts w:eastAsia="Times New Roman"/>
        </w:rPr>
      </w:pPr>
      <w:r>
        <w:rPr>
          <w:rFonts w:ascii="Arial" w:eastAsia="Times New Roman" w:hAnsi="Arial" w:cs="Arial"/>
          <w:color w:val="000000"/>
          <w:sz w:val="20"/>
          <w:szCs w:val="20"/>
        </w:rPr>
        <w:t>12</w:t>
      </w:r>
    </w:p>
    <w:p w:rsidR="00000000" w:rsidRDefault="0099409C">
      <w:pPr>
        <w:rPr>
          <w:rFonts w:eastAsia="Times New Roman"/>
        </w:rPr>
      </w:pPr>
      <w:r>
        <w:rPr>
          <w:rFonts w:eastAsia="Times New Roman"/>
        </w:rPr>
        <w:pict>
          <v:rect id="_x0000_i1041" style="width:0;height:1.5pt" o:hralign="center" o:hrstd="t" o:hr="t" fillcolor="#a0a0a0" stroked="f"/>
        </w:pict>
      </w:r>
    </w:p>
    <w:p w:rsidR="00000000" w:rsidRDefault="0099409C">
      <w:pPr>
        <w:jc w:val="both"/>
        <w:divId w:val="1455828633"/>
        <w:rPr>
          <w:rFonts w:eastAsia="Times New Roman"/>
        </w:rPr>
      </w:pPr>
    </w:p>
    <w:p w:rsidR="00000000" w:rsidRDefault="0099409C">
      <w:pPr>
        <w:jc w:val="both"/>
        <w:divId w:val="643582000"/>
        <w:rPr>
          <w:rFonts w:eastAsia="Times New Roman"/>
        </w:rPr>
      </w:pPr>
      <w:r>
        <w:rPr>
          <w:rFonts w:ascii="Arial" w:eastAsia="Times New Roman" w:hAnsi="Arial" w:cs="Arial"/>
          <w:color w:val="000000"/>
          <w:sz w:val="20"/>
          <w:szCs w:val="20"/>
        </w:rPr>
        <w:t>revenue recognized o</w:t>
      </w:r>
      <w:r>
        <w:rPr>
          <w:rFonts w:ascii="Arial" w:eastAsia="Times New Roman" w:hAnsi="Arial" w:cs="Arial"/>
          <w:color w:val="000000"/>
          <w:sz w:val="20"/>
          <w:szCs w:val="20"/>
        </w:rPr>
        <w:t>n projects exceeds the amount billed to the customer. These amounts are transferred to billed trade receivables when the rights become unconditional. Contract assets also include the capitalization of incremental costs of obtaining a contract with a custom</w:t>
      </w:r>
      <w:r>
        <w:rPr>
          <w:rFonts w:ascii="Arial" w:eastAsia="Times New Roman" w:hAnsi="Arial" w:cs="Arial"/>
          <w:color w:val="000000"/>
          <w:sz w:val="20"/>
          <w:szCs w:val="20"/>
        </w:rPr>
        <w:t>er, primarily commissions. Commissions expense is recognized on a straight-line basis over a weighted average expected customer relationship period.</w:t>
      </w:r>
    </w:p>
    <w:p w:rsidR="00000000" w:rsidRDefault="0099409C">
      <w:pPr>
        <w:ind w:firstLine="720"/>
        <w:jc w:val="both"/>
        <w:divId w:val="1791361590"/>
        <w:rPr>
          <w:rFonts w:eastAsia="Times New Roman"/>
        </w:rPr>
      </w:pPr>
      <w:r>
        <w:rPr>
          <w:rFonts w:ascii="Arial" w:eastAsia="Times New Roman" w:hAnsi="Arial" w:cs="Arial"/>
          <w:color w:val="000000"/>
          <w:sz w:val="20"/>
          <w:szCs w:val="20"/>
        </w:rPr>
        <w:t>Contract liabilities consist of deferred revenue and advance payments and billings in excess of revenue rec</w:t>
      </w:r>
      <w:r>
        <w:rPr>
          <w:rFonts w:ascii="Arial" w:eastAsia="Times New Roman" w:hAnsi="Arial" w:cs="Arial"/>
          <w:color w:val="000000"/>
          <w:sz w:val="20"/>
          <w:szCs w:val="20"/>
        </w:rPr>
        <w:t>ognized. We generally classify contract liabilities as current since the related contracts are generally for a period of one year or less. Contract liabilities decrease as we recognize revenue from the satisfaction of the related performance obligation.</w:t>
      </w:r>
    </w:p>
    <w:p w:rsidR="00000000" w:rsidRDefault="0099409C">
      <w:pPr>
        <w:ind w:firstLine="720"/>
        <w:jc w:val="both"/>
        <w:divId w:val="1477795416"/>
        <w:rPr>
          <w:rFonts w:eastAsia="Times New Roman"/>
        </w:rPr>
      </w:pPr>
      <w:r>
        <w:rPr>
          <w:rFonts w:ascii="Arial" w:eastAsia="Times New Roman" w:hAnsi="Arial" w:cs="Arial"/>
          <w:color w:val="000000"/>
          <w:sz w:val="20"/>
          <w:szCs w:val="20"/>
        </w:rPr>
        <w:t>Th</w:t>
      </w:r>
      <w:r>
        <w:rPr>
          <w:rFonts w:ascii="Arial" w:eastAsia="Times New Roman" w:hAnsi="Arial" w:cs="Arial"/>
          <w:color w:val="000000"/>
          <w:sz w:val="20"/>
          <w:szCs w:val="20"/>
        </w:rPr>
        <w:t xml:space="preserve">e following tables present the balances in our contract assets and contract liabilities: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768"/>
        <w:gridCol w:w="39"/>
        <w:gridCol w:w="36"/>
        <w:gridCol w:w="36"/>
        <w:gridCol w:w="36"/>
        <w:gridCol w:w="121"/>
        <w:gridCol w:w="1464"/>
        <w:gridCol w:w="36"/>
        <w:gridCol w:w="36"/>
        <w:gridCol w:w="36"/>
        <w:gridCol w:w="36"/>
        <w:gridCol w:w="121"/>
        <w:gridCol w:w="1465"/>
        <w:gridCol w:w="36"/>
      </w:tblGrid>
      <w:tr w:rsidR="00000000">
        <w:trPr>
          <w:divId w:val="670646910"/>
          <w:jc w:val="center"/>
        </w:trPr>
        <w:tc>
          <w:tcPr>
            <w:tcW w:w="50" w:type="pct"/>
            <w:vAlign w:val="center"/>
            <w:hideMark/>
          </w:tcPr>
          <w:p w:rsidR="00000000" w:rsidRDefault="0099409C">
            <w:pPr>
              <w:ind w:firstLine="720"/>
              <w:jc w:val="both"/>
              <w:rPr>
                <w:rFonts w:eastAsia="Times New Roman"/>
              </w:rPr>
            </w:pPr>
          </w:p>
        </w:tc>
        <w:tc>
          <w:tcPr>
            <w:tcW w:w="289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93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93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670646910"/>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20"/>
                <w:szCs w:val="20"/>
              </w:rPr>
              <w:t>July 31, 2022</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20"/>
                <w:szCs w:val="20"/>
              </w:rPr>
              <w:t>October 31, 2021</w:t>
            </w:r>
          </w:p>
        </w:tc>
      </w:tr>
      <w:tr w:rsidR="00000000">
        <w:trPr>
          <w:divId w:val="670646910"/>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Contract assets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670646910"/>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14885399"/>
              <w:rPr>
                <w:rFonts w:eastAsia="Times New Roman"/>
              </w:rPr>
            </w:pPr>
            <w:r>
              <w:rPr>
                <w:rFonts w:ascii="Arial" w:eastAsia="Times New Roman" w:hAnsi="Arial" w:cs="Arial"/>
                <w:color w:val="000000"/>
                <w:sz w:val="18"/>
                <w:szCs w:val="18"/>
              </w:rPr>
              <w:t>Billed trade receivable</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1,078.0 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1,057.6 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670646910"/>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divId w:val="1335261345"/>
              <w:rPr>
                <w:rFonts w:eastAsia="Times New Roman"/>
              </w:rPr>
            </w:pPr>
            <w:r>
              <w:rPr>
                <w:rFonts w:ascii="Arial" w:eastAsia="Times New Roman" w:hAnsi="Arial" w:cs="Arial"/>
                <w:color w:val="000000"/>
                <w:sz w:val="18"/>
                <w:szCs w:val="18"/>
              </w:rPr>
              <w:t>Unbilled trade receivable</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190.3 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112.1 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670646910"/>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1555194903"/>
              <w:rPr>
                <w:rFonts w:eastAsia="Times New Roman"/>
              </w:rPr>
            </w:pPr>
            <w:r>
              <w:rPr>
                <w:rFonts w:ascii="Arial" w:eastAsia="Times New Roman" w:hAnsi="Arial" w:cs="Arial"/>
                <w:color w:val="000000"/>
                <w:sz w:val="18"/>
                <w:szCs w:val="18"/>
              </w:rPr>
              <w:t>Costs incurred in excess of amounts bille</w:t>
            </w:r>
            <w:r>
              <w:rPr>
                <w:rFonts w:ascii="Arial" w:eastAsia="Times New Roman" w:hAnsi="Arial" w:cs="Arial"/>
                <w:color w:val="000000"/>
                <w:sz w:val="18"/>
                <w:szCs w:val="18"/>
              </w:rPr>
              <w:t>d</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78.7 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52.5 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670646910"/>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divId w:val="2006325504"/>
              <w:rPr>
                <w:rFonts w:eastAsia="Times New Roman"/>
              </w:rPr>
            </w:pPr>
            <w:r>
              <w:rPr>
                <w:rFonts w:ascii="Arial" w:eastAsia="Times New Roman" w:hAnsi="Arial" w:cs="Arial"/>
                <w:color w:val="000000"/>
                <w:sz w:val="18"/>
                <w:szCs w:val="18"/>
              </w:rPr>
              <w:t>Capitalized commission</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29.6 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27.8 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ind w:hanging="180"/>
        <w:jc w:val="both"/>
        <w:divId w:val="176869119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Included in trade accounts receivable, net, on the unaudited Consolidated Balance Sheets. The fluctuations correlate directly to the execution of new customer contracts and to invoicing and collections from customers in the normal course of business. </w:t>
      </w:r>
    </w:p>
    <w:p w:rsidR="00000000" w:rsidRDefault="0099409C">
      <w:pPr>
        <w:ind w:hanging="180"/>
        <w:jc w:val="both"/>
        <w:divId w:val="137234035"/>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Fluctuation is primarily due to the timing of payments on our contracts measured using the cost-to-cost method of revenue recognition. </w:t>
      </w:r>
    </w:p>
    <w:p w:rsidR="00000000" w:rsidRDefault="0099409C">
      <w:pPr>
        <w:ind w:hanging="180"/>
        <w:jc w:val="both"/>
        <w:divId w:val="1913151443"/>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Included in other current assets and other noncurrent assets on the unaudited Consolidated Balance Sheets. During th</w:t>
      </w:r>
      <w:r>
        <w:rPr>
          <w:rFonts w:ascii="Arial" w:eastAsia="Times New Roman" w:hAnsi="Arial" w:cs="Arial"/>
          <w:color w:val="000000"/>
          <w:sz w:val="18"/>
          <w:szCs w:val="18"/>
        </w:rPr>
        <w:t>e nine months ended July 31, 2022, we capitalized $12.2 million of new costs and amortized $10.5 million of previously capitalized costs. There was no impairment loss recorded on the costs capitalized.</w:t>
      </w:r>
    </w:p>
    <w:tbl>
      <w:tblPr>
        <w:tblW w:w="5000" w:type="pct"/>
        <w:tblCellMar>
          <w:top w:w="15" w:type="dxa"/>
          <w:left w:w="15" w:type="dxa"/>
          <w:bottom w:w="15" w:type="dxa"/>
          <w:right w:w="15" w:type="dxa"/>
        </w:tblCellMar>
        <w:tblLook w:val="04A0" w:firstRow="1" w:lastRow="0" w:firstColumn="1" w:lastColumn="0" w:noHBand="0" w:noVBand="1"/>
      </w:tblPr>
      <w:tblGrid>
        <w:gridCol w:w="45"/>
        <w:gridCol w:w="6333"/>
        <w:gridCol w:w="37"/>
        <w:gridCol w:w="36"/>
        <w:gridCol w:w="36"/>
        <w:gridCol w:w="36"/>
        <w:gridCol w:w="122"/>
        <w:gridCol w:w="1625"/>
        <w:gridCol w:w="36"/>
      </w:tblGrid>
      <w:tr w:rsidR="00000000">
        <w:trPr>
          <w:divId w:val="395669858"/>
        </w:trPr>
        <w:tc>
          <w:tcPr>
            <w:tcW w:w="50" w:type="pct"/>
            <w:vAlign w:val="center"/>
            <w:hideMark/>
          </w:tcPr>
          <w:p w:rsidR="00000000" w:rsidRDefault="0099409C">
            <w:pPr>
              <w:ind w:hanging="180"/>
              <w:jc w:val="both"/>
              <w:rPr>
                <w:rFonts w:eastAsia="Times New Roman"/>
              </w:rPr>
            </w:pPr>
          </w:p>
        </w:tc>
        <w:tc>
          <w:tcPr>
            <w:tcW w:w="3833"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10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39566985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Nine Months Ended</w:t>
            </w:r>
            <w:r>
              <w:rPr>
                <w:rFonts w:ascii="Arial" w:eastAsia="Times New Roman" w:hAnsi="Arial" w:cs="Arial"/>
                <w:b/>
                <w:bCs/>
                <w:color w:val="000000"/>
                <w:sz w:val="18"/>
                <w:szCs w:val="18"/>
              </w:rPr>
              <w:br/>
              <w:t>July 31, 2022</w:t>
            </w:r>
          </w:p>
        </w:tc>
      </w:tr>
      <w:tr w:rsidR="00000000">
        <w:trPr>
          <w:divId w:val="395669858"/>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divId w:val="975720645"/>
              <w:rPr>
                <w:rFonts w:eastAsia="Times New Roman"/>
              </w:rPr>
            </w:pPr>
            <w:r>
              <w:rPr>
                <w:rFonts w:ascii="Arial" w:eastAsia="Times New Roman" w:hAnsi="Arial" w:cs="Arial"/>
                <w:b/>
                <w:bCs/>
                <w:color w:val="000000"/>
                <w:sz w:val="18"/>
                <w:szCs w:val="18"/>
              </w:rPr>
              <w:t>Contract liabilitie</w:t>
            </w:r>
            <w:r>
              <w:rPr>
                <w:rFonts w:ascii="Arial" w:eastAsia="Times New Roman" w:hAnsi="Arial" w:cs="Arial"/>
                <w:b/>
                <w:bCs/>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395669858"/>
        </w:trPr>
        <w:tc>
          <w:tcPr>
            <w:tcW w:w="0" w:type="auto"/>
            <w:gridSpan w:val="3"/>
            <w:shd w:val="clear" w:color="auto" w:fill="FFFFFF"/>
            <w:tcMar>
              <w:top w:w="30" w:type="dxa"/>
              <w:left w:w="24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Balance at beginning of period</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58.5 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95669858"/>
        </w:trPr>
        <w:tc>
          <w:tcPr>
            <w:tcW w:w="0" w:type="auto"/>
            <w:gridSpan w:val="3"/>
            <w:shd w:val="clear" w:color="auto" w:fill="DCE2EF"/>
            <w:tcMar>
              <w:top w:w="30" w:type="dxa"/>
              <w:left w:w="24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Additional contract liabilities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165.2 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95669858"/>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ind w:hanging="180"/>
              <w:divId w:val="1162312034"/>
              <w:rPr>
                <w:rFonts w:eastAsia="Times New Roman"/>
              </w:rPr>
            </w:pPr>
            <w:r>
              <w:rPr>
                <w:rFonts w:ascii="Arial" w:eastAsia="Times New Roman" w:hAnsi="Arial" w:cs="Arial"/>
                <w:color w:val="000000"/>
                <w:sz w:val="18"/>
                <w:szCs w:val="18"/>
              </w:rPr>
              <w:t>Recognition of deferred revenue</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(165.1)</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95669858"/>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ind w:hanging="180"/>
              <w:divId w:val="1038777998"/>
              <w:rPr>
                <w:rFonts w:eastAsia="Times New Roman"/>
              </w:rPr>
            </w:pPr>
            <w:r>
              <w:rPr>
                <w:rFonts w:ascii="Arial" w:eastAsia="Times New Roman" w:hAnsi="Arial" w:cs="Arial"/>
                <w:color w:val="000000"/>
                <w:sz w:val="18"/>
                <w:szCs w:val="18"/>
              </w:rPr>
              <w:t>Balance at end of period</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ind w:hanging="18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58.6 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ind w:hanging="180"/>
        <w:jc w:val="both"/>
        <w:divId w:val="2014868632"/>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Included in other accrued liabilities on the unaudited Consolidated Balance Sheets. </w:t>
      </w:r>
    </w:p>
    <w:p w:rsidR="00000000" w:rsidRDefault="0099409C">
      <w:pPr>
        <w:jc w:val="center"/>
        <w:divId w:val="112021871"/>
        <w:rPr>
          <w:rFonts w:eastAsia="Times New Roman"/>
        </w:rPr>
      </w:pPr>
      <w:r>
        <w:rPr>
          <w:rFonts w:ascii="Arial" w:eastAsia="Times New Roman" w:hAnsi="Arial" w:cs="Arial"/>
          <w:color w:val="000000"/>
          <w:sz w:val="20"/>
          <w:szCs w:val="20"/>
        </w:rPr>
        <w:t>13</w:t>
      </w:r>
    </w:p>
    <w:p w:rsidR="00000000" w:rsidRDefault="0099409C">
      <w:pPr>
        <w:rPr>
          <w:rFonts w:eastAsia="Times New Roman"/>
        </w:rPr>
      </w:pPr>
      <w:r>
        <w:rPr>
          <w:rFonts w:eastAsia="Times New Roman"/>
        </w:rPr>
        <w:pict>
          <v:rect id="_x0000_i1042" style="width:0;height:1.5pt" o:hralign="center" o:hrstd="t" o:hr="t" fillcolor="#a0a0a0" stroked="f"/>
        </w:pict>
      </w:r>
    </w:p>
    <w:p w:rsidR="00000000" w:rsidRDefault="0099409C">
      <w:pPr>
        <w:jc w:val="both"/>
        <w:divId w:val="610817336"/>
        <w:rPr>
          <w:rFonts w:eastAsia="Times New Roman"/>
        </w:rPr>
      </w:pPr>
    </w:p>
    <w:p w:rsidR="00000000" w:rsidRDefault="0099409C">
      <w:pPr>
        <w:divId w:val="677535609"/>
        <w:rPr>
          <w:rFonts w:eastAsia="Times New Roman"/>
        </w:rPr>
      </w:pPr>
      <w:r>
        <w:rPr>
          <w:rFonts w:ascii="Arial" w:eastAsia="Times New Roman" w:hAnsi="Arial" w:cs="Arial"/>
          <w:b/>
          <w:bCs/>
          <w:color w:val="0046AD"/>
          <w:sz w:val="20"/>
          <w:szCs w:val="20"/>
        </w:rPr>
        <w:t>5. NET INCOME (LOSS) PER COMMON SHARE</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2135056357"/>
        </w:trPr>
        <w:tc>
          <w:tcPr>
            <w:tcW w:w="5" w:type="pct"/>
            <w:vAlign w:val="center"/>
            <w:hideMark/>
          </w:tcPr>
          <w:p w:rsidR="00000000" w:rsidRDefault="0099409C">
            <w:pPr>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2135056357"/>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jc w:val="both"/>
        <w:divId w:val="2000618227"/>
        <w:rPr>
          <w:rFonts w:eastAsia="Times New Roman"/>
        </w:rPr>
      </w:pPr>
      <w:r>
        <w:rPr>
          <w:rFonts w:ascii="Arial" w:eastAsia="Times New Roman" w:hAnsi="Arial" w:cs="Arial"/>
          <w:b/>
          <w:bCs/>
          <w:color w:val="0046AD"/>
          <w:sz w:val="20"/>
          <w:szCs w:val="20"/>
        </w:rPr>
        <w:t>Basic and Diluted Net Income (Loss) Per Common Share Calculations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3555"/>
        <w:gridCol w:w="38"/>
        <w:gridCol w:w="121"/>
        <w:gridCol w:w="962"/>
        <w:gridCol w:w="36"/>
        <w:gridCol w:w="36"/>
        <w:gridCol w:w="36"/>
        <w:gridCol w:w="36"/>
        <w:gridCol w:w="121"/>
        <w:gridCol w:w="920"/>
        <w:gridCol w:w="36"/>
        <w:gridCol w:w="36"/>
        <w:gridCol w:w="36"/>
        <w:gridCol w:w="36"/>
        <w:gridCol w:w="121"/>
        <w:gridCol w:w="920"/>
        <w:gridCol w:w="36"/>
        <w:gridCol w:w="36"/>
        <w:gridCol w:w="36"/>
        <w:gridCol w:w="36"/>
        <w:gridCol w:w="121"/>
        <w:gridCol w:w="920"/>
        <w:gridCol w:w="36"/>
      </w:tblGrid>
      <w:tr w:rsidR="00000000">
        <w:trPr>
          <w:divId w:val="1280988233"/>
        </w:trPr>
        <w:tc>
          <w:tcPr>
            <w:tcW w:w="50" w:type="pct"/>
            <w:vAlign w:val="center"/>
            <w:hideMark/>
          </w:tcPr>
          <w:p w:rsidR="00000000" w:rsidRDefault="0099409C">
            <w:pPr>
              <w:jc w:val="both"/>
              <w:rPr>
                <w:rFonts w:eastAsia="Times New Roman"/>
              </w:rPr>
            </w:pPr>
          </w:p>
        </w:tc>
        <w:tc>
          <w:tcPr>
            <w:tcW w:w="217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1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1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1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1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280988233"/>
        </w:trPr>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Nine Months Ended July 31,</w:t>
            </w:r>
          </w:p>
        </w:tc>
      </w:tr>
      <w:tr w:rsidR="00000000">
        <w:trPr>
          <w:divId w:val="1280988233"/>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8"/>
                <w:szCs w:val="18"/>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r>
      <w:tr w:rsidR="00000000">
        <w:trPr>
          <w:divId w:val="1280988233"/>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Net income (loss)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56.8 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(13.7)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181.6 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92.0 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280988233"/>
          <w:trHeight w:val="280"/>
        </w:trPr>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280988233"/>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divId w:val="964963452"/>
              <w:rPr>
                <w:rFonts w:eastAsia="Times New Roman"/>
              </w:rPr>
            </w:pPr>
            <w:r>
              <w:rPr>
                <w:rFonts w:ascii="Arial" w:eastAsia="Times New Roman" w:hAnsi="Arial" w:cs="Arial"/>
                <w:b/>
                <w:bCs/>
                <w:color w:val="000000"/>
                <w:sz w:val="18"/>
                <w:szCs w:val="18"/>
              </w:rPr>
              <w:t xml:space="preserve">Weighted-average common and common </w:t>
            </w:r>
          </w:p>
          <w:p w:rsidR="00000000" w:rsidRDefault="0099409C">
            <w:pPr>
              <w:spacing w:after="100"/>
              <w:ind w:firstLine="180"/>
              <w:divId w:val="722100057"/>
              <w:rPr>
                <w:rFonts w:eastAsia="Times New Roman"/>
              </w:rPr>
            </w:pPr>
            <w:r>
              <w:rPr>
                <w:rFonts w:ascii="Arial" w:eastAsia="Times New Roman" w:hAnsi="Arial" w:cs="Arial"/>
                <w:b/>
                <w:bCs/>
                <w:color w:val="000000"/>
                <w:sz w:val="18"/>
                <w:szCs w:val="18"/>
              </w:rPr>
              <w:t>  equivalent shares outstanding — Basic</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66.8 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67.5 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67.3 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67.3 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280988233"/>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1977055880"/>
              <w:rPr>
                <w:rFonts w:eastAsia="Times New Roman"/>
              </w:rPr>
            </w:pPr>
            <w:r>
              <w:rPr>
                <w:rFonts w:ascii="Arial" w:eastAsia="Times New Roman" w:hAnsi="Arial" w:cs="Arial"/>
                <w:color w:val="000000"/>
                <w:sz w:val="18"/>
                <w:szCs w:val="18"/>
              </w:rPr>
              <w:t>Effect of dilutive securitie</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280988233"/>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Restricted stock units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0.3 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280988233"/>
        </w:trPr>
        <w:tc>
          <w:tcPr>
            <w:tcW w:w="0" w:type="auto"/>
            <w:gridSpan w:val="3"/>
            <w:vAlign w:val="center"/>
            <w:hideMark/>
          </w:tcPr>
          <w:p w:rsidR="00000000" w:rsidRDefault="0099409C">
            <w:pPr>
              <w:spacing w:after="100"/>
              <w:jc w:val="right"/>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1280988233"/>
        </w:trPr>
        <w:tc>
          <w:tcPr>
            <w:tcW w:w="0" w:type="auto"/>
            <w:gridSpan w:val="3"/>
            <w:shd w:val="clear" w:color="auto" w:fill="FFFFF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Performance shares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280988233"/>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divId w:val="1454638298"/>
              <w:rPr>
                <w:rFonts w:eastAsia="Times New Roman"/>
              </w:rPr>
            </w:pPr>
            <w:r>
              <w:rPr>
                <w:rFonts w:ascii="Arial" w:eastAsia="Times New Roman" w:hAnsi="Arial" w:cs="Arial"/>
                <w:b/>
                <w:bCs/>
                <w:color w:val="000000"/>
                <w:sz w:val="18"/>
                <w:szCs w:val="18"/>
              </w:rPr>
              <w:t>Weighted-average common and common</w:t>
            </w:r>
          </w:p>
          <w:p w:rsidR="00000000" w:rsidRDefault="0099409C">
            <w:pPr>
              <w:spacing w:after="100"/>
              <w:ind w:firstLine="180"/>
              <w:divId w:val="667710440"/>
              <w:rPr>
                <w:rFonts w:eastAsia="Times New Roman"/>
              </w:rPr>
            </w:pPr>
            <w:r>
              <w:rPr>
                <w:rFonts w:ascii="Arial" w:eastAsia="Times New Roman" w:hAnsi="Arial" w:cs="Arial"/>
                <w:b/>
                <w:bCs/>
                <w:color w:val="000000"/>
                <w:sz w:val="18"/>
                <w:szCs w:val="18"/>
              </w:rPr>
              <w:t>  equivalent shares outstanding — Diluted</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67.2 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280988233"/>
          <w:trHeight w:val="280"/>
        </w:trPr>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280988233"/>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Net income (loss) per common share</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280988233"/>
        </w:trPr>
        <w:tc>
          <w:tcPr>
            <w:tcW w:w="0" w:type="auto"/>
            <w:gridSpan w:val="3"/>
            <w:shd w:val="clear" w:color="auto" w:fill="FFFFF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xml:space="preserve">Basic </w:t>
            </w: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0.85 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(0.20)</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2.70 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1.37 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280988233"/>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Diluted</w:t>
            </w: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0.85 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(0.20)</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2.68 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1.36 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ind w:hanging="180"/>
        <w:jc w:val="both"/>
        <w:divId w:val="5585645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Excludes the impact of potentially dilutive outstanding share-based securities that are excluded from the calculation of diluted loss per share in periods when we have a loss, as their inclusion would have an anti-dilutive effect. Such impact is included i</w:t>
      </w:r>
      <w:r>
        <w:rPr>
          <w:rFonts w:ascii="Arial" w:eastAsia="Times New Roman" w:hAnsi="Arial" w:cs="Arial"/>
          <w:color w:val="000000"/>
          <w:sz w:val="18"/>
          <w:szCs w:val="18"/>
        </w:rPr>
        <w:t xml:space="preserve">n the table below. </w:t>
      </w:r>
    </w:p>
    <w:p w:rsidR="00000000" w:rsidRDefault="0099409C">
      <w:pPr>
        <w:jc w:val="both"/>
        <w:divId w:val="161625581"/>
        <w:rPr>
          <w:rFonts w:eastAsia="Times New Roman"/>
        </w:rPr>
      </w:pPr>
      <w:r>
        <w:rPr>
          <w:rFonts w:ascii="Arial" w:eastAsia="Times New Roman" w:hAnsi="Arial" w:cs="Arial"/>
          <w:b/>
          <w:bCs/>
          <w:color w:val="0046AD"/>
          <w:sz w:val="20"/>
          <w:szCs w:val="20"/>
        </w:rPr>
        <w:t>Anti-Dilutive Outstanding Stock Awards Issued Under Share-Based Compensation Plans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3589"/>
        <w:gridCol w:w="36"/>
        <w:gridCol w:w="59"/>
        <w:gridCol w:w="989"/>
        <w:gridCol w:w="38"/>
        <w:gridCol w:w="37"/>
        <w:gridCol w:w="37"/>
        <w:gridCol w:w="37"/>
        <w:gridCol w:w="41"/>
        <w:gridCol w:w="989"/>
        <w:gridCol w:w="37"/>
        <w:gridCol w:w="36"/>
        <w:gridCol w:w="36"/>
        <w:gridCol w:w="36"/>
        <w:gridCol w:w="42"/>
        <w:gridCol w:w="989"/>
        <w:gridCol w:w="38"/>
        <w:gridCol w:w="37"/>
        <w:gridCol w:w="37"/>
        <w:gridCol w:w="37"/>
        <w:gridCol w:w="43"/>
        <w:gridCol w:w="990"/>
        <w:gridCol w:w="37"/>
      </w:tblGrid>
      <w:tr w:rsidR="00000000">
        <w:trPr>
          <w:divId w:val="1251160541"/>
          <w:jc w:val="center"/>
        </w:trPr>
        <w:tc>
          <w:tcPr>
            <w:tcW w:w="50" w:type="pct"/>
            <w:vAlign w:val="center"/>
            <w:hideMark/>
          </w:tcPr>
          <w:p w:rsidR="00000000" w:rsidRDefault="0099409C">
            <w:pPr>
              <w:jc w:val="both"/>
              <w:rPr>
                <w:rFonts w:eastAsia="Times New Roman"/>
              </w:rPr>
            </w:pPr>
          </w:p>
        </w:tc>
        <w:tc>
          <w:tcPr>
            <w:tcW w:w="217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1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1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1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1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251160541"/>
          <w:jc w:val="center"/>
        </w:trPr>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Nine Months Ended July 31,</w:t>
            </w:r>
          </w:p>
        </w:tc>
      </w:tr>
      <w:tr w:rsidR="00000000">
        <w:trPr>
          <w:divId w:val="1251160541"/>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8"/>
                <w:szCs w:val="18"/>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r>
      <w:tr w:rsidR="00000000">
        <w:trPr>
          <w:divId w:val="1251160541"/>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Anti-dilutive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ind w:hanging="180"/>
        <w:jc w:val="both"/>
        <w:divId w:val="305480134"/>
        <w:rPr>
          <w:rFonts w:eastAsia="Times New Roman"/>
        </w:rPr>
      </w:pPr>
    </w:p>
    <w:p w:rsidR="00000000" w:rsidRDefault="0099409C">
      <w:pPr>
        <w:jc w:val="center"/>
        <w:divId w:val="1505130326"/>
        <w:rPr>
          <w:rFonts w:eastAsia="Times New Roman"/>
        </w:rPr>
      </w:pPr>
      <w:r>
        <w:rPr>
          <w:rFonts w:ascii="Arial" w:eastAsia="Times New Roman" w:hAnsi="Arial" w:cs="Arial"/>
          <w:color w:val="000000"/>
          <w:sz w:val="20"/>
          <w:szCs w:val="20"/>
        </w:rPr>
        <w:t>14</w:t>
      </w:r>
    </w:p>
    <w:p w:rsidR="00000000" w:rsidRDefault="0099409C">
      <w:pPr>
        <w:rPr>
          <w:rFonts w:eastAsia="Times New Roman"/>
        </w:rPr>
      </w:pPr>
      <w:r>
        <w:rPr>
          <w:rFonts w:eastAsia="Times New Roman"/>
        </w:rPr>
        <w:pict>
          <v:rect id="_x0000_i1043" style="width:0;height:1.5pt" o:hralign="center" o:hrstd="t" o:hr="t" fillcolor="#a0a0a0" stroked="f"/>
        </w:pict>
      </w:r>
    </w:p>
    <w:p w:rsidR="00000000" w:rsidRDefault="0099409C">
      <w:pPr>
        <w:jc w:val="both"/>
        <w:divId w:val="1404841226"/>
        <w:rPr>
          <w:rFonts w:eastAsia="Times New Roman"/>
        </w:rPr>
      </w:pPr>
    </w:p>
    <w:p w:rsidR="00000000" w:rsidRDefault="0099409C">
      <w:pPr>
        <w:jc w:val="both"/>
        <w:divId w:val="690567851"/>
        <w:rPr>
          <w:rFonts w:eastAsia="Times New Roman"/>
        </w:rPr>
      </w:pPr>
      <w:r>
        <w:rPr>
          <w:rFonts w:ascii="Arial" w:eastAsia="Times New Roman" w:hAnsi="Arial" w:cs="Arial"/>
          <w:b/>
          <w:bCs/>
          <w:color w:val="0046AD"/>
          <w:sz w:val="20"/>
          <w:szCs w:val="20"/>
        </w:rPr>
        <w:t>6. FAIR VALUE OF FINANCIAL INSTRUMENTS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66922582"/>
        </w:trPr>
        <w:tc>
          <w:tcPr>
            <w:tcW w:w="5" w:type="pct"/>
            <w:vAlign w:val="center"/>
            <w:hideMark/>
          </w:tcPr>
          <w:p w:rsidR="00000000" w:rsidRDefault="0099409C">
            <w:pPr>
              <w:jc w:val="both"/>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66922582"/>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divId w:val="2097163621"/>
        <w:rPr>
          <w:rFonts w:eastAsia="Times New Roman"/>
        </w:rPr>
      </w:pPr>
      <w:r>
        <w:rPr>
          <w:rFonts w:ascii="Arial" w:eastAsia="Times New Roman" w:hAnsi="Arial" w:cs="Arial"/>
          <w:b/>
          <w:bCs/>
          <w:color w:val="0046AD"/>
          <w:sz w:val="20"/>
          <w:szCs w:val="20"/>
        </w:rPr>
        <w:t>Fair Value Hierarchy of Our Financial Instruments</w:t>
      </w:r>
    </w:p>
    <w:p w:rsidR="00000000" w:rsidRDefault="0099409C">
      <w:pPr>
        <w:jc w:val="both"/>
        <w:divId w:val="73087982"/>
        <w:rPr>
          <w:rFonts w:eastAsia="Times New Roman"/>
        </w:rPr>
      </w:pPr>
      <w:r>
        <w:rPr>
          <w:rFonts w:ascii="Arial" w:eastAsia="Times New Roman" w:hAnsi="Arial" w:cs="Arial"/>
          <w:b/>
          <w:bCs/>
          <w:i/>
          <w:iCs/>
          <w:color w:val="0046AD"/>
          <w:sz w:val="20"/>
          <w:szCs w:val="20"/>
        </w:rPr>
        <w:t xml:space="preserve">Financial Assets and Liabilities Measured at Fair Value on a Recurring Basis </w:t>
      </w:r>
    </w:p>
    <w:tbl>
      <w:tblPr>
        <w:tblW w:w="5000" w:type="pct"/>
        <w:tblCellMar>
          <w:top w:w="15" w:type="dxa"/>
          <w:left w:w="15" w:type="dxa"/>
          <w:bottom w:w="15" w:type="dxa"/>
          <w:right w:w="15" w:type="dxa"/>
        </w:tblCellMar>
        <w:tblLook w:val="04A0" w:firstRow="1" w:lastRow="0" w:firstColumn="1" w:lastColumn="0" w:noHBand="0" w:noVBand="1"/>
      </w:tblPr>
      <w:tblGrid>
        <w:gridCol w:w="45"/>
        <w:gridCol w:w="4135"/>
        <w:gridCol w:w="37"/>
        <w:gridCol w:w="65"/>
        <w:gridCol w:w="979"/>
        <w:gridCol w:w="36"/>
        <w:gridCol w:w="36"/>
        <w:gridCol w:w="36"/>
        <w:gridCol w:w="36"/>
        <w:gridCol w:w="122"/>
        <w:gridCol w:w="1238"/>
        <w:gridCol w:w="36"/>
        <w:gridCol w:w="36"/>
        <w:gridCol w:w="36"/>
        <w:gridCol w:w="36"/>
        <w:gridCol w:w="122"/>
        <w:gridCol w:w="1239"/>
        <w:gridCol w:w="36"/>
      </w:tblGrid>
      <w:tr w:rsidR="00000000">
        <w:trPr>
          <w:divId w:val="1566456381"/>
        </w:trPr>
        <w:tc>
          <w:tcPr>
            <w:tcW w:w="50" w:type="pct"/>
            <w:vAlign w:val="center"/>
            <w:hideMark/>
          </w:tcPr>
          <w:p w:rsidR="00000000" w:rsidRDefault="0099409C">
            <w:pPr>
              <w:jc w:val="both"/>
              <w:rPr>
                <w:rFonts w:eastAsia="Times New Roman"/>
              </w:rPr>
            </w:pPr>
          </w:p>
        </w:tc>
        <w:tc>
          <w:tcPr>
            <w:tcW w:w="251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2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8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8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566456381"/>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8"/>
                <w:szCs w:val="18"/>
                <w:u w:val="single"/>
              </w:rPr>
              <w:t>(in millions)</w:t>
            </w: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Fair Value Hierarchy</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July 31, 2022</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October 31, 2021</w:t>
            </w:r>
          </w:p>
        </w:tc>
      </w:tr>
      <w:tr w:rsidR="00000000">
        <w:trPr>
          <w:divId w:val="1566456381"/>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divId w:val="675693178"/>
              <w:rPr>
                <w:rFonts w:eastAsia="Times New Roman"/>
              </w:rPr>
            </w:pPr>
            <w:r>
              <w:rPr>
                <w:rFonts w:ascii="Arial" w:eastAsia="Times New Roman" w:hAnsi="Arial" w:cs="Arial"/>
                <w:color w:val="000000"/>
                <w:sz w:val="18"/>
                <w:szCs w:val="18"/>
              </w:rPr>
              <w:t>Cash and cash equivalent</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63.9 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566456381"/>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1326208429"/>
              <w:rPr>
                <w:rFonts w:eastAsia="Times New Roman"/>
              </w:rPr>
            </w:pPr>
            <w:r>
              <w:rPr>
                <w:rFonts w:ascii="Arial" w:eastAsia="Times New Roman" w:hAnsi="Arial" w:cs="Arial"/>
                <w:color w:val="000000"/>
                <w:sz w:val="18"/>
                <w:szCs w:val="18"/>
              </w:rPr>
              <w:t>Insurance deposit</w:t>
            </w:r>
            <w:r>
              <w:rPr>
                <w:rFonts w:ascii="Arial" w:eastAsia="Times New Roman" w:hAnsi="Arial" w:cs="Arial"/>
                <w:color w:val="000000"/>
                <w:sz w:val="18"/>
                <w:szCs w:val="18"/>
              </w:rPr>
              <w:t>s</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566456381"/>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divId w:val="1709183020"/>
              <w:rPr>
                <w:rFonts w:eastAsia="Times New Roman"/>
              </w:rPr>
            </w:pPr>
            <w:r>
              <w:rPr>
                <w:rFonts w:ascii="Arial" w:eastAsia="Times New Roman" w:hAnsi="Arial" w:cs="Arial"/>
                <w:color w:val="000000"/>
                <w:sz w:val="18"/>
                <w:szCs w:val="18"/>
              </w:rPr>
              <w:t>Assets held in funded deferred compensation pla</w:t>
            </w:r>
            <w:r>
              <w:rPr>
                <w:rFonts w:ascii="Arial" w:eastAsia="Times New Roman" w:hAnsi="Arial" w:cs="Arial"/>
                <w:color w:val="000000"/>
                <w:sz w:val="18"/>
                <w:szCs w:val="18"/>
              </w:rPr>
              <w:t>n</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4.2 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4.9 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566456381"/>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2037541154"/>
              <w:rPr>
                <w:rFonts w:eastAsia="Times New Roman"/>
              </w:rPr>
            </w:pPr>
            <w:r>
              <w:rPr>
                <w:rFonts w:ascii="Arial" w:eastAsia="Times New Roman" w:hAnsi="Arial" w:cs="Arial"/>
                <w:color w:val="000000"/>
                <w:sz w:val="18"/>
                <w:szCs w:val="18"/>
              </w:rPr>
              <w:t>Debt facilitie</w:t>
            </w:r>
            <w:r>
              <w:rPr>
                <w:rFonts w:ascii="Arial" w:eastAsia="Times New Roman" w:hAnsi="Arial" w:cs="Arial"/>
                <w:color w:val="000000"/>
                <w:sz w:val="18"/>
                <w:szCs w:val="18"/>
              </w:rPr>
              <w:t>s</w:t>
            </w:r>
            <w:r>
              <w:rPr>
                <w:rFonts w:ascii="Arial" w:eastAsia="Times New Roman" w:hAnsi="Arial" w:cs="Arial"/>
                <w:color w:val="000000"/>
                <w:sz w:val="12"/>
                <w:szCs w:val="12"/>
              </w:rPr>
              <w:t>(4</w:t>
            </w:r>
            <w:r>
              <w:rPr>
                <w:rFonts w:ascii="Arial" w:eastAsia="Times New Roman" w:hAnsi="Arial" w:cs="Arial"/>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1,194.4 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888.8 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566456381"/>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divId w:val="1571228350"/>
              <w:rPr>
                <w:rFonts w:eastAsia="Times New Roman"/>
              </w:rPr>
            </w:pPr>
            <w:r>
              <w:rPr>
                <w:rFonts w:ascii="Arial" w:eastAsia="Times New Roman" w:hAnsi="Arial" w:cs="Arial"/>
                <w:color w:val="000000"/>
                <w:sz w:val="18"/>
                <w:szCs w:val="18"/>
              </w:rPr>
              <w:t>Interest rate swap asset</w:t>
            </w:r>
            <w:r>
              <w:rPr>
                <w:rFonts w:ascii="Arial" w:eastAsia="Times New Roman" w:hAnsi="Arial" w:cs="Arial"/>
                <w:color w:val="000000"/>
                <w:sz w:val="18"/>
                <w:szCs w:val="18"/>
              </w:rPr>
              <w:t>s</w:t>
            </w:r>
            <w:r>
              <w:rPr>
                <w:rFonts w:ascii="Arial" w:eastAsia="Times New Roman" w:hAnsi="Arial" w:cs="Arial"/>
                <w:color w:val="000000"/>
                <w:sz w:val="12"/>
                <w:szCs w:val="12"/>
              </w:rPr>
              <w:t>(5</w:t>
            </w:r>
            <w:r>
              <w:rPr>
                <w:rFonts w:ascii="Arial" w:eastAsia="Times New Roman" w:hAnsi="Arial" w:cs="Arial"/>
                <w:color w:val="000000"/>
                <w:sz w:val="12"/>
                <w:szCs w:val="12"/>
              </w:rPr>
              <w:t>)</w:t>
            </w: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7.9 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566456381"/>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543250338"/>
              <w:rPr>
                <w:rFonts w:eastAsia="Times New Roman"/>
              </w:rPr>
            </w:pPr>
            <w:r>
              <w:rPr>
                <w:rFonts w:ascii="Arial" w:eastAsia="Times New Roman" w:hAnsi="Arial" w:cs="Arial"/>
                <w:color w:val="000000"/>
                <w:sz w:val="18"/>
                <w:szCs w:val="18"/>
              </w:rPr>
              <w:t>Interest rate swap liabilitie</w:t>
            </w:r>
            <w:r>
              <w:rPr>
                <w:rFonts w:ascii="Arial" w:eastAsia="Times New Roman" w:hAnsi="Arial" w:cs="Arial"/>
                <w:color w:val="000000"/>
                <w:sz w:val="18"/>
                <w:szCs w:val="18"/>
              </w:rPr>
              <w:t>s</w:t>
            </w:r>
            <w:r>
              <w:rPr>
                <w:rFonts w:ascii="Arial" w:eastAsia="Times New Roman" w:hAnsi="Arial" w:cs="Arial"/>
                <w:color w:val="000000"/>
                <w:sz w:val="12"/>
                <w:szCs w:val="12"/>
              </w:rPr>
              <w:t>(5</w:t>
            </w:r>
            <w:r>
              <w:rPr>
                <w:rFonts w:ascii="Arial" w:eastAsia="Times New Roman" w:hAnsi="Arial" w:cs="Arial"/>
                <w:color w:val="000000"/>
                <w:sz w:val="12"/>
                <w:szCs w:val="12"/>
              </w:rPr>
              <w:t>)</w:t>
            </w: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566456381"/>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divId w:val="379520957"/>
              <w:rPr>
                <w:rFonts w:eastAsia="Times New Roman"/>
              </w:rPr>
            </w:pPr>
            <w:r>
              <w:rPr>
                <w:rFonts w:ascii="Arial" w:eastAsia="Times New Roman" w:hAnsi="Arial" w:cs="Arial"/>
                <w:color w:val="000000"/>
                <w:sz w:val="18"/>
                <w:szCs w:val="18"/>
              </w:rPr>
              <w:t>Preferred equity investmen</w:t>
            </w:r>
            <w:r>
              <w:rPr>
                <w:rFonts w:ascii="Arial" w:eastAsia="Times New Roman" w:hAnsi="Arial" w:cs="Arial"/>
                <w:color w:val="000000"/>
                <w:sz w:val="18"/>
                <w:szCs w:val="18"/>
              </w:rPr>
              <w:t>t</w:t>
            </w:r>
            <w:r>
              <w:rPr>
                <w:rFonts w:ascii="Arial" w:eastAsia="Times New Roman" w:hAnsi="Arial" w:cs="Arial"/>
                <w:color w:val="000000"/>
                <w:sz w:val="12"/>
                <w:szCs w:val="12"/>
              </w:rPr>
              <w:t>(6</w:t>
            </w:r>
            <w:r>
              <w:rPr>
                <w:rFonts w:ascii="Arial" w:eastAsia="Times New Roman" w:hAnsi="Arial" w:cs="Arial"/>
                <w:color w:val="000000"/>
                <w:sz w:val="12"/>
                <w:szCs w:val="12"/>
              </w:rPr>
              <w:t>)</w:t>
            </w: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3</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ind w:hanging="180"/>
        <w:jc w:val="both"/>
        <w:divId w:val="1576356090"/>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Cash and cash equivalents are stated at nominal value, which equals fair value.</w:t>
      </w:r>
    </w:p>
    <w:p w:rsidR="00000000" w:rsidRDefault="0099409C">
      <w:pPr>
        <w:ind w:hanging="180"/>
        <w:jc w:val="both"/>
        <w:divId w:val="889880159"/>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Represents restricted deposits that are used to collateralize our insurance obligations and are stated at nominal value, which equals fair value. These insurance deposits are included in “Other noncurrent assets” on the accompanying unaudited Consolidated </w:t>
      </w:r>
      <w:r>
        <w:rPr>
          <w:rFonts w:ascii="Arial" w:eastAsia="Times New Roman" w:hAnsi="Arial" w:cs="Arial"/>
          <w:color w:val="000000"/>
          <w:sz w:val="18"/>
          <w:szCs w:val="18"/>
        </w:rPr>
        <w:t>Balance Sheets. See Note 7, “Insurance,” for further information.</w:t>
      </w:r>
    </w:p>
    <w:p w:rsidR="00000000" w:rsidRDefault="0099409C">
      <w:pPr>
        <w:ind w:hanging="180"/>
        <w:jc w:val="both"/>
        <w:divId w:val="565729639"/>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investments held in a Rabbi trust associated with one of our deferred compensation plans, which we include in “Other noncurrent assets” on the accompanying unaudited Consolida</w:t>
      </w:r>
      <w:r>
        <w:rPr>
          <w:rFonts w:ascii="Arial" w:eastAsia="Times New Roman" w:hAnsi="Arial" w:cs="Arial"/>
          <w:color w:val="000000"/>
          <w:sz w:val="18"/>
          <w:szCs w:val="18"/>
        </w:rPr>
        <w:t xml:space="preserve">ted Balance Sheets. The fair value of the assets held in the funded deferred compensation plan is based on quoted market prices. </w:t>
      </w:r>
    </w:p>
    <w:p w:rsidR="00000000" w:rsidRDefault="0099409C">
      <w:pPr>
        <w:ind w:hanging="180"/>
        <w:jc w:val="both"/>
        <w:divId w:val="1480464036"/>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gross outstanding borrowings under our Credit and Receivables Facilities. Due to variable interest rates, the c</w:t>
      </w:r>
      <w:r>
        <w:rPr>
          <w:rFonts w:ascii="Arial" w:eastAsia="Times New Roman" w:hAnsi="Arial" w:cs="Arial"/>
          <w:color w:val="000000"/>
          <w:sz w:val="18"/>
          <w:szCs w:val="18"/>
        </w:rPr>
        <w:t>arrying value of outstanding borrowings under these facilities approximates the fair value. See Note 8, “Debt,” for further information.</w:t>
      </w:r>
    </w:p>
    <w:p w:rsidR="00000000" w:rsidRDefault="0099409C">
      <w:pPr>
        <w:ind w:hanging="180"/>
        <w:jc w:val="both"/>
        <w:divId w:val="756287369"/>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interest rate swap derivatives designated as cash flow hedges. The fair values of the interest rate swap</w:t>
      </w:r>
      <w:r>
        <w:rPr>
          <w:rFonts w:ascii="Arial" w:eastAsia="Times New Roman" w:hAnsi="Arial" w:cs="Arial"/>
          <w:color w:val="000000"/>
          <w:sz w:val="18"/>
          <w:szCs w:val="18"/>
        </w:rPr>
        <w:t>s are estimated based on the present value of the difference between expected cash flows calculated at the contracted interest rates and the expected cash flows at current market interest rates using observable benchmarks for the London Interbank Offered R</w:t>
      </w:r>
      <w:r>
        <w:rPr>
          <w:rFonts w:ascii="Arial" w:eastAsia="Times New Roman" w:hAnsi="Arial" w:cs="Arial"/>
          <w:color w:val="000000"/>
          <w:sz w:val="18"/>
          <w:szCs w:val="18"/>
        </w:rPr>
        <w:t>ate (“LIBOR”) forward rates at the end of the period. Our interest rate swap assets and liabilities are included in “Other noncurrent assets” and “Other noncurrent liabilities,” respectively, on the accompanying unaudited Consolidated Balance Sheets. See N</w:t>
      </w:r>
      <w:r>
        <w:rPr>
          <w:rFonts w:ascii="Arial" w:eastAsia="Times New Roman" w:hAnsi="Arial" w:cs="Arial"/>
          <w:color w:val="000000"/>
          <w:sz w:val="18"/>
          <w:szCs w:val="18"/>
        </w:rPr>
        <w:t>ote 8, “Credit Facility,” for further information.</w:t>
      </w:r>
    </w:p>
    <w:p w:rsidR="00000000" w:rsidRDefault="0099409C">
      <w:pPr>
        <w:ind w:hanging="180"/>
        <w:jc w:val="both"/>
        <w:divId w:val="664940294"/>
        <w:rPr>
          <w:rFonts w:eastAsia="Times New Roman"/>
        </w:rPr>
      </w:pPr>
      <w:r>
        <w:rPr>
          <w:rFonts w:ascii="Arial" w:eastAsia="Times New Roman" w:hAnsi="Arial" w:cs="Arial"/>
          <w:color w:val="000000"/>
          <w:sz w:val="12"/>
          <w:szCs w:val="12"/>
        </w:rPr>
        <w:t>(6</w:t>
      </w:r>
      <w:r>
        <w:rPr>
          <w:rFonts w:ascii="Arial" w:eastAsia="Times New Roman" w:hAnsi="Arial" w:cs="Arial"/>
          <w:color w:val="000000"/>
          <w:sz w:val="12"/>
          <w:szCs w:val="12"/>
        </w:rPr>
        <w:t>)</w:t>
      </w:r>
      <w:r>
        <w:rPr>
          <w:rFonts w:ascii="Arial" w:eastAsia="Times New Roman" w:hAnsi="Arial" w:cs="Arial"/>
          <w:color w:val="000000"/>
          <w:sz w:val="18"/>
          <w:szCs w:val="18"/>
        </w:rPr>
        <w:t xml:space="preserve"> We purcha</w:t>
      </w:r>
      <w:r>
        <w:rPr>
          <w:rFonts w:ascii="Arial" w:eastAsia="Times New Roman" w:hAnsi="Arial" w:cs="Arial"/>
          <w:color w:val="000000"/>
          <w:sz w:val="18"/>
          <w:szCs w:val="18"/>
          <w:shd w:val="clear" w:color="auto" w:fill="FFFFFF"/>
        </w:rPr>
        <w:t>sed $3.0 million i</w:t>
      </w:r>
      <w:r>
        <w:rPr>
          <w:rFonts w:ascii="Arial" w:eastAsia="Times New Roman" w:hAnsi="Arial" w:cs="Arial"/>
          <w:color w:val="000000"/>
          <w:sz w:val="18"/>
          <w:szCs w:val="18"/>
        </w:rPr>
        <w:t xml:space="preserve">n a preferred equity investment of a privately held company during the first quarter of fiscal year 2022, which we include in “Other investments” on the accompanying unaudited Consolidated Balance Sheet. Our investment does not have a readily determinable </w:t>
      </w:r>
      <w:r>
        <w:rPr>
          <w:rFonts w:ascii="Arial" w:eastAsia="Times New Roman" w:hAnsi="Arial" w:cs="Arial"/>
          <w:color w:val="000000"/>
          <w:sz w:val="18"/>
          <w:szCs w:val="18"/>
        </w:rPr>
        <w:t>fair value; therefore, we account for the investment using the measurement alternative under Topic 321 and measure the investment at initial cost less impairment, if any.</w:t>
      </w:r>
    </w:p>
    <w:p w:rsidR="00000000" w:rsidRDefault="0099409C">
      <w:pPr>
        <w:jc w:val="both"/>
        <w:divId w:val="2119597807"/>
        <w:rPr>
          <w:rFonts w:eastAsia="Times New Roman"/>
        </w:rPr>
      </w:pPr>
      <w:r>
        <w:rPr>
          <w:rFonts w:ascii="Arial" w:eastAsia="Times New Roman" w:hAnsi="Arial" w:cs="Arial"/>
          <w:b/>
          <w:bCs/>
          <w:i/>
          <w:iCs/>
          <w:color w:val="0046AD"/>
          <w:sz w:val="20"/>
          <w:szCs w:val="20"/>
        </w:rPr>
        <w:t>Non-Financial Assets Measured at Fair Value on a Non-Recurring Basis</w:t>
      </w:r>
    </w:p>
    <w:p w:rsidR="00000000" w:rsidRDefault="0099409C">
      <w:pPr>
        <w:ind w:firstLine="720"/>
        <w:jc w:val="both"/>
        <w:divId w:val="1031952910"/>
        <w:rPr>
          <w:rFonts w:eastAsia="Times New Roman"/>
        </w:rPr>
      </w:pPr>
      <w:r>
        <w:rPr>
          <w:rFonts w:ascii="Arial" w:eastAsia="Times New Roman" w:hAnsi="Arial" w:cs="Arial"/>
          <w:color w:val="000000"/>
          <w:sz w:val="20"/>
          <w:szCs w:val="20"/>
        </w:rPr>
        <w:t>In addition to assets and liabilities that are measured at fair value on a recurring basis, we are also required to measure certain items at fair value on a non-recurring basis. These assets can include: goodwill; intangible assets; property, plant and equ</w:t>
      </w:r>
      <w:r>
        <w:rPr>
          <w:rFonts w:ascii="Arial" w:eastAsia="Times New Roman" w:hAnsi="Arial" w:cs="Arial"/>
          <w:color w:val="000000"/>
          <w:sz w:val="20"/>
          <w:szCs w:val="20"/>
        </w:rPr>
        <w:t>ipment; lease-related ROU assets; and long-lived assets that have been reduced to fair value when they are held for sale. If certain triggering events occur, or if an annual impairment test is required, then we would evaluate these non-financial assets for</w:t>
      </w:r>
      <w:r>
        <w:rPr>
          <w:rFonts w:ascii="Arial" w:eastAsia="Times New Roman" w:hAnsi="Arial" w:cs="Arial"/>
          <w:color w:val="000000"/>
          <w:sz w:val="20"/>
          <w:szCs w:val="20"/>
        </w:rPr>
        <w:t xml:space="preserve"> impairment. If an impairment were to occur, then the asset would be recorded at the estimated fair value, using primarily unobservable Level 3 inputs. </w:t>
      </w:r>
    </w:p>
    <w:p w:rsidR="00000000" w:rsidRDefault="0099409C">
      <w:pPr>
        <w:ind w:firstLine="720"/>
        <w:jc w:val="both"/>
        <w:divId w:val="1806459819"/>
        <w:rPr>
          <w:rFonts w:eastAsia="Times New Roman"/>
        </w:rPr>
      </w:pPr>
      <w:r>
        <w:rPr>
          <w:rFonts w:ascii="Arial" w:eastAsia="Times New Roman" w:hAnsi="Arial" w:cs="Arial"/>
          <w:color w:val="000000"/>
          <w:sz w:val="20"/>
          <w:szCs w:val="20"/>
        </w:rPr>
        <w:t>In connection with the reorganization of our T&amp;M segment as discussed in Note 2, “Basis of Presentation</w:t>
      </w:r>
      <w:r>
        <w:rPr>
          <w:rFonts w:ascii="Arial" w:eastAsia="Times New Roman" w:hAnsi="Arial" w:cs="Arial"/>
          <w:color w:val="000000"/>
          <w:sz w:val="20"/>
          <w:szCs w:val="20"/>
        </w:rPr>
        <w:t xml:space="preserve"> and Significant Accounting Policies</w:t>
      </w:r>
      <w:r>
        <w:rPr>
          <w:rFonts w:ascii="Arial" w:eastAsia="Times New Roman" w:hAnsi="Arial" w:cs="Arial"/>
          <w:b/>
          <w:bCs/>
          <w:color w:val="0046AD"/>
          <w:sz w:val="20"/>
          <w:szCs w:val="20"/>
        </w:rPr>
        <w:t>,”</w:t>
      </w:r>
      <w:r>
        <w:rPr>
          <w:rFonts w:ascii="Arial" w:eastAsia="Times New Roman" w:hAnsi="Arial" w:cs="Arial"/>
          <w:color w:val="000000"/>
          <w:sz w:val="20"/>
          <w:szCs w:val="20"/>
        </w:rPr>
        <w:t xml:space="preserve"> we reallocated $95.0 million of goodwill from our B&amp;I segment to our M&amp;D segment using a relative fair value approach. M&amp;D’s goodwill balance was $502.2 million after the reorganization, which includes $407.2 million </w:t>
      </w:r>
      <w:r>
        <w:rPr>
          <w:rFonts w:ascii="Arial" w:eastAsia="Times New Roman" w:hAnsi="Arial" w:cs="Arial"/>
          <w:color w:val="000000"/>
          <w:sz w:val="20"/>
          <w:szCs w:val="20"/>
        </w:rPr>
        <w:t xml:space="preserve">of previously recorded goodwill from our T&amp;M segment. In addition, we completed an assessment of any potential goodwill impairment for all reporting units immediately prior to and following the reallocation and determined that no impairment existed. </w:t>
      </w:r>
    </w:p>
    <w:p w:rsidR="00000000" w:rsidRDefault="0099409C">
      <w:pPr>
        <w:jc w:val="both"/>
        <w:divId w:val="952321871"/>
        <w:rPr>
          <w:rFonts w:eastAsia="Times New Roman"/>
        </w:rPr>
      </w:pPr>
    </w:p>
    <w:p w:rsidR="00000000" w:rsidRDefault="0099409C">
      <w:pPr>
        <w:jc w:val="both"/>
        <w:divId w:val="1099789940"/>
        <w:rPr>
          <w:rFonts w:eastAsia="Times New Roman"/>
        </w:rPr>
      </w:pPr>
    </w:p>
    <w:p w:rsidR="00000000" w:rsidRDefault="0099409C">
      <w:pPr>
        <w:jc w:val="center"/>
        <w:divId w:val="1724065345"/>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5</w:t>
      </w:r>
    </w:p>
    <w:p w:rsidR="00000000" w:rsidRDefault="0099409C">
      <w:pPr>
        <w:rPr>
          <w:rFonts w:eastAsia="Times New Roman"/>
        </w:rPr>
      </w:pPr>
      <w:r>
        <w:rPr>
          <w:rFonts w:eastAsia="Times New Roman"/>
        </w:rPr>
        <w:pict>
          <v:rect id="_x0000_i1044" style="width:0;height:1.5pt" o:hralign="center" o:hrstd="t" o:hr="t" fillcolor="#a0a0a0" stroked="f"/>
        </w:pict>
      </w:r>
    </w:p>
    <w:p w:rsidR="00000000" w:rsidRDefault="0099409C">
      <w:pPr>
        <w:jc w:val="both"/>
        <w:divId w:val="1666932551"/>
        <w:rPr>
          <w:rFonts w:eastAsia="Times New Roman"/>
        </w:rPr>
      </w:pPr>
    </w:p>
    <w:p w:rsidR="00000000" w:rsidRDefault="0099409C">
      <w:pPr>
        <w:divId w:val="1626237088"/>
        <w:rPr>
          <w:rFonts w:eastAsia="Times New Roman"/>
        </w:rPr>
      </w:pPr>
      <w:r>
        <w:rPr>
          <w:rFonts w:ascii="Arial" w:eastAsia="Times New Roman" w:hAnsi="Arial" w:cs="Arial"/>
          <w:b/>
          <w:bCs/>
          <w:color w:val="0046AD"/>
          <w:sz w:val="20"/>
          <w:szCs w:val="20"/>
        </w:rPr>
        <w:t>7. INSURANCE</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353143359"/>
        </w:trPr>
        <w:tc>
          <w:tcPr>
            <w:tcW w:w="5" w:type="pct"/>
            <w:vAlign w:val="center"/>
            <w:hideMark/>
          </w:tcPr>
          <w:p w:rsidR="00000000" w:rsidRDefault="0099409C">
            <w:pPr>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353143359"/>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ind w:firstLine="720"/>
        <w:jc w:val="both"/>
        <w:divId w:val="685789915"/>
        <w:rPr>
          <w:rFonts w:eastAsia="Times New Roman"/>
        </w:rPr>
      </w:pPr>
      <w:r>
        <w:rPr>
          <w:rFonts w:ascii="Arial" w:eastAsia="Times New Roman" w:hAnsi="Arial" w:cs="Arial"/>
          <w:color w:val="000000"/>
          <w:sz w:val="20"/>
          <w:szCs w:val="20"/>
        </w:rPr>
        <w:t xml:space="preserve">We use a combination of insured and self-insurance programs to cover workers’ </w:t>
      </w:r>
      <w:r>
        <w:rPr>
          <w:rFonts w:ascii="Arial" w:eastAsia="Times New Roman" w:hAnsi="Arial" w:cs="Arial"/>
          <w:color w:val="000000"/>
          <w:sz w:val="20"/>
          <w:szCs w:val="20"/>
        </w:rPr>
        <w:t>compensation, general liability, automobile liability, property damage, and other insurable risks. For the majority of these insurance programs, we retain the initial $1.0 million to $1.5 million of exposure on a per-occurrence basis, either through deduct</w:t>
      </w:r>
      <w:r>
        <w:rPr>
          <w:rFonts w:ascii="Arial" w:eastAsia="Times New Roman" w:hAnsi="Arial" w:cs="Arial"/>
          <w:color w:val="000000"/>
          <w:sz w:val="20"/>
          <w:szCs w:val="20"/>
        </w:rPr>
        <w:t>ibles or self-insured retentions. Beyond the retained exposures, we have varying primary policy limits ranging between $1.0 million and $5.0 million per occurrence. To cover general liability and automobile liability losses above these primary limits, we m</w:t>
      </w:r>
      <w:r>
        <w:rPr>
          <w:rFonts w:ascii="Arial" w:eastAsia="Times New Roman" w:hAnsi="Arial" w:cs="Arial"/>
          <w:color w:val="000000"/>
          <w:sz w:val="20"/>
          <w:szCs w:val="20"/>
        </w:rPr>
        <w:t>aintain commercial umbrella insurance policies that provide aggregate limits of $200.0 million. Our insurance policies generally cover workers’ compensation losses to the full extent of statutory requirements. Additionally, to cover property damage risks a</w:t>
      </w:r>
      <w:r>
        <w:rPr>
          <w:rFonts w:ascii="Arial" w:eastAsia="Times New Roman" w:hAnsi="Arial" w:cs="Arial"/>
          <w:color w:val="000000"/>
          <w:sz w:val="20"/>
          <w:szCs w:val="20"/>
        </w:rPr>
        <w:t>bove our retained limits, we maintain policies that provide per occurrence limits of $75.0 million. We are also self-insured for certain employee medical and dental plans. We maintain stop-loss insurance for our self-insured medical plan under which we ret</w:t>
      </w:r>
      <w:r>
        <w:rPr>
          <w:rFonts w:ascii="Arial" w:eastAsia="Times New Roman" w:hAnsi="Arial" w:cs="Arial"/>
          <w:color w:val="000000"/>
          <w:sz w:val="20"/>
          <w:szCs w:val="20"/>
        </w:rPr>
        <w:t>ain up to $0.5 million of exposure on a per-participant, per-year basis with respect to claims.</w:t>
      </w:r>
    </w:p>
    <w:p w:rsidR="00000000" w:rsidRDefault="0099409C">
      <w:pPr>
        <w:ind w:firstLine="720"/>
        <w:jc w:val="both"/>
        <w:divId w:val="909508788"/>
        <w:rPr>
          <w:rFonts w:eastAsia="Times New Roman"/>
        </w:rPr>
      </w:pPr>
      <w:r>
        <w:rPr>
          <w:rFonts w:ascii="Arial" w:eastAsia="Times New Roman" w:hAnsi="Arial" w:cs="Arial"/>
          <w:color w:val="000000"/>
          <w:sz w:val="20"/>
          <w:szCs w:val="20"/>
        </w:rPr>
        <w:t>We maintain our reserves for workers’ compensation, general liability, automobile liability, and property damage insurance claims based upon known trends and ev</w:t>
      </w:r>
      <w:r>
        <w:rPr>
          <w:rFonts w:ascii="Arial" w:eastAsia="Times New Roman" w:hAnsi="Arial" w:cs="Arial"/>
          <w:color w:val="000000"/>
          <w:sz w:val="20"/>
          <w:szCs w:val="20"/>
        </w:rPr>
        <w:t>ents and the actuarial estimates of required reserves considering the most recently completed actuarial reports. We use all available information to develop our best estimate of insurance claims reserves as information is obtained. The results of actuarial</w:t>
      </w:r>
      <w:r>
        <w:rPr>
          <w:rFonts w:ascii="Arial" w:eastAsia="Times New Roman" w:hAnsi="Arial" w:cs="Arial"/>
          <w:color w:val="000000"/>
          <w:sz w:val="20"/>
          <w:szCs w:val="20"/>
        </w:rPr>
        <w:t xml:space="preserve"> reviews are used to estimate our insurance rates and insurance reserves for future periods and to adjust reserves, if appropriate, for prior years.</w:t>
      </w:r>
    </w:p>
    <w:p w:rsidR="00000000" w:rsidRDefault="0099409C">
      <w:pPr>
        <w:jc w:val="both"/>
        <w:divId w:val="184172869"/>
        <w:rPr>
          <w:rFonts w:eastAsia="Times New Roman"/>
        </w:rPr>
      </w:pPr>
      <w:r>
        <w:rPr>
          <w:rFonts w:ascii="Arial" w:eastAsia="Times New Roman" w:hAnsi="Arial" w:cs="Arial"/>
          <w:b/>
          <w:bCs/>
          <w:color w:val="0046AD"/>
          <w:sz w:val="20"/>
          <w:szCs w:val="20"/>
        </w:rPr>
        <w:t>Actuarial Review Performed During Third Quarter 2022</w:t>
      </w:r>
    </w:p>
    <w:p w:rsidR="00000000" w:rsidRDefault="0099409C">
      <w:pPr>
        <w:ind w:firstLine="720"/>
        <w:jc w:val="both"/>
        <w:divId w:val="315844665"/>
        <w:rPr>
          <w:rFonts w:eastAsia="Times New Roman"/>
        </w:rPr>
      </w:pPr>
      <w:r>
        <w:rPr>
          <w:rFonts w:ascii="Arial" w:eastAsia="Times New Roman" w:hAnsi="Arial" w:cs="Arial"/>
          <w:color w:val="000000"/>
          <w:sz w:val="20"/>
          <w:szCs w:val="20"/>
        </w:rPr>
        <w:t xml:space="preserve">We review our self-insurance liabilities on a regular </w:t>
      </w:r>
      <w:r>
        <w:rPr>
          <w:rFonts w:ascii="Arial" w:eastAsia="Times New Roman" w:hAnsi="Arial" w:cs="Arial"/>
          <w:color w:val="000000"/>
          <w:sz w:val="20"/>
          <w:szCs w:val="20"/>
        </w:rPr>
        <w:t xml:space="preserve">basis and adjust our accruals accordingly. Actual claims activity or development may vary from our assumptions and estimates, which may result in material losses or gains. As we obtain additional information that affects the assumptions and estimates used </w:t>
      </w:r>
      <w:r>
        <w:rPr>
          <w:rFonts w:ascii="Arial" w:eastAsia="Times New Roman" w:hAnsi="Arial" w:cs="Arial"/>
          <w:color w:val="000000"/>
          <w:sz w:val="20"/>
          <w:szCs w:val="20"/>
        </w:rPr>
        <w:t xml:space="preserve">in our reserve liability calculations, we adjust our self-insurance rates and reserves for future periods and, if appropriate, adjust our reserves for claims incurred in prior accounting periods. </w:t>
      </w:r>
    </w:p>
    <w:p w:rsidR="00000000" w:rsidRDefault="0099409C">
      <w:pPr>
        <w:ind w:firstLine="720"/>
        <w:jc w:val="both"/>
        <w:divId w:val="1881892075"/>
        <w:rPr>
          <w:rFonts w:eastAsia="Times New Roman"/>
        </w:rPr>
      </w:pPr>
      <w:r>
        <w:rPr>
          <w:rFonts w:ascii="Arial" w:eastAsia="Times New Roman" w:hAnsi="Arial" w:cs="Arial"/>
          <w:color w:val="000000"/>
          <w:sz w:val="20"/>
          <w:szCs w:val="20"/>
        </w:rPr>
        <w:t>During the third quarter of 2022, we performed a comprehens</w:t>
      </w:r>
      <w:r>
        <w:rPr>
          <w:rFonts w:ascii="Arial" w:eastAsia="Times New Roman" w:hAnsi="Arial" w:cs="Arial"/>
          <w:color w:val="000000"/>
          <w:sz w:val="20"/>
          <w:szCs w:val="20"/>
        </w:rPr>
        <w:t>ive actuarial review of the majority of our casualty insurance programs to evaluate changes made to claims reserves and claims payment activity for the period of November 1, 2021, through April 30, 2022 (the “Actuarial Review”). The Actuarial Review was co</w:t>
      </w:r>
      <w:r>
        <w:rPr>
          <w:rFonts w:ascii="Arial" w:eastAsia="Times New Roman" w:hAnsi="Arial" w:cs="Arial"/>
          <w:color w:val="000000"/>
          <w:sz w:val="20"/>
          <w:szCs w:val="20"/>
        </w:rPr>
        <w:t>mprehensive in nature and was based on loss development patterns, trend assumptions, and underlying expected loss costs during the period analyzed.</w:t>
      </w:r>
    </w:p>
    <w:p w:rsidR="00000000" w:rsidRDefault="0099409C">
      <w:pPr>
        <w:ind w:firstLine="720"/>
        <w:jc w:val="both"/>
        <w:divId w:val="556474005"/>
        <w:rPr>
          <w:rFonts w:eastAsia="Times New Roman"/>
        </w:rPr>
      </w:pPr>
      <w:r>
        <w:rPr>
          <w:rFonts w:ascii="Arial" w:eastAsia="Times New Roman" w:hAnsi="Arial" w:cs="Arial"/>
          <w:color w:val="000000"/>
          <w:sz w:val="20"/>
          <w:szCs w:val="20"/>
        </w:rPr>
        <w:t>Based on the results of the Actuarial Review, we decreased our total reserves related to prior years for kno</w:t>
      </w:r>
      <w:r>
        <w:rPr>
          <w:rFonts w:ascii="Arial" w:eastAsia="Times New Roman" w:hAnsi="Arial" w:cs="Arial"/>
          <w:color w:val="000000"/>
          <w:sz w:val="20"/>
          <w:szCs w:val="20"/>
        </w:rPr>
        <w:t xml:space="preserve">wn claims as well as our estimate of the loss amounts associated with incurred but not reported claims (“IBNR claims”) by $36.1 million during the nine months ended July 31, 2022. During the nine months ended July 31, 2021, we decreased our total reserves </w:t>
      </w:r>
      <w:r>
        <w:rPr>
          <w:rFonts w:ascii="Arial" w:eastAsia="Times New Roman" w:hAnsi="Arial" w:cs="Arial"/>
          <w:color w:val="000000"/>
          <w:sz w:val="20"/>
          <w:szCs w:val="20"/>
        </w:rPr>
        <w:t>related to prior years by $29.7 million. We will continue to assess ongoing developments, which may result in further adjustments to reserves.</w:t>
      </w:r>
    </w:p>
    <w:p w:rsidR="00000000" w:rsidRDefault="0099409C">
      <w:pPr>
        <w:divId w:val="1194656261"/>
        <w:rPr>
          <w:rFonts w:eastAsia="Times New Roman"/>
        </w:rPr>
      </w:pPr>
      <w:r>
        <w:rPr>
          <w:rFonts w:ascii="Arial" w:eastAsia="Times New Roman" w:hAnsi="Arial" w:cs="Arial"/>
          <w:b/>
          <w:bCs/>
          <w:color w:val="0046AD"/>
          <w:sz w:val="20"/>
          <w:szCs w:val="20"/>
        </w:rPr>
        <w:t xml:space="preserve">Insurance-Related Balances and Activity </w:t>
      </w:r>
    </w:p>
    <w:tbl>
      <w:tblPr>
        <w:tblW w:w="5000" w:type="pct"/>
        <w:tblCellMar>
          <w:top w:w="15" w:type="dxa"/>
          <w:left w:w="15" w:type="dxa"/>
          <w:bottom w:w="15" w:type="dxa"/>
          <w:right w:w="15" w:type="dxa"/>
        </w:tblCellMar>
        <w:tblLook w:val="04A0" w:firstRow="1" w:lastRow="0" w:firstColumn="1" w:lastColumn="0" w:noHBand="0" w:noVBand="1"/>
      </w:tblPr>
      <w:tblGrid>
        <w:gridCol w:w="39"/>
        <w:gridCol w:w="5197"/>
        <w:gridCol w:w="38"/>
        <w:gridCol w:w="121"/>
        <w:gridCol w:w="1322"/>
        <w:gridCol w:w="36"/>
        <w:gridCol w:w="36"/>
        <w:gridCol w:w="36"/>
        <w:gridCol w:w="36"/>
        <w:gridCol w:w="122"/>
        <w:gridCol w:w="1287"/>
        <w:gridCol w:w="36"/>
      </w:tblGrid>
      <w:tr w:rsidR="00000000">
        <w:trPr>
          <w:divId w:val="665475136"/>
        </w:trPr>
        <w:tc>
          <w:tcPr>
            <w:tcW w:w="50" w:type="pct"/>
            <w:vAlign w:val="center"/>
            <w:hideMark/>
          </w:tcPr>
          <w:p w:rsidR="00000000" w:rsidRDefault="0099409C">
            <w:pPr>
              <w:rPr>
                <w:rFonts w:eastAsia="Times New Roman"/>
              </w:rPr>
            </w:pPr>
          </w:p>
        </w:tc>
        <w:tc>
          <w:tcPr>
            <w:tcW w:w="315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82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82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665475136"/>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July 31, 2022</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October 31, 2021</w:t>
            </w:r>
          </w:p>
        </w:tc>
      </w:tr>
      <w:tr w:rsidR="00000000">
        <w:trPr>
          <w:divId w:val="665475136"/>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Insurance claim reserves, excluding medical and dental</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562.7 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574.8 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665475136"/>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Medical and dental claim reserves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665475136"/>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Insurance recoverables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60.6 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66.5 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ind w:firstLine="720"/>
        <w:jc w:val="both"/>
        <w:divId w:val="996418747"/>
        <w:rPr>
          <w:rFonts w:eastAsia="Times New Roman"/>
        </w:rPr>
      </w:pPr>
      <w:r>
        <w:rPr>
          <w:rFonts w:ascii="Arial" w:eastAsia="Times New Roman" w:hAnsi="Arial" w:cs="Arial"/>
          <w:color w:val="000000"/>
          <w:sz w:val="20"/>
          <w:szCs w:val="20"/>
        </w:rPr>
        <w:t>At July 31, 2022, and October </w:t>
      </w:r>
      <w:r>
        <w:rPr>
          <w:rFonts w:ascii="Arial" w:eastAsia="Times New Roman" w:hAnsi="Arial" w:cs="Arial"/>
          <w:color w:val="000000"/>
          <w:sz w:val="20"/>
          <w:szCs w:val="20"/>
        </w:rPr>
        <w:t>31, 2021, insurance recoverables are included in both “Other current assets” and “Other noncurrent assets” on the accompanying unaudited Consolidated Balance Sheets.</w:t>
      </w:r>
    </w:p>
    <w:p w:rsidR="00000000" w:rsidRDefault="0099409C">
      <w:pPr>
        <w:jc w:val="center"/>
        <w:divId w:val="980841521"/>
        <w:rPr>
          <w:rFonts w:eastAsia="Times New Roman"/>
        </w:rPr>
      </w:pPr>
      <w:r>
        <w:rPr>
          <w:rFonts w:ascii="Arial" w:eastAsia="Times New Roman" w:hAnsi="Arial" w:cs="Arial"/>
          <w:color w:val="000000"/>
          <w:sz w:val="20"/>
          <w:szCs w:val="20"/>
        </w:rPr>
        <w:t>16</w:t>
      </w:r>
    </w:p>
    <w:p w:rsidR="00000000" w:rsidRDefault="0099409C">
      <w:pPr>
        <w:rPr>
          <w:rFonts w:eastAsia="Times New Roman"/>
        </w:rPr>
      </w:pPr>
      <w:r>
        <w:rPr>
          <w:rFonts w:eastAsia="Times New Roman"/>
        </w:rPr>
        <w:pict>
          <v:rect id="_x0000_i1045" style="width:0;height:1.5pt" o:hralign="center" o:hrstd="t" o:hr="t" fillcolor="#a0a0a0" stroked="f"/>
        </w:pict>
      </w:r>
    </w:p>
    <w:p w:rsidR="00000000" w:rsidRDefault="0099409C">
      <w:pPr>
        <w:jc w:val="both"/>
        <w:divId w:val="963851419"/>
        <w:rPr>
          <w:rFonts w:eastAsia="Times New Roman"/>
        </w:rPr>
      </w:pPr>
    </w:p>
    <w:p w:rsidR="00000000" w:rsidRDefault="0099409C">
      <w:pPr>
        <w:jc w:val="both"/>
        <w:divId w:val="659504080"/>
        <w:rPr>
          <w:rFonts w:eastAsia="Times New Roman"/>
        </w:rPr>
      </w:pPr>
      <w:r>
        <w:rPr>
          <w:rFonts w:ascii="Arial" w:eastAsia="Times New Roman" w:hAnsi="Arial" w:cs="Arial"/>
          <w:b/>
          <w:bCs/>
          <w:i/>
          <w:iCs/>
          <w:color w:val="0046AD"/>
          <w:sz w:val="20"/>
          <w:szCs w:val="20"/>
        </w:rPr>
        <w:t xml:space="preserve">Instruments Used to Collateralize Our Insurance </w:t>
      </w:r>
      <w:r>
        <w:rPr>
          <w:rFonts w:ascii="Arial" w:eastAsia="Times New Roman" w:hAnsi="Arial" w:cs="Arial"/>
          <w:b/>
          <w:bCs/>
          <w:i/>
          <w:iCs/>
          <w:color w:val="0046AD"/>
          <w:sz w:val="20"/>
          <w:szCs w:val="20"/>
        </w:rPr>
        <w:t>Obligations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197"/>
        <w:gridCol w:w="38"/>
        <w:gridCol w:w="121"/>
        <w:gridCol w:w="1322"/>
        <w:gridCol w:w="36"/>
        <w:gridCol w:w="36"/>
        <w:gridCol w:w="36"/>
        <w:gridCol w:w="36"/>
        <w:gridCol w:w="122"/>
        <w:gridCol w:w="1287"/>
        <w:gridCol w:w="36"/>
      </w:tblGrid>
      <w:tr w:rsidR="00000000">
        <w:trPr>
          <w:divId w:val="801923205"/>
        </w:trPr>
        <w:tc>
          <w:tcPr>
            <w:tcW w:w="50" w:type="pct"/>
            <w:vAlign w:val="center"/>
            <w:hideMark/>
          </w:tcPr>
          <w:p w:rsidR="00000000" w:rsidRDefault="0099409C">
            <w:pPr>
              <w:jc w:val="both"/>
              <w:rPr>
                <w:rFonts w:eastAsia="Times New Roman"/>
              </w:rPr>
            </w:pPr>
          </w:p>
        </w:tc>
        <w:tc>
          <w:tcPr>
            <w:tcW w:w="315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82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82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801923205"/>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July 31, 2022</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October 31, 2021</w:t>
            </w:r>
          </w:p>
        </w:tc>
      </w:tr>
      <w:tr w:rsidR="00000000">
        <w:trPr>
          <w:divId w:val="80192320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xml:space="preserve">Standby letters of credit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153.7 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157.9 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0192320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Surety bonds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82.9 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83.8 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0192320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Restricted insurance deposits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0.9 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0192320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237.5 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242.3 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jc w:val="both"/>
        <w:divId w:val="45497064"/>
        <w:rPr>
          <w:rFonts w:eastAsia="Times New Roman"/>
        </w:rPr>
      </w:pPr>
    </w:p>
    <w:p w:rsidR="00000000" w:rsidRDefault="0099409C">
      <w:pPr>
        <w:jc w:val="both"/>
        <w:divId w:val="1935044091"/>
        <w:rPr>
          <w:rFonts w:eastAsia="Times New Roman"/>
        </w:rPr>
      </w:pPr>
      <w:r>
        <w:rPr>
          <w:rFonts w:ascii="Arial" w:eastAsia="Times New Roman" w:hAnsi="Arial" w:cs="Arial"/>
          <w:b/>
          <w:bCs/>
          <w:color w:val="0046AD"/>
          <w:sz w:val="20"/>
          <w:szCs w:val="20"/>
        </w:rPr>
        <w:t>8. DEBT</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273127419"/>
        </w:trPr>
        <w:tc>
          <w:tcPr>
            <w:tcW w:w="5" w:type="pct"/>
            <w:vAlign w:val="center"/>
            <w:hideMark/>
          </w:tcPr>
          <w:p w:rsidR="00000000" w:rsidRDefault="0099409C">
            <w:pPr>
              <w:jc w:val="both"/>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273127419"/>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divId w:val="1944798004"/>
        <w:rPr>
          <w:rFonts w:eastAsia="Times New Roman"/>
        </w:rPr>
      </w:pPr>
      <w:r>
        <w:rPr>
          <w:rFonts w:ascii="Arial" w:eastAsia="Times New Roman" w:hAnsi="Arial" w:cs="Arial"/>
          <w:b/>
          <w:bCs/>
          <w:color w:val="0046AD"/>
          <w:sz w:val="20"/>
          <w:szCs w:val="20"/>
        </w:rPr>
        <w:t>Components of Debt</w:t>
      </w:r>
    </w:p>
    <w:tbl>
      <w:tblPr>
        <w:tblW w:w="5000" w:type="pct"/>
        <w:tblCellMar>
          <w:top w:w="15" w:type="dxa"/>
          <w:left w:w="15" w:type="dxa"/>
          <w:bottom w:w="15" w:type="dxa"/>
          <w:right w:w="15" w:type="dxa"/>
        </w:tblCellMar>
        <w:tblLook w:val="04A0" w:firstRow="1" w:lastRow="0" w:firstColumn="1" w:lastColumn="0" w:noHBand="0" w:noVBand="1"/>
      </w:tblPr>
      <w:tblGrid>
        <w:gridCol w:w="40"/>
        <w:gridCol w:w="5131"/>
        <w:gridCol w:w="39"/>
        <w:gridCol w:w="36"/>
        <w:gridCol w:w="36"/>
        <w:gridCol w:w="36"/>
        <w:gridCol w:w="121"/>
        <w:gridCol w:w="1282"/>
        <w:gridCol w:w="36"/>
        <w:gridCol w:w="36"/>
        <w:gridCol w:w="36"/>
        <w:gridCol w:w="36"/>
        <w:gridCol w:w="122"/>
        <w:gridCol w:w="1283"/>
        <w:gridCol w:w="36"/>
      </w:tblGrid>
      <w:tr w:rsidR="00000000">
        <w:trPr>
          <w:divId w:val="1452432195"/>
        </w:trPr>
        <w:tc>
          <w:tcPr>
            <w:tcW w:w="50" w:type="pct"/>
            <w:vAlign w:val="center"/>
            <w:hideMark/>
          </w:tcPr>
          <w:p w:rsidR="00000000" w:rsidRDefault="0099409C">
            <w:pPr>
              <w:rPr>
                <w:rFonts w:eastAsia="Times New Roman"/>
              </w:rPr>
            </w:pPr>
          </w:p>
        </w:tc>
        <w:tc>
          <w:tcPr>
            <w:tcW w:w="311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82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82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452432195"/>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July 31, 2022</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October 31, 2021</w:t>
            </w:r>
          </w:p>
        </w:tc>
      </w:tr>
      <w:tr w:rsidR="00000000">
        <w:trPr>
          <w:divId w:val="145243219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Current portion of debt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452432195"/>
        </w:trPr>
        <w:tc>
          <w:tcPr>
            <w:tcW w:w="0" w:type="auto"/>
            <w:gridSpan w:val="3"/>
            <w:shd w:val="clear" w:color="auto" w:fill="FFFFFF"/>
            <w:tcMar>
              <w:top w:w="30" w:type="dxa"/>
              <w:left w:w="24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Gross term loan</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32.5 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32.5 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452432195"/>
        </w:trPr>
        <w:tc>
          <w:tcPr>
            <w:tcW w:w="0" w:type="auto"/>
            <w:gridSpan w:val="3"/>
            <w:shd w:val="clear" w:color="auto" w:fill="DCE2EF"/>
            <w:tcMar>
              <w:top w:w="30" w:type="dxa"/>
              <w:left w:w="24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Unamortized deferred financing costs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(1.1)</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452432195"/>
        </w:trPr>
        <w:tc>
          <w:tcPr>
            <w:tcW w:w="0" w:type="auto"/>
            <w:gridSpan w:val="3"/>
            <w:shd w:val="clear" w:color="auto" w:fill="FFFFFF"/>
            <w:tcMar>
              <w:top w:w="30" w:type="dxa"/>
              <w:left w:w="51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Current portion of term loan</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452432195"/>
        </w:trPr>
        <w:tc>
          <w:tcPr>
            <w:tcW w:w="0" w:type="auto"/>
            <w:gridSpan w:val="3"/>
            <w:shd w:val="clear" w:color="auto" w:fill="DCE2EF"/>
            <w:tcMar>
              <w:top w:w="30" w:type="dxa"/>
              <w:left w:w="24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Receivables facility</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150.0 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452432195"/>
        </w:trPr>
        <w:tc>
          <w:tcPr>
            <w:tcW w:w="0" w:type="auto"/>
            <w:gridSpan w:val="3"/>
            <w:shd w:val="clear" w:color="auto" w:fill="FFFFFF"/>
            <w:tcMar>
              <w:top w:w="30" w:type="dxa"/>
              <w:left w:w="27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Current portion of debt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181.5 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452432195"/>
          <w:trHeight w:val="280"/>
        </w:trPr>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45243219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Long-term debt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452432195"/>
        </w:trPr>
        <w:tc>
          <w:tcPr>
            <w:tcW w:w="0" w:type="auto"/>
            <w:gridSpan w:val="3"/>
            <w:shd w:val="clear" w:color="auto" w:fill="DCE2EF"/>
            <w:tcMar>
              <w:top w:w="30" w:type="dxa"/>
              <w:left w:w="24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Gross term loan</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576.9 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601.3 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452432195"/>
        </w:trPr>
        <w:tc>
          <w:tcPr>
            <w:tcW w:w="0" w:type="auto"/>
            <w:gridSpan w:val="3"/>
            <w:shd w:val="clear" w:color="auto" w:fill="FFFFFF"/>
            <w:tcMar>
              <w:top w:w="30" w:type="dxa"/>
              <w:left w:w="24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Unamortized deferred financing costs</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(2.7)</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(3.5)</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452432195"/>
        </w:trPr>
        <w:tc>
          <w:tcPr>
            <w:tcW w:w="0" w:type="auto"/>
            <w:gridSpan w:val="3"/>
            <w:shd w:val="clear" w:color="auto" w:fill="DCE2EF"/>
            <w:tcMar>
              <w:top w:w="30" w:type="dxa"/>
              <w:left w:w="51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Total noncurrent portion of term loan</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574.2 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597.8 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45243219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divId w:val="953900686"/>
              <w:rPr>
                <w:rFonts w:eastAsia="Times New Roman"/>
              </w:rPr>
            </w:pPr>
            <w:r>
              <w:rPr>
                <w:rFonts w:ascii="Arial" w:eastAsia="Times New Roman" w:hAnsi="Arial" w:cs="Arial"/>
                <w:color w:val="000000"/>
                <w:sz w:val="18"/>
                <w:szCs w:val="18"/>
              </w:rPr>
              <w:t>Revolving line of credi</w:t>
            </w:r>
            <w:r>
              <w:rPr>
                <w:rFonts w:ascii="Arial" w:eastAsia="Times New Roman" w:hAnsi="Arial" w:cs="Arial"/>
                <w:color w:val="000000"/>
                <w:sz w:val="18"/>
                <w:szCs w:val="18"/>
              </w:rPr>
              <w:t>t</w:t>
            </w:r>
            <w:r>
              <w:rPr>
                <w:rFonts w:ascii="Arial" w:eastAsia="Times New Roman" w:hAnsi="Arial" w:cs="Arial"/>
                <w:color w:val="000000"/>
                <w:sz w:val="12"/>
                <w:szCs w:val="12"/>
              </w:rPr>
              <w:t>(1)(2</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435.0 </w:t>
            </w:r>
          </w:p>
        </w:tc>
        <w:tc>
          <w:tcPr>
            <w:tcW w:w="0" w:type="auto"/>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255.0 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452432195"/>
        </w:trPr>
        <w:tc>
          <w:tcPr>
            <w:tcW w:w="0" w:type="auto"/>
            <w:gridSpan w:val="3"/>
            <w:shd w:val="clear" w:color="auto" w:fill="DCE2EF"/>
            <w:tcMar>
              <w:top w:w="30" w:type="dxa"/>
              <w:left w:w="24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Long-term debt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1,009.2 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852.8 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ind w:hanging="180"/>
        <w:jc w:val="both"/>
        <w:divId w:val="879590970"/>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Standby letters of credit amounted to $158.8 million at July 31, 2022. </w:t>
      </w:r>
    </w:p>
    <w:p w:rsidR="00000000" w:rsidRDefault="0099409C">
      <w:pPr>
        <w:ind w:hanging="180"/>
        <w:jc w:val="both"/>
        <w:divId w:val="920677030"/>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At July 31, 2022, we had borrowing capacity of $705.1 million.</w:t>
      </w:r>
    </w:p>
    <w:p w:rsidR="00000000" w:rsidRDefault="0099409C">
      <w:pPr>
        <w:ind w:hanging="180"/>
        <w:jc w:val="both"/>
        <w:divId w:val="453403916"/>
        <w:rPr>
          <w:rFonts w:eastAsia="Times New Roman"/>
        </w:rPr>
      </w:pPr>
      <w:r>
        <w:rPr>
          <w:rFonts w:ascii="Arial" w:eastAsia="Times New Roman" w:hAnsi="Arial" w:cs="Arial"/>
          <w:color w:val="000000"/>
          <w:sz w:val="18"/>
          <w:szCs w:val="18"/>
        </w:rPr>
        <w:t>At July 31, 2022, the weighted average interest rate on all outstanding borrowings, not including letters of cre</w:t>
      </w:r>
      <w:r>
        <w:rPr>
          <w:rFonts w:ascii="Arial" w:eastAsia="Times New Roman" w:hAnsi="Arial" w:cs="Arial"/>
          <w:color w:val="000000"/>
          <w:sz w:val="18"/>
          <w:szCs w:val="18"/>
        </w:rPr>
        <w:t xml:space="preserve">dit, was 3.64% </w:t>
      </w:r>
    </w:p>
    <w:p w:rsidR="00000000" w:rsidRDefault="0099409C">
      <w:pPr>
        <w:divId w:val="645626441"/>
        <w:rPr>
          <w:rFonts w:eastAsia="Times New Roman"/>
        </w:rPr>
      </w:pPr>
      <w:r>
        <w:rPr>
          <w:rFonts w:ascii="Arial" w:eastAsia="Times New Roman" w:hAnsi="Arial" w:cs="Arial"/>
          <w:b/>
          <w:bCs/>
          <w:color w:val="0046AD"/>
          <w:sz w:val="20"/>
          <w:szCs w:val="20"/>
        </w:rPr>
        <w:t>Credit Facility</w:t>
      </w:r>
    </w:p>
    <w:p w:rsidR="00000000" w:rsidRDefault="0099409C">
      <w:pPr>
        <w:ind w:firstLine="720"/>
        <w:jc w:val="both"/>
        <w:divId w:val="1826118596"/>
        <w:rPr>
          <w:rFonts w:eastAsia="Times New Roman"/>
        </w:rPr>
      </w:pPr>
      <w:r>
        <w:rPr>
          <w:rFonts w:ascii="Arial" w:eastAsia="Times New Roman" w:hAnsi="Arial" w:cs="Arial"/>
          <w:color w:val="000000"/>
          <w:sz w:val="20"/>
          <w:szCs w:val="20"/>
        </w:rPr>
        <w:t xml:space="preserve">On September 1, 2017, we refinanced and replaced our then-existing $800.0 million credit facility with a new senior, secured five-year syndicated credit facility (the “Credit Facility”), consisting of a $900.0 </w:t>
      </w:r>
      <w:r>
        <w:rPr>
          <w:rFonts w:ascii="Arial" w:eastAsia="Times New Roman" w:hAnsi="Arial" w:cs="Arial"/>
          <w:color w:val="000000"/>
          <w:sz w:val="20"/>
          <w:szCs w:val="20"/>
        </w:rPr>
        <w:t>million revolving line of credit (the “revolver”) and an $800.0 million amortizing term loan, both of which were scheduled to mature on September 1, 2022. In accordance with terms of the Credit Facility, the revolver was reduced to $800.0 million on Septem</w:t>
      </w:r>
      <w:r>
        <w:rPr>
          <w:rFonts w:ascii="Arial" w:eastAsia="Times New Roman" w:hAnsi="Arial" w:cs="Arial"/>
          <w:color w:val="000000"/>
          <w:sz w:val="20"/>
          <w:szCs w:val="20"/>
        </w:rPr>
        <w:t>ber 1, 2018.</w:t>
      </w:r>
    </w:p>
    <w:p w:rsidR="00000000" w:rsidRDefault="0099409C">
      <w:pPr>
        <w:ind w:firstLine="720"/>
        <w:jc w:val="both"/>
        <w:divId w:val="397246321"/>
        <w:rPr>
          <w:rFonts w:eastAsia="Times New Roman"/>
        </w:rPr>
      </w:pPr>
      <w:r>
        <w:rPr>
          <w:rFonts w:ascii="Arial" w:eastAsia="Times New Roman" w:hAnsi="Arial" w:cs="Arial"/>
          <w:color w:val="000000"/>
          <w:sz w:val="20"/>
          <w:szCs w:val="20"/>
        </w:rPr>
        <w:t>On June 28, 2021, the Company amended and restated the Credit Facility (the “Amended Credit Facility”), extending the maturity date to June 28, 2026, and increasing the capacity of the revolving credit facility from $800.0 million to $1.3 bill</w:t>
      </w:r>
      <w:r>
        <w:rPr>
          <w:rFonts w:ascii="Arial" w:eastAsia="Times New Roman" w:hAnsi="Arial" w:cs="Arial"/>
          <w:color w:val="000000"/>
          <w:sz w:val="20"/>
          <w:szCs w:val="20"/>
        </w:rPr>
        <w:t>ion and the then-remaining term loan outstanding from $620.0 million to $650.0 million. The Amended Credit Facility provides for the issuance of up to $350.0 million for standby letters of credit and the issuance of up to $75.0 million in swingline advance</w:t>
      </w:r>
      <w:r>
        <w:rPr>
          <w:rFonts w:ascii="Arial" w:eastAsia="Times New Roman" w:hAnsi="Arial" w:cs="Arial"/>
          <w:color w:val="000000"/>
          <w:sz w:val="20"/>
          <w:szCs w:val="20"/>
        </w:rPr>
        <w:t>s. The obligations under the Amended Credit Facility are secured on a first-priority basis by a lien on substantially all of our assets and properties, subject to certain exceptions. Additionally, we may repay amounts borrowed under the Amended Credit Faci</w:t>
      </w:r>
      <w:r>
        <w:rPr>
          <w:rFonts w:ascii="Arial" w:eastAsia="Times New Roman" w:hAnsi="Arial" w:cs="Arial"/>
          <w:color w:val="000000"/>
          <w:sz w:val="20"/>
          <w:szCs w:val="20"/>
        </w:rPr>
        <w:t xml:space="preserve">lity at any time without penalty. </w:t>
      </w:r>
    </w:p>
    <w:p w:rsidR="00000000" w:rsidRDefault="0099409C">
      <w:pPr>
        <w:ind w:firstLine="720"/>
        <w:jc w:val="both"/>
        <w:divId w:val="1048800536"/>
        <w:rPr>
          <w:rFonts w:eastAsia="Times New Roman"/>
        </w:rPr>
      </w:pPr>
      <w:r>
        <w:rPr>
          <w:rFonts w:ascii="Arial" w:eastAsia="Times New Roman" w:hAnsi="Arial" w:cs="Arial"/>
          <w:color w:val="000000"/>
          <w:sz w:val="20"/>
          <w:szCs w:val="20"/>
        </w:rPr>
        <w:t>The term loan and U.S.-dollar-denominated borrowings under the revolver bear interest at a rate equal to one-month LIBOR plus a spread based upon our leverage ratio. Euro- and sterling-denominated borrowings under the rev</w:t>
      </w:r>
      <w:r>
        <w:rPr>
          <w:rFonts w:ascii="Arial" w:eastAsia="Times New Roman" w:hAnsi="Arial" w:cs="Arial"/>
          <w:color w:val="000000"/>
          <w:sz w:val="20"/>
          <w:szCs w:val="20"/>
        </w:rPr>
        <w:t>olver bear at the interest rate of the Euro Interbank Offered Rate (“EURIBOR”) and the daily Sterling Overnight Index Average (“SONIA”) reference rate, respectively, plus a spread that is based upon our leverage ratio. The spread ranges from 1.375% to 2.25</w:t>
      </w:r>
      <w:r>
        <w:rPr>
          <w:rFonts w:ascii="Arial" w:eastAsia="Times New Roman" w:hAnsi="Arial" w:cs="Arial"/>
          <w:color w:val="000000"/>
          <w:sz w:val="20"/>
          <w:szCs w:val="20"/>
        </w:rPr>
        <w:t xml:space="preserve">0% for Eurocurrency loans and 0.375% to 1.250% for base rate loans. We </w:t>
      </w:r>
    </w:p>
    <w:p w:rsidR="00000000" w:rsidRDefault="0099409C">
      <w:pPr>
        <w:jc w:val="center"/>
        <w:divId w:val="1411537531"/>
        <w:rPr>
          <w:rFonts w:eastAsia="Times New Roman"/>
        </w:rPr>
      </w:pPr>
      <w:r>
        <w:rPr>
          <w:rFonts w:ascii="Arial" w:eastAsia="Times New Roman" w:hAnsi="Arial" w:cs="Arial"/>
          <w:color w:val="000000"/>
          <w:sz w:val="20"/>
          <w:szCs w:val="20"/>
        </w:rPr>
        <w:t>17</w:t>
      </w:r>
    </w:p>
    <w:p w:rsidR="00000000" w:rsidRDefault="0099409C">
      <w:pPr>
        <w:rPr>
          <w:rFonts w:eastAsia="Times New Roman"/>
        </w:rPr>
      </w:pPr>
      <w:r>
        <w:rPr>
          <w:rFonts w:eastAsia="Times New Roman"/>
        </w:rPr>
        <w:pict>
          <v:rect id="_x0000_i1046" style="width:0;height:1.5pt" o:hralign="center" o:hrstd="t" o:hr="t" fillcolor="#a0a0a0" stroked="f"/>
        </w:pict>
      </w:r>
    </w:p>
    <w:p w:rsidR="00000000" w:rsidRDefault="0099409C">
      <w:pPr>
        <w:jc w:val="both"/>
        <w:divId w:val="155268983"/>
        <w:rPr>
          <w:rFonts w:eastAsia="Times New Roman"/>
        </w:rPr>
      </w:pPr>
    </w:p>
    <w:p w:rsidR="00000000" w:rsidRDefault="0099409C">
      <w:pPr>
        <w:jc w:val="both"/>
        <w:divId w:val="1176964133"/>
        <w:rPr>
          <w:rFonts w:eastAsia="Times New Roman"/>
        </w:rPr>
      </w:pPr>
      <w:r>
        <w:rPr>
          <w:rFonts w:ascii="Arial" w:eastAsia="Times New Roman" w:hAnsi="Arial" w:cs="Arial"/>
          <w:color w:val="000000"/>
          <w:sz w:val="20"/>
          <w:szCs w:val="20"/>
        </w:rPr>
        <w:t>also pay a commitment fee, based on our leverage ratio and payable quarterly in arrears, ranging from 0.20% to 0.40% on the average daily unus</w:t>
      </w:r>
      <w:r>
        <w:rPr>
          <w:rFonts w:ascii="Arial" w:eastAsia="Times New Roman" w:hAnsi="Arial" w:cs="Arial"/>
          <w:color w:val="000000"/>
          <w:sz w:val="20"/>
          <w:szCs w:val="20"/>
        </w:rPr>
        <w:t>ed portion of the line of credit. For purposes of this calculation, irrevocable standby letters of credit, which are issued primarily in conjunction with our insurance programs, and cash borrowings are included as outstanding under the line of credit.</w:t>
      </w:r>
    </w:p>
    <w:p w:rsidR="00000000" w:rsidRDefault="0099409C">
      <w:pPr>
        <w:ind w:firstLine="720"/>
        <w:jc w:val="both"/>
        <w:divId w:val="1784492711"/>
        <w:rPr>
          <w:rFonts w:eastAsia="Times New Roman"/>
        </w:rPr>
      </w:pPr>
      <w:r>
        <w:rPr>
          <w:rFonts w:ascii="Arial" w:eastAsia="Times New Roman" w:hAnsi="Arial" w:cs="Arial"/>
          <w:color w:val="000000"/>
          <w:sz w:val="20"/>
          <w:szCs w:val="20"/>
        </w:rPr>
        <w:t xml:space="preserve">The </w:t>
      </w:r>
      <w:r>
        <w:rPr>
          <w:rFonts w:ascii="Arial" w:eastAsia="Times New Roman" w:hAnsi="Arial" w:cs="Arial"/>
          <w:color w:val="000000"/>
          <w:sz w:val="20"/>
          <w:szCs w:val="20"/>
        </w:rPr>
        <w:t>Amended Credit Facility contains certain covenants, including a maximum total net leverage ratio of 5.00 to 1.00, a maximum secured net leverage ratio of 4.00 to 1.00, and a minimum interest coverage ratio of 1.50 to 1.00, as well as other financial and no</w:t>
      </w:r>
      <w:r>
        <w:rPr>
          <w:rFonts w:ascii="Arial" w:eastAsia="Times New Roman" w:hAnsi="Arial" w:cs="Arial"/>
          <w:color w:val="000000"/>
          <w:sz w:val="20"/>
          <w:szCs w:val="20"/>
        </w:rPr>
        <w:t>n-financial covenants. In the event of a material acquisition, as defined in the Amended Credit Facility, we may elect to increase the maximum total net leverage ratio to 5.50 to 1.00 for a total of four fiscal quarters and increase the maximum secured net</w:t>
      </w:r>
      <w:r>
        <w:rPr>
          <w:rFonts w:ascii="Arial" w:eastAsia="Times New Roman" w:hAnsi="Arial" w:cs="Arial"/>
          <w:color w:val="000000"/>
          <w:sz w:val="20"/>
          <w:szCs w:val="20"/>
        </w:rPr>
        <w:t xml:space="preserve"> leverage ratio to 4.50 to 1.00 for a total of four fiscal quarters. Our borrowing capacity is subject to, and limited by, compliance with the covenants described above. At July 31, 2022, we were in compliance with these covenants. </w:t>
      </w:r>
    </w:p>
    <w:p w:rsidR="00000000" w:rsidRDefault="0099409C">
      <w:pPr>
        <w:ind w:firstLine="720"/>
        <w:jc w:val="both"/>
        <w:divId w:val="1437360484"/>
        <w:rPr>
          <w:rFonts w:eastAsia="Times New Roman"/>
        </w:rPr>
      </w:pPr>
      <w:r>
        <w:rPr>
          <w:rFonts w:ascii="Arial" w:eastAsia="Times New Roman" w:hAnsi="Arial" w:cs="Arial"/>
          <w:color w:val="000000"/>
          <w:sz w:val="20"/>
          <w:szCs w:val="20"/>
        </w:rPr>
        <w:t>The Amended Credit Faci</w:t>
      </w:r>
      <w:r>
        <w:rPr>
          <w:rFonts w:ascii="Arial" w:eastAsia="Times New Roman" w:hAnsi="Arial" w:cs="Arial"/>
          <w:color w:val="000000"/>
          <w:sz w:val="20"/>
          <w:szCs w:val="20"/>
        </w:rPr>
        <w:t>lity also includes customary events of default, including: failure to pay principal, interest, or fees when due; failure to comply with covenants; the occurrence of certain material judgments; and a change in control of the Company. If certain events of de</w:t>
      </w:r>
      <w:r>
        <w:rPr>
          <w:rFonts w:ascii="Arial" w:eastAsia="Times New Roman" w:hAnsi="Arial" w:cs="Arial"/>
          <w:color w:val="000000"/>
          <w:sz w:val="20"/>
          <w:szCs w:val="20"/>
        </w:rPr>
        <w:t>fault occur, including certain cross-defaults, insolvency, change in control, or violation of specific covenants, then the lenders can terminate or suspend our access to the Amended Credit Facility, declare all amounts outstanding (including all accrued in</w:t>
      </w:r>
      <w:r>
        <w:rPr>
          <w:rFonts w:ascii="Arial" w:eastAsia="Times New Roman" w:hAnsi="Arial" w:cs="Arial"/>
          <w:color w:val="000000"/>
          <w:sz w:val="20"/>
          <w:szCs w:val="20"/>
        </w:rPr>
        <w:t xml:space="preserve">terest and unpaid fees) to be immediately due and payable, and require that we cash collateralize the outstanding standby letters of credit. </w:t>
      </w:r>
    </w:p>
    <w:p w:rsidR="00000000" w:rsidRDefault="0099409C">
      <w:pPr>
        <w:ind w:firstLine="720"/>
        <w:jc w:val="both"/>
        <w:divId w:val="1424372109"/>
        <w:rPr>
          <w:rFonts w:eastAsia="Times New Roman"/>
        </w:rPr>
      </w:pPr>
      <w:r>
        <w:rPr>
          <w:rFonts w:ascii="Arial" w:eastAsia="Times New Roman" w:hAnsi="Arial" w:cs="Arial"/>
          <w:color w:val="000000"/>
          <w:sz w:val="20"/>
          <w:szCs w:val="20"/>
        </w:rPr>
        <w:t>We incurred deferred financing costs of $6.4 million in conjunction with the execution of the Amended Credit Facil</w:t>
      </w:r>
      <w:r>
        <w:rPr>
          <w:rFonts w:ascii="Arial" w:eastAsia="Times New Roman" w:hAnsi="Arial" w:cs="Arial"/>
          <w:color w:val="000000"/>
          <w:sz w:val="20"/>
          <w:szCs w:val="20"/>
        </w:rPr>
        <w:t>ity and carried over $6.2 million of unamortized deferred financing from initial execution and previous amendments of the Credit Facility. Total deferred financing costs of $12.6 million, consisting of $4.9 million related to the term loan and $7.7 million</w:t>
      </w:r>
      <w:r>
        <w:rPr>
          <w:rFonts w:ascii="Arial" w:eastAsia="Times New Roman" w:hAnsi="Arial" w:cs="Arial"/>
          <w:color w:val="000000"/>
          <w:sz w:val="20"/>
          <w:szCs w:val="20"/>
        </w:rPr>
        <w:t xml:space="preserve"> related to the revolver, are being amortized to interest expense over the term of the Amended Credit Facility.</w:t>
      </w:r>
    </w:p>
    <w:p w:rsidR="00000000" w:rsidRDefault="0099409C">
      <w:pPr>
        <w:ind w:firstLine="720"/>
        <w:jc w:val="both"/>
        <w:divId w:val="295992092"/>
        <w:rPr>
          <w:rFonts w:eastAsia="Times New Roman"/>
        </w:rPr>
      </w:pPr>
      <w:r>
        <w:rPr>
          <w:rFonts w:ascii="Arial" w:eastAsia="Times New Roman" w:hAnsi="Arial" w:cs="Arial"/>
          <w:color w:val="000000"/>
          <w:sz w:val="20"/>
          <w:szCs w:val="20"/>
        </w:rPr>
        <w:t>On March 1, 2022, we entered into a new uncommitted receivable repurchase facility (the “Receivables Facility”) of up to $150 million, which exp</w:t>
      </w:r>
      <w:r>
        <w:rPr>
          <w:rFonts w:ascii="Arial" w:eastAsia="Times New Roman" w:hAnsi="Arial" w:cs="Arial"/>
          <w:color w:val="000000"/>
          <w:sz w:val="20"/>
          <w:szCs w:val="20"/>
        </w:rPr>
        <w:t>ires on February 28, 2023. The Receivables Facility allows the Company to sell a portfolio of available and eligible outstanding U.S. trade accounts receivable to a participating institution and simultaneously agree to repurchase them generally on a monthl</w:t>
      </w:r>
      <w:r>
        <w:rPr>
          <w:rFonts w:ascii="Arial" w:eastAsia="Times New Roman" w:hAnsi="Arial" w:cs="Arial"/>
          <w:color w:val="000000"/>
          <w:sz w:val="20"/>
          <w:szCs w:val="20"/>
        </w:rPr>
        <w:t>y basis. Under this arrangement, we make floating rate interest payments equal to the forward-looking term rate based on Secured Overnight Financing Rate (“SOFR”) plus 1.05%. These interest payments are payable monthly in arrears. The repurchase price of t</w:t>
      </w:r>
      <w:r>
        <w:rPr>
          <w:rFonts w:ascii="Arial" w:eastAsia="Times New Roman" w:hAnsi="Arial" w:cs="Arial"/>
          <w:color w:val="000000"/>
          <w:sz w:val="20"/>
          <w:szCs w:val="20"/>
        </w:rPr>
        <w:t>he receivables in the facility is the original face value. Outstanding receivables must be repurchased on a date agreed upon by both the buyer and seller, generally on a monthly basis, and on the termination date of the repurchase facility. This facility i</w:t>
      </w:r>
      <w:r>
        <w:rPr>
          <w:rFonts w:ascii="Arial" w:eastAsia="Times New Roman" w:hAnsi="Arial" w:cs="Arial"/>
          <w:color w:val="000000"/>
          <w:sz w:val="20"/>
          <w:szCs w:val="20"/>
        </w:rPr>
        <w:t>s considered a secured borrowing and provides the buyer with customary rights of termination upon the occurrence of certain events of default. We have guaranteed all of the sellers’ obligations under the facility.</w:t>
      </w:r>
    </w:p>
    <w:p w:rsidR="00000000" w:rsidRDefault="0099409C">
      <w:pPr>
        <w:ind w:firstLine="720"/>
        <w:jc w:val="both"/>
        <w:divId w:val="90784065"/>
        <w:rPr>
          <w:rFonts w:eastAsia="Times New Roman"/>
        </w:rPr>
      </w:pPr>
      <w:r>
        <w:rPr>
          <w:rFonts w:ascii="Arial" w:eastAsia="Times New Roman" w:hAnsi="Arial" w:cs="Arial"/>
          <w:color w:val="000000"/>
          <w:sz w:val="20"/>
          <w:szCs w:val="20"/>
        </w:rPr>
        <w:t>We account for the sale of receivables und</w:t>
      </w:r>
      <w:r>
        <w:rPr>
          <w:rFonts w:ascii="Arial" w:eastAsia="Times New Roman" w:hAnsi="Arial" w:cs="Arial"/>
          <w:color w:val="000000"/>
          <w:sz w:val="20"/>
          <w:szCs w:val="20"/>
        </w:rPr>
        <w:t>er the Receivables Facility as short-term debt and continue to carry the receivables on the unaudited Consolidated Balance Sheets, primarily as a result of the requirement to repurchase receivables sold. As of July 31, 2022, there were $150.0 million in bo</w:t>
      </w:r>
      <w:r>
        <w:rPr>
          <w:rFonts w:ascii="Arial" w:eastAsia="Times New Roman" w:hAnsi="Arial" w:cs="Arial"/>
          <w:color w:val="000000"/>
          <w:sz w:val="20"/>
          <w:szCs w:val="20"/>
        </w:rPr>
        <w:t xml:space="preserve">rrowings on receivables pledged as collateral under the Receivables Facility. </w:t>
      </w:r>
    </w:p>
    <w:p w:rsidR="00000000" w:rsidRDefault="0099409C">
      <w:pPr>
        <w:divId w:val="1857846579"/>
        <w:rPr>
          <w:rFonts w:eastAsia="Times New Roman"/>
        </w:rPr>
      </w:pPr>
      <w:r>
        <w:rPr>
          <w:rFonts w:ascii="Arial" w:eastAsia="Times New Roman" w:hAnsi="Arial" w:cs="Arial"/>
          <w:b/>
          <w:bCs/>
          <w:color w:val="0046AD"/>
          <w:sz w:val="20"/>
          <w:szCs w:val="20"/>
        </w:rPr>
        <w:t>Long-Term Debt Maturities</w:t>
      </w:r>
    </w:p>
    <w:p w:rsidR="00000000" w:rsidRDefault="0099409C">
      <w:pPr>
        <w:ind w:firstLine="720"/>
        <w:jc w:val="both"/>
        <w:divId w:val="861476225"/>
        <w:rPr>
          <w:rFonts w:eastAsia="Times New Roman"/>
        </w:rPr>
      </w:pPr>
      <w:r>
        <w:rPr>
          <w:rFonts w:ascii="Arial" w:eastAsia="Times New Roman" w:hAnsi="Arial" w:cs="Arial"/>
          <w:color w:val="000000"/>
          <w:sz w:val="20"/>
          <w:szCs w:val="20"/>
        </w:rPr>
        <w:t>During the three and nine months ended July 31, 2022, we made principal payments under the term loan of $8.1 million and $24.4 million, respectively. A</w:t>
      </w:r>
      <w:r>
        <w:rPr>
          <w:rFonts w:ascii="Arial" w:eastAsia="Times New Roman" w:hAnsi="Arial" w:cs="Arial"/>
          <w:color w:val="000000"/>
          <w:sz w:val="20"/>
          <w:szCs w:val="20"/>
        </w:rPr>
        <w:t>s of July 31, 2022, the following principal payments are required under the Amended Credit Facility.</w:t>
      </w:r>
    </w:p>
    <w:tbl>
      <w:tblPr>
        <w:tblW w:w="5000" w:type="pct"/>
        <w:tblCellMar>
          <w:top w:w="15" w:type="dxa"/>
          <w:left w:w="15" w:type="dxa"/>
          <w:bottom w:w="15" w:type="dxa"/>
          <w:right w:w="15" w:type="dxa"/>
        </w:tblCellMar>
        <w:tblLook w:val="04A0" w:firstRow="1" w:lastRow="0" w:firstColumn="1" w:lastColumn="0" w:noHBand="0" w:noVBand="1"/>
      </w:tblPr>
      <w:tblGrid>
        <w:gridCol w:w="38"/>
        <w:gridCol w:w="2561"/>
        <w:gridCol w:w="37"/>
        <w:gridCol w:w="36"/>
        <w:gridCol w:w="36"/>
        <w:gridCol w:w="36"/>
        <w:gridCol w:w="121"/>
        <w:gridCol w:w="808"/>
        <w:gridCol w:w="36"/>
        <w:gridCol w:w="36"/>
        <w:gridCol w:w="36"/>
        <w:gridCol w:w="36"/>
        <w:gridCol w:w="121"/>
        <w:gridCol w:w="883"/>
        <w:gridCol w:w="36"/>
        <w:gridCol w:w="36"/>
        <w:gridCol w:w="36"/>
        <w:gridCol w:w="36"/>
        <w:gridCol w:w="121"/>
        <w:gridCol w:w="884"/>
        <w:gridCol w:w="36"/>
        <w:gridCol w:w="36"/>
        <w:gridCol w:w="36"/>
        <w:gridCol w:w="36"/>
        <w:gridCol w:w="121"/>
        <w:gridCol w:w="884"/>
        <w:gridCol w:w="36"/>
        <w:gridCol w:w="36"/>
        <w:gridCol w:w="36"/>
        <w:gridCol w:w="36"/>
        <w:gridCol w:w="121"/>
        <w:gridCol w:w="886"/>
        <w:gridCol w:w="36"/>
      </w:tblGrid>
      <w:tr w:rsidR="00000000">
        <w:trPr>
          <w:divId w:val="1242645162"/>
        </w:trPr>
        <w:tc>
          <w:tcPr>
            <w:tcW w:w="50" w:type="pct"/>
            <w:vAlign w:val="center"/>
            <w:hideMark/>
          </w:tcPr>
          <w:p w:rsidR="00000000" w:rsidRDefault="0099409C">
            <w:pPr>
              <w:ind w:firstLine="720"/>
              <w:jc w:val="both"/>
              <w:rPr>
                <w:rFonts w:eastAsia="Times New Roman"/>
              </w:rPr>
            </w:pPr>
          </w:p>
        </w:tc>
        <w:tc>
          <w:tcPr>
            <w:tcW w:w="161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58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58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58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58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58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242645162"/>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2024</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2025</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2026</w:t>
            </w:r>
          </w:p>
        </w:tc>
      </w:tr>
      <w:tr w:rsidR="00000000">
        <w:trPr>
          <w:divId w:val="1242645162"/>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Debt maturities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8.1 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938.8 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divId w:val="2103908681"/>
        <w:rPr>
          <w:rFonts w:eastAsia="Times New Roman"/>
        </w:rPr>
      </w:pPr>
      <w:r>
        <w:rPr>
          <w:rFonts w:ascii="Arial" w:eastAsia="Times New Roman" w:hAnsi="Arial" w:cs="Arial"/>
          <w:b/>
          <w:bCs/>
          <w:color w:val="0046AD"/>
          <w:sz w:val="20"/>
          <w:szCs w:val="20"/>
        </w:rPr>
        <w:t>Int</w:t>
      </w:r>
      <w:r>
        <w:rPr>
          <w:rFonts w:ascii="Arial" w:eastAsia="Times New Roman" w:hAnsi="Arial" w:cs="Arial"/>
          <w:b/>
          <w:bCs/>
          <w:color w:val="0046AD"/>
          <w:sz w:val="20"/>
          <w:szCs w:val="20"/>
        </w:rPr>
        <w:t>erest Rate Swaps</w:t>
      </w:r>
    </w:p>
    <w:p w:rsidR="00000000" w:rsidRDefault="0099409C">
      <w:pPr>
        <w:ind w:firstLine="720"/>
        <w:jc w:val="both"/>
        <w:divId w:val="351155625"/>
        <w:rPr>
          <w:rFonts w:eastAsia="Times New Roman"/>
        </w:rPr>
      </w:pPr>
      <w:r>
        <w:rPr>
          <w:rFonts w:ascii="Arial" w:eastAsia="Times New Roman" w:hAnsi="Arial" w:cs="Arial"/>
          <w:color w:val="000000"/>
          <w:sz w:val="20"/>
          <w:szCs w:val="20"/>
        </w:rPr>
        <w:t>We utilize interest rate swap agreements to fix the variable interest rates on portions of our debt. The purpose of using these derivatives is to reduce our exposure to the interest rate risk associated with variable borrowings. Under thes</w:t>
      </w:r>
      <w:r>
        <w:rPr>
          <w:rFonts w:ascii="Arial" w:eastAsia="Times New Roman" w:hAnsi="Arial" w:cs="Arial"/>
          <w:color w:val="000000"/>
          <w:sz w:val="20"/>
          <w:szCs w:val="20"/>
        </w:rPr>
        <w:t>e agreements, we typically pay a fixed interest rate in exchange for a LIBOR-based variable interest rate on a given notional amount. All of our interest rate swaps are designated and accounted for as cash flow hedges. Changes in the fair value of these de</w:t>
      </w:r>
      <w:r>
        <w:rPr>
          <w:rFonts w:ascii="Arial" w:eastAsia="Times New Roman" w:hAnsi="Arial" w:cs="Arial"/>
          <w:color w:val="000000"/>
          <w:sz w:val="20"/>
          <w:szCs w:val="20"/>
        </w:rPr>
        <w:t xml:space="preserve">rivatives are reported as a component of other comprehensive </w:t>
      </w:r>
    </w:p>
    <w:p w:rsidR="00000000" w:rsidRDefault="0099409C">
      <w:pPr>
        <w:jc w:val="center"/>
        <w:divId w:val="533815197"/>
        <w:rPr>
          <w:rFonts w:eastAsia="Times New Roman"/>
        </w:rPr>
      </w:pPr>
      <w:r>
        <w:rPr>
          <w:rFonts w:ascii="Arial" w:eastAsia="Times New Roman" w:hAnsi="Arial" w:cs="Arial"/>
          <w:color w:val="000000"/>
          <w:sz w:val="20"/>
          <w:szCs w:val="20"/>
        </w:rPr>
        <w:t>18</w:t>
      </w:r>
    </w:p>
    <w:p w:rsidR="00000000" w:rsidRDefault="0099409C">
      <w:pPr>
        <w:rPr>
          <w:rFonts w:eastAsia="Times New Roman"/>
        </w:rPr>
      </w:pPr>
      <w:r>
        <w:rPr>
          <w:rFonts w:eastAsia="Times New Roman"/>
        </w:rPr>
        <w:pict>
          <v:rect id="_x0000_i1047" style="width:0;height:1.5pt" o:hralign="center" o:hrstd="t" o:hr="t" fillcolor="#a0a0a0" stroked="f"/>
        </w:pict>
      </w:r>
    </w:p>
    <w:p w:rsidR="00000000" w:rsidRDefault="0099409C">
      <w:pPr>
        <w:jc w:val="both"/>
        <w:divId w:val="1606771951"/>
        <w:rPr>
          <w:rFonts w:eastAsia="Times New Roman"/>
        </w:rPr>
      </w:pPr>
    </w:p>
    <w:p w:rsidR="00000000" w:rsidRDefault="0099409C">
      <w:pPr>
        <w:jc w:val="both"/>
        <w:divId w:val="1775249640"/>
        <w:rPr>
          <w:rFonts w:eastAsia="Times New Roman"/>
        </w:rPr>
      </w:pPr>
      <w:r>
        <w:rPr>
          <w:rFonts w:ascii="Arial" w:eastAsia="Times New Roman" w:hAnsi="Arial" w:cs="Arial"/>
          <w:color w:val="000000"/>
          <w:sz w:val="20"/>
          <w:szCs w:val="20"/>
        </w:rPr>
        <w:t>income and are reclassified into earnings in the period or periods in which the hedged transaction affects earnings. For information regarding the valuation of our interest rate swaps, see Note 6, “Fair Value of Financ</w:t>
      </w:r>
      <w:r>
        <w:rPr>
          <w:rFonts w:ascii="Arial" w:eastAsia="Times New Roman" w:hAnsi="Arial" w:cs="Arial"/>
          <w:color w:val="000000"/>
          <w:sz w:val="20"/>
          <w:szCs w:val="20"/>
        </w:rPr>
        <w:t xml:space="preserve">ial Instruments.” </w:t>
      </w:r>
    </w:p>
    <w:tbl>
      <w:tblPr>
        <w:tblW w:w="4992" w:type="pct"/>
        <w:tblCellMar>
          <w:top w:w="15" w:type="dxa"/>
          <w:left w:w="15" w:type="dxa"/>
          <w:bottom w:w="15" w:type="dxa"/>
          <w:right w:w="15" w:type="dxa"/>
        </w:tblCellMar>
        <w:tblLook w:val="04A0" w:firstRow="1" w:lastRow="0" w:firstColumn="1" w:lastColumn="0" w:noHBand="0" w:noVBand="1"/>
      </w:tblPr>
      <w:tblGrid>
        <w:gridCol w:w="57"/>
        <w:gridCol w:w="1911"/>
        <w:gridCol w:w="36"/>
        <w:gridCol w:w="36"/>
        <w:gridCol w:w="36"/>
        <w:gridCol w:w="36"/>
        <w:gridCol w:w="39"/>
        <w:gridCol w:w="1912"/>
        <w:gridCol w:w="36"/>
        <w:gridCol w:w="36"/>
        <w:gridCol w:w="36"/>
        <w:gridCol w:w="36"/>
        <w:gridCol w:w="40"/>
        <w:gridCol w:w="1912"/>
        <w:gridCol w:w="37"/>
        <w:gridCol w:w="36"/>
        <w:gridCol w:w="36"/>
        <w:gridCol w:w="36"/>
        <w:gridCol w:w="40"/>
        <w:gridCol w:w="1912"/>
        <w:gridCol w:w="37"/>
      </w:tblGrid>
      <w:tr w:rsidR="00000000">
        <w:trPr>
          <w:divId w:val="672103885"/>
        </w:trPr>
        <w:tc>
          <w:tcPr>
            <w:tcW w:w="50" w:type="pct"/>
            <w:vAlign w:val="center"/>
            <w:hideMark/>
          </w:tcPr>
          <w:p w:rsidR="00000000" w:rsidRDefault="0099409C">
            <w:pPr>
              <w:jc w:val="both"/>
              <w:rPr>
                <w:rFonts w:eastAsia="Times New Roman"/>
              </w:rPr>
            </w:pPr>
          </w:p>
        </w:tc>
        <w:tc>
          <w:tcPr>
            <w:tcW w:w="116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116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116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116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672103885"/>
        </w:trPr>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Notional Amount</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Fixed Interest Rate</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Effective Date</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Maturity Date</w:t>
            </w:r>
          </w:p>
        </w:tc>
      </w:tr>
      <w:tr w:rsidR="00000000">
        <w:trPr>
          <w:divId w:val="672103885"/>
        </w:trPr>
        <w:tc>
          <w:tcPr>
            <w:tcW w:w="0" w:type="auto"/>
            <w:gridSpan w:val="3"/>
            <w:vAlign w:val="center"/>
            <w:hideMark/>
          </w:tcPr>
          <w:p w:rsidR="00000000" w:rsidRDefault="0099409C">
            <w:pPr>
              <w:spacing w:after="100"/>
              <w:jc w:val="center"/>
              <w:rPr>
                <w:rFonts w:eastAsia="Times New Roman"/>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672103885"/>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672103885"/>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672103885"/>
        </w:trPr>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$130.0 million</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2.84%</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November 1, 2018</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September 1, 2022</w:t>
            </w:r>
          </w:p>
        </w:tc>
      </w:tr>
      <w:tr w:rsidR="00000000">
        <w:trPr>
          <w:divId w:val="67210388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$100.0 million</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1.78%</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February 9, 2022</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June 28, 2026</w:t>
            </w:r>
          </w:p>
        </w:tc>
      </w:tr>
      <w:tr w:rsidR="00000000">
        <w:trPr>
          <w:divId w:val="67210388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$150.0 million</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1.92%</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February 25, 2022</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June 28, 2026</w:t>
            </w:r>
          </w:p>
        </w:tc>
      </w:tr>
      <w:tr w:rsidR="00000000">
        <w:trPr>
          <w:divId w:val="67210388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$100.0 million</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2.98%</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May 4, 2022</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June 28, 2026</w:t>
            </w:r>
          </w:p>
        </w:tc>
      </w:tr>
      <w:tr w:rsidR="00000000">
        <w:trPr>
          <w:divId w:val="67210388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$129.4 million</w:t>
            </w:r>
            <w:r>
              <w:rPr>
                <w:rFonts w:ascii="Arial" w:eastAsia="Times New Roman" w:hAnsi="Arial" w:cs="Arial"/>
                <w:color w:val="000000"/>
                <w:sz w:val="18"/>
                <w:szCs w:val="18"/>
              </w:rPr>
              <w:t xml:space="preserve"> </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2.89%</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July 7, 2022</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June 28, 2026</w:t>
            </w:r>
          </w:p>
        </w:tc>
      </w:tr>
      <w:tr w:rsidR="00000000">
        <w:trPr>
          <w:divId w:val="67210388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$170.6 million</w:t>
            </w:r>
            <w:r>
              <w:rPr>
                <w:rFonts w:ascii="Arial" w:eastAsia="Times New Roman" w:hAnsi="Arial" w:cs="Arial"/>
                <w:color w:val="000000"/>
                <w:sz w:val="18"/>
                <w:szCs w:val="18"/>
              </w:rPr>
              <w:t xml:space="preserve"> </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2.86%</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July 18, 2022</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June 28, 2026</w:t>
            </w:r>
          </w:p>
        </w:tc>
      </w:tr>
    </w:tbl>
    <w:p w:rsidR="00000000" w:rsidRDefault="0099409C">
      <w:pPr>
        <w:ind w:hanging="180"/>
        <w:jc w:val="both"/>
        <w:divId w:val="1378895785"/>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6"/>
          <w:szCs w:val="16"/>
        </w:rPr>
        <w:t>In July 2022, we entered into interest rate swap agreements with notional values totaling $300.0 million at inception. The notional amount reduces to $250.0 million in April 2024, $175.0 million in October 2024, and $100.0 million in October 2025 before ma</w:t>
      </w:r>
      <w:r>
        <w:rPr>
          <w:rFonts w:ascii="Arial" w:eastAsia="Times New Roman" w:hAnsi="Arial" w:cs="Arial"/>
          <w:color w:val="000000"/>
          <w:sz w:val="16"/>
          <w:szCs w:val="16"/>
        </w:rPr>
        <w:t xml:space="preserve">turing on June 28, 2026. </w:t>
      </w:r>
    </w:p>
    <w:p w:rsidR="00000000" w:rsidRDefault="0099409C">
      <w:pPr>
        <w:ind w:firstLine="720"/>
        <w:jc w:val="both"/>
        <w:divId w:val="822769533"/>
        <w:rPr>
          <w:rFonts w:eastAsia="Times New Roman"/>
        </w:rPr>
      </w:pPr>
      <w:r>
        <w:rPr>
          <w:rFonts w:ascii="Arial" w:eastAsia="Times New Roman" w:hAnsi="Arial" w:cs="Arial"/>
          <w:color w:val="000000"/>
          <w:sz w:val="20"/>
          <w:szCs w:val="20"/>
        </w:rPr>
        <w:t xml:space="preserve">At July 31, 2022, and October 31, 2021, amounts recorded in accumulated other comprehensive loss (“AOCL”) for interest rate swaps were a gain of $4.4 million, net of taxes of $2.0 million, and a loss of $0.2 </w:t>
      </w:r>
      <w:r>
        <w:rPr>
          <w:rFonts w:ascii="Arial" w:eastAsia="Times New Roman" w:hAnsi="Arial" w:cs="Arial"/>
          <w:color w:val="000000"/>
          <w:sz w:val="20"/>
          <w:szCs w:val="20"/>
        </w:rPr>
        <w:t xml:space="preserve">million, net of taxes of $0.3 million, respectively. These amounts included the gain associated with the interest rate swaps we terminated in 2018, which is being amortized to interest expense over the original term of our Credit Facility ending September </w:t>
      </w:r>
      <w:r>
        <w:rPr>
          <w:rFonts w:ascii="Arial" w:eastAsia="Times New Roman" w:hAnsi="Arial" w:cs="Arial"/>
          <w:color w:val="000000"/>
          <w:sz w:val="20"/>
          <w:szCs w:val="20"/>
        </w:rPr>
        <w:t>1, 2022. During the three and nine months ended July 31, 2022, we amortized $1.1 million of this gain, net of taxes of $0.4 million, and $3.2 million, net of taxes of $1.2 million, respectively, of this gain to interest expense. During the three and nine m</w:t>
      </w:r>
      <w:r>
        <w:rPr>
          <w:rFonts w:ascii="Arial" w:eastAsia="Times New Roman" w:hAnsi="Arial" w:cs="Arial"/>
          <w:color w:val="000000"/>
          <w:sz w:val="20"/>
          <w:szCs w:val="20"/>
        </w:rPr>
        <w:t>onths ended July 31, 2021, we amortized $1.2 million, net of taxes of $0.4 million, and $3.5 million, net of taxes of $1.3 million, respectively. At July 31, 2022, the total amount expected to be reclassified from AOCL to earnings during the next 12 months</w:t>
      </w:r>
      <w:r>
        <w:rPr>
          <w:rFonts w:ascii="Arial" w:eastAsia="Times New Roman" w:hAnsi="Arial" w:cs="Arial"/>
          <w:color w:val="000000"/>
          <w:sz w:val="20"/>
          <w:szCs w:val="20"/>
        </w:rPr>
        <w:t xml:space="preserve"> is a gain of $1.4 million, net of taxes of $0.5 million.</w:t>
      </w:r>
    </w:p>
    <w:p w:rsidR="00000000" w:rsidRDefault="0099409C">
      <w:pPr>
        <w:jc w:val="both"/>
        <w:divId w:val="369308593"/>
        <w:rPr>
          <w:rFonts w:eastAsia="Times New Roman"/>
        </w:rPr>
      </w:pPr>
    </w:p>
    <w:p w:rsidR="00000000" w:rsidRDefault="0099409C">
      <w:pPr>
        <w:jc w:val="both"/>
        <w:divId w:val="467479968"/>
        <w:rPr>
          <w:rFonts w:eastAsia="Times New Roman"/>
        </w:rPr>
      </w:pPr>
    </w:p>
    <w:p w:rsidR="00000000" w:rsidRDefault="0099409C">
      <w:pPr>
        <w:jc w:val="both"/>
        <w:divId w:val="1891649111"/>
        <w:rPr>
          <w:rFonts w:eastAsia="Times New Roman"/>
        </w:rPr>
      </w:pPr>
    </w:p>
    <w:p w:rsidR="00000000" w:rsidRDefault="0099409C">
      <w:pPr>
        <w:jc w:val="center"/>
        <w:divId w:val="86584548"/>
        <w:rPr>
          <w:rFonts w:eastAsia="Times New Roman"/>
        </w:rPr>
      </w:pPr>
      <w:r>
        <w:rPr>
          <w:rFonts w:ascii="Arial" w:eastAsia="Times New Roman" w:hAnsi="Arial" w:cs="Arial"/>
          <w:color w:val="000000"/>
          <w:sz w:val="20"/>
          <w:szCs w:val="20"/>
        </w:rPr>
        <w:t>19</w:t>
      </w:r>
    </w:p>
    <w:p w:rsidR="00000000" w:rsidRDefault="0099409C">
      <w:pPr>
        <w:rPr>
          <w:rFonts w:eastAsia="Times New Roman"/>
        </w:rPr>
      </w:pPr>
      <w:r>
        <w:rPr>
          <w:rFonts w:eastAsia="Times New Roman"/>
        </w:rPr>
        <w:pict>
          <v:rect id="_x0000_i1048" style="width:0;height:1.5pt" o:hralign="center" o:hrstd="t" o:hr="t" fillcolor="#a0a0a0" stroked="f"/>
        </w:pict>
      </w:r>
    </w:p>
    <w:p w:rsidR="00000000" w:rsidRDefault="0099409C">
      <w:pPr>
        <w:jc w:val="both"/>
        <w:divId w:val="1960723380"/>
        <w:rPr>
          <w:rFonts w:eastAsia="Times New Roman"/>
        </w:rPr>
      </w:pPr>
    </w:p>
    <w:p w:rsidR="00000000" w:rsidRDefault="0099409C">
      <w:pPr>
        <w:divId w:val="617369991"/>
        <w:rPr>
          <w:rFonts w:eastAsia="Times New Roman"/>
        </w:rPr>
      </w:pPr>
      <w:r>
        <w:rPr>
          <w:rFonts w:ascii="Arial" w:eastAsia="Times New Roman" w:hAnsi="Arial" w:cs="Arial"/>
          <w:b/>
          <w:bCs/>
          <w:color w:val="0046AD"/>
          <w:sz w:val="20"/>
          <w:szCs w:val="20"/>
        </w:rPr>
        <w:t>9. COMMON STOCK</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37040037"/>
        </w:trPr>
        <w:tc>
          <w:tcPr>
            <w:tcW w:w="5" w:type="pct"/>
            <w:vAlign w:val="center"/>
            <w:hideMark/>
          </w:tcPr>
          <w:p w:rsidR="00000000" w:rsidRDefault="0099409C">
            <w:pPr>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37040037"/>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ind w:firstLine="720"/>
        <w:jc w:val="both"/>
        <w:divId w:val="684941785"/>
        <w:rPr>
          <w:rFonts w:eastAsia="Times New Roman"/>
        </w:rPr>
      </w:pPr>
      <w:r>
        <w:rPr>
          <w:rFonts w:ascii="Arial" w:eastAsia="Times New Roman" w:hAnsi="Arial" w:cs="Arial"/>
          <w:color w:val="000000"/>
          <w:sz w:val="20"/>
          <w:szCs w:val="20"/>
        </w:rPr>
        <w:t>Effective December 18, 2019, our Board of Directors replaced our then-existing share repurchase program with a new share repurchase program under which we may repurchase up to $150.0 million of our common stock (the “2019 Share Repurchase Program”). We rep</w:t>
      </w:r>
      <w:r>
        <w:rPr>
          <w:rFonts w:ascii="Arial" w:eastAsia="Times New Roman" w:hAnsi="Arial" w:cs="Arial"/>
          <w:color w:val="000000"/>
          <w:sz w:val="20"/>
          <w:szCs w:val="20"/>
        </w:rPr>
        <w:t>urchased shares under the 2019 Share Repurchase Program during the three and nine months ended July 31, 2022, as summarized below. No shares were repurchased during the three and nine months ended July 31, 2021. At July 31, 2022, authorization for $70.4 mi</w:t>
      </w:r>
      <w:r>
        <w:rPr>
          <w:rFonts w:ascii="Arial" w:eastAsia="Times New Roman" w:hAnsi="Arial" w:cs="Arial"/>
          <w:color w:val="000000"/>
          <w:sz w:val="20"/>
          <w:szCs w:val="20"/>
        </w:rPr>
        <w:t>llion of repurchases remained under the 2019 Share Repurchase Program.</w:t>
      </w:r>
      <w:r>
        <w:rPr>
          <w:rFonts w:ascii="Arial" w:eastAsia="Times New Roman" w:hAnsi="Arial" w:cs="Arial"/>
          <w:b/>
          <w:bCs/>
          <w:i/>
          <w:iCs/>
          <w:color w:val="0046AD"/>
          <w:sz w:val="20"/>
          <w:szCs w:val="20"/>
        </w:rPr>
        <w:t xml:space="preserve"> </w:t>
      </w:r>
    </w:p>
    <w:p w:rsidR="00000000" w:rsidRDefault="0099409C">
      <w:pPr>
        <w:jc w:val="both"/>
        <w:divId w:val="1455447804"/>
        <w:rPr>
          <w:rFonts w:eastAsia="Times New Roman"/>
        </w:rPr>
      </w:pPr>
      <w:r>
        <w:rPr>
          <w:rFonts w:ascii="Arial" w:eastAsia="Times New Roman" w:hAnsi="Arial" w:cs="Arial"/>
          <w:b/>
          <w:bCs/>
          <w:i/>
          <w:iCs/>
          <w:color w:val="0046AD"/>
          <w:sz w:val="20"/>
          <w:szCs w:val="20"/>
        </w:rPr>
        <w:t>Repurchase Activity</w:t>
      </w:r>
    </w:p>
    <w:tbl>
      <w:tblPr>
        <w:tblW w:w="5000" w:type="pct"/>
        <w:tblCellMar>
          <w:top w:w="15" w:type="dxa"/>
          <w:left w:w="15" w:type="dxa"/>
          <w:bottom w:w="15" w:type="dxa"/>
          <w:right w:w="15" w:type="dxa"/>
        </w:tblCellMar>
        <w:tblLook w:val="04A0" w:firstRow="1" w:lastRow="0" w:firstColumn="1" w:lastColumn="0" w:noHBand="0" w:noVBand="1"/>
      </w:tblPr>
      <w:tblGrid>
        <w:gridCol w:w="39"/>
        <w:gridCol w:w="4817"/>
        <w:gridCol w:w="38"/>
        <w:gridCol w:w="36"/>
        <w:gridCol w:w="36"/>
        <w:gridCol w:w="36"/>
        <w:gridCol w:w="122"/>
        <w:gridCol w:w="1440"/>
        <w:gridCol w:w="36"/>
        <w:gridCol w:w="36"/>
        <w:gridCol w:w="36"/>
        <w:gridCol w:w="36"/>
        <w:gridCol w:w="122"/>
        <w:gridCol w:w="1440"/>
        <w:gridCol w:w="36"/>
      </w:tblGrid>
      <w:tr w:rsidR="00000000">
        <w:trPr>
          <w:divId w:val="495150552"/>
        </w:trPr>
        <w:tc>
          <w:tcPr>
            <w:tcW w:w="50" w:type="pct"/>
            <w:vAlign w:val="center"/>
            <w:hideMark/>
          </w:tcPr>
          <w:p w:rsidR="00000000" w:rsidRDefault="0099409C">
            <w:pPr>
              <w:jc w:val="both"/>
              <w:rPr>
                <w:rFonts w:eastAsia="Times New Roman"/>
              </w:rPr>
            </w:pPr>
          </w:p>
        </w:tc>
        <w:tc>
          <w:tcPr>
            <w:tcW w:w="29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91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91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495150552"/>
          <w:trHeight w:val="300"/>
        </w:trPr>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495150552"/>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Three Months Ended July 31, 2022</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Nine Months Ended July 31, 2022</w:t>
            </w:r>
          </w:p>
        </w:tc>
      </w:tr>
      <w:tr w:rsidR="00000000">
        <w:trPr>
          <w:divId w:val="495150552"/>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Total number of shares purchased</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495150552"/>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Average price paid per share</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41.92 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42.95 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495150552"/>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Total cash paid for share repurchases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31.2 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74.5 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divId w:val="1108620254"/>
        <w:rPr>
          <w:rFonts w:eastAsia="Times New Roman"/>
        </w:rPr>
      </w:pPr>
      <w:r>
        <w:rPr>
          <w:rFonts w:ascii="Arial" w:eastAsia="Times New Roman" w:hAnsi="Arial" w:cs="Arial"/>
          <w:b/>
          <w:bCs/>
          <w:color w:val="0046AD"/>
          <w:sz w:val="20"/>
          <w:szCs w:val="20"/>
        </w:rPr>
        <w:t xml:space="preserve">10. </w:t>
      </w:r>
      <w:r>
        <w:rPr>
          <w:rFonts w:ascii="Arial" w:eastAsia="Times New Roman" w:hAnsi="Arial" w:cs="Arial"/>
          <w:b/>
          <w:bCs/>
          <w:color w:val="0046AD"/>
          <w:sz w:val="20"/>
          <w:szCs w:val="20"/>
        </w:rPr>
        <w:t xml:space="preserve">COMMITMENTS AND CONTINGENCIES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180126163"/>
        </w:trPr>
        <w:tc>
          <w:tcPr>
            <w:tcW w:w="5" w:type="pct"/>
            <w:vAlign w:val="center"/>
            <w:hideMark/>
          </w:tcPr>
          <w:p w:rsidR="00000000" w:rsidRDefault="0099409C">
            <w:pPr>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180126163"/>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divId w:val="66391080"/>
        <w:rPr>
          <w:rFonts w:eastAsia="Times New Roman"/>
        </w:rPr>
      </w:pPr>
      <w:r>
        <w:rPr>
          <w:rFonts w:ascii="Arial" w:eastAsia="Times New Roman" w:hAnsi="Arial" w:cs="Arial"/>
          <w:b/>
          <w:bCs/>
          <w:color w:val="0046AD"/>
          <w:sz w:val="20"/>
          <w:szCs w:val="20"/>
        </w:rPr>
        <w:t>Letters of Credit and Surety Bonds</w:t>
      </w:r>
    </w:p>
    <w:p w:rsidR="00000000" w:rsidRDefault="0099409C">
      <w:pPr>
        <w:ind w:firstLine="720"/>
        <w:jc w:val="both"/>
        <w:divId w:val="1854301313"/>
        <w:rPr>
          <w:rFonts w:eastAsia="Times New Roman"/>
        </w:rPr>
      </w:pPr>
      <w:r>
        <w:rPr>
          <w:rFonts w:ascii="Arial" w:eastAsia="Times New Roman" w:hAnsi="Arial" w:cs="Arial"/>
          <w:color w:val="000000"/>
          <w:sz w:val="20"/>
          <w:szCs w:val="20"/>
        </w:rPr>
        <w:t xml:space="preserve">We use letters of credit and surety bonds to secure certain commitments related to insurance programs and for other purposes. As of July 31, 2022, these letters of credit and surety bonds totaled $158.8 million and $717.9 million, respectively. </w:t>
      </w:r>
    </w:p>
    <w:p w:rsidR="00000000" w:rsidRDefault="0099409C">
      <w:pPr>
        <w:jc w:val="both"/>
        <w:divId w:val="1002463855"/>
        <w:rPr>
          <w:rFonts w:eastAsia="Times New Roman"/>
        </w:rPr>
      </w:pPr>
      <w:r>
        <w:rPr>
          <w:rFonts w:ascii="Arial" w:eastAsia="Times New Roman" w:hAnsi="Arial" w:cs="Arial"/>
          <w:b/>
          <w:bCs/>
          <w:color w:val="0046AD"/>
          <w:sz w:val="20"/>
          <w:szCs w:val="20"/>
        </w:rPr>
        <w:t>Guarantees</w:t>
      </w:r>
    </w:p>
    <w:p w:rsidR="00000000" w:rsidRDefault="0099409C">
      <w:pPr>
        <w:ind w:firstLine="720"/>
        <w:jc w:val="both"/>
        <w:divId w:val="1372418080"/>
        <w:rPr>
          <w:rFonts w:eastAsia="Times New Roman"/>
        </w:rPr>
      </w:pPr>
      <w:r>
        <w:rPr>
          <w:rFonts w:ascii="Arial" w:eastAsia="Times New Roman" w:hAnsi="Arial" w:cs="Arial"/>
          <w:color w:val="000000"/>
          <w:sz w:val="20"/>
          <w:szCs w:val="20"/>
        </w:rPr>
        <w:t xml:space="preserve">In some instances, we offer clients guaranteed energy savings under certain energy savings contracts. At July 31, 2022, total guarantees were $230.6 million and extend through 2042. We include the estimated costs of guarantees in the transaction price to </w:t>
      </w:r>
      <w:r>
        <w:rPr>
          <w:rFonts w:ascii="Arial" w:eastAsia="Times New Roman" w:hAnsi="Arial" w:cs="Arial"/>
          <w:color w:val="000000"/>
          <w:sz w:val="20"/>
          <w:szCs w:val="20"/>
        </w:rPr>
        <w:t>the extent it is probable that a significant reversal of cumulative revenue recognized will not occur when the uncertainty associated with the variable consideration is resolved. Our estimates of variable consideration and determination of whether to inclu</w:t>
      </w:r>
      <w:r>
        <w:rPr>
          <w:rFonts w:ascii="Arial" w:eastAsia="Times New Roman" w:hAnsi="Arial" w:cs="Arial"/>
          <w:color w:val="000000"/>
          <w:sz w:val="20"/>
          <w:szCs w:val="20"/>
        </w:rPr>
        <w:t>de estimated amounts in the transaction price are based largely on an assessment of our anticipated performance and all information (historical, current, and forecasted) that is reasonably available to us. Historically, we have not incurred any material lo</w:t>
      </w:r>
      <w:r>
        <w:rPr>
          <w:rFonts w:ascii="Arial" w:eastAsia="Times New Roman" w:hAnsi="Arial" w:cs="Arial"/>
          <w:color w:val="000000"/>
          <w:sz w:val="20"/>
          <w:szCs w:val="20"/>
        </w:rPr>
        <w:t xml:space="preserve">sses in connection with these guarantees. </w:t>
      </w:r>
    </w:p>
    <w:p w:rsidR="00000000" w:rsidRDefault="0099409C">
      <w:pPr>
        <w:jc w:val="both"/>
        <w:divId w:val="358897589"/>
        <w:rPr>
          <w:rFonts w:eastAsia="Times New Roman"/>
        </w:rPr>
      </w:pPr>
      <w:r>
        <w:rPr>
          <w:rFonts w:ascii="Arial" w:eastAsia="Times New Roman" w:hAnsi="Arial" w:cs="Arial"/>
          <w:b/>
          <w:bCs/>
          <w:color w:val="0046AD"/>
          <w:sz w:val="20"/>
          <w:szCs w:val="20"/>
        </w:rPr>
        <w:t>Sales Taxes</w:t>
      </w:r>
    </w:p>
    <w:p w:rsidR="00000000" w:rsidRDefault="0099409C">
      <w:pPr>
        <w:ind w:firstLine="720"/>
        <w:jc w:val="both"/>
        <w:divId w:val="1636524139"/>
        <w:rPr>
          <w:rFonts w:eastAsia="Times New Roman"/>
        </w:rPr>
      </w:pPr>
      <w:r>
        <w:rPr>
          <w:rFonts w:ascii="Arial" w:eastAsia="Times New Roman" w:hAnsi="Arial" w:cs="Arial"/>
          <w:color w:val="000000"/>
          <w:sz w:val="20"/>
          <w:szCs w:val="20"/>
        </w:rPr>
        <w:t>We collect sales tax from clients and remit those collections to the applicable states. In some cases when clients fail to pay their invoices, including the amount of any sales tax that we paid on thei</w:t>
      </w:r>
      <w:r>
        <w:rPr>
          <w:rFonts w:ascii="Arial" w:eastAsia="Times New Roman" w:hAnsi="Arial" w:cs="Arial"/>
          <w:color w:val="000000"/>
          <w:sz w:val="20"/>
          <w:szCs w:val="20"/>
        </w:rPr>
        <w:t xml:space="preserve">r behalf, we may be entitled to seek a refund of that amount of sales tax from the applicable state. </w:t>
      </w:r>
    </w:p>
    <w:p w:rsidR="00000000" w:rsidRDefault="0099409C">
      <w:pPr>
        <w:ind w:firstLine="720"/>
        <w:jc w:val="both"/>
        <w:divId w:val="90396495"/>
        <w:rPr>
          <w:rFonts w:eastAsia="Times New Roman"/>
        </w:rPr>
      </w:pPr>
      <w:r>
        <w:rPr>
          <w:rFonts w:ascii="Arial" w:eastAsia="Times New Roman" w:hAnsi="Arial" w:cs="Arial"/>
          <w:color w:val="000000"/>
          <w:sz w:val="20"/>
          <w:szCs w:val="20"/>
        </w:rPr>
        <w:t>Sales tax laws and regulations enacted by the various states are subject to interpretation, and our compliance with such laws is routinely subject to audi</w:t>
      </w:r>
      <w:r>
        <w:rPr>
          <w:rFonts w:ascii="Arial" w:eastAsia="Times New Roman" w:hAnsi="Arial" w:cs="Arial"/>
          <w:color w:val="000000"/>
          <w:sz w:val="20"/>
          <w:szCs w:val="20"/>
        </w:rPr>
        <w:t>t and review by such states. Audit risk is concentrated in several states that are conducting ongoing audits. The outcomes of ongoing and any future audits and changes in the states’ interpretation of the sales tax laws and regulations could materially adv</w:t>
      </w:r>
      <w:r>
        <w:rPr>
          <w:rFonts w:ascii="Arial" w:eastAsia="Times New Roman" w:hAnsi="Arial" w:cs="Arial"/>
          <w:color w:val="000000"/>
          <w:sz w:val="20"/>
          <w:szCs w:val="20"/>
        </w:rPr>
        <w:t>ersely impact our results of operations</w:t>
      </w:r>
      <w:r>
        <w:rPr>
          <w:rFonts w:ascii="Arial" w:eastAsia="Times New Roman" w:hAnsi="Arial" w:cs="Arial"/>
          <w:b/>
          <w:bCs/>
          <w:color w:val="0046AD"/>
          <w:sz w:val="20"/>
          <w:szCs w:val="20"/>
        </w:rPr>
        <w:t>.</w:t>
      </w:r>
    </w:p>
    <w:p w:rsidR="00000000" w:rsidRDefault="0099409C">
      <w:pPr>
        <w:jc w:val="both"/>
        <w:divId w:val="556012041"/>
        <w:rPr>
          <w:rFonts w:eastAsia="Times New Roman"/>
        </w:rPr>
      </w:pPr>
      <w:r>
        <w:rPr>
          <w:rFonts w:ascii="Arial" w:eastAsia="Times New Roman" w:hAnsi="Arial" w:cs="Arial"/>
          <w:b/>
          <w:bCs/>
          <w:color w:val="0046AD"/>
          <w:sz w:val="20"/>
          <w:szCs w:val="20"/>
        </w:rPr>
        <w:t>Legal Matters</w:t>
      </w:r>
    </w:p>
    <w:p w:rsidR="00000000" w:rsidRDefault="0099409C">
      <w:pPr>
        <w:ind w:firstLine="720"/>
        <w:jc w:val="both"/>
        <w:divId w:val="2023819012"/>
        <w:rPr>
          <w:rFonts w:eastAsia="Times New Roman"/>
        </w:rPr>
      </w:pPr>
      <w:r>
        <w:rPr>
          <w:rFonts w:ascii="Arial" w:eastAsia="Times New Roman" w:hAnsi="Arial" w:cs="Arial"/>
          <w:color w:val="000000"/>
          <w:sz w:val="20"/>
          <w:szCs w:val="20"/>
        </w:rPr>
        <w:t>We are a party to a number of lawsuits, claims, and proceedings incident to the operation of our business, including those pertaining to labor and employment, contracts, personal injury, and other matt</w:t>
      </w:r>
      <w:r>
        <w:rPr>
          <w:rFonts w:ascii="Arial" w:eastAsia="Times New Roman" w:hAnsi="Arial" w:cs="Arial"/>
          <w:color w:val="000000"/>
          <w:sz w:val="20"/>
          <w:szCs w:val="20"/>
        </w:rPr>
        <w:t>ers, some of which allege substantial monetary damages. Some of these actions may be brought as class actions on behalf of a class or purported class of employees.</w:t>
      </w:r>
    </w:p>
    <w:p w:rsidR="00000000" w:rsidRDefault="0099409C">
      <w:pPr>
        <w:ind w:firstLine="720"/>
        <w:jc w:val="both"/>
        <w:divId w:val="870456259"/>
        <w:rPr>
          <w:rFonts w:eastAsia="Times New Roman"/>
        </w:rPr>
      </w:pPr>
      <w:r>
        <w:rPr>
          <w:rFonts w:ascii="Arial" w:eastAsia="Times New Roman" w:hAnsi="Arial" w:cs="Arial"/>
          <w:color w:val="000000"/>
          <w:sz w:val="20"/>
          <w:szCs w:val="20"/>
        </w:rPr>
        <w:t>At July 31, 2022, the total amount accrued for probable litigation losses where a reasonable</w:t>
      </w:r>
      <w:r>
        <w:rPr>
          <w:rFonts w:ascii="Arial" w:eastAsia="Times New Roman" w:hAnsi="Arial" w:cs="Arial"/>
          <w:color w:val="000000"/>
          <w:sz w:val="20"/>
          <w:szCs w:val="20"/>
        </w:rPr>
        <w:t xml:space="preserve"> estimate of the loss could be made was $29.9 million, including probable litigation losses of $19.3 million related to the Able Acquisition as described in Note 3, “Acquisition and Dispositions.” We do not accrue for contingent losses that, in </w:t>
      </w:r>
    </w:p>
    <w:p w:rsidR="00000000" w:rsidRDefault="0099409C">
      <w:pPr>
        <w:jc w:val="center"/>
        <w:divId w:val="235752859"/>
        <w:rPr>
          <w:rFonts w:eastAsia="Times New Roman"/>
        </w:rPr>
      </w:pPr>
      <w:r>
        <w:rPr>
          <w:rFonts w:ascii="Arial" w:eastAsia="Times New Roman" w:hAnsi="Arial" w:cs="Arial"/>
          <w:color w:val="000000"/>
          <w:sz w:val="20"/>
          <w:szCs w:val="20"/>
        </w:rPr>
        <w:t>20</w:t>
      </w:r>
    </w:p>
    <w:p w:rsidR="00000000" w:rsidRDefault="0099409C">
      <w:pPr>
        <w:rPr>
          <w:rFonts w:eastAsia="Times New Roman"/>
        </w:rPr>
      </w:pPr>
      <w:r>
        <w:rPr>
          <w:rFonts w:eastAsia="Times New Roman"/>
        </w:rPr>
        <w:pict>
          <v:rect id="_x0000_i1049" style="width:0;height:1.5pt" o:hralign="center" o:hrstd="t" o:hr="t" fillcolor="#a0a0a0" stroked="f"/>
        </w:pict>
      </w:r>
    </w:p>
    <w:p w:rsidR="00000000" w:rsidRDefault="0099409C">
      <w:pPr>
        <w:jc w:val="both"/>
        <w:divId w:val="212430901"/>
        <w:rPr>
          <w:rFonts w:eastAsia="Times New Roman"/>
        </w:rPr>
      </w:pPr>
    </w:p>
    <w:p w:rsidR="00000000" w:rsidRDefault="0099409C">
      <w:pPr>
        <w:jc w:val="both"/>
        <w:divId w:val="1381325971"/>
        <w:rPr>
          <w:rFonts w:eastAsia="Times New Roman"/>
        </w:rPr>
      </w:pPr>
      <w:r>
        <w:rPr>
          <w:rFonts w:ascii="Arial" w:eastAsia="Times New Roman" w:hAnsi="Arial" w:cs="Arial"/>
          <w:color w:val="000000"/>
          <w:sz w:val="20"/>
          <w:szCs w:val="20"/>
        </w:rPr>
        <w:t>our judgment, are considered to be reasonably possible but not probable. The estimation of reasonably possible losses also requires the analysis of multiple possible outcomes that often depend on judgments about potential ac</w:t>
      </w:r>
      <w:r>
        <w:rPr>
          <w:rFonts w:ascii="Arial" w:eastAsia="Times New Roman" w:hAnsi="Arial" w:cs="Arial"/>
          <w:color w:val="000000"/>
          <w:sz w:val="20"/>
          <w:szCs w:val="20"/>
        </w:rPr>
        <w:t>tions by third parties. Our management currently estimates the range of loss for all reasonably possible losses for which a reasonable estimate of the loss can be made is between zero and $5 million, including $1.6 million related to the Able Acquisition a</w:t>
      </w:r>
      <w:r>
        <w:rPr>
          <w:rFonts w:ascii="Arial" w:eastAsia="Times New Roman" w:hAnsi="Arial" w:cs="Arial"/>
          <w:color w:val="000000"/>
          <w:sz w:val="20"/>
          <w:szCs w:val="20"/>
        </w:rPr>
        <w:t>s described in Note 3, “Acquisition and Dispositions.” Factors underlying this estimated range of loss may change from time to time, and actual results may vary significantly from this estimate.</w:t>
      </w:r>
    </w:p>
    <w:p w:rsidR="00000000" w:rsidRDefault="0099409C">
      <w:pPr>
        <w:ind w:firstLine="720"/>
        <w:jc w:val="both"/>
        <w:divId w:val="666983583"/>
        <w:rPr>
          <w:rFonts w:eastAsia="Times New Roman"/>
        </w:rPr>
      </w:pPr>
      <w:r>
        <w:rPr>
          <w:rFonts w:ascii="Arial" w:eastAsia="Times New Roman" w:hAnsi="Arial" w:cs="Arial"/>
          <w:color w:val="000000"/>
          <w:sz w:val="20"/>
          <w:szCs w:val="20"/>
        </w:rPr>
        <w:t>Litigation outcomes are difficult to predict, and the estimat</w:t>
      </w:r>
      <w:r>
        <w:rPr>
          <w:rFonts w:ascii="Arial" w:eastAsia="Times New Roman" w:hAnsi="Arial" w:cs="Arial"/>
          <w:color w:val="000000"/>
          <w:sz w:val="20"/>
          <w:szCs w:val="20"/>
        </w:rPr>
        <w:t>ion of probable losses requires the analysis of multiple possible outcomes that often depend on judgments about potential actions by third parties. If one or more matters are resolved in a particular period in an amount in excess of or in a manner differen</w:t>
      </w:r>
      <w:r>
        <w:rPr>
          <w:rFonts w:ascii="Arial" w:eastAsia="Times New Roman" w:hAnsi="Arial" w:cs="Arial"/>
          <w:color w:val="000000"/>
          <w:sz w:val="20"/>
          <w:szCs w:val="20"/>
        </w:rPr>
        <w:t>t than what we anticipated, this could have a material adverse effect on our financial position, results of operations, or cash flows.</w:t>
      </w:r>
    </w:p>
    <w:p w:rsidR="00000000" w:rsidRDefault="0099409C">
      <w:pPr>
        <w:ind w:firstLine="720"/>
        <w:jc w:val="both"/>
        <w:divId w:val="1559590054"/>
        <w:rPr>
          <w:rFonts w:eastAsia="Times New Roman"/>
        </w:rPr>
      </w:pPr>
      <w:r>
        <w:rPr>
          <w:rFonts w:ascii="Arial" w:eastAsia="Times New Roman" w:hAnsi="Arial" w:cs="Arial"/>
          <w:color w:val="000000"/>
          <w:sz w:val="20"/>
          <w:szCs w:val="20"/>
        </w:rPr>
        <w:t>In some cases, although a loss is probable or reasonably possible, we cannot reasonably estimate the maximum potential lo</w:t>
      </w:r>
      <w:r>
        <w:rPr>
          <w:rFonts w:ascii="Arial" w:eastAsia="Times New Roman" w:hAnsi="Arial" w:cs="Arial"/>
          <w:color w:val="000000"/>
          <w:sz w:val="20"/>
          <w:szCs w:val="20"/>
        </w:rPr>
        <w:t>sses for probable matters or the range of losses for reasonably possible matters. Therefore, our accrual for probable losses and our estimated range of loss for reasonably possible losses do not represent our maximum possible exposure.</w:t>
      </w:r>
    </w:p>
    <w:p w:rsidR="00000000" w:rsidRDefault="0099409C">
      <w:pPr>
        <w:jc w:val="both"/>
        <w:divId w:val="500433615"/>
        <w:rPr>
          <w:rFonts w:eastAsia="Times New Roman"/>
        </w:rPr>
      </w:pPr>
      <w:r>
        <w:rPr>
          <w:rFonts w:ascii="Arial" w:eastAsia="Times New Roman" w:hAnsi="Arial" w:cs="Arial"/>
          <w:b/>
          <w:bCs/>
          <w:i/>
          <w:iCs/>
          <w:color w:val="0046AD"/>
          <w:sz w:val="20"/>
          <w:szCs w:val="20"/>
        </w:rPr>
        <w:t>Certain Legal Procee</w:t>
      </w:r>
      <w:r>
        <w:rPr>
          <w:rFonts w:ascii="Arial" w:eastAsia="Times New Roman" w:hAnsi="Arial" w:cs="Arial"/>
          <w:b/>
          <w:bCs/>
          <w:i/>
          <w:iCs/>
          <w:color w:val="0046AD"/>
          <w:sz w:val="20"/>
          <w:szCs w:val="20"/>
        </w:rPr>
        <w:t>dings</w:t>
      </w:r>
    </w:p>
    <w:p w:rsidR="00000000" w:rsidRDefault="0099409C">
      <w:pPr>
        <w:ind w:firstLine="720"/>
        <w:jc w:val="both"/>
        <w:divId w:val="1156609707"/>
        <w:rPr>
          <w:rFonts w:eastAsia="Times New Roman"/>
        </w:rPr>
      </w:pPr>
      <w:r>
        <w:rPr>
          <w:rFonts w:ascii="Arial" w:eastAsia="Times New Roman" w:hAnsi="Arial" w:cs="Arial"/>
          <w:color w:val="000000"/>
          <w:sz w:val="20"/>
          <w:szCs w:val="20"/>
        </w:rPr>
        <w:t>In determining whether to include any particular lawsuit or other proceeding in our disclosure below, we consider both quantitative and qualitative factors. These factors include, but are not limited to: the amount of damages and the nature of any ot</w:t>
      </w:r>
      <w:r>
        <w:rPr>
          <w:rFonts w:ascii="Arial" w:eastAsia="Times New Roman" w:hAnsi="Arial" w:cs="Arial"/>
          <w:color w:val="000000"/>
          <w:sz w:val="20"/>
          <w:szCs w:val="20"/>
        </w:rPr>
        <w:t>her relief sought in the proceeding; if such damages and other relief are specified, our view of the merits of the claims; whether the action is or purports to be a class action, and our view of the likelihood that a class will be certified by the court; t</w:t>
      </w:r>
      <w:r>
        <w:rPr>
          <w:rFonts w:ascii="Arial" w:eastAsia="Times New Roman" w:hAnsi="Arial" w:cs="Arial"/>
          <w:color w:val="000000"/>
          <w:sz w:val="20"/>
          <w:szCs w:val="20"/>
        </w:rPr>
        <w:t xml:space="preserve">he jurisdiction in which the proceeding is pending; and the potential impact of the proceeding on our reputation. </w:t>
      </w:r>
    </w:p>
    <w:p w:rsidR="00000000" w:rsidRDefault="0099409C">
      <w:pPr>
        <w:ind w:firstLine="720"/>
        <w:jc w:val="both"/>
        <w:divId w:val="479881898"/>
        <w:rPr>
          <w:rFonts w:eastAsia="Times New Roman"/>
        </w:rPr>
      </w:pPr>
      <w:r>
        <w:rPr>
          <w:rFonts w:ascii="Arial" w:eastAsia="Times New Roman" w:hAnsi="Arial" w:cs="Arial"/>
          <w:i/>
          <w:iCs/>
          <w:color w:val="000000"/>
          <w:sz w:val="20"/>
          <w:szCs w:val="20"/>
        </w:rPr>
        <w:t xml:space="preserve">The Consolidated Cases of Bucio and Martinez v. ABM Janitorial Services filed on April 7, 2006, pending in the Superior Court of California, </w:t>
      </w:r>
      <w:r>
        <w:rPr>
          <w:rFonts w:ascii="Arial" w:eastAsia="Times New Roman" w:hAnsi="Arial" w:cs="Arial"/>
          <w:i/>
          <w:iCs/>
          <w:color w:val="000000"/>
          <w:sz w:val="20"/>
          <w:szCs w:val="20"/>
        </w:rPr>
        <w:t xml:space="preserve">County of San Francisco (the “Bucio case”) </w:t>
      </w:r>
    </w:p>
    <w:p w:rsidR="00000000" w:rsidRDefault="0099409C">
      <w:pPr>
        <w:ind w:firstLine="720"/>
        <w:jc w:val="both"/>
        <w:divId w:val="694313446"/>
        <w:rPr>
          <w:rFonts w:eastAsia="Times New Roman"/>
        </w:rPr>
      </w:pPr>
      <w:r>
        <w:rPr>
          <w:rFonts w:ascii="Arial" w:eastAsia="Times New Roman" w:hAnsi="Arial" w:cs="Arial"/>
          <w:color w:val="000000"/>
          <w:sz w:val="20"/>
          <w:szCs w:val="20"/>
        </w:rPr>
        <w:t xml:space="preserve">The Bucio case was a class action lawsuit pending in San Francisco Superior Court that alleged we failed to provide legally required meal periods and make additional premium payments for such meal periods, pay split shift premiums when owed, and reimburse </w:t>
      </w:r>
      <w:r>
        <w:rPr>
          <w:rFonts w:ascii="Arial" w:eastAsia="Times New Roman" w:hAnsi="Arial" w:cs="Arial"/>
          <w:color w:val="000000"/>
          <w:sz w:val="20"/>
          <w:szCs w:val="20"/>
        </w:rPr>
        <w:t xml:space="preserve">janitors for travel expenses. There was also a claim for penalties under the California Labor Code Private Attorneys General Act (“PAGA”). </w:t>
      </w:r>
    </w:p>
    <w:p w:rsidR="00000000" w:rsidRDefault="0099409C">
      <w:pPr>
        <w:ind w:firstLine="720"/>
        <w:jc w:val="both"/>
        <w:divId w:val="1573344004"/>
        <w:rPr>
          <w:rFonts w:eastAsia="Times New Roman"/>
        </w:rPr>
      </w:pPr>
      <w:r>
        <w:rPr>
          <w:rFonts w:ascii="Arial" w:eastAsia="Times New Roman" w:hAnsi="Arial" w:cs="Arial"/>
          <w:color w:val="000000"/>
          <w:sz w:val="20"/>
          <w:szCs w:val="20"/>
        </w:rPr>
        <w:t xml:space="preserve">On July 7, 2021, the Company entered into a class action settlement and release agreement to settle the Bucio case for $140 million and to obtain a release of the certified class claims that were asserted in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The settlement also resolved the</w:t>
      </w:r>
      <w:r>
        <w:rPr>
          <w:rFonts w:ascii="Arial" w:eastAsia="Times New Roman" w:hAnsi="Arial" w:cs="Arial"/>
          <w:color w:val="000000"/>
          <w:sz w:val="20"/>
          <w:szCs w:val="20"/>
        </w:rPr>
        <w:t xml:space="preserve"> PAGA claim. The release of the certified class claims covers the time period from April 7, 2002, through April 30, 2013. The release of the PAGA claim covers the time period from November 15, 2005, through July 18, 2021. </w:t>
      </w:r>
    </w:p>
    <w:p w:rsidR="00000000" w:rsidRDefault="0099409C">
      <w:pPr>
        <w:ind w:firstLine="720"/>
        <w:jc w:val="both"/>
        <w:divId w:val="1719742529"/>
        <w:rPr>
          <w:rFonts w:eastAsia="Times New Roman"/>
        </w:rPr>
      </w:pPr>
      <w:r>
        <w:rPr>
          <w:rFonts w:ascii="Arial" w:eastAsia="Times New Roman" w:hAnsi="Arial" w:cs="Arial"/>
          <w:color w:val="000000"/>
          <w:sz w:val="20"/>
          <w:szCs w:val="20"/>
        </w:rPr>
        <w:t>Final approval of the class settl</w:t>
      </w:r>
      <w:r>
        <w:rPr>
          <w:rFonts w:ascii="Arial" w:eastAsia="Times New Roman" w:hAnsi="Arial" w:cs="Arial"/>
          <w:color w:val="000000"/>
          <w:sz w:val="20"/>
          <w:szCs w:val="20"/>
        </w:rPr>
        <w:t>ement, approval of Plaintiffs’ counsels’ request for attorneys’ fees, and judgment was entered by the court on April 7, 2022. A full description of the class action has been included by the Company in its prior filings, most recently in our quarterly repor</w:t>
      </w:r>
      <w:r>
        <w:rPr>
          <w:rFonts w:ascii="Arial" w:eastAsia="Times New Roman" w:hAnsi="Arial" w:cs="Arial"/>
          <w:color w:val="000000"/>
          <w:sz w:val="20"/>
          <w:szCs w:val="20"/>
        </w:rPr>
        <w:t>t on Form 10-Q for the quarter ended on January 31, 2022, filed on March 9, 2022.</w:t>
      </w:r>
    </w:p>
    <w:p w:rsidR="00000000" w:rsidRDefault="0099409C">
      <w:pPr>
        <w:ind w:firstLine="720"/>
        <w:jc w:val="both"/>
        <w:divId w:val="942497675"/>
        <w:rPr>
          <w:rFonts w:eastAsia="Times New Roman"/>
        </w:rPr>
      </w:pPr>
      <w:r>
        <w:rPr>
          <w:rFonts w:ascii="Arial" w:eastAsia="Times New Roman" w:hAnsi="Arial" w:cs="Arial"/>
          <w:color w:val="000000"/>
          <w:sz w:val="20"/>
          <w:szCs w:val="20"/>
        </w:rPr>
        <w:t xml:space="preserve">On April 20, 2022, we paid to a third-party settlement administrator $143.8 million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settlement, of which $142.9 million was previously recorded within other cur</w:t>
      </w:r>
      <w:r>
        <w:rPr>
          <w:rFonts w:ascii="Arial" w:eastAsia="Times New Roman" w:hAnsi="Arial" w:cs="Arial"/>
          <w:color w:val="000000"/>
          <w:sz w:val="20"/>
          <w:szCs w:val="20"/>
        </w:rPr>
        <w:t>rent liabilities, and recorded $0.9 million of related expense in “Selling, general and administrative expenses” in our unaudited Consolidated Statements of Comprehensive Income for the nine months ended July 31, 2022. We recorded $112.9 million and $142.9</w:t>
      </w:r>
      <w:r>
        <w:rPr>
          <w:rFonts w:ascii="Arial" w:eastAsia="Times New Roman" w:hAnsi="Arial" w:cs="Arial"/>
          <w:color w:val="000000"/>
          <w:sz w:val="20"/>
          <w:szCs w:val="20"/>
        </w:rPr>
        <w:t> million of related expense in “Selling, general and administrative expenses” in our unaudited Consolidated Statements of Comprehensive Income during the three and nine months ended July 31, 2021, respectively. On April 29, 2022, employees who are a part o</w:t>
      </w:r>
      <w:r>
        <w:rPr>
          <w:rFonts w:ascii="Arial" w:eastAsia="Times New Roman" w:hAnsi="Arial" w:cs="Arial"/>
          <w:color w:val="000000"/>
          <w:sz w:val="20"/>
          <w:szCs w:val="20"/>
        </w:rPr>
        <w:t>f the settlement were mailed payments by the third-party settlement administrator based on the number of pay periods they worked. In addition, a payment to California’s Labor Workforce and Development Agency to resolve the PAGA claims was sent on April 29,</w:t>
      </w:r>
      <w:r>
        <w:rPr>
          <w:rFonts w:ascii="Arial" w:eastAsia="Times New Roman" w:hAnsi="Arial" w:cs="Arial"/>
          <w:color w:val="000000"/>
          <w:sz w:val="20"/>
          <w:szCs w:val="20"/>
        </w:rPr>
        <w:t xml:space="preserve"> 2022.</w:t>
      </w:r>
    </w:p>
    <w:p w:rsidR="00000000" w:rsidRDefault="0099409C">
      <w:pPr>
        <w:jc w:val="both"/>
        <w:divId w:val="2139254002"/>
        <w:rPr>
          <w:rFonts w:eastAsia="Times New Roman"/>
        </w:rPr>
      </w:pPr>
      <w:r>
        <w:rPr>
          <w:rFonts w:ascii="Arial" w:eastAsia="Times New Roman" w:hAnsi="Arial" w:cs="Arial"/>
          <w:b/>
          <w:bCs/>
          <w:color w:val="0046AD"/>
          <w:sz w:val="20"/>
          <w:szCs w:val="20"/>
        </w:rPr>
        <w:t xml:space="preserve">11. INCOME TAXES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535803324"/>
        </w:trPr>
        <w:tc>
          <w:tcPr>
            <w:tcW w:w="5" w:type="pct"/>
            <w:vAlign w:val="center"/>
            <w:hideMark/>
          </w:tcPr>
          <w:p w:rsidR="00000000" w:rsidRDefault="0099409C">
            <w:pPr>
              <w:jc w:val="both"/>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535803324"/>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ind w:firstLine="720"/>
        <w:jc w:val="both"/>
        <w:divId w:val="1915118664"/>
        <w:rPr>
          <w:rFonts w:eastAsia="Times New Roman"/>
        </w:rPr>
      </w:pPr>
      <w:r>
        <w:rPr>
          <w:rFonts w:ascii="Arial" w:eastAsia="Times New Roman" w:hAnsi="Arial" w:cs="Arial"/>
          <w:color w:val="000000"/>
          <w:sz w:val="20"/>
          <w:szCs w:val="20"/>
        </w:rPr>
        <w:t>Our quarterly tax provision is calculated using an estimated annual tax rate that is adjusted for discrete items occurring during the period to arrive at our effective tax rate. During the three and nine months ended July 31, 2022, we had effective tax rat</w:t>
      </w:r>
      <w:r>
        <w:rPr>
          <w:rFonts w:ascii="Arial" w:eastAsia="Times New Roman" w:hAnsi="Arial" w:cs="Arial"/>
          <w:color w:val="000000"/>
          <w:sz w:val="20"/>
          <w:szCs w:val="20"/>
        </w:rPr>
        <w:t xml:space="preserve">es of 27.5% and 26.3%, respectively, resulting in provisions for taxes of $21.5 million </w:t>
      </w:r>
    </w:p>
    <w:p w:rsidR="00000000" w:rsidRDefault="0099409C">
      <w:pPr>
        <w:jc w:val="center"/>
        <w:divId w:val="1285849067"/>
        <w:rPr>
          <w:rFonts w:eastAsia="Times New Roman"/>
        </w:rPr>
      </w:pPr>
      <w:r>
        <w:rPr>
          <w:rFonts w:ascii="Arial" w:eastAsia="Times New Roman" w:hAnsi="Arial" w:cs="Arial"/>
          <w:color w:val="000000"/>
          <w:sz w:val="20"/>
          <w:szCs w:val="20"/>
        </w:rPr>
        <w:t>21</w:t>
      </w:r>
    </w:p>
    <w:p w:rsidR="00000000" w:rsidRDefault="0099409C">
      <w:pPr>
        <w:rPr>
          <w:rFonts w:eastAsia="Times New Roman"/>
        </w:rPr>
      </w:pPr>
      <w:r>
        <w:rPr>
          <w:rFonts w:eastAsia="Times New Roman"/>
        </w:rPr>
        <w:pict>
          <v:rect id="_x0000_i1050" style="width:0;height:1.5pt" o:hralign="center" o:hrstd="t" o:hr="t" fillcolor="#a0a0a0" stroked="f"/>
        </w:pict>
      </w:r>
    </w:p>
    <w:p w:rsidR="00000000" w:rsidRDefault="0099409C">
      <w:pPr>
        <w:jc w:val="both"/>
        <w:divId w:val="2069692634"/>
        <w:rPr>
          <w:rFonts w:eastAsia="Times New Roman"/>
        </w:rPr>
      </w:pPr>
    </w:p>
    <w:p w:rsidR="00000000" w:rsidRDefault="0099409C">
      <w:pPr>
        <w:jc w:val="both"/>
        <w:divId w:val="573398382"/>
        <w:rPr>
          <w:rFonts w:eastAsia="Times New Roman"/>
        </w:rPr>
      </w:pPr>
      <w:r>
        <w:rPr>
          <w:rFonts w:ascii="Arial" w:eastAsia="Times New Roman" w:hAnsi="Arial" w:cs="Arial"/>
          <w:color w:val="000000"/>
          <w:sz w:val="20"/>
          <w:szCs w:val="20"/>
        </w:rPr>
        <w:t xml:space="preserve">and $64.8 million, respectively. During the three and nine months ended July 31, 2021, we had effective tax rates of 9.7% and </w:t>
      </w:r>
      <w:r>
        <w:rPr>
          <w:rFonts w:ascii="Arial" w:eastAsia="Times New Roman" w:hAnsi="Arial" w:cs="Arial"/>
          <w:color w:val="000000"/>
          <w:sz w:val="20"/>
          <w:szCs w:val="20"/>
        </w:rPr>
        <w:t xml:space="preserve">28.9%, respectively, resulting in a tax benefit of $1.5 million and a tax provision of $37.4 million, respectively. The difference between the effective tax rate and statutory rate is primarily related to tax credits and reserves. </w:t>
      </w:r>
    </w:p>
    <w:p w:rsidR="00000000" w:rsidRDefault="0099409C">
      <w:pPr>
        <w:ind w:firstLine="720"/>
        <w:jc w:val="both"/>
        <w:divId w:val="1602032892"/>
        <w:rPr>
          <w:rFonts w:eastAsia="Times New Roman"/>
        </w:rPr>
      </w:pPr>
      <w:r>
        <w:rPr>
          <w:rFonts w:ascii="Arial" w:eastAsia="Times New Roman" w:hAnsi="Arial" w:cs="Arial"/>
          <w:color w:val="000000"/>
          <w:sz w:val="20"/>
          <w:szCs w:val="20"/>
        </w:rPr>
        <w:t>Our effective tax rate f</w:t>
      </w:r>
      <w:r>
        <w:rPr>
          <w:rFonts w:ascii="Arial" w:eastAsia="Times New Roman" w:hAnsi="Arial" w:cs="Arial"/>
          <w:color w:val="000000"/>
          <w:sz w:val="20"/>
          <w:szCs w:val="20"/>
        </w:rPr>
        <w:t>or the three months ended July 31, 2022, was not impacted by any significant discrete items. Our effective tax rate for the three months ended July 31, 2021, was impacted by a $2.9 million provision from change of tax reserves.</w:t>
      </w:r>
    </w:p>
    <w:p w:rsidR="00000000" w:rsidRDefault="0099409C">
      <w:pPr>
        <w:ind w:firstLine="720"/>
        <w:jc w:val="both"/>
        <w:divId w:val="560016844"/>
        <w:rPr>
          <w:rFonts w:eastAsia="Times New Roman"/>
        </w:rPr>
      </w:pPr>
      <w:r>
        <w:rPr>
          <w:rFonts w:ascii="Arial" w:eastAsia="Times New Roman" w:hAnsi="Arial" w:cs="Arial"/>
          <w:color w:val="000000"/>
          <w:sz w:val="20"/>
          <w:szCs w:val="20"/>
        </w:rPr>
        <w:t>Our effective tax rate for t</w:t>
      </w:r>
      <w:r>
        <w:rPr>
          <w:rFonts w:ascii="Arial" w:eastAsia="Times New Roman" w:hAnsi="Arial" w:cs="Arial"/>
          <w:color w:val="000000"/>
          <w:sz w:val="20"/>
          <w:szCs w:val="20"/>
        </w:rPr>
        <w:t xml:space="preserve">he nine months ended July 31, 2022, was impacted by a $3.3 million benefit from change in tax reserves. Our effective tax rate for the nine months ended July 31, 2021, was impacted by a $3.1 million provision from change of tax reserves and a $1.1 million </w:t>
      </w:r>
      <w:r>
        <w:rPr>
          <w:rFonts w:ascii="Arial" w:eastAsia="Times New Roman" w:hAnsi="Arial" w:cs="Arial"/>
          <w:color w:val="000000"/>
          <w:sz w:val="20"/>
          <w:szCs w:val="20"/>
        </w:rPr>
        <w:t>benefit from energy efficiency incentives.</w:t>
      </w:r>
    </w:p>
    <w:p w:rsidR="00000000" w:rsidRDefault="0099409C">
      <w:pPr>
        <w:ind w:firstLine="720"/>
        <w:jc w:val="both"/>
        <w:divId w:val="142360144"/>
        <w:rPr>
          <w:rFonts w:eastAsia="Times New Roman"/>
        </w:rPr>
      </w:pPr>
      <w:r>
        <w:rPr>
          <w:rFonts w:ascii="Arial" w:eastAsia="Times New Roman" w:hAnsi="Arial" w:cs="Arial"/>
          <w:color w:val="000000"/>
          <w:sz w:val="20"/>
          <w:szCs w:val="20"/>
        </w:rPr>
        <w:t>In response to COVID-19, Congress enacted the Coronavirus Aid, Relief, and Economic Security Act (“CARES Act”) on March 27, 2020. The CARES Act includes various payroll tax provisions. Through December 2020, we de</w:t>
      </w:r>
      <w:r>
        <w:rPr>
          <w:rFonts w:ascii="Arial" w:eastAsia="Times New Roman" w:hAnsi="Arial" w:cs="Arial"/>
          <w:color w:val="000000"/>
          <w:sz w:val="20"/>
          <w:szCs w:val="20"/>
        </w:rPr>
        <w:t xml:space="preserve">ferred approximately $132 million of payroll tax, of which $66 million was paid in December 2021 with the remaining $66 million due by December 31, 2022. </w:t>
      </w:r>
    </w:p>
    <w:p w:rsidR="00000000" w:rsidRDefault="0099409C">
      <w:pPr>
        <w:ind w:firstLine="720"/>
        <w:jc w:val="both"/>
        <w:divId w:val="618683908"/>
        <w:rPr>
          <w:rFonts w:eastAsia="Times New Roman"/>
        </w:rPr>
      </w:pPr>
      <w:r>
        <w:rPr>
          <w:rFonts w:ascii="Arial" w:eastAsia="Times New Roman" w:hAnsi="Arial" w:cs="Arial"/>
          <w:color w:val="000000"/>
          <w:sz w:val="20"/>
          <w:szCs w:val="20"/>
        </w:rPr>
        <w:t xml:space="preserve">We plan to reinvest our foreign earnings to fund future non-U.S. growth and expansion, and we do not </w:t>
      </w:r>
      <w:r>
        <w:rPr>
          <w:rFonts w:ascii="Arial" w:eastAsia="Times New Roman" w:hAnsi="Arial" w:cs="Arial"/>
          <w:color w:val="000000"/>
          <w:sz w:val="20"/>
          <w:szCs w:val="20"/>
        </w:rPr>
        <w:t xml:space="preserve">anticipate remitting such earnings to the United States. While U.S. federal tax expense has been recognized as a result of the Tax Cuts and Jobs Act of 2017, no deferred tax liabilities with respect to federal and state income taxes or foreign withholding </w:t>
      </w:r>
      <w:r>
        <w:rPr>
          <w:rFonts w:ascii="Arial" w:eastAsia="Times New Roman" w:hAnsi="Arial" w:cs="Arial"/>
          <w:color w:val="000000"/>
          <w:sz w:val="20"/>
          <w:szCs w:val="20"/>
        </w:rPr>
        <w:t xml:space="preserve">taxes have been recognized. </w:t>
      </w:r>
    </w:p>
    <w:p w:rsidR="00000000" w:rsidRDefault="0099409C">
      <w:pPr>
        <w:divId w:val="1893930288"/>
        <w:rPr>
          <w:rFonts w:eastAsia="Times New Roman"/>
        </w:rPr>
      </w:pPr>
      <w:r>
        <w:rPr>
          <w:rFonts w:ascii="Arial" w:eastAsia="Times New Roman" w:hAnsi="Arial" w:cs="Arial"/>
          <w:b/>
          <w:bCs/>
          <w:color w:val="0046AD"/>
          <w:sz w:val="20"/>
          <w:szCs w:val="20"/>
        </w:rPr>
        <w:t xml:space="preserve">12. SEGMENT INFORMATION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217596365"/>
        </w:trPr>
        <w:tc>
          <w:tcPr>
            <w:tcW w:w="5" w:type="pct"/>
            <w:vAlign w:val="center"/>
            <w:hideMark/>
          </w:tcPr>
          <w:p w:rsidR="00000000" w:rsidRDefault="0099409C">
            <w:pPr>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217596365"/>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ind w:firstLine="720"/>
        <w:jc w:val="both"/>
        <w:divId w:val="2119792497"/>
        <w:rPr>
          <w:rFonts w:eastAsia="Times New Roman"/>
        </w:rPr>
      </w:pPr>
      <w:r>
        <w:rPr>
          <w:rFonts w:ascii="Arial" w:eastAsia="Times New Roman" w:hAnsi="Arial" w:cs="Arial"/>
          <w:color w:val="000000"/>
          <w:sz w:val="20"/>
          <w:szCs w:val="20"/>
        </w:rPr>
        <w:t>Effective November 1, 2021, we reorganized our reportable segments to reflect our M&amp;D industry group replacing our T&amp;</w:t>
      </w:r>
      <w:r>
        <w:rPr>
          <w:rFonts w:ascii="Arial" w:eastAsia="Times New Roman" w:hAnsi="Arial" w:cs="Arial"/>
          <w:color w:val="000000"/>
          <w:sz w:val="20"/>
          <w:szCs w:val="20"/>
        </w:rPr>
        <w:t>M industry group. Our current reportable segments consist of B&amp;I, M&amp;D, Education, Aviation, and Technical Solutions, as further described below. Refer to Note 2, “Basis of Presentation and Significant Accounting Policies,” for information related to our se</w:t>
      </w:r>
      <w:r>
        <w:rPr>
          <w:rFonts w:ascii="Arial" w:eastAsia="Times New Roman" w:hAnsi="Arial" w:cs="Arial"/>
          <w:color w:val="000000"/>
          <w:sz w:val="20"/>
          <w:szCs w:val="20"/>
        </w:rPr>
        <w:t xml:space="preserve">gment reorganization. </w:t>
      </w:r>
    </w:p>
    <w:tbl>
      <w:tblPr>
        <w:tblW w:w="5000" w:type="pct"/>
        <w:tblCellMar>
          <w:top w:w="15" w:type="dxa"/>
          <w:left w:w="15" w:type="dxa"/>
          <w:bottom w:w="15" w:type="dxa"/>
          <w:right w:w="15" w:type="dxa"/>
        </w:tblCellMar>
        <w:tblLook w:val="04A0" w:firstRow="1" w:lastRow="0" w:firstColumn="1" w:lastColumn="0" w:noHBand="0" w:noVBand="1"/>
      </w:tblPr>
      <w:tblGrid>
        <w:gridCol w:w="68"/>
        <w:gridCol w:w="2261"/>
        <w:gridCol w:w="38"/>
        <w:gridCol w:w="68"/>
        <w:gridCol w:w="5833"/>
        <w:gridCol w:w="38"/>
      </w:tblGrid>
      <w:tr w:rsidR="00000000">
        <w:trPr>
          <w:divId w:val="1372413953"/>
        </w:trPr>
        <w:tc>
          <w:tcPr>
            <w:tcW w:w="50" w:type="pct"/>
            <w:vAlign w:val="center"/>
            <w:hideMark/>
          </w:tcPr>
          <w:p w:rsidR="00000000" w:rsidRDefault="0099409C">
            <w:pPr>
              <w:ind w:firstLine="720"/>
              <w:jc w:val="both"/>
              <w:rPr>
                <w:rFonts w:eastAsia="Times New Roman"/>
              </w:rPr>
            </w:pPr>
          </w:p>
        </w:tc>
        <w:tc>
          <w:tcPr>
            <w:tcW w:w="137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35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372413953"/>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46AD"/>
                <w:sz w:val="18"/>
                <w:szCs w:val="18"/>
              </w:rPr>
              <w:t>REPORTABLE SEGMENTS AND DESCRIPTIONS</w:t>
            </w:r>
          </w:p>
        </w:tc>
      </w:tr>
      <w:tr w:rsidR="00000000">
        <w:trPr>
          <w:divId w:val="1372413953"/>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99409C">
            <w:pPr>
              <w:spacing w:after="100"/>
              <w:jc w:val="center"/>
              <w:divId w:val="1196886317"/>
              <w:rPr>
                <w:rFonts w:eastAsia="Times New Roman"/>
              </w:rPr>
            </w:pPr>
            <w:r>
              <w:rPr>
                <w:rFonts w:ascii="Arial" w:eastAsia="Times New Roman" w:hAnsi="Arial" w:cs="Arial"/>
                <w:color w:val="000000"/>
                <w:sz w:val="18"/>
                <w:szCs w:val="18"/>
              </w:rPr>
              <w:t>B&amp;I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99409C">
            <w:pPr>
              <w:spacing w:after="100"/>
              <w:jc w:val="both"/>
              <w:divId w:val="329604929"/>
              <w:rPr>
                <w:rFonts w:eastAsia="Times New Roman"/>
              </w:rPr>
            </w:pPr>
            <w:r>
              <w:rPr>
                <w:rFonts w:ascii="Arial" w:eastAsia="Times New Roman" w:hAnsi="Arial" w:cs="Arial"/>
                <w:color w:val="000000"/>
                <w:sz w:val="18"/>
                <w:szCs w:val="18"/>
              </w:rPr>
              <w:t>B&amp;</w:t>
            </w:r>
            <w:r>
              <w:rPr>
                <w:rFonts w:ascii="Arial" w:eastAsia="Times New Roman" w:hAnsi="Arial" w:cs="Arial"/>
                <w:color w:val="000000"/>
                <w:sz w:val="18"/>
                <w:szCs w:val="18"/>
              </w:rPr>
              <w:t>I, our largest reportable segment, encompasses janitorial, facilities engineering, and parking services for commercial real estate properties (including corporate offices for high tech clients), sports and entertainment venues, and traditional hospitals an</w:t>
            </w:r>
            <w:r>
              <w:rPr>
                <w:rFonts w:ascii="Arial" w:eastAsia="Times New Roman" w:hAnsi="Arial" w:cs="Arial"/>
                <w:color w:val="000000"/>
                <w:sz w:val="18"/>
                <w:szCs w:val="18"/>
              </w:rPr>
              <w:t>d non-acute healthcare facilities. B&amp;I also provides vehicle maintenance and other services to rental car providers.</w:t>
            </w:r>
          </w:p>
        </w:tc>
      </w:tr>
      <w:tr w:rsidR="00000000">
        <w:trPr>
          <w:divId w:val="1372413953"/>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99409C">
            <w:pPr>
              <w:spacing w:after="100"/>
              <w:jc w:val="center"/>
              <w:divId w:val="1580601305"/>
              <w:rPr>
                <w:rFonts w:eastAsia="Times New Roman"/>
              </w:rPr>
            </w:pPr>
            <w:r>
              <w:rPr>
                <w:rFonts w:ascii="Arial" w:eastAsia="Times New Roman" w:hAnsi="Arial" w:cs="Arial"/>
                <w:color w:val="000000"/>
                <w:sz w:val="18"/>
                <w:szCs w:val="18"/>
              </w:rPr>
              <w:t>M&amp;D</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99409C">
            <w:pPr>
              <w:spacing w:after="100"/>
              <w:jc w:val="both"/>
              <w:rPr>
                <w:rFonts w:eastAsia="Times New Roman"/>
              </w:rPr>
            </w:pPr>
            <w:r>
              <w:rPr>
                <w:rFonts w:ascii="Arial" w:eastAsia="Times New Roman" w:hAnsi="Arial" w:cs="Arial"/>
                <w:color w:val="000000"/>
                <w:sz w:val="18"/>
                <w:szCs w:val="18"/>
              </w:rPr>
              <w:t>M&amp;</w:t>
            </w:r>
            <w:r>
              <w:rPr>
                <w:rFonts w:ascii="Arial" w:eastAsia="Times New Roman" w:hAnsi="Arial" w:cs="Arial"/>
                <w:color w:val="000000"/>
                <w:sz w:val="18"/>
                <w:szCs w:val="18"/>
              </w:rPr>
              <w:t xml:space="preserve">D provides integrated facility services, engineering, janitorial, and other specialized services in different types of manufacturing, distribution, and data center facilities. Manufacturing facilities include traditional motor vehicles, electric vehicles, </w:t>
            </w:r>
            <w:r>
              <w:rPr>
                <w:rFonts w:ascii="Arial" w:eastAsia="Times New Roman" w:hAnsi="Arial" w:cs="Arial"/>
                <w:color w:val="000000"/>
                <w:sz w:val="18"/>
                <w:szCs w:val="18"/>
              </w:rPr>
              <w:t xml:space="preserve">batteries, pharmaceuticals, steel, semiconductors, chemicals, and many others. Distribution facilities include e-commerce, cold storage, logistics, general warehousing, and others. </w:t>
            </w:r>
          </w:p>
        </w:tc>
      </w:tr>
      <w:tr w:rsidR="00000000">
        <w:trPr>
          <w:divId w:val="1372413953"/>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99409C">
            <w:pPr>
              <w:spacing w:after="100"/>
              <w:jc w:val="center"/>
              <w:divId w:val="256523395"/>
              <w:rPr>
                <w:rFonts w:eastAsia="Times New Roman"/>
              </w:rPr>
            </w:pPr>
            <w:r>
              <w:rPr>
                <w:rFonts w:ascii="Arial" w:eastAsia="Times New Roman" w:hAnsi="Arial" w:cs="Arial"/>
                <w:color w:val="000000"/>
                <w:sz w:val="18"/>
                <w:szCs w:val="18"/>
              </w:rPr>
              <w:t>Education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99409C">
            <w:pPr>
              <w:spacing w:after="100"/>
              <w:jc w:val="both"/>
              <w:divId w:val="365526558"/>
              <w:rPr>
                <w:rFonts w:eastAsia="Times New Roman"/>
              </w:rPr>
            </w:pPr>
            <w:r>
              <w:rPr>
                <w:rFonts w:ascii="Arial" w:eastAsia="Times New Roman" w:hAnsi="Arial" w:cs="Arial"/>
                <w:color w:val="000000"/>
                <w:sz w:val="18"/>
                <w:szCs w:val="18"/>
              </w:rPr>
              <w:t>Education delivers janitorial, custodial, landscaping and grounds, facilities engineering, and parking services for public school districts, private schools, colleges, and universities.</w:t>
            </w:r>
          </w:p>
        </w:tc>
      </w:tr>
      <w:tr w:rsidR="00000000">
        <w:trPr>
          <w:divId w:val="1372413953"/>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99409C">
            <w:pPr>
              <w:spacing w:after="100"/>
              <w:jc w:val="center"/>
              <w:divId w:val="2051686222"/>
              <w:rPr>
                <w:rFonts w:eastAsia="Times New Roman"/>
              </w:rPr>
            </w:pPr>
            <w:r>
              <w:rPr>
                <w:rFonts w:ascii="Arial" w:eastAsia="Times New Roman" w:hAnsi="Arial" w:cs="Arial"/>
                <w:color w:val="000000"/>
                <w:sz w:val="18"/>
                <w:szCs w:val="18"/>
              </w:rPr>
              <w:t>Aviation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99409C">
            <w:pPr>
              <w:spacing w:after="100"/>
              <w:jc w:val="both"/>
              <w:divId w:val="733356041"/>
              <w:rPr>
                <w:rFonts w:eastAsia="Times New Roman"/>
              </w:rPr>
            </w:pPr>
            <w:r>
              <w:rPr>
                <w:rFonts w:ascii="Arial" w:eastAsia="Times New Roman" w:hAnsi="Arial" w:cs="Arial"/>
                <w:color w:val="000000"/>
                <w:sz w:val="18"/>
                <w:szCs w:val="18"/>
              </w:rPr>
              <w:t>Aviation supports airlines and airports with services ra</w:t>
            </w:r>
            <w:r>
              <w:rPr>
                <w:rFonts w:ascii="Arial" w:eastAsia="Times New Roman" w:hAnsi="Arial" w:cs="Arial"/>
                <w:color w:val="000000"/>
                <w:sz w:val="18"/>
                <w:szCs w:val="18"/>
              </w:rPr>
              <w:t>nging from parking and janitorial to passenger assistance, catering logistics, air cabin maintenance, and transportation.</w:t>
            </w:r>
          </w:p>
        </w:tc>
      </w:tr>
      <w:tr w:rsidR="00000000">
        <w:trPr>
          <w:divId w:val="1372413953"/>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center"/>
            <w:hideMark/>
          </w:tcPr>
          <w:p w:rsidR="00000000" w:rsidRDefault="0099409C">
            <w:pPr>
              <w:spacing w:after="100"/>
              <w:jc w:val="center"/>
              <w:divId w:val="10109045"/>
              <w:rPr>
                <w:rFonts w:eastAsia="Times New Roman"/>
              </w:rPr>
            </w:pPr>
            <w:r>
              <w:rPr>
                <w:rFonts w:ascii="Arial" w:eastAsia="Times New Roman" w:hAnsi="Arial" w:cs="Arial"/>
                <w:color w:val="000000"/>
                <w:sz w:val="18"/>
                <w:szCs w:val="18"/>
              </w:rPr>
              <w:t>Technical Solutions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99409C">
            <w:pPr>
              <w:spacing w:after="100"/>
              <w:jc w:val="both"/>
              <w:divId w:val="1928685078"/>
              <w:rPr>
                <w:rFonts w:eastAsia="Times New Roman"/>
              </w:rPr>
            </w:pPr>
            <w:r>
              <w:rPr>
                <w:rFonts w:ascii="Arial" w:eastAsia="Times New Roman" w:hAnsi="Arial" w:cs="Arial"/>
                <w:color w:val="000000"/>
                <w:sz w:val="18"/>
                <w:szCs w:val="18"/>
              </w:rPr>
              <w:t>Technical Solutions specializes in mechanical and electrical services (including electric vehicle charging st</w:t>
            </w:r>
            <w:r>
              <w:rPr>
                <w:rFonts w:ascii="Arial" w:eastAsia="Times New Roman" w:hAnsi="Arial" w:cs="Arial"/>
                <w:color w:val="000000"/>
                <w:sz w:val="18"/>
                <w:szCs w:val="18"/>
              </w:rPr>
              <w:t>ation installation). These services can also be leveraged for cross-selling across all of our industry groups, both domestically and internationally.</w:t>
            </w:r>
          </w:p>
        </w:tc>
      </w:tr>
    </w:tbl>
    <w:p w:rsidR="00000000" w:rsidRDefault="0099409C">
      <w:pPr>
        <w:jc w:val="center"/>
        <w:divId w:val="1024088497"/>
        <w:rPr>
          <w:rFonts w:eastAsia="Times New Roman"/>
        </w:rPr>
      </w:pPr>
      <w:r>
        <w:rPr>
          <w:rFonts w:ascii="Arial" w:eastAsia="Times New Roman" w:hAnsi="Arial" w:cs="Arial"/>
          <w:color w:val="000000"/>
          <w:sz w:val="20"/>
          <w:szCs w:val="20"/>
        </w:rPr>
        <w:t>22</w:t>
      </w:r>
    </w:p>
    <w:p w:rsidR="00000000" w:rsidRDefault="0099409C">
      <w:pPr>
        <w:rPr>
          <w:rFonts w:eastAsia="Times New Roman"/>
        </w:rPr>
      </w:pPr>
      <w:r>
        <w:rPr>
          <w:rFonts w:eastAsia="Times New Roman"/>
        </w:rPr>
        <w:pict>
          <v:rect id="_x0000_i1051" style="width:0;height:1.5pt" o:hralign="center" o:hrstd="t" o:hr="t" fillcolor="#a0a0a0" stroked="f"/>
        </w:pict>
      </w:r>
    </w:p>
    <w:p w:rsidR="00000000" w:rsidRDefault="0099409C">
      <w:pPr>
        <w:jc w:val="both"/>
        <w:divId w:val="1956403038"/>
        <w:rPr>
          <w:rFonts w:eastAsia="Times New Roman"/>
        </w:rPr>
      </w:pPr>
    </w:p>
    <w:p w:rsidR="00000000" w:rsidRDefault="0099409C">
      <w:pPr>
        <w:jc w:val="both"/>
        <w:divId w:val="103038374"/>
        <w:rPr>
          <w:rFonts w:eastAsia="Times New Roman"/>
        </w:rPr>
      </w:pPr>
      <w:r>
        <w:rPr>
          <w:rFonts w:ascii="Arial" w:eastAsia="Times New Roman" w:hAnsi="Arial" w:cs="Arial"/>
          <w:b/>
          <w:bCs/>
          <w:i/>
          <w:iCs/>
          <w:color w:val="0046AD"/>
          <w:sz w:val="20"/>
          <w:szCs w:val="20"/>
        </w:rPr>
        <w:t>Financial Information by Reportable Segment</w:t>
      </w:r>
    </w:p>
    <w:tbl>
      <w:tblPr>
        <w:tblW w:w="4985" w:type="pct"/>
        <w:tblCellMar>
          <w:top w:w="15" w:type="dxa"/>
          <w:left w:w="15" w:type="dxa"/>
          <w:bottom w:w="15" w:type="dxa"/>
          <w:right w:w="15" w:type="dxa"/>
        </w:tblCellMar>
        <w:tblLook w:val="04A0" w:firstRow="1" w:lastRow="0" w:firstColumn="1" w:lastColumn="0" w:noHBand="0" w:noVBand="1"/>
      </w:tblPr>
      <w:tblGrid>
        <w:gridCol w:w="40"/>
        <w:gridCol w:w="3823"/>
        <w:gridCol w:w="38"/>
        <w:gridCol w:w="121"/>
        <w:gridCol w:w="1012"/>
        <w:gridCol w:w="36"/>
        <w:gridCol w:w="36"/>
        <w:gridCol w:w="36"/>
        <w:gridCol w:w="36"/>
        <w:gridCol w:w="121"/>
        <w:gridCol w:w="761"/>
        <w:gridCol w:w="36"/>
        <w:gridCol w:w="36"/>
        <w:gridCol w:w="36"/>
        <w:gridCol w:w="36"/>
        <w:gridCol w:w="121"/>
        <w:gridCol w:w="869"/>
        <w:gridCol w:w="36"/>
        <w:gridCol w:w="36"/>
        <w:gridCol w:w="36"/>
        <w:gridCol w:w="36"/>
        <w:gridCol w:w="121"/>
        <w:gridCol w:w="786"/>
        <w:gridCol w:w="36"/>
      </w:tblGrid>
      <w:tr w:rsidR="00000000">
        <w:trPr>
          <w:divId w:val="81802645"/>
        </w:trPr>
        <w:tc>
          <w:tcPr>
            <w:tcW w:w="50" w:type="pct"/>
            <w:vAlign w:val="center"/>
            <w:hideMark/>
          </w:tcPr>
          <w:p w:rsidR="00000000" w:rsidRDefault="0099409C">
            <w:pPr>
              <w:jc w:val="both"/>
              <w:rPr>
                <w:rFonts w:eastAsia="Times New Roman"/>
              </w:rPr>
            </w:pPr>
          </w:p>
        </w:tc>
        <w:tc>
          <w:tcPr>
            <w:tcW w:w="234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4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4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50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58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53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81802645"/>
        </w:trPr>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Nine Months Ended July 31,</w:t>
            </w:r>
          </w:p>
        </w:tc>
      </w:tr>
      <w:tr w:rsidR="00000000">
        <w:trPr>
          <w:divId w:val="81802645"/>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r>
      <w:tr w:rsidR="00000000">
        <w:trPr>
          <w:divId w:val="8180264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8180264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1,033.8 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682.9 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3,067.0 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2,046.9 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180264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358.1 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340.5 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1,074.1 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1,021.5 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180264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207.5 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207.0 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617.6 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627.8 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180264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203.5 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167.8 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589.7 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454.7 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180264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158.4 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145.0 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447.2 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382.1 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1802645"/>
        </w:trPr>
        <w:tc>
          <w:tcPr>
            <w:tcW w:w="0" w:type="auto"/>
            <w:gridSpan w:val="3"/>
            <w:vAlign w:val="center"/>
            <w:hideMark/>
          </w:tcPr>
          <w:p w:rsidR="00000000" w:rsidRDefault="0099409C">
            <w:pPr>
              <w:spacing w:after="100"/>
              <w:jc w:val="right"/>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81802645"/>
        </w:trPr>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1,961.4 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1,543.1 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5,795.5 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4,533.0 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180264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Operating profit (loss)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8180264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xml:space="preserve">Business &amp; </w:t>
            </w:r>
            <w:r>
              <w:rPr>
                <w:rFonts w:ascii="Arial" w:eastAsia="Times New Roman" w:hAnsi="Arial" w:cs="Arial"/>
                <w:color w:val="000000"/>
                <w:sz w:val="18"/>
                <w:szCs w:val="18"/>
              </w:rPr>
              <w:t>Industry</w:t>
            </w: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82.4 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71.6 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242.4 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216.4 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180264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38.0 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38.7 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120.6 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118.5 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180264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14.5 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18.0 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38.8 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53.4 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180264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28.0 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18.9 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180264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divId w:val="904993012"/>
              <w:rPr>
                <w:rFonts w:eastAsia="Times New Roman"/>
              </w:rPr>
            </w:pPr>
            <w:r>
              <w:rPr>
                <w:rFonts w:ascii="Arial" w:eastAsia="Times New Roman" w:hAnsi="Arial" w:cs="Arial"/>
                <w:color w:val="000000"/>
                <w:sz w:val="18"/>
                <w:szCs w:val="18"/>
              </w:rPr>
              <w:t>Technical Solution</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14.4 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42.8 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30.6 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180264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(0.3)</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180264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divId w:val="1203637108"/>
              <w:rPr>
                <w:rFonts w:eastAsia="Times New Roman"/>
              </w:rPr>
            </w:pPr>
            <w:r>
              <w:rPr>
                <w:rFonts w:ascii="Arial" w:eastAsia="Times New Roman" w:hAnsi="Arial" w:cs="Arial"/>
                <w:color w:val="000000"/>
                <w:sz w:val="18"/>
                <w:szCs w:val="18"/>
              </w:rPr>
              <w:t>Corporat</w:t>
            </w:r>
            <w:r>
              <w:rPr>
                <w:rFonts w:ascii="Arial" w:eastAsia="Times New Roman" w:hAnsi="Arial" w:cs="Arial"/>
                <w:color w:val="000000"/>
                <w:sz w:val="18"/>
                <w:szCs w:val="18"/>
              </w:rPr>
              <w:t>e</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(70.3)</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(161.1)</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(200.6)</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(284.5)</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1802645"/>
        </w:trPr>
        <w:tc>
          <w:tcPr>
            <w:tcW w:w="0" w:type="auto"/>
            <w:gridSpan w:val="3"/>
            <w:shd w:val="clear" w:color="auto" w:fill="FFFFFF"/>
            <w:tcMar>
              <w:top w:w="30" w:type="dxa"/>
              <w:left w:w="200" w:type="dxa"/>
              <w:bottom w:w="30" w:type="dxa"/>
              <w:right w:w="20" w:type="dxa"/>
            </w:tcMar>
            <w:hideMark/>
          </w:tcPr>
          <w:p w:rsidR="00000000" w:rsidRDefault="0099409C">
            <w:pPr>
              <w:spacing w:after="100"/>
              <w:ind w:hanging="180"/>
              <w:rPr>
                <w:rFonts w:eastAsia="Times New Roman"/>
              </w:rPr>
            </w:pPr>
            <w:r>
              <w:rPr>
                <w:rFonts w:ascii="Arial" w:eastAsia="Times New Roman" w:hAnsi="Arial" w:cs="Arial"/>
                <w:color w:val="000000"/>
                <w:sz w:val="18"/>
                <w:szCs w:val="18"/>
              </w:rPr>
              <w:t>Adjustment for income from unconsolidated affiliates, included in Aviation and Technical Solutions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(0.8)</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(0.5)</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(1.8)</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(1.4)</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1802645"/>
        </w:trPr>
        <w:tc>
          <w:tcPr>
            <w:tcW w:w="0" w:type="auto"/>
            <w:gridSpan w:val="3"/>
            <w:shd w:val="clear" w:color="auto" w:fill="DCE2EF"/>
            <w:tcMar>
              <w:top w:w="30" w:type="dxa"/>
              <w:left w:w="200" w:type="dxa"/>
              <w:bottom w:w="30" w:type="dxa"/>
              <w:right w:w="20" w:type="dxa"/>
            </w:tcMar>
            <w:hideMark/>
          </w:tcPr>
          <w:p w:rsidR="00000000" w:rsidRDefault="0099409C">
            <w:pPr>
              <w:spacing w:after="100"/>
              <w:ind w:hanging="180"/>
              <w:rPr>
                <w:rFonts w:eastAsia="Times New Roman"/>
              </w:rPr>
            </w:pPr>
            <w:r>
              <w:rPr>
                <w:rFonts w:ascii="Arial" w:eastAsia="Times New Roman" w:hAnsi="Arial" w:cs="Arial"/>
                <w:color w:val="000000"/>
                <w:sz w:val="18"/>
                <w:szCs w:val="18"/>
              </w:rPr>
              <w:t>Adjustment for tax deductions for energy efficient government buildings, included in Technical Solutions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(0.5)</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(0.3)</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(1.1)</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1802645"/>
        </w:trPr>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88.7 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269.7 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180264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180264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(11.1)</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(6.3)</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(25.2)</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(22.6)</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81802645"/>
        </w:trPr>
        <w:tc>
          <w:tcPr>
            <w:tcW w:w="0" w:type="auto"/>
            <w:gridSpan w:val="3"/>
            <w:shd w:val="clear" w:color="auto" w:fill="DCE2EF"/>
            <w:tcMar>
              <w:top w:w="30" w:type="dxa"/>
              <w:left w:w="200" w:type="dxa"/>
              <w:bottom w:w="30" w:type="dxa"/>
              <w:right w:w="20" w:type="dxa"/>
            </w:tcMar>
            <w:hideMark/>
          </w:tcPr>
          <w:p w:rsidR="00000000" w:rsidRDefault="0099409C">
            <w:pPr>
              <w:spacing w:after="100"/>
              <w:ind w:hanging="180"/>
              <w:rPr>
                <w:rFonts w:eastAsia="Times New Roman"/>
              </w:rPr>
            </w:pPr>
            <w:r>
              <w:rPr>
                <w:rFonts w:ascii="Arial" w:eastAsia="Times New Roman" w:hAnsi="Arial" w:cs="Arial"/>
                <w:color w:val="000000"/>
                <w:sz w:val="18"/>
                <w:szCs w:val="18"/>
              </w:rPr>
              <w:t>Income (loss) before income taxes</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78.3 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(15.2)</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246.3 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129.4 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ind w:hanging="180"/>
        <w:jc w:val="both"/>
        <w:divId w:val="783811790"/>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6"/>
          <w:szCs w:val="16"/>
        </w:rPr>
        <w:t>Reflects a $7.6 million gain o</w:t>
      </w:r>
      <w:r>
        <w:rPr>
          <w:rFonts w:ascii="Arial" w:eastAsia="Times New Roman" w:hAnsi="Arial" w:cs="Arial"/>
          <w:color w:val="000000"/>
          <w:sz w:val="16"/>
          <w:szCs w:val="16"/>
        </w:rPr>
        <w:t>n the sale of assets during the nine months ended July 31, 2022.</w:t>
      </w:r>
    </w:p>
    <w:p w:rsidR="00000000" w:rsidRDefault="0099409C">
      <w:pPr>
        <w:ind w:hanging="180"/>
        <w:jc w:val="both"/>
        <w:divId w:val="1224098433"/>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6"/>
          <w:szCs w:val="16"/>
        </w:rPr>
        <w:t>Reflects litigation settlement expense for the Bucio case totaling $0.9 million during the nine months ended July 31, 2022, and $112.9 million and $142.9 million during the three and nine</w:t>
      </w:r>
      <w:r>
        <w:rPr>
          <w:rFonts w:ascii="Arial" w:eastAsia="Times New Roman" w:hAnsi="Arial" w:cs="Arial"/>
          <w:color w:val="000000"/>
          <w:sz w:val="16"/>
          <w:szCs w:val="16"/>
        </w:rPr>
        <w:t xml:space="preserve"> months ended July 31, 2021, respectively. </w:t>
      </w:r>
    </w:p>
    <w:p w:rsidR="00000000" w:rsidRDefault="0099409C">
      <w:pPr>
        <w:ind w:firstLine="720"/>
        <w:jc w:val="both"/>
        <w:divId w:val="1881817919"/>
        <w:rPr>
          <w:rFonts w:eastAsia="Times New Roman"/>
        </w:rPr>
      </w:pPr>
      <w:r>
        <w:rPr>
          <w:rFonts w:ascii="Arial" w:eastAsia="Times New Roman" w:hAnsi="Arial" w:cs="Arial"/>
          <w:color w:val="000000"/>
          <w:sz w:val="20"/>
          <w:szCs w:val="20"/>
        </w:rPr>
        <w:t>The accounting policies for our segments are the same as those disclosed within our significant accounting policies in Note 2, “Basis of Presentation and Significant Accounting Policies.” Our management evaluates</w:t>
      </w:r>
      <w:r>
        <w:rPr>
          <w:rFonts w:ascii="Arial" w:eastAsia="Times New Roman" w:hAnsi="Arial" w:cs="Arial"/>
          <w:color w:val="000000"/>
          <w:sz w:val="20"/>
          <w:szCs w:val="20"/>
        </w:rPr>
        <w:t xml:space="preserve"> the performance of each reportable segment based on its respective operating profit results, which include the allocation of certain centrally incurred costs. Corporate expenses not allocated to segments include certain CEO and other finance and human res</w:t>
      </w:r>
      <w:r>
        <w:rPr>
          <w:rFonts w:ascii="Arial" w:eastAsia="Times New Roman" w:hAnsi="Arial" w:cs="Arial"/>
          <w:color w:val="000000"/>
          <w:sz w:val="20"/>
          <w:szCs w:val="20"/>
        </w:rPr>
        <w:t>ource departmental expenses, certain information technology costs, share-based compensation, certain legal costs and settlements, certain actuarial adjustments to self-insurance reserves, and acquisition and integration costs. Management does not review as</w:t>
      </w:r>
      <w:r>
        <w:rPr>
          <w:rFonts w:ascii="Arial" w:eastAsia="Times New Roman" w:hAnsi="Arial" w:cs="Arial"/>
          <w:color w:val="000000"/>
          <w:sz w:val="20"/>
          <w:szCs w:val="20"/>
        </w:rPr>
        <w:t>set information by segment, therefore we do not present assets in this note.</w:t>
      </w:r>
    </w:p>
    <w:p w:rsidR="00000000" w:rsidRDefault="0099409C">
      <w:pPr>
        <w:jc w:val="center"/>
        <w:divId w:val="1658921509"/>
        <w:rPr>
          <w:rFonts w:eastAsia="Times New Roman"/>
        </w:rPr>
      </w:pPr>
      <w:r>
        <w:rPr>
          <w:rFonts w:ascii="Arial" w:eastAsia="Times New Roman" w:hAnsi="Arial" w:cs="Arial"/>
          <w:color w:val="000000"/>
          <w:sz w:val="20"/>
          <w:szCs w:val="20"/>
        </w:rPr>
        <w:t>23</w:t>
      </w:r>
    </w:p>
    <w:p w:rsidR="00000000" w:rsidRDefault="0099409C">
      <w:pPr>
        <w:rPr>
          <w:rFonts w:eastAsia="Times New Roman"/>
        </w:rPr>
      </w:pPr>
      <w:r>
        <w:rPr>
          <w:rFonts w:eastAsia="Times New Roman"/>
        </w:rPr>
        <w:pict>
          <v:rect id="_x0000_i1052" style="width:0;height:1.5pt" o:hralign="center" o:hrstd="t" o:hr="t" fillcolor="#a0a0a0" stroked="f"/>
        </w:pict>
      </w:r>
    </w:p>
    <w:p w:rsidR="00000000" w:rsidRDefault="0099409C">
      <w:pPr>
        <w:jc w:val="both"/>
        <w:divId w:val="1531529832"/>
        <w:rPr>
          <w:rFonts w:eastAsia="Times New Roman"/>
        </w:rPr>
      </w:pPr>
    </w:p>
    <w:p w:rsidR="00000000" w:rsidRDefault="0099409C">
      <w:pPr>
        <w:divId w:val="781345648"/>
        <w:rPr>
          <w:rFonts w:eastAsia="Times New Roman"/>
        </w:rPr>
      </w:pPr>
      <w:r>
        <w:rPr>
          <w:rFonts w:ascii="Arial" w:eastAsia="Times New Roman" w:hAnsi="Arial" w:cs="Arial"/>
          <w:b/>
          <w:bCs/>
          <w:color w:val="0046AD"/>
          <w:sz w:val="20"/>
          <w:szCs w:val="20"/>
        </w:rPr>
        <w:t>13. SUBSEQUENT EVENT</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931166739"/>
        </w:trPr>
        <w:tc>
          <w:tcPr>
            <w:tcW w:w="5" w:type="pct"/>
            <w:vAlign w:val="center"/>
            <w:hideMark/>
          </w:tcPr>
          <w:p w:rsidR="00000000" w:rsidRDefault="0099409C">
            <w:pPr>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931166739"/>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ind w:firstLine="720"/>
        <w:jc w:val="both"/>
        <w:divId w:val="1586260155"/>
        <w:rPr>
          <w:rFonts w:eastAsia="Times New Roman"/>
        </w:rPr>
      </w:pPr>
      <w:r>
        <w:rPr>
          <w:rFonts w:ascii="Arial" w:eastAsia="Times New Roman" w:hAnsi="Arial" w:cs="Arial"/>
          <w:color w:val="000000"/>
          <w:sz w:val="20"/>
          <w:szCs w:val="20"/>
        </w:rPr>
        <w:t>On September 1, 2022, we completed our previously announced acquisition of RavenVolt, Inc. (“RavenVolt”), a nationwide provider of advanced turn-key microgrid systems utilized by diversified commercial and industrial customers, national retailers, utilitie</w:t>
      </w:r>
      <w:r>
        <w:rPr>
          <w:rFonts w:ascii="Arial" w:eastAsia="Times New Roman" w:hAnsi="Arial" w:cs="Arial"/>
          <w:color w:val="000000"/>
          <w:sz w:val="20"/>
          <w:szCs w:val="20"/>
        </w:rPr>
        <w:t>s, and municipalities. RavenVolt’s operations will be primarily included within our Technical Solutions segment.</w:t>
      </w:r>
      <w:r>
        <w:rPr>
          <w:rFonts w:ascii="Arial" w:eastAsia="Times New Roman" w:hAnsi="Arial" w:cs="Arial"/>
          <w:color w:val="000000"/>
          <w:sz w:val="23"/>
          <w:szCs w:val="23"/>
        </w:rPr>
        <w:t xml:space="preserve"> </w:t>
      </w:r>
      <w:r>
        <w:rPr>
          <w:rFonts w:ascii="Arial" w:eastAsia="Times New Roman" w:hAnsi="Arial" w:cs="Arial"/>
          <w:color w:val="000000"/>
          <w:sz w:val="20"/>
          <w:szCs w:val="20"/>
        </w:rPr>
        <w:t>Consideration paid to RavenVolt’s stockholders was approximately $170.0 million in cash, subject to customary working capital and net debt adju</w:t>
      </w:r>
      <w:r>
        <w:rPr>
          <w:rFonts w:ascii="Arial" w:eastAsia="Times New Roman" w:hAnsi="Arial" w:cs="Arial"/>
          <w:color w:val="000000"/>
          <w:sz w:val="20"/>
          <w:szCs w:val="20"/>
        </w:rPr>
        <w:t>stments, and was funded with borrowings under our revolving line of credit. In addition, contingent consideration of up to $280.0 million in cash may be paid in calendar years 2024, 2025, and 2026, if the RavenVolt business achieves certain financial targe</w:t>
      </w:r>
      <w:r>
        <w:rPr>
          <w:rFonts w:ascii="Arial" w:eastAsia="Times New Roman" w:hAnsi="Arial" w:cs="Arial"/>
          <w:color w:val="000000"/>
          <w:sz w:val="20"/>
          <w:szCs w:val="20"/>
        </w:rPr>
        <w:t xml:space="preserve">ts, as defined in the merger agreement, in calendar years 2023, 2024, and 2025. </w:t>
      </w:r>
    </w:p>
    <w:p w:rsidR="00000000" w:rsidRDefault="0099409C">
      <w:pPr>
        <w:ind w:firstLine="720"/>
        <w:jc w:val="both"/>
        <w:divId w:val="3094851"/>
        <w:rPr>
          <w:rFonts w:eastAsia="Times New Roman"/>
        </w:rPr>
      </w:pPr>
    </w:p>
    <w:p w:rsidR="00000000" w:rsidRDefault="0099409C">
      <w:pPr>
        <w:jc w:val="center"/>
        <w:divId w:val="1317418372"/>
        <w:rPr>
          <w:rFonts w:eastAsia="Times New Roman"/>
        </w:rPr>
      </w:pPr>
      <w:r>
        <w:rPr>
          <w:rFonts w:ascii="Arial" w:eastAsia="Times New Roman" w:hAnsi="Arial" w:cs="Arial"/>
          <w:color w:val="000000"/>
          <w:sz w:val="20"/>
          <w:szCs w:val="20"/>
        </w:rPr>
        <w:t>24</w:t>
      </w:r>
    </w:p>
    <w:p w:rsidR="00000000" w:rsidRDefault="0099409C">
      <w:pPr>
        <w:rPr>
          <w:rFonts w:eastAsia="Times New Roman"/>
        </w:rPr>
      </w:pPr>
      <w:r>
        <w:rPr>
          <w:rFonts w:eastAsia="Times New Roman"/>
        </w:rPr>
        <w:pict>
          <v:rect id="_x0000_i1053" style="width:0;height:1.5pt" o:hralign="center" o:hrstd="t" o:hr="t" fillcolor="#a0a0a0" stroked="f"/>
        </w:pict>
      </w:r>
    </w:p>
    <w:p w:rsidR="00000000" w:rsidRDefault="0099409C">
      <w:pPr>
        <w:jc w:val="both"/>
        <w:divId w:val="283729912"/>
        <w:rPr>
          <w:rFonts w:eastAsia="Times New Roman"/>
        </w:rPr>
      </w:pPr>
    </w:p>
    <w:p w:rsidR="00000000" w:rsidRDefault="0099409C">
      <w:pPr>
        <w:jc w:val="both"/>
        <w:divId w:val="1209487063"/>
        <w:rPr>
          <w:rFonts w:eastAsia="Times New Roman"/>
        </w:rPr>
      </w:pPr>
      <w:r>
        <w:rPr>
          <w:rFonts w:ascii="Arial" w:eastAsia="Times New Roman" w:hAnsi="Arial" w:cs="Arial"/>
          <w:b/>
          <w:bCs/>
          <w:color w:val="0046AD"/>
          <w:sz w:val="20"/>
          <w:szCs w:val="20"/>
        </w:rPr>
        <w:t>ITEM 2. MANAGEMENT’S DISCUSSION AND ANALYSIS OF FINANCIAL CONDITION AND RESULTS OF OPERATIONS.</w:t>
      </w:r>
    </w:p>
    <w:p w:rsidR="00000000" w:rsidRDefault="0099409C">
      <w:pPr>
        <w:ind w:firstLine="720"/>
        <w:jc w:val="both"/>
        <w:divId w:val="982999298"/>
        <w:rPr>
          <w:rFonts w:eastAsia="Times New Roman"/>
        </w:rPr>
      </w:pPr>
      <w:r>
        <w:rPr>
          <w:rFonts w:ascii="Arial" w:eastAsia="Times New Roman" w:hAnsi="Arial" w:cs="Arial"/>
          <w:color w:val="000000"/>
          <w:sz w:val="20"/>
          <w:szCs w:val="20"/>
        </w:rPr>
        <w:t>The following Management’s Discussion</w:t>
      </w:r>
      <w:r>
        <w:rPr>
          <w:rFonts w:ascii="Arial" w:eastAsia="Times New Roman" w:hAnsi="Arial" w:cs="Arial"/>
          <w:color w:val="000000"/>
          <w:sz w:val="20"/>
          <w:szCs w:val="20"/>
        </w:rPr>
        <w:t xml:space="preserve"> and Analysis of Financial Condition and Results of Operations (“MD&amp;A”) is intended to facilitate an understanding of the results of operations and financial condition of ABM. This MD&amp;A is provided as a supplement to, and should be read in conjunction with</w:t>
      </w:r>
      <w:r>
        <w:rPr>
          <w:rFonts w:ascii="Arial" w:eastAsia="Times New Roman" w:hAnsi="Arial" w:cs="Arial"/>
          <w:color w:val="000000"/>
          <w:sz w:val="20"/>
          <w:szCs w:val="20"/>
        </w:rPr>
        <w:t>, our Financial Statements and our Annual Report on Form 10-K for the year ended October 31, 2021, which has been filed with the SEC. This MD&amp;A contains forward-looking statements about our business, operations, and industry that involve risks and uncertai</w:t>
      </w:r>
      <w:r>
        <w:rPr>
          <w:rFonts w:ascii="Arial" w:eastAsia="Times New Roman" w:hAnsi="Arial" w:cs="Arial"/>
          <w:color w:val="000000"/>
          <w:sz w:val="20"/>
          <w:szCs w:val="20"/>
        </w:rPr>
        <w:t>nties, such as statements regarding our plans, objectives, expectations, and intentions. Our future results and financial condition may be materially different from those we currently anticipate. See “Forward-Looking Statements” for more information.</w:t>
      </w:r>
    </w:p>
    <w:p w:rsidR="00000000" w:rsidRDefault="0099409C">
      <w:pPr>
        <w:ind w:firstLine="720"/>
        <w:jc w:val="both"/>
        <w:divId w:val="865605494"/>
        <w:rPr>
          <w:rFonts w:eastAsia="Times New Roman"/>
        </w:rPr>
      </w:pPr>
      <w:r>
        <w:rPr>
          <w:rFonts w:ascii="Arial" w:eastAsia="Times New Roman" w:hAnsi="Arial" w:cs="Arial"/>
          <w:color w:val="000000"/>
          <w:sz w:val="20"/>
          <w:szCs w:val="20"/>
        </w:rPr>
        <w:t>Throu</w:t>
      </w:r>
      <w:r>
        <w:rPr>
          <w:rFonts w:ascii="Arial" w:eastAsia="Times New Roman" w:hAnsi="Arial" w:cs="Arial"/>
          <w:color w:val="000000"/>
          <w:sz w:val="20"/>
          <w:szCs w:val="20"/>
        </w:rPr>
        <w:t xml:space="preserve">ghout the MD&amp;A, amounts and percentages may not recalculate due to rounding. Unless otherwise indicated, all information in the MD&amp;A and references to years are based on our fiscal years, which end on October 31. </w:t>
      </w:r>
    </w:p>
    <w:p w:rsidR="00000000" w:rsidRDefault="0099409C">
      <w:pPr>
        <w:divId w:val="191043089"/>
        <w:rPr>
          <w:rFonts w:eastAsia="Times New Roman"/>
        </w:rPr>
      </w:pPr>
      <w:r>
        <w:rPr>
          <w:rFonts w:ascii="Arial" w:eastAsia="Times New Roman" w:hAnsi="Arial" w:cs="Arial"/>
          <w:b/>
          <w:bCs/>
          <w:color w:val="0046AD"/>
          <w:sz w:val="20"/>
          <w:szCs w:val="20"/>
        </w:rPr>
        <w:t>Business Overview</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623081900"/>
        </w:trPr>
        <w:tc>
          <w:tcPr>
            <w:tcW w:w="5" w:type="pct"/>
            <w:vAlign w:val="center"/>
            <w:hideMark/>
          </w:tcPr>
          <w:p w:rsidR="00000000" w:rsidRDefault="0099409C">
            <w:pPr>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623081900"/>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ind w:firstLine="720"/>
        <w:jc w:val="both"/>
        <w:divId w:val="1719041798"/>
        <w:rPr>
          <w:rFonts w:eastAsia="Times New Roman"/>
        </w:rPr>
      </w:pPr>
      <w:r>
        <w:rPr>
          <w:rFonts w:ascii="Arial" w:eastAsia="Times New Roman" w:hAnsi="Arial" w:cs="Arial"/>
          <w:color w:val="000000"/>
          <w:sz w:val="20"/>
          <w:szCs w:val="20"/>
        </w:rPr>
        <w:t xml:space="preserve">ABM is a leading provider of integrated facility solutions, customized by industry, with a mission to </w:t>
      </w:r>
      <w:r>
        <w:rPr>
          <w:rFonts w:ascii="Arial" w:eastAsia="Times New Roman" w:hAnsi="Arial" w:cs="Arial"/>
          <w:b/>
          <w:bCs/>
          <w:color w:val="326ABD"/>
          <w:sz w:val="20"/>
          <w:szCs w:val="20"/>
        </w:rPr>
        <w:t>make a difference, every person, every day.</w:t>
      </w:r>
      <w:r>
        <w:rPr>
          <w:rFonts w:ascii="Arial" w:eastAsia="Times New Roman" w:hAnsi="Arial" w:cs="Arial"/>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384646640"/>
        </w:trPr>
        <w:tc>
          <w:tcPr>
            <w:tcW w:w="5" w:type="pct"/>
            <w:vAlign w:val="center"/>
            <w:hideMark/>
          </w:tcPr>
          <w:p w:rsidR="00000000" w:rsidRDefault="0099409C">
            <w:pPr>
              <w:ind w:firstLine="720"/>
              <w:jc w:val="both"/>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384646640"/>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jc w:val="both"/>
        <w:divId w:val="745224410"/>
        <w:rPr>
          <w:rFonts w:eastAsia="Times New Roman"/>
        </w:rPr>
      </w:pPr>
      <w:r>
        <w:rPr>
          <w:rFonts w:ascii="Arial" w:eastAsia="Times New Roman" w:hAnsi="Arial" w:cs="Arial"/>
          <w:b/>
          <w:bCs/>
          <w:color w:val="0046AD"/>
          <w:sz w:val="20"/>
          <w:szCs w:val="20"/>
        </w:rPr>
        <w:t>COVID-19 Pandemic</w:t>
      </w:r>
    </w:p>
    <w:p w:rsidR="00000000" w:rsidRDefault="0099409C">
      <w:pPr>
        <w:ind w:firstLine="720"/>
        <w:jc w:val="both"/>
        <w:divId w:val="776097912"/>
        <w:rPr>
          <w:rFonts w:eastAsia="Times New Roman"/>
        </w:rPr>
      </w:pPr>
      <w:r>
        <w:rPr>
          <w:rFonts w:ascii="Arial" w:eastAsia="Times New Roman" w:hAnsi="Arial" w:cs="Arial"/>
          <w:color w:val="000000"/>
          <w:sz w:val="20"/>
          <w:szCs w:val="20"/>
        </w:rPr>
        <w:t xml:space="preserve">COVID-19 has resulted in a worldwide health Pandemic and created unanticipated circumstances and uncertainty, disruption, and significant volatility in the broader economy. The preventative and protective actions that governments have ordered and that our </w:t>
      </w:r>
      <w:r>
        <w:rPr>
          <w:rFonts w:ascii="Arial" w:eastAsia="Times New Roman" w:hAnsi="Arial" w:cs="Arial"/>
          <w:color w:val="000000"/>
          <w:sz w:val="20"/>
          <w:szCs w:val="20"/>
        </w:rPr>
        <w:t>clients have implemented in response to the Pandemic have led to an increased demand for our services, including higher margin work orders and our EnhancedClean services. While overall demand for these services has decreased as pandemic-related restriction</w:t>
      </w:r>
      <w:r>
        <w:rPr>
          <w:rFonts w:ascii="Arial" w:eastAsia="Times New Roman" w:hAnsi="Arial" w:cs="Arial"/>
          <w:color w:val="000000"/>
          <w:sz w:val="20"/>
          <w:szCs w:val="20"/>
        </w:rPr>
        <w:t xml:space="preserve">s continue to loosen, we expect that ongoing concerns around COVID-19 variants combined with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described further below, will lead to new and incremental opportunities for our services. However, given the unprecedented and uncertain natu</w:t>
      </w:r>
      <w:r>
        <w:rPr>
          <w:rFonts w:ascii="Arial" w:eastAsia="Times New Roman" w:hAnsi="Arial" w:cs="Arial"/>
          <w:color w:val="000000"/>
          <w:sz w:val="20"/>
          <w:szCs w:val="20"/>
        </w:rPr>
        <w:t>re and potential duration of this situation, we cannot reasonably estimate the impact the Pandemic will have on the demand for our services as well as our financial condition, results of operations, or cash flows. Refer to “Consolidated Results of Operatio</w:t>
      </w:r>
      <w:r>
        <w:rPr>
          <w:rFonts w:ascii="Arial" w:eastAsia="Times New Roman" w:hAnsi="Arial" w:cs="Arial"/>
          <w:color w:val="000000"/>
          <w:sz w:val="20"/>
          <w:szCs w:val="20"/>
        </w:rPr>
        <w:t>ns” and “Results of Operations by Segment” for additional information related to the impact of the Pandemic on our financial results.</w:t>
      </w:r>
    </w:p>
    <w:p w:rsidR="00000000" w:rsidRDefault="0099409C">
      <w:pPr>
        <w:jc w:val="both"/>
        <w:divId w:val="502551017"/>
        <w:rPr>
          <w:rFonts w:eastAsia="Times New Roman"/>
        </w:rPr>
      </w:pPr>
      <w:r>
        <w:rPr>
          <w:rFonts w:ascii="Arial" w:eastAsia="Times New Roman" w:hAnsi="Arial" w:cs="Arial"/>
          <w:b/>
          <w:bCs/>
          <w:color w:val="E98300"/>
          <w:sz w:val="20"/>
          <w:szCs w:val="20"/>
        </w:rPr>
        <w:t>ELEVATE</w:t>
      </w:r>
      <w:r>
        <w:rPr>
          <w:rFonts w:ascii="Arial" w:eastAsia="Times New Roman" w:hAnsi="Arial" w:cs="Arial"/>
          <w:b/>
          <w:bCs/>
          <w:color w:val="0046AD"/>
          <w:sz w:val="20"/>
          <w:szCs w:val="20"/>
        </w:rPr>
        <w:t xml:space="preserve"> Strategy</w:t>
      </w:r>
    </w:p>
    <w:p w:rsidR="00000000" w:rsidRDefault="0099409C">
      <w:pPr>
        <w:ind w:firstLine="720"/>
        <w:jc w:val="both"/>
        <w:divId w:val="187259263"/>
        <w:rPr>
          <w:rFonts w:eastAsia="Times New Roman"/>
        </w:rPr>
      </w:pPr>
      <w:r>
        <w:rPr>
          <w:rFonts w:ascii="Arial" w:eastAsia="Times New Roman" w:hAnsi="Arial" w:cs="Arial"/>
          <w:color w:val="000000"/>
          <w:sz w:val="20"/>
          <w:szCs w:val="20"/>
        </w:rPr>
        <w:t xml:space="preserve">In December 2021, we announced our multiyear strategic plan called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Our new strategy is designed </w:t>
      </w:r>
      <w:r>
        <w:rPr>
          <w:rFonts w:ascii="Arial" w:eastAsia="Times New Roman" w:hAnsi="Arial" w:cs="Arial"/>
          <w:color w:val="000000"/>
          <w:sz w:val="20"/>
          <w:szCs w:val="20"/>
        </w:rPr>
        <w:t>to strengthen our industry leadership position through end-market repositioning and build on our core services, which we expect will drive significant long-term value for our stakeholders.</w:t>
      </w:r>
    </w:p>
    <w:p w:rsidR="00000000" w:rsidRDefault="0099409C">
      <w:pPr>
        <w:ind w:firstLine="720"/>
        <w:jc w:val="both"/>
        <w:divId w:val="35980524"/>
        <w:rPr>
          <w:rFonts w:eastAsia="Times New Roman"/>
        </w:rPr>
      </w:pPr>
      <w:r>
        <w:rPr>
          <w:rFonts w:ascii="Arial" w:eastAsia="Times New Roman" w:hAnsi="Arial" w:cs="Arial"/>
          <w:color w:val="000000"/>
          <w:sz w:val="20"/>
          <w:szCs w:val="20"/>
        </w:rPr>
        <w:t>Over the next four years, we plan to make significant investments t</w:t>
      </w:r>
      <w:r>
        <w:rPr>
          <w:rFonts w:ascii="Arial" w:eastAsia="Times New Roman" w:hAnsi="Arial" w:cs="Arial"/>
          <w:color w:val="000000"/>
          <w:sz w:val="20"/>
          <w:szCs w:val="20"/>
        </w:rPr>
        <w:t xml:space="preserve">otaling $150 – $175 million and implement various measures with the aim to </w:t>
      </w:r>
      <w:r>
        <w:rPr>
          <w:rFonts w:ascii="Arial" w:eastAsia="Times New Roman" w:hAnsi="Arial" w:cs="Arial"/>
          <w:b/>
          <w:bCs/>
          <w:color w:val="E98300"/>
          <w:sz w:val="20"/>
          <w:szCs w:val="20"/>
        </w:rPr>
        <w:t>ELEVATE</w:t>
      </w:r>
      <w:r>
        <w:rPr>
          <w:rFonts w:ascii="Arial" w:eastAsia="Times New Roman" w:hAnsi="Arial" w:cs="Arial"/>
          <w:color w:val="000000"/>
          <w:sz w:val="20"/>
          <w:szCs w:val="20"/>
        </w:rPr>
        <w:t>:</w:t>
      </w:r>
    </w:p>
    <w:p w:rsidR="00000000" w:rsidRDefault="0099409C">
      <w:pPr>
        <w:ind w:hanging="360"/>
        <w:jc w:val="both"/>
        <w:divId w:val="1768307035"/>
        <w:rPr>
          <w:rFonts w:eastAsia="Times New Roman"/>
        </w:rPr>
      </w:pPr>
      <w:r>
        <w:rPr>
          <w:rFonts w:ascii="Arial" w:eastAsia="Times New Roman" w:hAnsi="Arial" w:cs="Arial"/>
          <w:color w:val="000000"/>
          <w:sz w:val="20"/>
          <w:szCs w:val="20"/>
        </w:rPr>
        <w:t>•the client experience, by serving as a trusted advisor who can provide innovative multiservice solutions and consistent service delivery;</w:t>
      </w:r>
    </w:p>
    <w:p w:rsidR="00000000" w:rsidRDefault="0099409C">
      <w:pPr>
        <w:ind w:hanging="360"/>
        <w:jc w:val="both"/>
        <w:divId w:val="2072582640"/>
        <w:rPr>
          <w:rFonts w:eastAsia="Times New Roman"/>
        </w:rPr>
      </w:pPr>
      <w:r>
        <w:rPr>
          <w:rFonts w:ascii="Arial" w:eastAsia="Times New Roman" w:hAnsi="Arial" w:cs="Arial"/>
          <w:color w:val="000000"/>
          <w:sz w:val="20"/>
          <w:szCs w:val="20"/>
        </w:rPr>
        <w:t>•the team member experience, by i</w:t>
      </w:r>
      <w:r>
        <w:rPr>
          <w:rFonts w:ascii="Arial" w:eastAsia="Times New Roman" w:hAnsi="Arial" w:cs="Arial"/>
          <w:color w:val="000000"/>
          <w:sz w:val="20"/>
          <w:szCs w:val="20"/>
        </w:rPr>
        <w:t>nvesting in workforce management, training, developing the next generation of ABM leaders, and building on our inclusive culture; and</w:t>
      </w:r>
    </w:p>
    <w:p w:rsidR="00000000" w:rsidRDefault="0099409C">
      <w:pPr>
        <w:ind w:hanging="360"/>
        <w:jc w:val="both"/>
        <w:divId w:val="672031367"/>
        <w:rPr>
          <w:rFonts w:eastAsia="Times New Roman"/>
        </w:rPr>
      </w:pPr>
      <w:r>
        <w:rPr>
          <w:rFonts w:ascii="Arial" w:eastAsia="Times New Roman" w:hAnsi="Arial" w:cs="Arial"/>
          <w:color w:val="000000"/>
          <w:sz w:val="20"/>
          <w:szCs w:val="20"/>
        </w:rPr>
        <w:t xml:space="preserve">•our use of technology and data to power client and employee experiences with cutting-edge data and analytics, processes, </w:t>
      </w:r>
      <w:r>
        <w:rPr>
          <w:rFonts w:ascii="Arial" w:eastAsia="Times New Roman" w:hAnsi="Arial" w:cs="Arial"/>
          <w:color w:val="000000"/>
          <w:sz w:val="20"/>
          <w:szCs w:val="20"/>
        </w:rPr>
        <w:t>and tools that will fundamentally change how we operate our business.</w:t>
      </w:r>
    </w:p>
    <w:p w:rsidR="00000000" w:rsidRDefault="0099409C">
      <w:pPr>
        <w:jc w:val="both"/>
        <w:divId w:val="2139644185"/>
        <w:rPr>
          <w:rFonts w:eastAsia="Times New Roman"/>
        </w:rPr>
      </w:pPr>
      <w:r>
        <w:rPr>
          <w:rFonts w:ascii="Arial" w:eastAsia="Times New Roman" w:hAnsi="Arial" w:cs="Arial"/>
          <w:b/>
          <w:bCs/>
          <w:color w:val="0046AD"/>
          <w:sz w:val="20"/>
          <w:szCs w:val="20"/>
        </w:rPr>
        <w:t>Insurance</w:t>
      </w:r>
    </w:p>
    <w:p w:rsidR="00000000" w:rsidRDefault="0099409C">
      <w:pPr>
        <w:ind w:firstLine="720"/>
        <w:jc w:val="both"/>
        <w:divId w:val="726684202"/>
        <w:rPr>
          <w:rFonts w:eastAsia="Times New Roman"/>
        </w:rPr>
      </w:pPr>
      <w:r>
        <w:rPr>
          <w:rFonts w:ascii="Arial" w:eastAsia="Times New Roman" w:hAnsi="Arial" w:cs="Arial"/>
          <w:color w:val="000000"/>
          <w:sz w:val="20"/>
          <w:szCs w:val="20"/>
        </w:rPr>
        <w:t>We review our self-insurance liabilities on a regular basis and adjust our accruals accordingly. Actual claims activity or development may vary from our assumptions and estimat</w:t>
      </w:r>
      <w:r>
        <w:rPr>
          <w:rFonts w:ascii="Arial" w:eastAsia="Times New Roman" w:hAnsi="Arial" w:cs="Arial"/>
          <w:color w:val="000000"/>
          <w:sz w:val="20"/>
          <w:szCs w:val="20"/>
        </w:rPr>
        <w:t xml:space="preserve">es, which may result in material losses or gains. As we obtain additional information that affects the assumptions and estimates used in our reserve liability </w:t>
      </w:r>
    </w:p>
    <w:p w:rsidR="00000000" w:rsidRDefault="0099409C">
      <w:pPr>
        <w:jc w:val="center"/>
        <w:divId w:val="1070493940"/>
        <w:rPr>
          <w:rFonts w:eastAsia="Times New Roman"/>
        </w:rPr>
      </w:pPr>
      <w:r>
        <w:rPr>
          <w:rFonts w:ascii="Arial" w:eastAsia="Times New Roman" w:hAnsi="Arial" w:cs="Arial"/>
          <w:color w:val="000000"/>
          <w:sz w:val="20"/>
          <w:szCs w:val="20"/>
        </w:rPr>
        <w:t>25</w:t>
      </w:r>
    </w:p>
    <w:p w:rsidR="00000000" w:rsidRDefault="0099409C">
      <w:pPr>
        <w:rPr>
          <w:rFonts w:eastAsia="Times New Roman"/>
        </w:rPr>
      </w:pPr>
      <w:r>
        <w:rPr>
          <w:rFonts w:eastAsia="Times New Roman"/>
        </w:rPr>
        <w:pict>
          <v:rect id="_x0000_i1054" style="width:0;height:1.5pt" o:hralign="center" o:hrstd="t" o:hr="t" fillcolor="#a0a0a0" stroked="f"/>
        </w:pict>
      </w:r>
    </w:p>
    <w:p w:rsidR="00000000" w:rsidRDefault="0099409C">
      <w:pPr>
        <w:jc w:val="both"/>
        <w:divId w:val="130101533"/>
        <w:rPr>
          <w:rFonts w:eastAsia="Times New Roman"/>
        </w:rPr>
      </w:pPr>
    </w:p>
    <w:p w:rsidR="00000000" w:rsidRDefault="0099409C">
      <w:pPr>
        <w:jc w:val="both"/>
        <w:divId w:val="1683705918"/>
        <w:rPr>
          <w:rFonts w:eastAsia="Times New Roman"/>
        </w:rPr>
      </w:pPr>
      <w:r>
        <w:rPr>
          <w:rFonts w:ascii="Arial" w:eastAsia="Times New Roman" w:hAnsi="Arial" w:cs="Arial"/>
          <w:color w:val="000000"/>
          <w:sz w:val="20"/>
          <w:szCs w:val="20"/>
        </w:rPr>
        <w:t xml:space="preserve">calculations, we adjust our self-insurance rates and reserves for future periods and, if appropriate, adjust our reserves for claims incurred in prior accounting periods. </w:t>
      </w:r>
    </w:p>
    <w:p w:rsidR="00000000" w:rsidRDefault="0099409C">
      <w:pPr>
        <w:ind w:firstLine="720"/>
        <w:jc w:val="both"/>
        <w:divId w:val="1853689752"/>
        <w:rPr>
          <w:rFonts w:eastAsia="Times New Roman"/>
        </w:rPr>
      </w:pPr>
      <w:r>
        <w:rPr>
          <w:rFonts w:ascii="Arial" w:eastAsia="Times New Roman" w:hAnsi="Arial" w:cs="Arial"/>
          <w:color w:val="000000"/>
          <w:sz w:val="20"/>
          <w:szCs w:val="20"/>
        </w:rPr>
        <w:t>During the third quarter of 2022, we performed</w:t>
      </w:r>
      <w:r>
        <w:rPr>
          <w:rFonts w:ascii="Arial" w:eastAsia="Times New Roman" w:hAnsi="Arial" w:cs="Arial"/>
          <w:color w:val="000000"/>
          <w:sz w:val="20"/>
          <w:szCs w:val="20"/>
        </w:rPr>
        <w:t xml:space="preserve"> a comprehensive actuarial review of the majority of our casualty insurance programs to evaluate changes made to claims reserves and claims payment activity for the period of November 1, 2021, through April 30, 2022 (the “Actuarial Review”). The Actuarial </w:t>
      </w:r>
      <w:r>
        <w:rPr>
          <w:rFonts w:ascii="Arial" w:eastAsia="Times New Roman" w:hAnsi="Arial" w:cs="Arial"/>
          <w:color w:val="000000"/>
          <w:sz w:val="20"/>
          <w:szCs w:val="20"/>
        </w:rPr>
        <w:t>Review was comprehensive in nature and was based on loss development patterns, trend assumptions, and underlying expected loss costs during the period analyzed.</w:t>
      </w:r>
    </w:p>
    <w:p w:rsidR="00000000" w:rsidRDefault="0099409C">
      <w:pPr>
        <w:ind w:firstLine="720"/>
        <w:jc w:val="both"/>
        <w:divId w:val="1220097210"/>
        <w:rPr>
          <w:rFonts w:eastAsia="Times New Roman"/>
        </w:rPr>
      </w:pPr>
      <w:r>
        <w:rPr>
          <w:rFonts w:ascii="Arial" w:eastAsia="Times New Roman" w:hAnsi="Arial" w:cs="Arial"/>
          <w:color w:val="000000"/>
          <w:sz w:val="20"/>
          <w:szCs w:val="20"/>
        </w:rPr>
        <w:t>The claims management strategies and programs that we have implemented have resulted in improve</w:t>
      </w:r>
      <w:r>
        <w:rPr>
          <w:rFonts w:ascii="Arial" w:eastAsia="Times New Roman" w:hAnsi="Arial" w:cs="Arial"/>
          <w:color w:val="000000"/>
          <w:sz w:val="20"/>
          <w:szCs w:val="20"/>
        </w:rPr>
        <w:t>ments. Based on the results of the Actuarial Review, we decreased our total reserves related to prior years for known claims as well as our estimate of the loss amounts associated with IBNR claims by $36.1 million during the nine months ended July 31, 2022</w:t>
      </w:r>
      <w:r>
        <w:rPr>
          <w:rFonts w:ascii="Arial" w:eastAsia="Times New Roman" w:hAnsi="Arial" w:cs="Arial"/>
          <w:color w:val="000000"/>
          <w:sz w:val="20"/>
          <w:szCs w:val="20"/>
        </w:rPr>
        <w:t>. The favorable review was primarily attributable to reduced claim frequency and severity development within the workers’ compensation program. During the nine months ended July 31, 2021, we decreased our total reserves related to prior years’ claims by $2</w:t>
      </w:r>
      <w:r>
        <w:rPr>
          <w:rFonts w:ascii="Arial" w:eastAsia="Times New Roman" w:hAnsi="Arial" w:cs="Arial"/>
          <w:color w:val="000000"/>
          <w:sz w:val="20"/>
          <w:szCs w:val="20"/>
        </w:rPr>
        <w:t>9.7 million. We will continue to assess ongoing developments, which may result in further adjustments to reserves.</w:t>
      </w:r>
    </w:p>
    <w:p w:rsidR="00000000" w:rsidRDefault="0099409C">
      <w:pPr>
        <w:divId w:val="1406762960"/>
        <w:rPr>
          <w:rFonts w:eastAsia="Times New Roman"/>
        </w:rPr>
      </w:pPr>
      <w:r>
        <w:rPr>
          <w:rFonts w:ascii="Arial" w:eastAsia="Times New Roman" w:hAnsi="Arial" w:cs="Arial"/>
          <w:b/>
          <w:bCs/>
          <w:color w:val="0046AD"/>
          <w:sz w:val="20"/>
          <w:szCs w:val="20"/>
        </w:rPr>
        <w:t xml:space="preserve">Segment Reporting </w:t>
      </w:r>
    </w:p>
    <w:p w:rsidR="00000000" w:rsidRDefault="0099409C">
      <w:pPr>
        <w:ind w:firstLine="720"/>
        <w:jc w:val="both"/>
        <w:divId w:val="169222367"/>
        <w:rPr>
          <w:rFonts w:eastAsia="Times New Roman"/>
        </w:rPr>
      </w:pPr>
      <w:r>
        <w:rPr>
          <w:rFonts w:ascii="Arial" w:eastAsia="Times New Roman" w:hAnsi="Arial" w:cs="Arial"/>
          <w:color w:val="000000"/>
          <w:sz w:val="20"/>
          <w:szCs w:val="20"/>
        </w:rPr>
        <w:t>Effective November 1, 2021, we reorganized our reportable segments to reflect our M&amp;D industry group replacing our T&amp;M ind</w:t>
      </w:r>
      <w:r>
        <w:rPr>
          <w:rFonts w:ascii="Arial" w:eastAsia="Times New Roman" w:hAnsi="Arial" w:cs="Arial"/>
          <w:color w:val="000000"/>
          <w:sz w:val="20"/>
          <w:szCs w:val="20"/>
        </w:rPr>
        <w:t xml:space="preserve">ustry group as part of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Our current reportable segments consist of B&amp;I, M&amp;D, Education, Aviation, and Technical Solutions, as further described below. Additionally, we have modified the presentation of segment revenues in that inter-se</w:t>
      </w:r>
      <w:r>
        <w:rPr>
          <w:rFonts w:ascii="Arial" w:eastAsia="Times New Roman" w:hAnsi="Arial" w:cs="Arial"/>
          <w:color w:val="000000"/>
          <w:sz w:val="20"/>
          <w:szCs w:val="20"/>
        </w:rPr>
        <w:t>gment revenues are now allocated at the segment level. Our prior year segment data has been reclassified to conform with our fiscal 2022 presentation. These changes had no impact on our previously reported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8"/>
        <w:gridCol w:w="1836"/>
        <w:gridCol w:w="38"/>
        <w:gridCol w:w="68"/>
        <w:gridCol w:w="6258"/>
        <w:gridCol w:w="38"/>
      </w:tblGrid>
      <w:tr w:rsidR="00000000">
        <w:trPr>
          <w:divId w:val="1640455637"/>
        </w:trPr>
        <w:tc>
          <w:tcPr>
            <w:tcW w:w="50" w:type="pct"/>
            <w:vAlign w:val="center"/>
            <w:hideMark/>
          </w:tcPr>
          <w:p w:rsidR="00000000" w:rsidRDefault="0099409C">
            <w:pPr>
              <w:ind w:firstLine="720"/>
              <w:jc w:val="both"/>
              <w:rPr>
                <w:rFonts w:eastAsia="Times New Roman"/>
              </w:rPr>
            </w:pPr>
          </w:p>
        </w:tc>
        <w:tc>
          <w:tcPr>
            <w:tcW w:w="111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377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640455637"/>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46AD"/>
                <w:sz w:val="18"/>
                <w:szCs w:val="18"/>
              </w:rPr>
              <w:t>REPORTABLE SEGMENTS AND DESCRIPTIONS</w:t>
            </w:r>
          </w:p>
        </w:tc>
      </w:tr>
      <w:tr w:rsidR="00000000">
        <w:trPr>
          <w:divId w:val="1640455637"/>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r>
              <w:rPr>
                <w:rFonts w:eastAsia="Times New Roman"/>
                <w:noProof/>
              </w:rPr>
              <w:drawing>
                <wp:inline distT="0" distB="0" distL="0" distR="0">
                  <wp:extent cx="304800" cy="304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99409C">
            <w:pPr>
              <w:spacing w:after="100"/>
              <w:jc w:val="both"/>
              <w:rPr>
                <w:rFonts w:eastAsia="Times New Roman"/>
              </w:rPr>
            </w:pPr>
            <w:r>
              <w:rPr>
                <w:rFonts w:ascii="Arial" w:eastAsia="Times New Roman" w:hAnsi="Arial" w:cs="Arial"/>
                <w:color w:val="000000"/>
                <w:sz w:val="18"/>
                <w:szCs w:val="18"/>
              </w:rPr>
              <w:t>B&amp;I, our largest reportable segment, encompasses janitorial, facilities engineerin</w:t>
            </w:r>
            <w:r>
              <w:rPr>
                <w:rFonts w:ascii="Arial" w:eastAsia="Times New Roman" w:hAnsi="Arial" w:cs="Arial"/>
                <w:color w:val="000000"/>
                <w:sz w:val="18"/>
                <w:szCs w:val="18"/>
              </w:rPr>
              <w:t>g, and parking services for commercial real estate properties, sports and entertainment venues, and traditional hospitals and non-acute healthcare facilities. B&amp;I also provides vehicle maintenance and other services to rental car providers.</w:t>
            </w:r>
          </w:p>
        </w:tc>
      </w:tr>
      <w:tr w:rsidR="00000000">
        <w:trPr>
          <w:divId w:val="1640455637"/>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r>
              <w:rPr>
                <w:rFonts w:eastAsia="Times New Roman"/>
                <w:noProof/>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99409C">
            <w:pPr>
              <w:spacing w:after="100"/>
              <w:jc w:val="both"/>
              <w:rPr>
                <w:rFonts w:eastAsia="Times New Roman"/>
              </w:rPr>
            </w:pPr>
            <w:r>
              <w:rPr>
                <w:rFonts w:ascii="Arial" w:eastAsia="Times New Roman" w:hAnsi="Arial" w:cs="Arial"/>
                <w:color w:val="000000"/>
                <w:sz w:val="18"/>
                <w:szCs w:val="18"/>
              </w:rPr>
              <w:t>M&amp;D provides integrated facility services, engineering, janitorial, and other specialized services in different types of man</w:t>
            </w:r>
            <w:r>
              <w:rPr>
                <w:rFonts w:ascii="Arial" w:eastAsia="Times New Roman" w:hAnsi="Arial" w:cs="Arial"/>
                <w:color w:val="000000"/>
                <w:sz w:val="18"/>
                <w:szCs w:val="18"/>
              </w:rPr>
              <w:t>ufacturing, distribution, and data center facilities. Manufacturing facilities include traditional motor vehicles, electric vehicles, batteries, pharmaceuticals, steel, semiconductors, chemicals, and many others. Distribution facilities include e-commerce,</w:t>
            </w:r>
            <w:r>
              <w:rPr>
                <w:rFonts w:ascii="Arial" w:eastAsia="Times New Roman" w:hAnsi="Arial" w:cs="Arial"/>
                <w:color w:val="000000"/>
                <w:sz w:val="18"/>
                <w:szCs w:val="18"/>
              </w:rPr>
              <w:t xml:space="preserve"> cold storage, logistics, general warehousing, and others.</w:t>
            </w:r>
            <w:r>
              <w:rPr>
                <w:rFonts w:ascii="Calibri" w:eastAsia="Times New Roman" w:hAnsi="Calibri" w:cs="Calibri"/>
                <w:color w:val="000000"/>
                <w:sz w:val="22"/>
                <w:szCs w:val="22"/>
              </w:rPr>
              <w:t xml:space="preserve"> </w:t>
            </w:r>
          </w:p>
        </w:tc>
      </w:tr>
      <w:tr w:rsidR="00000000">
        <w:trPr>
          <w:divId w:val="1640455637"/>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r>
              <w:rPr>
                <w:rFonts w:eastAsia="Times New Roman"/>
                <w:noProof/>
              </w:rPr>
              <w:drawing>
                <wp:inline distT="0" distB="0" distL="0" distR="0">
                  <wp:extent cx="304800" cy="304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99409C">
            <w:pPr>
              <w:spacing w:after="100"/>
              <w:jc w:val="both"/>
              <w:rPr>
                <w:rFonts w:eastAsia="Times New Roman"/>
              </w:rPr>
            </w:pPr>
            <w:r>
              <w:rPr>
                <w:rFonts w:ascii="Arial" w:eastAsia="Times New Roman" w:hAnsi="Arial" w:cs="Arial"/>
                <w:color w:val="000000"/>
                <w:sz w:val="18"/>
                <w:szCs w:val="18"/>
              </w:rPr>
              <w:t>Education delivers janitorial, custodial, landscaping and grounds, facilities engineering, and parking services for public s</w:t>
            </w:r>
            <w:r>
              <w:rPr>
                <w:rFonts w:ascii="Arial" w:eastAsia="Times New Roman" w:hAnsi="Arial" w:cs="Arial"/>
                <w:color w:val="000000"/>
                <w:sz w:val="18"/>
                <w:szCs w:val="18"/>
              </w:rPr>
              <w:t>chool districts, private schools, colleges, and universities.</w:t>
            </w:r>
          </w:p>
        </w:tc>
      </w:tr>
      <w:tr w:rsidR="00000000">
        <w:trPr>
          <w:divId w:val="1640455637"/>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r>
              <w:rPr>
                <w:rFonts w:eastAsia="Times New Roman"/>
                <w:noProof/>
              </w:rPr>
              <w:drawing>
                <wp:inline distT="0" distB="0" distL="0" distR="0">
                  <wp:extent cx="304800" cy="304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99409C">
            <w:pPr>
              <w:spacing w:after="100"/>
              <w:jc w:val="both"/>
              <w:rPr>
                <w:rFonts w:eastAsia="Times New Roman"/>
              </w:rPr>
            </w:pPr>
            <w:r>
              <w:rPr>
                <w:rFonts w:ascii="Arial" w:eastAsia="Times New Roman" w:hAnsi="Arial" w:cs="Arial"/>
                <w:color w:val="000000"/>
                <w:sz w:val="18"/>
                <w:szCs w:val="18"/>
              </w:rPr>
              <w:t>Aviation supports airlines and airports with services ranging from parking and janitorial to passenger assistance, catering logistics, air cabin maintenance, and transportation.</w:t>
            </w:r>
          </w:p>
        </w:tc>
      </w:tr>
      <w:tr w:rsidR="00000000">
        <w:trPr>
          <w:divId w:val="1640455637"/>
        </w:trPr>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r>
              <w:rPr>
                <w:rFonts w:eastAsia="Times New Roman"/>
                <w:noProof/>
              </w:rPr>
              <w:drawing>
                <wp:inline distT="0" distB="0" distL="0" distR="0">
                  <wp:extent cx="304800" cy="3048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99409C">
            <w:pPr>
              <w:spacing w:after="100"/>
              <w:jc w:val="both"/>
              <w:rPr>
                <w:rFonts w:eastAsia="Times New Roman"/>
              </w:rPr>
            </w:pPr>
            <w:r>
              <w:rPr>
                <w:rFonts w:ascii="Arial" w:eastAsia="Times New Roman" w:hAnsi="Arial" w:cs="Arial"/>
                <w:color w:val="000000"/>
                <w:sz w:val="18"/>
                <w:szCs w:val="18"/>
              </w:rPr>
              <w:t xml:space="preserve">Technical Solutions specializes in mechanical and electrical services. These services can also be leveraged for cross-selling </w:t>
            </w:r>
            <w:r>
              <w:rPr>
                <w:rFonts w:ascii="Arial" w:eastAsia="Times New Roman" w:hAnsi="Arial" w:cs="Arial"/>
                <w:color w:val="000000"/>
                <w:sz w:val="18"/>
                <w:szCs w:val="18"/>
              </w:rPr>
              <w:t>across all of our industry groups, both domestically and internationally.</w:t>
            </w:r>
          </w:p>
        </w:tc>
      </w:tr>
    </w:tbl>
    <w:p w:rsidR="00000000" w:rsidRDefault="0099409C">
      <w:pPr>
        <w:jc w:val="both"/>
        <w:divId w:val="1803769184"/>
        <w:rPr>
          <w:rFonts w:eastAsia="Times New Roman"/>
        </w:rPr>
      </w:pPr>
    </w:p>
    <w:p w:rsidR="00000000" w:rsidRDefault="0099409C">
      <w:pPr>
        <w:jc w:val="both"/>
        <w:divId w:val="1566800909"/>
        <w:rPr>
          <w:rFonts w:eastAsia="Times New Roman"/>
        </w:rPr>
      </w:pPr>
    </w:p>
    <w:p w:rsidR="00000000" w:rsidRDefault="0099409C">
      <w:pPr>
        <w:jc w:val="center"/>
        <w:divId w:val="711661398"/>
        <w:rPr>
          <w:rFonts w:eastAsia="Times New Roman"/>
        </w:rPr>
      </w:pPr>
      <w:r>
        <w:rPr>
          <w:rFonts w:ascii="Arial" w:eastAsia="Times New Roman" w:hAnsi="Arial" w:cs="Arial"/>
          <w:color w:val="000000"/>
          <w:sz w:val="20"/>
          <w:szCs w:val="20"/>
        </w:rPr>
        <w:t>26</w:t>
      </w:r>
    </w:p>
    <w:p w:rsidR="00000000" w:rsidRDefault="0099409C">
      <w:pPr>
        <w:rPr>
          <w:rFonts w:eastAsia="Times New Roman"/>
        </w:rPr>
      </w:pPr>
      <w:r>
        <w:rPr>
          <w:rFonts w:eastAsia="Times New Roman"/>
        </w:rPr>
        <w:pict>
          <v:rect id="_x0000_i1060" style="width:0;height:1.5pt" o:hralign="center" o:hrstd="t" o:hr="t" fillcolor="#a0a0a0" stroked="f"/>
        </w:pict>
      </w:r>
    </w:p>
    <w:p w:rsidR="00000000" w:rsidRDefault="0099409C">
      <w:pPr>
        <w:jc w:val="both"/>
        <w:divId w:val="1535801430"/>
        <w:rPr>
          <w:rFonts w:eastAsia="Times New Roman"/>
        </w:rPr>
      </w:pPr>
    </w:p>
    <w:p w:rsidR="00000000" w:rsidRDefault="0099409C">
      <w:pPr>
        <w:jc w:val="both"/>
        <w:divId w:val="1458719166"/>
        <w:rPr>
          <w:rFonts w:eastAsia="Times New Roman"/>
        </w:rPr>
      </w:pPr>
      <w:r>
        <w:rPr>
          <w:rFonts w:ascii="Arial" w:eastAsia="Times New Roman" w:hAnsi="Arial" w:cs="Arial"/>
          <w:b/>
          <w:bCs/>
          <w:color w:val="0046AD"/>
          <w:sz w:val="20"/>
          <w:szCs w:val="20"/>
        </w:rPr>
        <w:t>Key Financial Highlights</w:t>
      </w:r>
    </w:p>
    <w:p w:rsidR="00000000" w:rsidRDefault="0099409C">
      <w:pPr>
        <w:ind w:hanging="360"/>
        <w:jc w:val="both"/>
        <w:divId w:val="24635167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Revenues increased by $418.3 million, or 27.1%, to $1,961.4 million during the three months ended July 31, 2022, as compared to the prior year period. Revenue growth was comprised of acquisition growth of 44.3% and organic growth of 7.1%. Acquisition growt</w:t>
      </w:r>
      <w:r>
        <w:rPr>
          <w:rFonts w:ascii="Arial" w:eastAsia="Times New Roman" w:hAnsi="Arial" w:cs="Arial"/>
          <w:color w:val="000000"/>
          <w:sz w:val="20"/>
          <w:szCs w:val="20"/>
        </w:rPr>
        <w:t>h was primarily driven by a $286.9 million revenue increase due to the Able Acquisition, completed in the fourth quarter of 2021. Organic growth was primarily driven by the recovery in volume of our business as Pandemic disruptions eased (primarily in Avia</w:t>
      </w:r>
      <w:r>
        <w:rPr>
          <w:rFonts w:ascii="Arial" w:eastAsia="Times New Roman" w:hAnsi="Arial" w:cs="Arial"/>
          <w:color w:val="000000"/>
          <w:sz w:val="20"/>
          <w:szCs w:val="20"/>
        </w:rPr>
        <w:t>tion and B&amp;I) and new business within M&amp;D and Technical Solutions. The increase in revenues was partially offset by a decrease in work orders for pandemic-related demands (primarily in M&amp;D and B&amp;I).</w:t>
      </w:r>
    </w:p>
    <w:p w:rsidR="00000000" w:rsidRDefault="0099409C">
      <w:pPr>
        <w:ind w:hanging="360"/>
        <w:jc w:val="both"/>
        <w:divId w:val="1790708700"/>
        <w:rPr>
          <w:rFonts w:eastAsia="Times New Roman"/>
        </w:rPr>
      </w:pPr>
      <w:r>
        <w:rPr>
          <w:rFonts w:ascii="Arial" w:eastAsia="Times New Roman" w:hAnsi="Arial" w:cs="Arial"/>
          <w:color w:val="000000"/>
          <w:sz w:val="20"/>
          <w:szCs w:val="20"/>
        </w:rPr>
        <w:t xml:space="preserve">•We had a increase in operating profit of $98.1 million, </w:t>
      </w:r>
      <w:r>
        <w:rPr>
          <w:rFonts w:ascii="Arial" w:eastAsia="Times New Roman" w:hAnsi="Arial" w:cs="Arial"/>
          <w:color w:val="000000"/>
          <w:sz w:val="20"/>
          <w:szCs w:val="20"/>
        </w:rPr>
        <w:t>to $88.7 million during the three months ended July 31, 2022, as compared to the prior year period. This increase was primarily attributed to:</w:t>
      </w:r>
    </w:p>
    <w:p w:rsidR="00000000" w:rsidRDefault="0099409C">
      <w:pPr>
        <w:spacing w:before="180"/>
        <w:ind w:hanging="360"/>
        <w:jc w:val="both"/>
        <w:divId w:val="187526238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the absence of legal costs and settlements attributed to the legal reserve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w:t>
      </w:r>
    </w:p>
    <w:p w:rsidR="00000000" w:rsidRDefault="0099409C">
      <w:pPr>
        <w:spacing w:before="180"/>
        <w:ind w:hanging="360"/>
        <w:jc w:val="both"/>
        <w:divId w:val="739601736"/>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increase in the </w:t>
      </w:r>
      <w:r>
        <w:rPr>
          <w:rFonts w:ascii="Arial" w:eastAsia="Times New Roman" w:hAnsi="Arial" w:cs="Arial"/>
          <w:color w:val="000000"/>
          <w:sz w:val="20"/>
          <w:szCs w:val="20"/>
        </w:rPr>
        <w:t>volume in our business due to the Able Acquisition and the easing of Pandemic disruptions and net new business; and</w:t>
      </w:r>
    </w:p>
    <w:p w:rsidR="00000000" w:rsidRDefault="0099409C">
      <w:pPr>
        <w:spacing w:before="180"/>
        <w:ind w:hanging="360"/>
        <w:jc w:val="both"/>
        <w:divId w:val="40168249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the absence of a non-cash impairment charge for previously capitalized internal-use software related to our enterprise resource planning (“</w:t>
      </w:r>
      <w:r>
        <w:rPr>
          <w:rFonts w:ascii="Arial" w:eastAsia="Times New Roman" w:hAnsi="Arial" w:cs="Arial"/>
          <w:color w:val="000000"/>
          <w:sz w:val="20"/>
          <w:szCs w:val="20"/>
        </w:rPr>
        <w:t>ERP”) system implementation.</w:t>
      </w:r>
    </w:p>
    <w:p w:rsidR="00000000" w:rsidRDefault="0099409C">
      <w:pPr>
        <w:jc w:val="both"/>
        <w:divId w:val="1470781265"/>
        <w:rPr>
          <w:rFonts w:eastAsia="Times New Roman"/>
        </w:rPr>
      </w:pPr>
      <w:r>
        <w:rPr>
          <w:rFonts w:ascii="Arial" w:eastAsia="Times New Roman" w:hAnsi="Arial" w:cs="Arial"/>
          <w:color w:val="000000"/>
          <w:sz w:val="20"/>
          <w:szCs w:val="20"/>
        </w:rPr>
        <w:t>The increase was partially offset by:</w:t>
      </w:r>
    </w:p>
    <w:p w:rsidR="00000000" w:rsidRDefault="0099409C">
      <w:pPr>
        <w:spacing w:before="180"/>
        <w:ind w:hanging="360"/>
        <w:jc w:val="both"/>
        <w:divId w:val="1641032393"/>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increase in compensation and related expenses primarily attributable to talent acquisition activities and limited labor supply in certain markets;</w:t>
      </w:r>
    </w:p>
    <w:p w:rsidR="00000000" w:rsidRDefault="0099409C">
      <w:pPr>
        <w:spacing w:before="180"/>
        <w:ind w:hanging="360"/>
        <w:jc w:val="both"/>
        <w:divId w:val="188941172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additional overhead and amortization of </w:t>
      </w:r>
      <w:r>
        <w:rPr>
          <w:rFonts w:ascii="Arial" w:eastAsia="Times New Roman" w:hAnsi="Arial" w:cs="Arial"/>
          <w:color w:val="000000"/>
          <w:sz w:val="20"/>
          <w:szCs w:val="20"/>
        </w:rPr>
        <w:t>intangibles related to the Able Acquisition; and</w:t>
      </w:r>
    </w:p>
    <w:p w:rsidR="00000000" w:rsidRDefault="0099409C">
      <w:pPr>
        <w:spacing w:before="180"/>
        <w:ind w:hanging="360"/>
        <w:jc w:val="both"/>
        <w:divId w:val="1587419286"/>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decrease in favorable self-insurance adjustments related to prior year claims as the result of actuarial evaluations completed.</w:t>
      </w:r>
    </w:p>
    <w:p w:rsidR="00000000" w:rsidRDefault="0099409C">
      <w:pPr>
        <w:ind w:hanging="360"/>
        <w:jc w:val="both"/>
        <w:divId w:val="1051808086"/>
        <w:rPr>
          <w:rFonts w:eastAsia="Times New Roman"/>
        </w:rPr>
      </w:pPr>
      <w:r>
        <w:rPr>
          <w:rFonts w:ascii="Arial" w:eastAsia="Times New Roman" w:hAnsi="Arial" w:cs="Arial"/>
          <w:color w:val="000000"/>
          <w:sz w:val="20"/>
          <w:szCs w:val="20"/>
        </w:rPr>
        <w:t>•Our effective tax rate on income from operations was 27.5% for the three mo</w:t>
      </w:r>
      <w:r>
        <w:rPr>
          <w:rFonts w:ascii="Arial" w:eastAsia="Times New Roman" w:hAnsi="Arial" w:cs="Arial"/>
          <w:color w:val="000000"/>
          <w:sz w:val="20"/>
          <w:szCs w:val="20"/>
        </w:rPr>
        <w:t xml:space="preserve">nths ended July 31, 2022, as compared to 9.7% for the three months ended July 31, 2021. </w:t>
      </w:r>
    </w:p>
    <w:p w:rsidR="00000000" w:rsidRDefault="0099409C">
      <w:pPr>
        <w:ind w:hanging="360"/>
        <w:jc w:val="both"/>
        <w:divId w:val="1933970143"/>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Net cash used in operating activities was $96.7 million during the nine months ended July 31, 2022. Our total operating cash flows were lower, primarily due to the timing of certain working capital requirements, which included a $143.8 million payment for </w:t>
      </w:r>
      <w:r>
        <w:rPr>
          <w:rFonts w:ascii="Arial" w:eastAsia="Times New Roman" w:hAnsi="Arial" w:cs="Arial"/>
          <w:color w:val="000000"/>
          <w:sz w:val="20"/>
          <w:szCs w:val="20"/>
        </w:rPr>
        <w:t xml:space="preserve">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and $66 million payment for deferred payroll taxes under the CARES Act in the current fiscal year. </w:t>
      </w:r>
    </w:p>
    <w:p w:rsidR="00000000" w:rsidRDefault="0099409C">
      <w:pPr>
        <w:ind w:hanging="360"/>
        <w:jc w:val="both"/>
        <w:divId w:val="319624327"/>
        <w:rPr>
          <w:rFonts w:eastAsia="Times New Roman"/>
        </w:rPr>
      </w:pPr>
      <w:r>
        <w:rPr>
          <w:rFonts w:ascii="Arial" w:eastAsia="Times New Roman" w:hAnsi="Arial" w:cs="Arial"/>
          <w:color w:val="000000"/>
          <w:sz w:val="20"/>
          <w:szCs w:val="20"/>
        </w:rPr>
        <w:t xml:space="preserve">•Net cash used in investing activities was $93.3 million during the nine months ended July 31, 2022, primarily related to the acquisition of </w:t>
      </w:r>
      <w:r>
        <w:rPr>
          <w:rFonts w:ascii="Arial" w:eastAsia="Times New Roman" w:hAnsi="Arial" w:cs="Arial"/>
          <w:color w:val="000000"/>
          <w:sz w:val="20"/>
          <w:szCs w:val="20"/>
        </w:rPr>
        <w:t>Momentum.</w:t>
      </w:r>
    </w:p>
    <w:p w:rsidR="00000000" w:rsidRDefault="0099409C">
      <w:pPr>
        <w:ind w:hanging="360"/>
        <w:jc w:val="both"/>
        <w:divId w:val="317461463"/>
        <w:rPr>
          <w:rFonts w:eastAsia="Times New Roman"/>
        </w:rPr>
      </w:pPr>
      <w:r>
        <w:rPr>
          <w:rFonts w:ascii="Arial" w:eastAsia="Times New Roman" w:hAnsi="Arial" w:cs="Arial"/>
          <w:color w:val="000000"/>
          <w:sz w:val="20"/>
          <w:szCs w:val="20"/>
        </w:rPr>
        <w:t>•Dividends of $39.0 million were paid to shareholders, and dividends totaling $0.585 per common share were declared during the nine months ended July 31, 2022.</w:t>
      </w:r>
    </w:p>
    <w:p w:rsidR="00000000" w:rsidRDefault="0099409C">
      <w:pPr>
        <w:ind w:hanging="360"/>
        <w:jc w:val="both"/>
        <w:divId w:val="990445618"/>
        <w:rPr>
          <w:rFonts w:eastAsia="Times New Roman"/>
        </w:rPr>
      </w:pPr>
      <w:r>
        <w:rPr>
          <w:rFonts w:ascii="Arial" w:eastAsia="Times New Roman" w:hAnsi="Arial" w:cs="Arial"/>
          <w:color w:val="000000"/>
          <w:sz w:val="20"/>
          <w:szCs w:val="20"/>
        </w:rPr>
        <w:t xml:space="preserve">•At July 31, 2022, total outstanding borrowings under our Amended Credit Facility and </w:t>
      </w:r>
      <w:r>
        <w:rPr>
          <w:rFonts w:ascii="Arial" w:eastAsia="Times New Roman" w:hAnsi="Arial" w:cs="Arial"/>
          <w:color w:val="000000"/>
          <w:sz w:val="20"/>
          <w:szCs w:val="20"/>
        </w:rPr>
        <w:t>Receivables Facility were $1.2 billion. At July 31, 2022, we had up to $705.1 million of borrowing capacity.</w:t>
      </w:r>
    </w:p>
    <w:p w:rsidR="00000000" w:rsidRDefault="0099409C">
      <w:pPr>
        <w:jc w:val="center"/>
        <w:divId w:val="400371909"/>
        <w:rPr>
          <w:rFonts w:eastAsia="Times New Roman"/>
        </w:rPr>
      </w:pPr>
      <w:r>
        <w:rPr>
          <w:rFonts w:ascii="Arial" w:eastAsia="Times New Roman" w:hAnsi="Arial" w:cs="Arial"/>
          <w:color w:val="000000"/>
          <w:sz w:val="20"/>
          <w:szCs w:val="20"/>
        </w:rPr>
        <w:t>27</w:t>
      </w:r>
    </w:p>
    <w:p w:rsidR="00000000" w:rsidRDefault="0099409C">
      <w:pPr>
        <w:rPr>
          <w:rFonts w:eastAsia="Times New Roman"/>
        </w:rPr>
      </w:pPr>
      <w:r>
        <w:rPr>
          <w:rFonts w:eastAsia="Times New Roman"/>
        </w:rPr>
        <w:pict>
          <v:rect id="_x0000_i1061" style="width:0;height:1.5pt" o:hralign="center" o:hrstd="t" o:hr="t" fillcolor="#a0a0a0" stroked="f"/>
        </w:pict>
      </w:r>
    </w:p>
    <w:p w:rsidR="00000000" w:rsidRDefault="0099409C">
      <w:pPr>
        <w:jc w:val="both"/>
        <w:divId w:val="187063867"/>
        <w:rPr>
          <w:rFonts w:eastAsia="Times New Roman"/>
        </w:rPr>
      </w:pPr>
    </w:p>
    <w:p w:rsidR="00000000" w:rsidRDefault="0099409C">
      <w:pPr>
        <w:divId w:val="424805704"/>
        <w:rPr>
          <w:rFonts w:eastAsia="Times New Roman"/>
        </w:rPr>
      </w:pPr>
      <w:r>
        <w:rPr>
          <w:rFonts w:ascii="Arial" w:eastAsia="Times New Roman" w:hAnsi="Arial" w:cs="Arial"/>
          <w:b/>
          <w:bCs/>
          <w:color w:val="0046AD"/>
          <w:sz w:val="20"/>
          <w:szCs w:val="20"/>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784835421"/>
        </w:trPr>
        <w:tc>
          <w:tcPr>
            <w:tcW w:w="5" w:type="pct"/>
            <w:vAlign w:val="center"/>
            <w:hideMark/>
          </w:tcPr>
          <w:p w:rsidR="00000000" w:rsidRDefault="0099409C">
            <w:pPr>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784835421"/>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jc w:val="both"/>
        <w:divId w:val="1087652981"/>
        <w:rPr>
          <w:rFonts w:eastAsia="Times New Roman"/>
        </w:rPr>
      </w:pPr>
      <w:r>
        <w:rPr>
          <w:rFonts w:ascii="Arial" w:eastAsia="Times New Roman" w:hAnsi="Arial" w:cs="Arial"/>
          <w:b/>
          <w:bCs/>
          <w:i/>
          <w:iCs/>
          <w:color w:val="0046AD"/>
          <w:sz w:val="20"/>
          <w:szCs w:val="20"/>
          <w:shd w:val="clear" w:color="auto" w:fill="FFFFFF"/>
        </w:rPr>
        <w:t>Three Months Ended July </w:t>
      </w:r>
      <w:r>
        <w:rPr>
          <w:rFonts w:ascii="Arial" w:eastAsia="Times New Roman" w:hAnsi="Arial" w:cs="Arial"/>
          <w:b/>
          <w:bCs/>
          <w:i/>
          <w:iCs/>
          <w:color w:val="0046AD"/>
          <w:sz w:val="20"/>
          <w:szCs w:val="20"/>
          <w:shd w:val="clear" w:color="auto" w:fill="FFFFFF"/>
        </w:rPr>
        <w:t>31, 2022 Compared with the Three Months Ended July 31, 2021</w:t>
      </w:r>
    </w:p>
    <w:p w:rsidR="00000000" w:rsidRDefault="0099409C">
      <w:pPr>
        <w:divId w:val="1397242259"/>
        <w:rPr>
          <w:rFonts w:eastAsia="Times New Roman"/>
        </w:rPr>
      </w:pPr>
      <w:r>
        <w:rPr>
          <w:rFonts w:ascii="Arial" w:eastAsia="Times New Roman" w:hAnsi="Arial" w:cs="Arial"/>
          <w:b/>
          <w:bCs/>
          <w:i/>
          <w:iCs/>
          <w:color w:val="0046AD"/>
          <w:sz w:val="20"/>
          <w:szCs w:val="20"/>
          <w:shd w:val="clear" w:color="auto" w:fill="FFFFFF"/>
        </w:rPr>
        <w:t>Consolidated</w:t>
      </w:r>
      <w:r>
        <w:rPr>
          <w:rFonts w:ascii="Arial" w:eastAsia="Times New Roman" w:hAnsi="Arial" w:cs="Arial"/>
          <w:b/>
          <w:bCs/>
          <w:i/>
          <w:iCs/>
          <w:color w:val="000000"/>
          <w:sz w:val="20"/>
          <w:szCs w:val="20"/>
          <w:shd w:val="clear" w:color="auto" w:fill="FFFFFF"/>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3861"/>
        <w:gridCol w:w="40"/>
        <w:gridCol w:w="121"/>
        <w:gridCol w:w="995"/>
        <w:gridCol w:w="163"/>
        <w:gridCol w:w="36"/>
        <w:gridCol w:w="36"/>
        <w:gridCol w:w="36"/>
        <w:gridCol w:w="121"/>
        <w:gridCol w:w="934"/>
        <w:gridCol w:w="163"/>
        <w:gridCol w:w="36"/>
        <w:gridCol w:w="36"/>
        <w:gridCol w:w="36"/>
        <w:gridCol w:w="122"/>
        <w:gridCol w:w="665"/>
        <w:gridCol w:w="37"/>
        <w:gridCol w:w="37"/>
        <w:gridCol w:w="37"/>
        <w:gridCol w:w="36"/>
        <w:gridCol w:w="63"/>
        <w:gridCol w:w="616"/>
        <w:gridCol w:w="38"/>
      </w:tblGrid>
      <w:tr w:rsidR="00000000">
        <w:trPr>
          <w:divId w:val="1067265365"/>
        </w:trPr>
        <w:tc>
          <w:tcPr>
            <w:tcW w:w="50" w:type="pct"/>
            <w:vAlign w:val="center"/>
            <w:hideMark/>
          </w:tcPr>
          <w:p w:rsidR="00000000" w:rsidRDefault="0099409C">
            <w:pPr>
              <w:rPr>
                <w:rFonts w:eastAsia="Times New Roman"/>
              </w:rPr>
            </w:pPr>
          </w:p>
        </w:tc>
        <w:tc>
          <w:tcPr>
            <w:tcW w:w="237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3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3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7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7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067265365"/>
        </w:trPr>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067265365"/>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106726536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 xml:space="preserve">Revenues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1,961.4 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1,543.1 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418.3 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27.1%</w:t>
            </w:r>
          </w:p>
        </w:tc>
      </w:tr>
      <w:tr w:rsidR="00000000">
        <w:trPr>
          <w:divId w:val="106726536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xml:space="preserve">Operating expenses </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1,696.4 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1,288.1 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408.3 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31.7%</w:t>
            </w:r>
          </w:p>
        </w:tc>
      </w:tr>
      <w:tr w:rsidR="00000000">
        <w:trPr>
          <w:divId w:val="1067265365"/>
        </w:trPr>
        <w:tc>
          <w:tcPr>
            <w:tcW w:w="0" w:type="auto"/>
            <w:gridSpan w:val="3"/>
            <w:shd w:val="clear" w:color="auto" w:fill="DCE2EF"/>
            <w:tcMar>
              <w:top w:w="30" w:type="dxa"/>
              <w:left w:w="14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8"/>
                <w:szCs w:val="18"/>
              </w:rPr>
              <w:t>Gross margin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13.5 </w:t>
            </w:r>
          </w:p>
        </w:tc>
        <w:tc>
          <w:tcPr>
            <w:tcW w:w="0" w:type="auto"/>
            <w:shd w:val="clear" w:color="auto" w:fill="DCE2E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16.5 </w:t>
            </w:r>
          </w:p>
        </w:tc>
        <w:tc>
          <w:tcPr>
            <w:tcW w:w="0" w:type="auto"/>
            <w:shd w:val="clear" w:color="auto" w:fill="DCE2E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(301) bps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06726536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158.6 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253.8 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(95.2)</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(37.5)%</w:t>
            </w:r>
          </w:p>
        </w:tc>
      </w:tr>
      <w:tr w:rsidR="00000000">
        <w:trPr>
          <w:divId w:val="1067265365"/>
        </w:trPr>
        <w:tc>
          <w:tcPr>
            <w:tcW w:w="0" w:type="auto"/>
            <w:gridSpan w:val="3"/>
            <w:vAlign w:val="center"/>
            <w:hideMark/>
          </w:tcPr>
          <w:p w:rsidR="00000000" w:rsidRDefault="0099409C">
            <w:pPr>
              <w:spacing w:after="100"/>
              <w:jc w:val="center"/>
              <w:rPr>
                <w:rFonts w:eastAsia="Times New Roman"/>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106726536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Amortization of intangible assets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17.7 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67.1%</w:t>
            </w:r>
          </w:p>
        </w:tc>
      </w:tr>
      <w:tr w:rsidR="00000000">
        <w:trPr>
          <w:divId w:val="1067265365"/>
        </w:trPr>
        <w:tc>
          <w:tcPr>
            <w:tcW w:w="0" w:type="auto"/>
            <w:gridSpan w:val="3"/>
            <w:vAlign w:val="center"/>
            <w:hideMark/>
          </w:tcPr>
          <w:p w:rsidR="00000000" w:rsidRDefault="0099409C">
            <w:pPr>
              <w:spacing w:after="100"/>
              <w:jc w:val="center"/>
              <w:rPr>
                <w:rFonts w:eastAsia="Times New Roman"/>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106726536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Operating profit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88.7 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NM*</w:t>
            </w:r>
          </w:p>
        </w:tc>
      </w:tr>
      <w:tr w:rsidR="00000000">
        <w:trPr>
          <w:divId w:val="106726536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0.3 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50.0%</w:t>
            </w:r>
          </w:p>
        </w:tc>
      </w:tr>
      <w:tr w:rsidR="00000000">
        <w:trPr>
          <w:divId w:val="106726536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(11.1)</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(6.3)</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(4.8)</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(77.2)%</w:t>
            </w:r>
          </w:p>
        </w:tc>
      </w:tr>
      <w:tr w:rsidR="00000000">
        <w:trPr>
          <w:divId w:val="106726536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Income (loss) before 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78.3 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(15.2)</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93.5 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NM*</w:t>
            </w:r>
          </w:p>
        </w:tc>
      </w:tr>
      <w:tr w:rsidR="00000000">
        <w:trPr>
          <w:divId w:val="106726536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Income tax (provision) benefit</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(21.5)</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(23.0)</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NM*</w:t>
            </w:r>
          </w:p>
        </w:tc>
      </w:tr>
      <w:tr w:rsidR="00000000">
        <w:trPr>
          <w:divId w:val="1067265365"/>
        </w:trPr>
        <w:tc>
          <w:tcPr>
            <w:tcW w:w="0" w:type="auto"/>
            <w:gridSpan w:val="3"/>
            <w:vAlign w:val="center"/>
            <w:hideMark/>
          </w:tcPr>
          <w:p w:rsidR="00000000" w:rsidRDefault="0099409C">
            <w:pPr>
              <w:spacing w:after="100"/>
              <w:jc w:val="center"/>
              <w:rPr>
                <w:rFonts w:eastAsia="Times New Roman"/>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1067265365"/>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106726536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Net income (loss)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56.8 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(13.7)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70.5 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NM*</w:t>
            </w:r>
          </w:p>
        </w:tc>
      </w:tr>
      <w:tr w:rsidR="00000000">
        <w:trPr>
          <w:divId w:val="106726536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067265365"/>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(5.7)</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(6.4)</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NM*</w:t>
            </w:r>
          </w:p>
        </w:tc>
      </w:tr>
      <w:tr w:rsidR="00000000">
        <w:trPr>
          <w:divId w:val="1067265365"/>
        </w:trPr>
        <w:tc>
          <w:tcPr>
            <w:tcW w:w="0" w:type="auto"/>
            <w:gridSpan w:val="3"/>
            <w:shd w:val="clear" w:color="auto" w:fill="FFFFF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(3.7)</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(3.8)</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NM*</w:t>
            </w:r>
          </w:p>
        </w:tc>
      </w:tr>
      <w:tr w:rsidR="00000000">
        <w:trPr>
          <w:divId w:val="1067265365"/>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Income tax benefit (provision)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NM*</w:t>
            </w:r>
          </w:p>
        </w:tc>
      </w:tr>
      <w:tr w:rsidR="00000000">
        <w:trPr>
          <w:divId w:val="1067265365"/>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(13.1)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NM*</w:t>
            </w:r>
          </w:p>
        </w:tc>
      </w:tr>
    </w:tbl>
    <w:p w:rsidR="00000000" w:rsidRDefault="0099409C">
      <w:pPr>
        <w:divId w:val="579826801"/>
        <w:rPr>
          <w:rFonts w:eastAsia="Times New Roman"/>
        </w:rPr>
      </w:pPr>
      <w:r>
        <w:rPr>
          <w:rFonts w:ascii="Arial" w:eastAsia="Times New Roman" w:hAnsi="Arial" w:cs="Arial"/>
          <w:color w:val="000000"/>
          <w:sz w:val="18"/>
          <w:szCs w:val="18"/>
        </w:rPr>
        <w:t>*Not meaningful</w:t>
      </w:r>
    </w:p>
    <w:p w:rsidR="00000000" w:rsidRDefault="0099409C">
      <w:pPr>
        <w:divId w:val="783038923"/>
        <w:rPr>
          <w:rFonts w:eastAsia="Times New Roman"/>
        </w:rPr>
      </w:pPr>
      <w:r>
        <w:rPr>
          <w:rFonts w:ascii="Arial" w:eastAsia="Times New Roman" w:hAnsi="Arial" w:cs="Arial"/>
          <w:b/>
          <w:bCs/>
          <w:i/>
          <w:iCs/>
          <w:color w:val="0046AD"/>
          <w:sz w:val="20"/>
          <w:szCs w:val="20"/>
        </w:rPr>
        <w:t>Revenues</w:t>
      </w:r>
      <w:r>
        <w:rPr>
          <w:rFonts w:ascii="Arial" w:eastAsia="Times New Roman" w:hAnsi="Arial" w:cs="Arial"/>
          <w:i/>
          <w:iCs/>
          <w:color w:val="0046AD"/>
          <w:sz w:val="20"/>
          <w:szCs w:val="20"/>
        </w:rPr>
        <w:t xml:space="preserve"> </w:t>
      </w:r>
    </w:p>
    <w:p w:rsidR="00000000" w:rsidRDefault="0099409C">
      <w:pPr>
        <w:ind w:firstLine="720"/>
        <w:jc w:val="both"/>
        <w:divId w:val="1052462443"/>
        <w:rPr>
          <w:rFonts w:eastAsia="Times New Roman"/>
        </w:rPr>
      </w:pPr>
      <w:r>
        <w:rPr>
          <w:rFonts w:ascii="Arial" w:eastAsia="Times New Roman" w:hAnsi="Arial" w:cs="Arial"/>
          <w:color w:val="000000"/>
          <w:sz w:val="20"/>
          <w:szCs w:val="20"/>
        </w:rPr>
        <w:t>Revenues increased by $418.3 million, or 27.1%, to</w:t>
      </w:r>
      <w:r>
        <w:rPr>
          <w:rFonts w:ascii="Arial" w:eastAsia="Times New Roman" w:hAnsi="Arial" w:cs="Arial"/>
          <w:color w:val="000000"/>
          <w:sz w:val="20"/>
          <w:szCs w:val="20"/>
        </w:rPr>
        <w:t xml:space="preserve"> $1,961.4 million during the three months ended July 31, 2022, as compared to the prior year period. Revenue growth was comprised of acquisition growth of 19.8% and organic growth of 7.4%. Acquisition growth was primarily driven by a $286.9 million revenue</w:t>
      </w:r>
      <w:r>
        <w:rPr>
          <w:rFonts w:ascii="Arial" w:eastAsia="Times New Roman" w:hAnsi="Arial" w:cs="Arial"/>
          <w:color w:val="000000"/>
          <w:sz w:val="20"/>
          <w:szCs w:val="20"/>
        </w:rPr>
        <w:t xml:space="preserve"> increase due to the Able Acquisition, completed in the fourth quarter of 2021. Organic growth was primarily driven by the recovery in volume of our business as Pandemic disruptions eased (primarily in Aviation and B&amp;I) and new business within M&amp;D and Tech</w:t>
      </w:r>
      <w:r>
        <w:rPr>
          <w:rFonts w:ascii="Arial" w:eastAsia="Times New Roman" w:hAnsi="Arial" w:cs="Arial"/>
          <w:color w:val="000000"/>
          <w:sz w:val="20"/>
          <w:szCs w:val="20"/>
        </w:rPr>
        <w:t xml:space="preserve">nical Solutions. The increase in revenues was partially offset by a decrease in work orders for pandemic-related demands (primarily in M&amp;D and B&amp;I). </w:t>
      </w:r>
    </w:p>
    <w:p w:rsidR="00000000" w:rsidRDefault="0099409C">
      <w:pPr>
        <w:jc w:val="both"/>
        <w:divId w:val="347676299"/>
        <w:rPr>
          <w:rFonts w:eastAsia="Times New Roman"/>
        </w:rPr>
      </w:pPr>
      <w:r>
        <w:rPr>
          <w:rFonts w:ascii="Arial" w:eastAsia="Times New Roman" w:hAnsi="Arial" w:cs="Arial"/>
          <w:b/>
          <w:bCs/>
          <w:i/>
          <w:iCs/>
          <w:color w:val="0046AD"/>
          <w:sz w:val="20"/>
          <w:szCs w:val="20"/>
        </w:rPr>
        <w:t>Operating Expenses</w:t>
      </w:r>
    </w:p>
    <w:p w:rsidR="00000000" w:rsidRDefault="0099409C">
      <w:pPr>
        <w:ind w:firstLine="720"/>
        <w:jc w:val="both"/>
        <w:divId w:val="1479764996"/>
        <w:rPr>
          <w:rFonts w:eastAsia="Times New Roman"/>
        </w:rPr>
      </w:pPr>
      <w:r>
        <w:rPr>
          <w:rFonts w:ascii="Arial" w:eastAsia="Times New Roman" w:hAnsi="Arial" w:cs="Arial"/>
          <w:color w:val="000000"/>
          <w:sz w:val="20"/>
          <w:szCs w:val="20"/>
        </w:rPr>
        <w:t xml:space="preserve">Operating expenses increased by $408.3 million, or 31.7%, to $1,696.4 million during the three months ended July 31, 2022, as compared to the prior year period. Gross margin decreased by 301 bps to 13.5% in the three months ended July 31, 2022, from 16.5% </w:t>
      </w:r>
      <w:r>
        <w:rPr>
          <w:rFonts w:ascii="Arial" w:eastAsia="Times New Roman" w:hAnsi="Arial" w:cs="Arial"/>
          <w:color w:val="000000"/>
          <w:sz w:val="20"/>
          <w:szCs w:val="20"/>
        </w:rPr>
        <w:t>in the three months ended July 31, 2021. The decrease in gross margin was primarily driven by the decrease in cleaning services for pandemic-related demands (primarily in M&amp;D and B&amp;I), which have higher margins, and the changes in contract mix due to the A</w:t>
      </w:r>
      <w:r>
        <w:rPr>
          <w:rFonts w:ascii="Arial" w:eastAsia="Times New Roman" w:hAnsi="Arial" w:cs="Arial"/>
          <w:color w:val="000000"/>
          <w:sz w:val="20"/>
          <w:szCs w:val="20"/>
        </w:rPr>
        <w:t xml:space="preserve">ble Acquisition. In addition, gross margin was negatively impacted by an increase in direct labor and related costs (primarily in B&amp;I, Aviation, and Education) and the amortization of intangibles acquired as part of the Able Acquisition. </w:t>
      </w:r>
    </w:p>
    <w:p w:rsidR="00000000" w:rsidRDefault="0099409C">
      <w:pPr>
        <w:divId w:val="1841003573"/>
        <w:rPr>
          <w:rFonts w:eastAsia="Times New Roman"/>
        </w:rPr>
      </w:pPr>
      <w:r>
        <w:rPr>
          <w:rFonts w:ascii="Arial" w:eastAsia="Times New Roman" w:hAnsi="Arial" w:cs="Arial"/>
          <w:b/>
          <w:bCs/>
          <w:i/>
          <w:iCs/>
          <w:color w:val="0046AD"/>
          <w:sz w:val="20"/>
          <w:szCs w:val="20"/>
        </w:rPr>
        <w:t xml:space="preserve">Selling, General </w:t>
      </w:r>
      <w:r>
        <w:rPr>
          <w:rFonts w:ascii="Arial" w:eastAsia="Times New Roman" w:hAnsi="Arial" w:cs="Arial"/>
          <w:b/>
          <w:bCs/>
          <w:i/>
          <w:iCs/>
          <w:color w:val="0046AD"/>
          <w:sz w:val="20"/>
          <w:szCs w:val="20"/>
        </w:rPr>
        <w:t>and Administrative Expenses</w:t>
      </w:r>
    </w:p>
    <w:p w:rsidR="00000000" w:rsidRDefault="0099409C">
      <w:pPr>
        <w:ind w:firstLine="720"/>
        <w:jc w:val="both"/>
        <w:divId w:val="707099681"/>
        <w:rPr>
          <w:rFonts w:eastAsia="Times New Roman"/>
        </w:rPr>
      </w:pPr>
      <w:r>
        <w:rPr>
          <w:rFonts w:ascii="Arial" w:eastAsia="Times New Roman" w:hAnsi="Arial" w:cs="Arial"/>
          <w:color w:val="000000"/>
          <w:sz w:val="20"/>
          <w:szCs w:val="20"/>
        </w:rPr>
        <w:t>Selling, general and administrative expenses decreased by $95.2 million to $158.6 million during the three months ended July 31, 2022, as compared to the prior year period. The decrease in selling, general and administrative exp</w:t>
      </w:r>
      <w:r>
        <w:rPr>
          <w:rFonts w:ascii="Arial" w:eastAsia="Times New Roman" w:hAnsi="Arial" w:cs="Arial"/>
          <w:color w:val="000000"/>
          <w:sz w:val="20"/>
          <w:szCs w:val="20"/>
        </w:rPr>
        <w:t>enses was primarily attributable to:</w:t>
      </w:r>
    </w:p>
    <w:p w:rsidR="00000000" w:rsidRDefault="0099409C">
      <w:pPr>
        <w:ind w:hanging="360"/>
        <w:jc w:val="both"/>
        <w:divId w:val="490290186"/>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$117.9 million decrease in legal costs and settlements, of which $112.9 million was attributed to the accrual of a legal reserve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during the three months ended July 31, 2021; and</w:t>
      </w:r>
    </w:p>
    <w:p w:rsidR="00000000" w:rsidRDefault="0099409C">
      <w:pPr>
        <w:jc w:val="center"/>
        <w:divId w:val="1465269390"/>
        <w:rPr>
          <w:rFonts w:eastAsia="Times New Roman"/>
        </w:rPr>
      </w:pPr>
      <w:r>
        <w:rPr>
          <w:rFonts w:ascii="Arial" w:eastAsia="Times New Roman" w:hAnsi="Arial" w:cs="Arial"/>
          <w:color w:val="000000"/>
          <w:sz w:val="20"/>
          <w:szCs w:val="20"/>
        </w:rPr>
        <w:t>28</w:t>
      </w:r>
    </w:p>
    <w:p w:rsidR="00000000" w:rsidRDefault="0099409C">
      <w:pPr>
        <w:rPr>
          <w:rFonts w:eastAsia="Times New Roman"/>
        </w:rPr>
      </w:pPr>
      <w:r>
        <w:rPr>
          <w:rFonts w:eastAsia="Times New Roman"/>
        </w:rPr>
        <w:pict>
          <v:rect id="_x0000_i1062" style="width:0;height:1.5pt" o:hralign="center" o:hrstd="t" o:hr="t" fillcolor="#a0a0a0" stroked="f"/>
        </w:pict>
      </w:r>
    </w:p>
    <w:p w:rsidR="00000000" w:rsidRDefault="0099409C">
      <w:pPr>
        <w:jc w:val="both"/>
        <w:divId w:val="1309168211"/>
        <w:rPr>
          <w:rFonts w:eastAsia="Times New Roman"/>
        </w:rPr>
      </w:pPr>
    </w:p>
    <w:p w:rsidR="00000000" w:rsidRDefault="0099409C">
      <w:pPr>
        <w:ind w:hanging="360"/>
        <w:jc w:val="both"/>
        <w:divId w:val="119186945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the absence of a $9.1 million non-cash impairment charge for previously capitalized internal-use software related to our ERP system implementation as we determined that certain components developed will no longer be incorporated into</w:t>
      </w:r>
      <w:r>
        <w:rPr>
          <w:rFonts w:ascii="Arial" w:eastAsia="Times New Roman" w:hAnsi="Arial" w:cs="Arial"/>
          <w:color w:val="000000"/>
          <w:sz w:val="20"/>
          <w:szCs w:val="20"/>
        </w:rPr>
        <w:t xml:space="preserve"> the new ERP system during the three months ended July 31, 2021.</w:t>
      </w:r>
    </w:p>
    <w:p w:rsidR="00000000" w:rsidRDefault="0099409C">
      <w:pPr>
        <w:jc w:val="both"/>
        <w:divId w:val="1428043147"/>
        <w:rPr>
          <w:rFonts w:eastAsia="Times New Roman"/>
        </w:rPr>
      </w:pPr>
      <w:r>
        <w:rPr>
          <w:rFonts w:ascii="Arial" w:eastAsia="Times New Roman" w:hAnsi="Arial" w:cs="Arial"/>
          <w:color w:val="000000"/>
          <w:sz w:val="20"/>
          <w:szCs w:val="20"/>
        </w:rPr>
        <w:t>This decrease was partially offset by:</w:t>
      </w:r>
    </w:p>
    <w:p w:rsidR="00000000" w:rsidRDefault="0099409C">
      <w:pPr>
        <w:ind w:hanging="360"/>
        <w:jc w:val="both"/>
        <w:divId w:val="859900000"/>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$10.4 million increase in compensation and related expenses primarily attributable to talent acquisition activities; </w:t>
      </w:r>
    </w:p>
    <w:p w:rsidR="00000000" w:rsidRDefault="0099409C">
      <w:pPr>
        <w:ind w:hanging="360"/>
        <w:jc w:val="both"/>
        <w:divId w:val="1575815848"/>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$7.2 million increase relate</w:t>
      </w:r>
      <w:r>
        <w:rPr>
          <w:rFonts w:ascii="Arial" w:eastAsia="Times New Roman" w:hAnsi="Arial" w:cs="Arial"/>
          <w:color w:val="000000"/>
          <w:sz w:val="20"/>
          <w:szCs w:val="20"/>
        </w:rPr>
        <w:t>d to the Able Acquisition;</w:t>
      </w:r>
    </w:p>
    <w:p w:rsidR="00000000" w:rsidRDefault="0099409C">
      <w:pPr>
        <w:ind w:hanging="360"/>
        <w:jc w:val="both"/>
        <w:divId w:val="1634098426"/>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$6.7 million decrease in favorable self-insurance adjustments related to prior year claims as the result of actuarial evaluations completed on our medical and dental self-insurance plans;</w:t>
      </w:r>
    </w:p>
    <w:p w:rsidR="00000000" w:rsidRDefault="0099409C">
      <w:pPr>
        <w:ind w:hanging="360"/>
        <w:jc w:val="both"/>
        <w:divId w:val="242179687"/>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$3.1 million increase in certain te</w:t>
      </w:r>
      <w:r>
        <w:rPr>
          <w:rFonts w:ascii="Arial" w:eastAsia="Times New Roman" w:hAnsi="Arial" w:cs="Arial"/>
          <w:color w:val="000000"/>
          <w:sz w:val="20"/>
          <w:szCs w:val="20"/>
        </w:rPr>
        <w:t xml:space="preserve">chnology projects primarily attributable to discrete transformational costs under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for developing the new ERP system, client-facing technology, workforce management tools, and data analytics; and</w:t>
      </w:r>
    </w:p>
    <w:p w:rsidR="00000000" w:rsidRDefault="0099409C">
      <w:pPr>
        <w:ind w:hanging="360"/>
        <w:jc w:val="both"/>
        <w:divId w:val="987903905"/>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$2.8 million increase in bad debt exp</w:t>
      </w:r>
      <w:r>
        <w:rPr>
          <w:rFonts w:ascii="Arial" w:eastAsia="Times New Roman" w:hAnsi="Arial" w:cs="Arial"/>
          <w:color w:val="000000"/>
          <w:sz w:val="20"/>
          <w:szCs w:val="20"/>
        </w:rPr>
        <w:t>ense.</w:t>
      </w:r>
    </w:p>
    <w:p w:rsidR="00000000" w:rsidRDefault="0099409C">
      <w:pPr>
        <w:jc w:val="both"/>
        <w:divId w:val="1065108508"/>
        <w:rPr>
          <w:rFonts w:eastAsia="Times New Roman"/>
        </w:rPr>
      </w:pPr>
      <w:r>
        <w:rPr>
          <w:rFonts w:ascii="Arial" w:eastAsia="Times New Roman" w:hAnsi="Arial" w:cs="Arial"/>
          <w:b/>
          <w:bCs/>
          <w:i/>
          <w:iCs/>
          <w:color w:val="0046AD"/>
          <w:sz w:val="20"/>
          <w:szCs w:val="20"/>
        </w:rPr>
        <w:t>Amortization of Intangible Assets</w:t>
      </w:r>
    </w:p>
    <w:p w:rsidR="00000000" w:rsidRDefault="0099409C">
      <w:pPr>
        <w:ind w:firstLine="720"/>
        <w:jc w:val="both"/>
        <w:divId w:val="2009356968"/>
        <w:rPr>
          <w:rFonts w:eastAsia="Times New Roman"/>
        </w:rPr>
      </w:pPr>
      <w:r>
        <w:rPr>
          <w:rFonts w:ascii="Arial" w:eastAsia="Times New Roman" w:hAnsi="Arial" w:cs="Arial"/>
          <w:color w:val="000000"/>
          <w:sz w:val="20"/>
          <w:szCs w:val="20"/>
        </w:rPr>
        <w:t>Amortization of intangible assets increased by $7.1 million, or 67.1%, to $17.7 million during the three months ended July 31, 2022, as compared to the prior year period. The increase was primarily due to the amortiz</w:t>
      </w:r>
      <w:r>
        <w:rPr>
          <w:rFonts w:ascii="Arial" w:eastAsia="Times New Roman" w:hAnsi="Arial" w:cs="Arial"/>
          <w:color w:val="000000"/>
          <w:sz w:val="20"/>
          <w:szCs w:val="20"/>
        </w:rPr>
        <w:t>ation of intangibles acquired as part of the Able Acquisition.</w:t>
      </w:r>
    </w:p>
    <w:p w:rsidR="00000000" w:rsidRDefault="0099409C">
      <w:pPr>
        <w:divId w:val="22829481"/>
        <w:rPr>
          <w:rFonts w:eastAsia="Times New Roman"/>
        </w:rPr>
      </w:pPr>
      <w:r>
        <w:rPr>
          <w:rFonts w:ascii="Arial" w:eastAsia="Times New Roman" w:hAnsi="Arial" w:cs="Arial"/>
          <w:b/>
          <w:bCs/>
          <w:i/>
          <w:iCs/>
          <w:color w:val="0046AD"/>
          <w:sz w:val="20"/>
          <w:szCs w:val="20"/>
        </w:rPr>
        <w:t>Interest Expense</w:t>
      </w:r>
    </w:p>
    <w:p w:rsidR="00000000" w:rsidRDefault="0099409C">
      <w:pPr>
        <w:ind w:firstLine="720"/>
        <w:jc w:val="both"/>
        <w:divId w:val="1289429893"/>
        <w:rPr>
          <w:rFonts w:eastAsia="Times New Roman"/>
        </w:rPr>
      </w:pPr>
      <w:r>
        <w:rPr>
          <w:rFonts w:ascii="Arial" w:eastAsia="Times New Roman" w:hAnsi="Arial" w:cs="Arial"/>
          <w:color w:val="000000"/>
          <w:sz w:val="20"/>
          <w:szCs w:val="20"/>
        </w:rPr>
        <w:t>Interest expense increased by $4.8 million, or 77.2%, to $11.1 million during the three months ended July 31, 2022, as compared to the prior year period, and was primarily driv</w:t>
      </w:r>
      <w:r>
        <w:rPr>
          <w:rFonts w:ascii="Arial" w:eastAsia="Times New Roman" w:hAnsi="Arial" w:cs="Arial"/>
          <w:color w:val="000000"/>
          <w:sz w:val="20"/>
          <w:szCs w:val="20"/>
        </w:rPr>
        <w:t>en by increased indebtedness to fund the Able Acquisition and working capital requirements and an increase in the reference rates on our debt borrowings.</w:t>
      </w:r>
    </w:p>
    <w:p w:rsidR="00000000" w:rsidRDefault="0099409C">
      <w:pPr>
        <w:divId w:val="773743905"/>
        <w:rPr>
          <w:rFonts w:eastAsia="Times New Roman"/>
        </w:rPr>
      </w:pPr>
      <w:r>
        <w:rPr>
          <w:rFonts w:ascii="Arial" w:eastAsia="Times New Roman" w:hAnsi="Arial" w:cs="Arial"/>
          <w:b/>
          <w:bCs/>
          <w:i/>
          <w:iCs/>
          <w:color w:val="0046AD"/>
          <w:sz w:val="20"/>
          <w:szCs w:val="20"/>
        </w:rPr>
        <w:t>Income Taxes from Operations</w:t>
      </w:r>
    </w:p>
    <w:p w:rsidR="00000000" w:rsidRDefault="0099409C">
      <w:pPr>
        <w:ind w:firstLine="720"/>
        <w:jc w:val="both"/>
        <w:divId w:val="1449472571"/>
        <w:rPr>
          <w:rFonts w:eastAsia="Times New Roman"/>
        </w:rPr>
      </w:pPr>
      <w:r>
        <w:rPr>
          <w:rFonts w:ascii="Arial" w:eastAsia="Times New Roman" w:hAnsi="Arial" w:cs="Arial"/>
          <w:color w:val="000000"/>
          <w:sz w:val="20"/>
          <w:szCs w:val="20"/>
        </w:rPr>
        <w:t>Our effective tax rates from income on operations for the three months en</w:t>
      </w:r>
      <w:r>
        <w:rPr>
          <w:rFonts w:ascii="Arial" w:eastAsia="Times New Roman" w:hAnsi="Arial" w:cs="Arial"/>
          <w:color w:val="000000"/>
          <w:sz w:val="20"/>
          <w:szCs w:val="20"/>
        </w:rPr>
        <w:t xml:space="preserve">ded July 31, 2022, and July 31, 2021, were 27.5% and 9.7%, respectively, resulting in a tax provision of $21.5 million and a tax benefit of $1.5 million, respectively. </w:t>
      </w:r>
    </w:p>
    <w:p w:rsidR="00000000" w:rsidRDefault="0099409C">
      <w:pPr>
        <w:ind w:firstLine="720"/>
        <w:jc w:val="both"/>
        <w:divId w:val="127554224"/>
        <w:rPr>
          <w:rFonts w:eastAsia="Times New Roman"/>
        </w:rPr>
      </w:pPr>
      <w:r>
        <w:rPr>
          <w:rFonts w:ascii="Arial" w:eastAsia="Times New Roman" w:hAnsi="Arial" w:cs="Arial"/>
          <w:color w:val="000000"/>
          <w:sz w:val="20"/>
          <w:szCs w:val="20"/>
        </w:rPr>
        <w:t>Our effective tax rate for the three months ended July 31, 2022, was not impacted by an</w:t>
      </w:r>
      <w:r>
        <w:rPr>
          <w:rFonts w:ascii="Arial" w:eastAsia="Times New Roman" w:hAnsi="Arial" w:cs="Arial"/>
          <w:color w:val="000000"/>
          <w:sz w:val="20"/>
          <w:szCs w:val="20"/>
        </w:rPr>
        <w:t>y significant discrete items. Our effective tax rate for the three months ended July 31, 2021, was impacted by a $2.9 million provision from a change of tax reserves</w:t>
      </w:r>
    </w:p>
    <w:p w:rsidR="00000000" w:rsidRDefault="0099409C">
      <w:pPr>
        <w:jc w:val="both"/>
        <w:divId w:val="1349135741"/>
        <w:rPr>
          <w:rFonts w:eastAsia="Times New Roman"/>
        </w:rPr>
      </w:pPr>
      <w:r>
        <w:rPr>
          <w:rFonts w:ascii="Arial" w:eastAsia="Times New Roman" w:hAnsi="Arial" w:cs="Arial"/>
          <w:b/>
          <w:bCs/>
          <w:i/>
          <w:iCs/>
          <w:color w:val="0046AD"/>
          <w:sz w:val="20"/>
          <w:szCs w:val="20"/>
        </w:rPr>
        <w:t>Interest Rate Swaps</w:t>
      </w:r>
    </w:p>
    <w:p w:rsidR="00000000" w:rsidRDefault="0099409C">
      <w:pPr>
        <w:ind w:firstLine="720"/>
        <w:jc w:val="both"/>
        <w:divId w:val="805896975"/>
        <w:rPr>
          <w:rFonts w:eastAsia="Times New Roman"/>
        </w:rPr>
      </w:pPr>
      <w:r>
        <w:rPr>
          <w:rFonts w:ascii="Arial" w:eastAsia="Times New Roman" w:hAnsi="Arial" w:cs="Arial"/>
          <w:color w:val="000000"/>
          <w:sz w:val="20"/>
          <w:szCs w:val="20"/>
        </w:rPr>
        <w:t xml:space="preserve">We had a loss of $5.7 million on interest rate swaps during the three </w:t>
      </w:r>
      <w:r>
        <w:rPr>
          <w:rFonts w:ascii="Arial" w:eastAsia="Times New Roman" w:hAnsi="Arial" w:cs="Arial"/>
          <w:color w:val="000000"/>
          <w:sz w:val="20"/>
          <w:szCs w:val="20"/>
        </w:rPr>
        <w:t>months ended July 31, 2022, as compared to a gain of $0.7 million during the three months ended July 31, 2021, primarily due to new interest rate swaps executed in the third quarter of fiscal year 2022 and to underlying changes in the fair value of our int</w:t>
      </w:r>
      <w:r>
        <w:rPr>
          <w:rFonts w:ascii="Arial" w:eastAsia="Times New Roman" w:hAnsi="Arial" w:cs="Arial"/>
          <w:color w:val="000000"/>
          <w:sz w:val="20"/>
          <w:szCs w:val="20"/>
        </w:rPr>
        <w:t xml:space="preserve">erest rate swaps. </w:t>
      </w:r>
    </w:p>
    <w:p w:rsidR="00000000" w:rsidRDefault="0099409C">
      <w:pPr>
        <w:jc w:val="both"/>
        <w:divId w:val="1668366321"/>
        <w:rPr>
          <w:rFonts w:eastAsia="Times New Roman"/>
        </w:rPr>
      </w:pPr>
      <w:r>
        <w:rPr>
          <w:rFonts w:ascii="Arial" w:eastAsia="Times New Roman" w:hAnsi="Arial" w:cs="Arial"/>
          <w:b/>
          <w:bCs/>
          <w:i/>
          <w:iCs/>
          <w:color w:val="0046AD"/>
          <w:sz w:val="20"/>
          <w:szCs w:val="20"/>
        </w:rPr>
        <w:t>Foreign Currency Translation</w:t>
      </w:r>
    </w:p>
    <w:p w:rsidR="00000000" w:rsidRDefault="0099409C">
      <w:pPr>
        <w:ind w:firstLine="720"/>
        <w:jc w:val="both"/>
        <w:divId w:val="152796429"/>
        <w:rPr>
          <w:rFonts w:eastAsia="Times New Roman"/>
        </w:rPr>
      </w:pPr>
      <w:r>
        <w:rPr>
          <w:rFonts w:ascii="Arial" w:eastAsia="Times New Roman" w:hAnsi="Arial" w:cs="Arial"/>
          <w:color w:val="000000"/>
          <w:sz w:val="20"/>
          <w:szCs w:val="20"/>
        </w:rPr>
        <w:t>We had a foreign currency translation loss of $3.7 million during the three months ended July </w:t>
      </w:r>
      <w:r>
        <w:rPr>
          <w:rFonts w:ascii="Arial" w:eastAsia="Times New Roman" w:hAnsi="Arial" w:cs="Arial"/>
          <w:color w:val="000000"/>
          <w:sz w:val="20"/>
          <w:szCs w:val="20"/>
        </w:rPr>
        <w:t>31, 2022, as compared to a foreign currency translation gain of $0.1 million during the three months ended July 31, 2021. This change was due to fluctuations in the exchange rate between the U.S. Dollar (“USD”) and the British pound sterling (“GBP”). Futur</w:t>
      </w:r>
      <w:r>
        <w:rPr>
          <w:rFonts w:ascii="Arial" w:eastAsia="Times New Roman" w:hAnsi="Arial" w:cs="Arial"/>
          <w:color w:val="000000"/>
          <w:sz w:val="20"/>
          <w:szCs w:val="20"/>
        </w:rPr>
        <w:t xml:space="preserve">e gains and losses on foreign currency translation will be dependent upon changes in the relative value of foreign currencies to the USD and the extent of our foreign assets and liabilities. </w:t>
      </w:r>
    </w:p>
    <w:p w:rsidR="00000000" w:rsidRDefault="0099409C">
      <w:pPr>
        <w:jc w:val="center"/>
        <w:divId w:val="281032960"/>
        <w:rPr>
          <w:rFonts w:eastAsia="Times New Roman"/>
        </w:rPr>
      </w:pPr>
      <w:r>
        <w:rPr>
          <w:rFonts w:ascii="Arial" w:eastAsia="Times New Roman" w:hAnsi="Arial" w:cs="Arial"/>
          <w:color w:val="000000"/>
          <w:sz w:val="20"/>
          <w:szCs w:val="20"/>
        </w:rPr>
        <w:t>29</w:t>
      </w:r>
    </w:p>
    <w:p w:rsidR="00000000" w:rsidRDefault="0099409C">
      <w:pPr>
        <w:rPr>
          <w:rFonts w:eastAsia="Times New Roman"/>
        </w:rPr>
      </w:pPr>
      <w:r>
        <w:rPr>
          <w:rFonts w:eastAsia="Times New Roman"/>
        </w:rPr>
        <w:pict>
          <v:rect id="_x0000_i1063" style="width:0;height:1.5pt" o:hralign="center" o:hrstd="t" o:hr="t" fillcolor="#a0a0a0" stroked="f"/>
        </w:pict>
      </w:r>
    </w:p>
    <w:p w:rsidR="00000000" w:rsidRDefault="0099409C">
      <w:pPr>
        <w:jc w:val="both"/>
        <w:divId w:val="1133600469"/>
        <w:rPr>
          <w:rFonts w:eastAsia="Times New Roman"/>
        </w:rPr>
      </w:pPr>
    </w:p>
    <w:p w:rsidR="00000000" w:rsidRDefault="0099409C">
      <w:pPr>
        <w:divId w:val="671762780"/>
        <w:rPr>
          <w:rFonts w:eastAsia="Times New Roman"/>
        </w:rPr>
      </w:pPr>
      <w:r>
        <w:rPr>
          <w:rFonts w:ascii="Arial" w:eastAsia="Times New Roman" w:hAnsi="Arial" w:cs="Arial"/>
          <w:b/>
          <w:bCs/>
          <w:i/>
          <w:iCs/>
          <w:color w:val="0046AD"/>
          <w:sz w:val="20"/>
          <w:szCs w:val="20"/>
        </w:rPr>
        <w:t>Segment Information</w:t>
      </w:r>
    </w:p>
    <w:p w:rsidR="00000000" w:rsidRDefault="0099409C">
      <w:pPr>
        <w:jc w:val="both"/>
        <w:divId w:val="1861508258"/>
        <w:rPr>
          <w:rFonts w:eastAsia="Times New Roman"/>
        </w:rPr>
      </w:pPr>
      <w:r>
        <w:rPr>
          <w:rFonts w:ascii="Arial" w:eastAsia="Times New Roman" w:hAnsi="Arial" w:cs="Arial"/>
          <w:b/>
          <w:bCs/>
          <w:i/>
          <w:iCs/>
          <w:color w:val="0046AD"/>
          <w:sz w:val="20"/>
          <w:szCs w:val="20"/>
        </w:rPr>
        <w:t>Financial Information for Each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3837"/>
        <w:gridCol w:w="38"/>
        <w:gridCol w:w="121"/>
        <w:gridCol w:w="1007"/>
        <w:gridCol w:w="163"/>
        <w:gridCol w:w="36"/>
        <w:gridCol w:w="36"/>
        <w:gridCol w:w="36"/>
        <w:gridCol w:w="121"/>
        <w:gridCol w:w="946"/>
        <w:gridCol w:w="163"/>
        <w:gridCol w:w="36"/>
        <w:gridCol w:w="36"/>
        <w:gridCol w:w="36"/>
        <w:gridCol w:w="122"/>
        <w:gridCol w:w="665"/>
        <w:gridCol w:w="37"/>
        <w:gridCol w:w="37"/>
        <w:gridCol w:w="37"/>
        <w:gridCol w:w="36"/>
        <w:gridCol w:w="63"/>
        <w:gridCol w:w="619"/>
        <w:gridCol w:w="38"/>
      </w:tblGrid>
      <w:tr w:rsidR="00000000">
        <w:trPr>
          <w:divId w:val="241454632"/>
        </w:trPr>
        <w:tc>
          <w:tcPr>
            <w:tcW w:w="50" w:type="pct"/>
            <w:vAlign w:val="center"/>
            <w:hideMark/>
          </w:tcPr>
          <w:p w:rsidR="00000000" w:rsidRDefault="0099409C">
            <w:pPr>
              <w:jc w:val="both"/>
              <w:rPr>
                <w:rFonts w:eastAsia="Times New Roman"/>
              </w:rPr>
            </w:pPr>
          </w:p>
        </w:tc>
        <w:tc>
          <w:tcPr>
            <w:tcW w:w="236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4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4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7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7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241454632"/>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7"/>
                <w:szCs w:val="17"/>
              </w:rPr>
              <w:t> </w:t>
            </w: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241454632"/>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241454632"/>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241454632"/>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1,033.8 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682.9 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350.9 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51.4%</w:t>
            </w:r>
          </w:p>
        </w:tc>
      </w:tr>
      <w:tr w:rsidR="00000000">
        <w:trPr>
          <w:divId w:val="241454632"/>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358.1 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340.5 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17.6 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5.2%</w:t>
            </w:r>
          </w:p>
        </w:tc>
      </w:tr>
      <w:tr w:rsidR="00000000">
        <w:trPr>
          <w:divId w:val="241454632"/>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207.5 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207.0 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0.3%</w:t>
            </w:r>
          </w:p>
        </w:tc>
      </w:tr>
      <w:tr w:rsidR="00000000">
        <w:trPr>
          <w:divId w:val="241454632"/>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203.5 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167.8 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35.7 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21.3%</w:t>
            </w:r>
          </w:p>
        </w:tc>
      </w:tr>
      <w:tr w:rsidR="00000000">
        <w:trPr>
          <w:divId w:val="241454632"/>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158.4 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145.0 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13.4 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9.3%</w:t>
            </w:r>
          </w:p>
        </w:tc>
      </w:tr>
      <w:tr w:rsidR="00000000">
        <w:trPr>
          <w:divId w:val="241454632"/>
        </w:trPr>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1,961.4 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1,543.1 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418.3 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27.1%</w:t>
            </w:r>
          </w:p>
        </w:tc>
      </w:tr>
      <w:tr w:rsidR="00000000">
        <w:trPr>
          <w:divId w:val="241454632"/>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Operating profit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241454632"/>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82.4 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71.6 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15.0%</w:t>
            </w:r>
          </w:p>
        </w:tc>
      </w:tr>
      <w:tr w:rsidR="00000000">
        <w:trPr>
          <w:divId w:val="241454632"/>
        </w:trPr>
        <w:tc>
          <w:tcPr>
            <w:tcW w:w="0" w:type="auto"/>
            <w:gridSpan w:val="3"/>
            <w:shd w:val="clear" w:color="auto" w:fill="FFFFF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8.0 </w:t>
            </w:r>
          </w:p>
        </w:tc>
        <w:tc>
          <w:tcPr>
            <w:tcW w:w="0" w:type="auto"/>
            <w:shd w:val="clear" w:color="auto" w:fill="FFFFF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10.5 </w:t>
            </w:r>
          </w:p>
        </w:tc>
        <w:tc>
          <w:tcPr>
            <w:tcW w:w="0" w:type="auto"/>
            <w:shd w:val="clear" w:color="auto" w:fill="FFFFF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 xml:space="preserve">(252) bps </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241454632"/>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38.0 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38.7 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(0.6)</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(1.7)%</w:t>
            </w:r>
          </w:p>
        </w:tc>
      </w:tr>
      <w:tr w:rsidR="00000000">
        <w:trPr>
          <w:divId w:val="241454632"/>
        </w:trPr>
        <w:tc>
          <w:tcPr>
            <w:tcW w:w="0" w:type="auto"/>
            <w:gridSpan w:val="3"/>
            <w:shd w:val="clear" w:color="auto" w:fill="FFFFF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10.6 </w:t>
            </w:r>
          </w:p>
        </w:tc>
        <w:tc>
          <w:tcPr>
            <w:tcW w:w="0" w:type="auto"/>
            <w:shd w:val="clear" w:color="auto" w:fill="FFFFF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11.4 </w:t>
            </w:r>
          </w:p>
        </w:tc>
        <w:tc>
          <w:tcPr>
            <w:tcW w:w="0" w:type="auto"/>
            <w:shd w:val="clear" w:color="auto" w:fill="FFFFF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 xml:space="preserve">(74) bps </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241454632"/>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14.5 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18.0 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(3.5)</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(19.6)%</w:t>
            </w:r>
          </w:p>
        </w:tc>
      </w:tr>
      <w:tr w:rsidR="00000000">
        <w:trPr>
          <w:divId w:val="241454632"/>
        </w:trPr>
        <w:tc>
          <w:tcPr>
            <w:tcW w:w="0" w:type="auto"/>
            <w:gridSpan w:val="3"/>
            <w:shd w:val="clear" w:color="auto" w:fill="FFFFF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7.0 </w:t>
            </w:r>
          </w:p>
        </w:tc>
        <w:tc>
          <w:tcPr>
            <w:tcW w:w="0" w:type="auto"/>
            <w:shd w:val="clear" w:color="auto" w:fill="FFFFF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8.7 </w:t>
            </w:r>
          </w:p>
        </w:tc>
        <w:tc>
          <w:tcPr>
            <w:tcW w:w="0" w:type="auto"/>
            <w:shd w:val="clear" w:color="auto" w:fill="FFFFF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 xml:space="preserve">(173) bps </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241454632"/>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(0.5)</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(5.1)%</w:t>
            </w:r>
          </w:p>
        </w:tc>
      </w:tr>
      <w:tr w:rsidR="00000000">
        <w:trPr>
          <w:divId w:val="241454632"/>
        </w:trPr>
        <w:tc>
          <w:tcPr>
            <w:tcW w:w="0" w:type="auto"/>
            <w:gridSpan w:val="3"/>
            <w:shd w:val="clear" w:color="auto" w:fill="FFFFF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4.7 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6.0 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 xml:space="preserve">(130) bps </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241454632"/>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14.4 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7.0%</w:t>
            </w:r>
          </w:p>
        </w:tc>
      </w:tr>
      <w:tr w:rsidR="00000000">
        <w:trPr>
          <w:divId w:val="241454632"/>
        </w:trPr>
        <w:tc>
          <w:tcPr>
            <w:tcW w:w="0" w:type="auto"/>
            <w:gridSpan w:val="3"/>
            <w:shd w:val="clear" w:color="auto" w:fill="FFFFF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9.7 </w:t>
            </w:r>
          </w:p>
        </w:tc>
        <w:tc>
          <w:tcPr>
            <w:tcW w:w="0" w:type="auto"/>
            <w:shd w:val="clear" w:color="auto" w:fill="FFFFF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9.9 </w:t>
            </w:r>
          </w:p>
        </w:tc>
        <w:tc>
          <w:tcPr>
            <w:tcW w:w="0" w:type="auto"/>
            <w:shd w:val="clear" w:color="auto" w:fill="FFFFF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 xml:space="preserve">(21) bps </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241454632"/>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NM*</w:t>
            </w:r>
          </w:p>
        </w:tc>
      </w:tr>
      <w:tr w:rsidR="00000000">
        <w:trPr>
          <w:divId w:val="241454632"/>
        </w:trPr>
        <w:tc>
          <w:tcPr>
            <w:tcW w:w="0" w:type="auto"/>
            <w:gridSpan w:val="3"/>
            <w:shd w:val="clear" w:color="auto" w:fill="FFFFF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margin</w:t>
            </w: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241454632"/>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Corporate</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(70.3)</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(161.1)</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90.8 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56.4%</w:t>
            </w:r>
          </w:p>
        </w:tc>
      </w:tr>
      <w:tr w:rsidR="00000000">
        <w:trPr>
          <w:divId w:val="241454632"/>
        </w:trPr>
        <w:tc>
          <w:tcPr>
            <w:tcW w:w="0" w:type="auto"/>
            <w:gridSpan w:val="3"/>
            <w:shd w:val="clear" w:color="auto" w:fill="FFFFFF"/>
            <w:tcMar>
              <w:top w:w="30" w:type="dxa"/>
              <w:left w:w="200" w:type="dxa"/>
              <w:bottom w:w="30" w:type="dxa"/>
              <w:right w:w="20" w:type="dxa"/>
            </w:tcMar>
            <w:vAlign w:val="bottom"/>
            <w:hideMark/>
          </w:tcPr>
          <w:p w:rsidR="00000000" w:rsidRDefault="0099409C">
            <w:pPr>
              <w:spacing w:after="100"/>
              <w:ind w:hanging="180"/>
              <w:rPr>
                <w:rFonts w:eastAsia="Times New Roman"/>
              </w:rPr>
            </w:pPr>
            <w:r>
              <w:rPr>
                <w:rFonts w:ascii="Arial" w:eastAsia="Times New Roman" w:hAnsi="Arial" w:cs="Arial"/>
                <w:color w:val="000000"/>
                <w:sz w:val="18"/>
                <w:szCs w:val="18"/>
              </w:rPr>
              <w:t>Adjustment for income from unconsolidated affiliates, included in Aviation and Technical Solutions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(0.8)</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(0.5)</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(0.3)</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(50.0)%</w:t>
            </w:r>
          </w:p>
        </w:tc>
      </w:tr>
      <w:tr w:rsidR="00000000">
        <w:trPr>
          <w:divId w:val="241454632"/>
        </w:trPr>
        <w:tc>
          <w:tcPr>
            <w:tcW w:w="0" w:type="auto"/>
            <w:gridSpan w:val="3"/>
            <w:shd w:val="clear" w:color="auto" w:fill="DCE2EF"/>
            <w:tcMar>
              <w:top w:w="30" w:type="dxa"/>
              <w:left w:w="200" w:type="dxa"/>
              <w:bottom w:w="30" w:type="dxa"/>
              <w:right w:w="20" w:type="dxa"/>
            </w:tcMar>
            <w:vAlign w:val="bottom"/>
            <w:hideMark/>
          </w:tcPr>
          <w:p w:rsidR="00000000" w:rsidRDefault="0099409C">
            <w:pPr>
              <w:spacing w:after="100"/>
              <w:ind w:hanging="180"/>
              <w:rPr>
                <w:rFonts w:eastAsia="Times New Roman"/>
              </w:rPr>
            </w:pPr>
            <w:r>
              <w:rPr>
                <w:rFonts w:ascii="Arial" w:eastAsia="Times New Roman" w:hAnsi="Arial" w:cs="Arial"/>
                <w:color w:val="000000"/>
                <w:sz w:val="18"/>
                <w:szCs w:val="18"/>
              </w:rPr>
              <w:t>Adjustment for tax deductions for energy efficient government buildings, included in Technical Solutions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(0.5)</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80.3%</w:t>
            </w:r>
          </w:p>
        </w:tc>
      </w:tr>
      <w:tr w:rsidR="00000000">
        <w:trPr>
          <w:divId w:val="241454632"/>
        </w:trPr>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88.7 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NM*</w:t>
            </w:r>
          </w:p>
        </w:tc>
      </w:tr>
    </w:tbl>
    <w:p w:rsidR="00000000" w:rsidRDefault="0099409C">
      <w:pPr>
        <w:jc w:val="both"/>
        <w:divId w:val="12387900"/>
        <w:rPr>
          <w:rFonts w:eastAsia="Times New Roman"/>
        </w:rPr>
      </w:pPr>
      <w:r>
        <w:rPr>
          <w:rFonts w:ascii="Arial" w:eastAsia="Times New Roman" w:hAnsi="Arial" w:cs="Arial"/>
          <w:color w:val="000000"/>
          <w:sz w:val="18"/>
          <w:szCs w:val="18"/>
        </w:rPr>
        <w:t>*Not meaningful</w:t>
      </w:r>
    </w:p>
    <w:tbl>
      <w:tblPr>
        <w:tblW w:w="5000" w:type="pct"/>
        <w:tblCellMar>
          <w:top w:w="15" w:type="dxa"/>
          <w:left w:w="15" w:type="dxa"/>
          <w:bottom w:w="15" w:type="dxa"/>
          <w:right w:w="15" w:type="dxa"/>
        </w:tblCellMar>
        <w:tblLook w:val="04A0" w:firstRow="1" w:lastRow="0" w:firstColumn="1" w:lastColumn="0" w:noHBand="0" w:noVBand="1"/>
      </w:tblPr>
      <w:tblGrid>
        <w:gridCol w:w="37"/>
        <w:gridCol w:w="2746"/>
        <w:gridCol w:w="36"/>
        <w:gridCol w:w="121"/>
        <w:gridCol w:w="1141"/>
        <w:gridCol w:w="163"/>
        <w:gridCol w:w="36"/>
        <w:gridCol w:w="36"/>
        <w:gridCol w:w="36"/>
        <w:gridCol w:w="121"/>
        <w:gridCol w:w="1081"/>
        <w:gridCol w:w="163"/>
        <w:gridCol w:w="36"/>
        <w:gridCol w:w="36"/>
        <w:gridCol w:w="36"/>
        <w:gridCol w:w="122"/>
        <w:gridCol w:w="1081"/>
        <w:gridCol w:w="36"/>
        <w:gridCol w:w="36"/>
        <w:gridCol w:w="36"/>
        <w:gridCol w:w="36"/>
        <w:gridCol w:w="37"/>
        <w:gridCol w:w="1060"/>
        <w:gridCol w:w="37"/>
      </w:tblGrid>
      <w:tr w:rsidR="00000000">
        <w:trPr>
          <w:divId w:val="762605788"/>
        </w:trPr>
        <w:tc>
          <w:tcPr>
            <w:tcW w:w="50" w:type="pct"/>
            <w:vAlign w:val="center"/>
            <w:hideMark/>
          </w:tcPr>
          <w:p w:rsidR="00000000" w:rsidRDefault="0099409C">
            <w:pPr>
              <w:jc w:val="both"/>
              <w:rPr>
                <w:rFonts w:eastAsia="Times New Roman"/>
              </w:rPr>
            </w:pPr>
          </w:p>
        </w:tc>
        <w:tc>
          <w:tcPr>
            <w:tcW w:w="17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76260578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i/>
                <w:iCs/>
                <w:color w:val="0046AD"/>
                <w:sz w:val="18"/>
                <w:szCs w:val="18"/>
              </w:rPr>
              <w:t>Business &amp; Industry</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76260578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762605788"/>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762605788"/>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1,033.8 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682.9 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350.9 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51.4%</w:t>
            </w:r>
          </w:p>
        </w:tc>
      </w:tr>
      <w:tr w:rsidR="00000000">
        <w:trPr>
          <w:divId w:val="762605788"/>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82.4 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71.6 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15.0%</w:t>
            </w:r>
          </w:p>
        </w:tc>
      </w:tr>
      <w:tr w:rsidR="00000000">
        <w:trPr>
          <w:divId w:val="762605788"/>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8.0 </w:t>
            </w:r>
          </w:p>
        </w:tc>
        <w:tc>
          <w:tcPr>
            <w:tcW w:w="0" w:type="auto"/>
            <w:shd w:val="clear" w:color="auto" w:fill="DCE2E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10.5 </w:t>
            </w:r>
          </w:p>
        </w:tc>
        <w:tc>
          <w:tcPr>
            <w:tcW w:w="0" w:type="auto"/>
            <w:shd w:val="clear" w:color="auto" w:fill="DCE2E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(252) bps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ind w:firstLine="720"/>
        <w:jc w:val="both"/>
        <w:divId w:val="1188371825"/>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I revenues increased by $350.9 million, or 51.4%, to $1,033.8 million during the three months ended July 31, 2022, as compared to the prior year period. Revenue growth was comprised of acquisition growth of 44.3% and organic growth of 7.1%. Acquisition gro</w:t>
      </w:r>
      <w:r>
        <w:rPr>
          <w:rFonts w:ascii="Arial" w:eastAsia="Times New Roman" w:hAnsi="Arial" w:cs="Arial"/>
          <w:color w:val="000000"/>
          <w:sz w:val="20"/>
          <w:szCs w:val="20"/>
        </w:rPr>
        <w:t>wth was primarily driven by a $284.4 million revenue increase due to the Able Acquisition, completed in the fourth quarter of 2021. Organic revenue was positively impacted by the post-pandemic recovery of certain accounts and the targeted expansion of cert</w:t>
      </w:r>
      <w:r>
        <w:rPr>
          <w:rFonts w:ascii="Arial" w:eastAsia="Times New Roman" w:hAnsi="Arial" w:cs="Arial"/>
          <w:color w:val="000000"/>
          <w:sz w:val="20"/>
          <w:szCs w:val="20"/>
        </w:rPr>
        <w:t>ain key clients, partially offset by a decrease in pandemic-related cleaning services. Management reimbursement revenues for this segment totaled $58.6 million and $47.5 million for the three months ended July 31, 2022, and 2021, respectively.</w:t>
      </w:r>
    </w:p>
    <w:p w:rsidR="00000000" w:rsidRDefault="0099409C">
      <w:pPr>
        <w:ind w:firstLine="720"/>
        <w:jc w:val="both"/>
        <w:divId w:val="391197764"/>
        <w:rPr>
          <w:rFonts w:eastAsia="Times New Roman"/>
        </w:rPr>
      </w:pPr>
      <w:r>
        <w:rPr>
          <w:rFonts w:ascii="Arial" w:eastAsia="Times New Roman" w:hAnsi="Arial" w:cs="Arial"/>
          <w:color w:val="000000"/>
          <w:sz w:val="20"/>
          <w:szCs w:val="20"/>
        </w:rPr>
        <w:t>Operating profit increased by $10.8 million, or 15.0%, to $82.4 million during the three months ended July 31, 2022, as compared to the prior year period. Operating profit margin decreased by 252 bps to 8.0% in the three months ended July 31, 2022, from 10</w:t>
      </w:r>
      <w:r>
        <w:rPr>
          <w:rFonts w:ascii="Arial" w:eastAsia="Times New Roman" w:hAnsi="Arial" w:cs="Arial"/>
          <w:color w:val="000000"/>
          <w:sz w:val="20"/>
          <w:szCs w:val="20"/>
        </w:rPr>
        <w:t xml:space="preserve">.5% in the three months ended July 31, 2021. The decrease in operating profit margin was primarily driven by an increase in direct labor and related costs due to a limited labor supply in </w:t>
      </w:r>
    </w:p>
    <w:p w:rsidR="00000000" w:rsidRDefault="0099409C">
      <w:pPr>
        <w:jc w:val="center"/>
        <w:divId w:val="919364829"/>
        <w:rPr>
          <w:rFonts w:eastAsia="Times New Roman"/>
        </w:rPr>
      </w:pPr>
      <w:r>
        <w:rPr>
          <w:rFonts w:ascii="Arial" w:eastAsia="Times New Roman" w:hAnsi="Arial" w:cs="Arial"/>
          <w:color w:val="000000"/>
          <w:sz w:val="20"/>
          <w:szCs w:val="20"/>
        </w:rPr>
        <w:t>30</w:t>
      </w:r>
    </w:p>
    <w:p w:rsidR="00000000" w:rsidRDefault="0099409C">
      <w:pPr>
        <w:rPr>
          <w:rFonts w:eastAsia="Times New Roman"/>
        </w:rPr>
      </w:pPr>
      <w:r>
        <w:rPr>
          <w:rFonts w:eastAsia="Times New Roman"/>
        </w:rPr>
        <w:pict>
          <v:rect id="_x0000_i1064" style="width:0;height:1.5pt" o:hralign="center" o:hrstd="t" o:hr="t" fillcolor="#a0a0a0" stroked="f"/>
        </w:pict>
      </w:r>
    </w:p>
    <w:p w:rsidR="00000000" w:rsidRDefault="0099409C">
      <w:pPr>
        <w:jc w:val="both"/>
        <w:divId w:val="791173146"/>
        <w:rPr>
          <w:rFonts w:eastAsia="Times New Roman"/>
        </w:rPr>
      </w:pPr>
    </w:p>
    <w:p w:rsidR="00000000" w:rsidRDefault="0099409C">
      <w:pPr>
        <w:jc w:val="both"/>
        <w:divId w:val="1960256849"/>
        <w:rPr>
          <w:rFonts w:eastAsia="Times New Roman"/>
        </w:rPr>
      </w:pPr>
      <w:r>
        <w:rPr>
          <w:rFonts w:ascii="Arial" w:eastAsia="Times New Roman" w:hAnsi="Arial" w:cs="Arial"/>
          <w:color w:val="000000"/>
          <w:sz w:val="20"/>
          <w:szCs w:val="20"/>
        </w:rPr>
        <w:t>certain non-union markets;</w:t>
      </w:r>
      <w:r>
        <w:rPr>
          <w:rFonts w:ascii="Arial" w:eastAsia="Times New Roman" w:hAnsi="Arial" w:cs="Arial"/>
          <w:color w:val="000000"/>
          <w:sz w:val="20"/>
          <w:szCs w:val="20"/>
        </w:rPr>
        <w:t xml:space="preserve"> a decrease in pandemic-related cleaning services, which have higher margins; and changes in contract mix as a result of the Able Acquisition. In addition, operating profit margin was negatively impacted by the amortization of intangibles acquired as part </w:t>
      </w:r>
      <w:r>
        <w:rPr>
          <w:rFonts w:ascii="Arial" w:eastAsia="Times New Roman" w:hAnsi="Arial" w:cs="Arial"/>
          <w:color w:val="000000"/>
          <w:sz w:val="20"/>
          <w:szCs w:val="20"/>
        </w:rPr>
        <w:t>of the Able Acquisition.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46"/>
        <w:gridCol w:w="36"/>
        <w:gridCol w:w="121"/>
        <w:gridCol w:w="1141"/>
        <w:gridCol w:w="163"/>
        <w:gridCol w:w="36"/>
        <w:gridCol w:w="36"/>
        <w:gridCol w:w="36"/>
        <w:gridCol w:w="121"/>
        <w:gridCol w:w="1081"/>
        <w:gridCol w:w="163"/>
        <w:gridCol w:w="36"/>
        <w:gridCol w:w="36"/>
        <w:gridCol w:w="36"/>
        <w:gridCol w:w="122"/>
        <w:gridCol w:w="1081"/>
        <w:gridCol w:w="36"/>
        <w:gridCol w:w="36"/>
        <w:gridCol w:w="36"/>
        <w:gridCol w:w="36"/>
        <w:gridCol w:w="37"/>
        <w:gridCol w:w="1060"/>
        <w:gridCol w:w="37"/>
      </w:tblGrid>
      <w:tr w:rsidR="00000000">
        <w:trPr>
          <w:divId w:val="1262760333"/>
          <w:jc w:val="center"/>
        </w:trPr>
        <w:tc>
          <w:tcPr>
            <w:tcW w:w="50" w:type="pct"/>
            <w:vAlign w:val="center"/>
            <w:hideMark/>
          </w:tcPr>
          <w:p w:rsidR="00000000" w:rsidRDefault="0099409C">
            <w:pPr>
              <w:jc w:val="both"/>
              <w:rPr>
                <w:rFonts w:eastAsia="Times New Roman"/>
              </w:rPr>
            </w:pPr>
          </w:p>
        </w:tc>
        <w:tc>
          <w:tcPr>
            <w:tcW w:w="17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262760333"/>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i/>
                <w:iCs/>
                <w:color w:val="0046AD"/>
                <w:sz w:val="18"/>
                <w:szCs w:val="18"/>
              </w:rPr>
              <w:t>Manufacturing &amp; Distribution</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262760333"/>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262760333"/>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1262760333"/>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358.1 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340.5 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17.6 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5.2%</w:t>
            </w:r>
          </w:p>
        </w:tc>
      </w:tr>
      <w:tr w:rsidR="00000000">
        <w:trPr>
          <w:divId w:val="1262760333"/>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38.0 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38.7 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(0.6)</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(1.7)%</w:t>
            </w:r>
          </w:p>
        </w:tc>
      </w:tr>
      <w:tr w:rsidR="00000000">
        <w:trPr>
          <w:divId w:val="1262760333"/>
          <w:jc w:val="center"/>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10.6 </w:t>
            </w:r>
          </w:p>
        </w:tc>
        <w:tc>
          <w:tcPr>
            <w:tcW w:w="0" w:type="auto"/>
            <w:shd w:val="clear" w:color="auto" w:fill="DCE2E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11.4 </w:t>
            </w:r>
          </w:p>
        </w:tc>
        <w:tc>
          <w:tcPr>
            <w:tcW w:w="0" w:type="auto"/>
            <w:shd w:val="clear" w:color="auto" w:fill="DCE2E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(74) bps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ind w:firstLine="720"/>
        <w:jc w:val="both"/>
        <w:divId w:val="265163421"/>
        <w:rPr>
          <w:rFonts w:eastAsia="Times New Roman"/>
        </w:rPr>
      </w:pPr>
      <w:r>
        <w:rPr>
          <w:rFonts w:ascii="Arial" w:eastAsia="Times New Roman" w:hAnsi="Arial" w:cs="Arial"/>
          <w:color w:val="000000"/>
          <w:sz w:val="20"/>
          <w:szCs w:val="20"/>
        </w:rPr>
        <w:t>M&amp;</w:t>
      </w:r>
      <w:r>
        <w:rPr>
          <w:rFonts w:ascii="Arial" w:eastAsia="Times New Roman" w:hAnsi="Arial" w:cs="Arial"/>
          <w:color w:val="000000"/>
          <w:sz w:val="20"/>
          <w:szCs w:val="20"/>
        </w:rPr>
        <w:t>D revenues increased by $17.6 million, or 5.2%, to $358.1 million during the three months ended July 31, 2022, as compared to the prior year period. The increase was primarily attributable to the expansion of business with existing customers led by distrib</w:t>
      </w:r>
      <w:r>
        <w:rPr>
          <w:rFonts w:ascii="Arial" w:eastAsia="Times New Roman" w:hAnsi="Arial" w:cs="Arial"/>
          <w:color w:val="000000"/>
          <w:sz w:val="20"/>
          <w:szCs w:val="20"/>
        </w:rPr>
        <w:t xml:space="preserve">ution clients, partially offset by a decrease in work orders for pandemic-related demands. </w:t>
      </w:r>
    </w:p>
    <w:p w:rsidR="00000000" w:rsidRDefault="0099409C">
      <w:pPr>
        <w:ind w:firstLine="720"/>
        <w:jc w:val="both"/>
        <w:divId w:val="692194650"/>
        <w:rPr>
          <w:rFonts w:eastAsia="Times New Roman"/>
        </w:rPr>
      </w:pPr>
      <w:r>
        <w:rPr>
          <w:rFonts w:ascii="Arial" w:eastAsia="Times New Roman" w:hAnsi="Arial" w:cs="Arial"/>
          <w:color w:val="000000"/>
          <w:sz w:val="20"/>
          <w:szCs w:val="20"/>
        </w:rPr>
        <w:t>Operating profit decreased by $0.6 million, or 1.7%, to $38.0 million during the three months ended July 31, 2022, as compared to the prior year period. Operating profit margin decreased by 74 bps to 10.6% in the three months ended July 31, 2022, from 11.4</w:t>
      </w:r>
      <w:r>
        <w:rPr>
          <w:rFonts w:ascii="Arial" w:eastAsia="Times New Roman" w:hAnsi="Arial" w:cs="Arial"/>
          <w:color w:val="000000"/>
          <w:sz w:val="20"/>
          <w:szCs w:val="20"/>
        </w:rPr>
        <w:t>% in the three months ended July 31, 2021. The decrease in operating profit margin was primarily attributable to the decrease in pandemic-related work orders, which have higher margins.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46"/>
        <w:gridCol w:w="36"/>
        <w:gridCol w:w="121"/>
        <w:gridCol w:w="1141"/>
        <w:gridCol w:w="163"/>
        <w:gridCol w:w="36"/>
        <w:gridCol w:w="36"/>
        <w:gridCol w:w="36"/>
        <w:gridCol w:w="121"/>
        <w:gridCol w:w="1081"/>
        <w:gridCol w:w="163"/>
        <w:gridCol w:w="36"/>
        <w:gridCol w:w="36"/>
        <w:gridCol w:w="36"/>
        <w:gridCol w:w="122"/>
        <w:gridCol w:w="1081"/>
        <w:gridCol w:w="36"/>
        <w:gridCol w:w="36"/>
        <w:gridCol w:w="36"/>
        <w:gridCol w:w="36"/>
        <w:gridCol w:w="43"/>
        <w:gridCol w:w="1054"/>
        <w:gridCol w:w="37"/>
      </w:tblGrid>
      <w:tr w:rsidR="00000000">
        <w:trPr>
          <w:divId w:val="1961565649"/>
          <w:jc w:val="center"/>
        </w:trPr>
        <w:tc>
          <w:tcPr>
            <w:tcW w:w="50" w:type="pct"/>
            <w:vAlign w:val="center"/>
            <w:hideMark/>
          </w:tcPr>
          <w:p w:rsidR="00000000" w:rsidRDefault="0099409C">
            <w:pPr>
              <w:ind w:firstLine="720"/>
              <w:jc w:val="both"/>
              <w:rPr>
                <w:rFonts w:eastAsia="Times New Roman"/>
              </w:rPr>
            </w:pPr>
          </w:p>
        </w:tc>
        <w:tc>
          <w:tcPr>
            <w:tcW w:w="17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961565649"/>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i/>
                <w:iCs/>
                <w:color w:val="0046AD"/>
                <w:sz w:val="18"/>
                <w:szCs w:val="18"/>
              </w:rPr>
              <w:t>Education</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961565649"/>
          <w:jc w:val="center"/>
        </w:trPr>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961565649"/>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1961565649"/>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0.3%</w:t>
            </w:r>
          </w:p>
        </w:tc>
      </w:tr>
      <w:tr w:rsidR="00000000">
        <w:trPr>
          <w:divId w:val="1961565649"/>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14.5 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18.0 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(3.5)</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(19.6)%</w:t>
            </w:r>
          </w:p>
        </w:tc>
      </w:tr>
      <w:tr w:rsidR="00000000">
        <w:trPr>
          <w:divId w:val="1961565649"/>
          <w:jc w:val="center"/>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7.0 </w:t>
            </w:r>
          </w:p>
        </w:tc>
        <w:tc>
          <w:tcPr>
            <w:tcW w:w="0" w:type="auto"/>
            <w:shd w:val="clear" w:color="auto" w:fill="DCE2E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8.7 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(173) bps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961565649"/>
          <w:jc w:val="center"/>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1961565649"/>
          <w:jc w:val="center"/>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bl>
    <w:p w:rsidR="00000000" w:rsidRDefault="0099409C">
      <w:pPr>
        <w:ind w:firstLine="720"/>
        <w:jc w:val="both"/>
        <w:divId w:val="2013020005"/>
        <w:rPr>
          <w:rFonts w:eastAsia="Times New Roman"/>
        </w:rPr>
      </w:pPr>
      <w:r>
        <w:rPr>
          <w:rFonts w:ascii="Arial" w:eastAsia="Times New Roman" w:hAnsi="Arial" w:cs="Arial"/>
          <w:color w:val="000000"/>
          <w:sz w:val="20"/>
          <w:szCs w:val="20"/>
        </w:rPr>
        <w:t>Education revenues increased by $0.5 million, or 0.3%, to $207.5 million during the three months ended July 31, 2022, as compared to the prior year period. The increase was primarily attributable to net new business partially offset by a decrease in work o</w:t>
      </w:r>
      <w:r>
        <w:rPr>
          <w:rFonts w:ascii="Arial" w:eastAsia="Times New Roman" w:hAnsi="Arial" w:cs="Arial"/>
          <w:color w:val="000000"/>
          <w:sz w:val="20"/>
          <w:szCs w:val="20"/>
        </w:rPr>
        <w:t xml:space="preserve">rders for pandemic-related demands. </w:t>
      </w:r>
    </w:p>
    <w:p w:rsidR="00000000" w:rsidRDefault="0099409C">
      <w:pPr>
        <w:ind w:firstLine="720"/>
        <w:jc w:val="both"/>
        <w:divId w:val="388923069"/>
        <w:rPr>
          <w:rFonts w:eastAsia="Times New Roman"/>
        </w:rPr>
      </w:pPr>
      <w:r>
        <w:rPr>
          <w:rFonts w:ascii="Arial" w:eastAsia="Times New Roman" w:hAnsi="Arial" w:cs="Arial"/>
          <w:color w:val="000000"/>
          <w:sz w:val="20"/>
          <w:szCs w:val="20"/>
        </w:rPr>
        <w:t>Operating profit decreased by $3.5 million, or 19.6%, to $14.5 million for the three months ended July 31, 2022, as compared to the prior year period. Operating profit margin decreased by 173 bps to 7.0% in the three mo</w:t>
      </w:r>
      <w:r>
        <w:rPr>
          <w:rFonts w:ascii="Arial" w:eastAsia="Times New Roman" w:hAnsi="Arial" w:cs="Arial"/>
          <w:color w:val="000000"/>
          <w:sz w:val="20"/>
          <w:szCs w:val="20"/>
        </w:rPr>
        <w:t xml:space="preserve">nths ended July 31, 2022, from 8.7% in the three months ended July 31, 2021. The decrease in operating margin was primarily attributable to an increase in direct labor and related costs due to the return to in-person learning and a limited labor supply in </w:t>
      </w:r>
      <w:r>
        <w:rPr>
          <w:rFonts w:ascii="Arial" w:eastAsia="Times New Roman" w:hAnsi="Arial" w:cs="Arial"/>
          <w:color w:val="000000"/>
          <w:sz w:val="20"/>
          <w:szCs w:val="20"/>
        </w:rPr>
        <w:t>certain geographies. Operating margin was positively impacted by lower amortization of intangible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745"/>
        <w:gridCol w:w="37"/>
        <w:gridCol w:w="121"/>
        <w:gridCol w:w="1140"/>
        <w:gridCol w:w="163"/>
        <w:gridCol w:w="36"/>
        <w:gridCol w:w="36"/>
        <w:gridCol w:w="36"/>
        <w:gridCol w:w="121"/>
        <w:gridCol w:w="1081"/>
        <w:gridCol w:w="163"/>
        <w:gridCol w:w="36"/>
        <w:gridCol w:w="36"/>
        <w:gridCol w:w="36"/>
        <w:gridCol w:w="122"/>
        <w:gridCol w:w="1081"/>
        <w:gridCol w:w="36"/>
        <w:gridCol w:w="36"/>
        <w:gridCol w:w="36"/>
        <w:gridCol w:w="36"/>
        <w:gridCol w:w="37"/>
        <w:gridCol w:w="1060"/>
        <w:gridCol w:w="37"/>
      </w:tblGrid>
      <w:tr w:rsidR="00000000">
        <w:trPr>
          <w:divId w:val="55861764"/>
          <w:jc w:val="center"/>
        </w:trPr>
        <w:tc>
          <w:tcPr>
            <w:tcW w:w="50" w:type="pct"/>
            <w:vAlign w:val="center"/>
            <w:hideMark/>
          </w:tcPr>
          <w:p w:rsidR="00000000" w:rsidRDefault="0099409C">
            <w:pPr>
              <w:ind w:firstLine="720"/>
              <w:jc w:val="both"/>
              <w:rPr>
                <w:rFonts w:eastAsia="Times New Roman"/>
              </w:rPr>
            </w:pPr>
          </w:p>
        </w:tc>
        <w:tc>
          <w:tcPr>
            <w:tcW w:w="17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55861764"/>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i/>
                <w:iCs/>
                <w:color w:val="0046AD"/>
                <w:sz w:val="18"/>
                <w:szCs w:val="18"/>
              </w:rPr>
              <w:t xml:space="preserve">Aviation </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55861764"/>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55861764"/>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55861764"/>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203.5 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167.8 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21.3%</w:t>
            </w:r>
          </w:p>
        </w:tc>
      </w:tr>
      <w:tr w:rsidR="00000000">
        <w:trPr>
          <w:divId w:val="55861764"/>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(0.5)</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(5.1)%</w:t>
            </w:r>
          </w:p>
        </w:tc>
      </w:tr>
      <w:tr w:rsidR="00000000">
        <w:trPr>
          <w:divId w:val="55861764"/>
          <w:jc w:val="center"/>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4.7 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6.0 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(130) bps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ind w:firstLine="720"/>
        <w:jc w:val="both"/>
        <w:divId w:val="1754348952"/>
        <w:rPr>
          <w:rFonts w:eastAsia="Times New Roman"/>
        </w:rPr>
      </w:pPr>
      <w:r>
        <w:rPr>
          <w:rFonts w:ascii="Arial" w:eastAsia="Times New Roman" w:hAnsi="Arial" w:cs="Arial"/>
          <w:color w:val="000000"/>
          <w:sz w:val="20"/>
          <w:szCs w:val="20"/>
        </w:rPr>
        <w:t>Aviation revenues increased by $35.7 million, or 21.3%, to $203.5 million during the three months ended July 31, 2022, as compared to the prior year period. The increase was primarily attributable to a recovery in consumer and business travel (both domesti</w:t>
      </w:r>
      <w:r>
        <w:rPr>
          <w:rFonts w:ascii="Arial" w:eastAsia="Times New Roman" w:hAnsi="Arial" w:cs="Arial"/>
          <w:color w:val="000000"/>
          <w:sz w:val="20"/>
          <w:szCs w:val="20"/>
        </w:rPr>
        <w:t xml:space="preserve">c and international) and new parking-related services. Management reimbursement revenues for this segment totaled $14.2 million and $13.4 million for the three months ended July 31, 2022 and 2021, respectively. </w:t>
      </w:r>
    </w:p>
    <w:p w:rsidR="00000000" w:rsidRDefault="0099409C">
      <w:pPr>
        <w:ind w:firstLine="720"/>
        <w:jc w:val="both"/>
        <w:divId w:val="384186543"/>
        <w:rPr>
          <w:rFonts w:eastAsia="Times New Roman"/>
        </w:rPr>
      </w:pPr>
      <w:r>
        <w:rPr>
          <w:rFonts w:ascii="Arial" w:eastAsia="Times New Roman" w:hAnsi="Arial" w:cs="Arial"/>
          <w:color w:val="000000"/>
          <w:sz w:val="20"/>
          <w:szCs w:val="20"/>
        </w:rPr>
        <w:t xml:space="preserve">Operating profit decreased by $0.5 million, or 5.1%, to $9.5 million during the three months ended July 31, 2022, as compared to the prior year period. Operating margin decreased by 130 bps to 4.7% in the three months ended July 31, 2022, from 6.0% in the </w:t>
      </w:r>
      <w:r>
        <w:rPr>
          <w:rFonts w:ascii="Arial" w:eastAsia="Times New Roman" w:hAnsi="Arial" w:cs="Arial"/>
          <w:color w:val="000000"/>
          <w:sz w:val="20"/>
          <w:szCs w:val="20"/>
        </w:rPr>
        <w:t xml:space="preserve">three months ended July 31, 2021. The decrease was primarily attributable </w:t>
      </w:r>
    </w:p>
    <w:p w:rsidR="00000000" w:rsidRDefault="0099409C">
      <w:pPr>
        <w:jc w:val="center"/>
        <w:divId w:val="923491074"/>
        <w:rPr>
          <w:rFonts w:eastAsia="Times New Roman"/>
        </w:rPr>
      </w:pPr>
      <w:r>
        <w:rPr>
          <w:rFonts w:ascii="Arial" w:eastAsia="Times New Roman" w:hAnsi="Arial" w:cs="Arial"/>
          <w:color w:val="000000"/>
          <w:sz w:val="20"/>
          <w:szCs w:val="20"/>
        </w:rPr>
        <w:t>31</w:t>
      </w:r>
    </w:p>
    <w:p w:rsidR="00000000" w:rsidRDefault="0099409C">
      <w:pPr>
        <w:rPr>
          <w:rFonts w:eastAsia="Times New Roman"/>
        </w:rPr>
      </w:pPr>
      <w:r>
        <w:rPr>
          <w:rFonts w:eastAsia="Times New Roman"/>
        </w:rPr>
        <w:pict>
          <v:rect id="_x0000_i1065" style="width:0;height:1.5pt" o:hralign="center" o:hrstd="t" o:hr="t" fillcolor="#a0a0a0" stroked="f"/>
        </w:pict>
      </w:r>
    </w:p>
    <w:p w:rsidR="00000000" w:rsidRDefault="0099409C">
      <w:pPr>
        <w:jc w:val="both"/>
        <w:divId w:val="464006583"/>
        <w:rPr>
          <w:rFonts w:eastAsia="Times New Roman"/>
        </w:rPr>
      </w:pPr>
    </w:p>
    <w:p w:rsidR="00000000" w:rsidRDefault="0099409C">
      <w:pPr>
        <w:jc w:val="both"/>
        <w:divId w:val="829710556"/>
        <w:rPr>
          <w:rFonts w:eastAsia="Times New Roman"/>
        </w:rPr>
      </w:pPr>
      <w:r>
        <w:rPr>
          <w:rFonts w:ascii="Arial" w:eastAsia="Times New Roman" w:hAnsi="Arial" w:cs="Arial"/>
          <w:color w:val="000000"/>
          <w:sz w:val="20"/>
          <w:szCs w:val="20"/>
        </w:rPr>
        <w:t>to an increase in direct labor and related costs due to increased headcounts as travel continues to recover and a decrease in pandemic-relat</w:t>
      </w:r>
      <w:r>
        <w:rPr>
          <w:rFonts w:ascii="Arial" w:eastAsia="Times New Roman" w:hAnsi="Arial" w:cs="Arial"/>
          <w:color w:val="000000"/>
          <w:sz w:val="20"/>
          <w:szCs w:val="20"/>
        </w:rPr>
        <w:t xml:space="preserve">ed demands, which have higher margins.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47"/>
        <w:gridCol w:w="36"/>
        <w:gridCol w:w="121"/>
        <w:gridCol w:w="1141"/>
        <w:gridCol w:w="163"/>
        <w:gridCol w:w="36"/>
        <w:gridCol w:w="36"/>
        <w:gridCol w:w="36"/>
        <w:gridCol w:w="121"/>
        <w:gridCol w:w="1081"/>
        <w:gridCol w:w="163"/>
        <w:gridCol w:w="36"/>
        <w:gridCol w:w="36"/>
        <w:gridCol w:w="36"/>
        <w:gridCol w:w="122"/>
        <w:gridCol w:w="1081"/>
        <w:gridCol w:w="36"/>
        <w:gridCol w:w="36"/>
        <w:gridCol w:w="36"/>
        <w:gridCol w:w="36"/>
        <w:gridCol w:w="36"/>
        <w:gridCol w:w="1061"/>
        <w:gridCol w:w="36"/>
      </w:tblGrid>
      <w:tr w:rsidR="00000000">
        <w:trPr>
          <w:divId w:val="1336494812"/>
          <w:jc w:val="center"/>
        </w:trPr>
        <w:tc>
          <w:tcPr>
            <w:tcW w:w="50" w:type="pct"/>
            <w:vAlign w:val="center"/>
            <w:hideMark/>
          </w:tcPr>
          <w:p w:rsidR="00000000" w:rsidRDefault="0099409C">
            <w:pPr>
              <w:jc w:val="both"/>
              <w:rPr>
                <w:rFonts w:eastAsia="Times New Roman"/>
              </w:rPr>
            </w:pPr>
          </w:p>
        </w:tc>
        <w:tc>
          <w:tcPr>
            <w:tcW w:w="17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336494812"/>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i/>
                <w:iCs/>
                <w:color w:val="0046AD"/>
                <w:sz w:val="18"/>
                <w:szCs w:val="18"/>
              </w:rPr>
              <w:t>Technical Solutions</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336494812"/>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336494812"/>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1336494812"/>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158.4 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145.0 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13.4 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9.3%</w:t>
            </w:r>
          </w:p>
        </w:tc>
      </w:tr>
      <w:tr w:rsidR="00000000">
        <w:trPr>
          <w:divId w:val="1336494812"/>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xml:space="preserve">Operating profit </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14.4 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7.0%</w:t>
            </w:r>
          </w:p>
        </w:tc>
      </w:tr>
      <w:tr w:rsidR="00000000">
        <w:trPr>
          <w:divId w:val="1336494812"/>
          <w:jc w:val="center"/>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9.7 </w:t>
            </w:r>
          </w:p>
        </w:tc>
        <w:tc>
          <w:tcPr>
            <w:tcW w:w="0" w:type="auto"/>
            <w:shd w:val="clear" w:color="auto" w:fill="DCE2E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9.9 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(21) bps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ind w:firstLine="720"/>
        <w:jc w:val="both"/>
        <w:divId w:val="1858350887"/>
        <w:rPr>
          <w:rFonts w:eastAsia="Times New Roman"/>
        </w:rPr>
      </w:pPr>
      <w:r>
        <w:rPr>
          <w:rFonts w:ascii="Arial" w:eastAsia="Times New Roman" w:hAnsi="Arial" w:cs="Arial"/>
          <w:color w:val="000000"/>
          <w:sz w:val="20"/>
          <w:szCs w:val="20"/>
        </w:rPr>
        <w:t>Technical Solutions revenues increased by $13.4 million, or 9.3%, to $158.4 million during the three months ended July 31, 2022, as compared to the prior year period. This increase was primarily driven by the growth in electric vehicle charging station ins</w:t>
      </w:r>
      <w:r>
        <w:rPr>
          <w:rFonts w:ascii="Arial" w:eastAsia="Times New Roman" w:hAnsi="Arial" w:cs="Arial"/>
          <w:color w:val="000000"/>
          <w:sz w:val="20"/>
          <w:szCs w:val="20"/>
        </w:rPr>
        <w:t>tallation sales, partially offset by lower project revenues due to the timing of completions of certain bundled energy solutions projects.</w:t>
      </w:r>
    </w:p>
    <w:p w:rsidR="00000000" w:rsidRDefault="0099409C">
      <w:pPr>
        <w:ind w:firstLine="720"/>
        <w:jc w:val="both"/>
        <w:divId w:val="2100251216"/>
        <w:rPr>
          <w:rFonts w:eastAsia="Times New Roman"/>
        </w:rPr>
      </w:pPr>
      <w:r>
        <w:rPr>
          <w:rFonts w:ascii="Arial" w:eastAsia="Times New Roman" w:hAnsi="Arial" w:cs="Arial"/>
          <w:color w:val="000000"/>
          <w:sz w:val="20"/>
          <w:szCs w:val="20"/>
        </w:rPr>
        <w:t>Operating profit increased $1.0 million, or 7.0%, to $15.4 million during the three months ended July 31, 2022, as compared to the prior year period. Operating margin decreased by 21 bps to 9.7% in the three months ended July 31, 2022, from 9.9% in the thr</w:t>
      </w:r>
      <w:r>
        <w:rPr>
          <w:rFonts w:ascii="Arial" w:eastAsia="Times New Roman" w:hAnsi="Arial" w:cs="Arial"/>
          <w:color w:val="000000"/>
          <w:sz w:val="20"/>
          <w:szCs w:val="20"/>
        </w:rPr>
        <w:t>ee months ended July 31, 2021. The decrease in operating margin was primarily attributable to the contract mix and timing of projects completed during the quarter.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794"/>
        <w:gridCol w:w="36"/>
        <w:gridCol w:w="121"/>
        <w:gridCol w:w="1166"/>
        <w:gridCol w:w="36"/>
        <w:gridCol w:w="36"/>
        <w:gridCol w:w="36"/>
        <w:gridCol w:w="36"/>
        <w:gridCol w:w="121"/>
        <w:gridCol w:w="1131"/>
        <w:gridCol w:w="36"/>
        <w:gridCol w:w="36"/>
        <w:gridCol w:w="36"/>
        <w:gridCol w:w="36"/>
        <w:gridCol w:w="122"/>
        <w:gridCol w:w="1131"/>
        <w:gridCol w:w="37"/>
        <w:gridCol w:w="37"/>
        <w:gridCol w:w="36"/>
        <w:gridCol w:w="36"/>
        <w:gridCol w:w="37"/>
        <w:gridCol w:w="1136"/>
        <w:gridCol w:w="36"/>
      </w:tblGrid>
      <w:tr w:rsidR="00000000">
        <w:trPr>
          <w:divId w:val="863445363"/>
          <w:jc w:val="center"/>
        </w:trPr>
        <w:tc>
          <w:tcPr>
            <w:tcW w:w="50" w:type="pct"/>
            <w:vAlign w:val="center"/>
            <w:hideMark/>
          </w:tcPr>
          <w:p w:rsidR="00000000" w:rsidRDefault="0099409C">
            <w:pPr>
              <w:ind w:firstLine="720"/>
              <w:jc w:val="both"/>
              <w:rPr>
                <w:rFonts w:eastAsia="Times New Roman"/>
              </w:rPr>
            </w:pPr>
          </w:p>
        </w:tc>
        <w:tc>
          <w:tcPr>
            <w:tcW w:w="17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863445363"/>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i/>
                <w:iCs/>
                <w:color w:val="0046AD"/>
                <w:sz w:val="18"/>
                <w:szCs w:val="18"/>
              </w:rPr>
              <w:t>Corporate</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863445363"/>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863445363"/>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Decrease</w:t>
            </w:r>
          </w:p>
        </w:tc>
      </w:tr>
      <w:tr w:rsidR="00000000">
        <w:trPr>
          <w:divId w:val="863445363"/>
          <w:jc w:val="center"/>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Corporate expenses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(70.3)</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(161.1)</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90.8 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56.4%</w:t>
            </w:r>
          </w:p>
        </w:tc>
      </w:tr>
    </w:tbl>
    <w:p w:rsidR="00000000" w:rsidRDefault="0099409C">
      <w:pPr>
        <w:ind w:firstLine="720"/>
        <w:jc w:val="both"/>
        <w:divId w:val="1254125307"/>
        <w:rPr>
          <w:rFonts w:eastAsia="Times New Roman"/>
        </w:rPr>
      </w:pPr>
      <w:r>
        <w:rPr>
          <w:rFonts w:ascii="Arial" w:eastAsia="Times New Roman" w:hAnsi="Arial" w:cs="Arial"/>
          <w:color w:val="000000"/>
          <w:sz w:val="20"/>
          <w:szCs w:val="20"/>
        </w:rPr>
        <w:t>Corporate expenses decreased by $90.8 million, or 56.4%, to $70.3 million during the three months ended July 31, 2022, as compared to the prior year period. The dec</w:t>
      </w:r>
      <w:r>
        <w:rPr>
          <w:rFonts w:ascii="Arial" w:eastAsia="Times New Roman" w:hAnsi="Arial" w:cs="Arial"/>
          <w:color w:val="000000"/>
          <w:sz w:val="20"/>
          <w:szCs w:val="20"/>
        </w:rPr>
        <w:t>rease in corporate expenses was primarily attributable to:</w:t>
      </w:r>
    </w:p>
    <w:p w:rsidR="00000000" w:rsidRDefault="0099409C">
      <w:pPr>
        <w:ind w:hanging="360"/>
        <w:jc w:val="both"/>
        <w:divId w:val="123466282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$117.4 million decrease in legal costs and settlements, of which $112.9 million was attributed to the accrual of a legal reserve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during the three months ended July 31, 2021; and</w:t>
      </w:r>
    </w:p>
    <w:p w:rsidR="00000000" w:rsidRDefault="0099409C">
      <w:pPr>
        <w:ind w:hanging="360"/>
        <w:jc w:val="both"/>
        <w:divId w:val="40241050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the absence of a $9.1 million non-cash impairment charge for previously capitalized internal-use software related to our ERP system implementation as we determined that certain components developed will no longer be incorporated into the new ERP system dur</w:t>
      </w:r>
      <w:r>
        <w:rPr>
          <w:rFonts w:ascii="Arial" w:eastAsia="Times New Roman" w:hAnsi="Arial" w:cs="Arial"/>
          <w:color w:val="000000"/>
          <w:sz w:val="20"/>
          <w:szCs w:val="20"/>
        </w:rPr>
        <w:t>ing the three months ended July 31, 2021.</w:t>
      </w:r>
    </w:p>
    <w:p w:rsidR="00000000" w:rsidRDefault="0099409C">
      <w:pPr>
        <w:jc w:val="both"/>
        <w:divId w:val="664362538"/>
        <w:rPr>
          <w:rFonts w:eastAsia="Times New Roman"/>
        </w:rPr>
      </w:pPr>
      <w:r>
        <w:rPr>
          <w:rFonts w:ascii="Arial" w:eastAsia="Times New Roman" w:hAnsi="Arial" w:cs="Arial"/>
          <w:color w:val="000000"/>
          <w:sz w:val="20"/>
          <w:szCs w:val="20"/>
        </w:rPr>
        <w:t>This decrease was partially offset by:</w:t>
      </w:r>
    </w:p>
    <w:p w:rsidR="00000000" w:rsidRDefault="0099409C">
      <w:pPr>
        <w:ind w:hanging="360"/>
        <w:jc w:val="both"/>
        <w:divId w:val="65938320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an $11.0 million decrease in favorable self-insurance reserve adjustments related to prior year claims as the result of actuarial evaluations completed on our workers’ compen</w:t>
      </w:r>
      <w:r>
        <w:rPr>
          <w:rFonts w:ascii="Arial" w:eastAsia="Times New Roman" w:hAnsi="Arial" w:cs="Arial"/>
          <w:color w:val="000000"/>
          <w:sz w:val="20"/>
          <w:szCs w:val="20"/>
        </w:rPr>
        <w:t>sation, general liability, automobile liability, and property damage insurance plans;</w:t>
      </w:r>
    </w:p>
    <w:p w:rsidR="00000000" w:rsidRDefault="0099409C">
      <w:pPr>
        <w:ind w:hanging="360"/>
        <w:jc w:val="both"/>
        <w:divId w:val="938610017"/>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$7.7 million increase in compensation and related expenses primarily attributable to talent acquisition activities;</w:t>
      </w:r>
    </w:p>
    <w:p w:rsidR="00000000" w:rsidRDefault="0099409C">
      <w:pPr>
        <w:ind w:hanging="360"/>
        <w:jc w:val="both"/>
        <w:divId w:val="107134362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$6.7 million decrease in favorable self-insuranc</w:t>
      </w:r>
      <w:r>
        <w:rPr>
          <w:rFonts w:ascii="Arial" w:eastAsia="Times New Roman" w:hAnsi="Arial" w:cs="Arial"/>
          <w:color w:val="000000"/>
          <w:sz w:val="20"/>
          <w:szCs w:val="20"/>
        </w:rPr>
        <w:t>e adjustments related to prior year claims as the result of actuarial evaluations completed on our medical and dental self-insurance plans;</w:t>
      </w:r>
    </w:p>
    <w:p w:rsidR="00000000" w:rsidRDefault="0099409C">
      <w:pPr>
        <w:ind w:hanging="360"/>
        <w:jc w:val="both"/>
        <w:divId w:val="859860463"/>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$4.4 million increase in certain technology projects primarily attributable to discrete transformational costs un</w:t>
      </w:r>
      <w:r>
        <w:rPr>
          <w:rFonts w:ascii="Arial" w:eastAsia="Times New Roman" w:hAnsi="Arial" w:cs="Arial"/>
          <w:color w:val="000000"/>
          <w:sz w:val="20"/>
          <w:szCs w:val="20"/>
        </w:rPr>
        <w:t xml:space="preserve">der our </w:t>
      </w:r>
      <w:r>
        <w:rPr>
          <w:rFonts w:ascii="Arial" w:eastAsia="Times New Roman" w:hAnsi="Arial" w:cs="Arial"/>
          <w:b/>
          <w:bCs/>
          <w:color w:val="E98300"/>
          <w:sz w:val="20"/>
          <w:szCs w:val="20"/>
        </w:rPr>
        <w:t xml:space="preserve">ELEVATE </w:t>
      </w:r>
      <w:r>
        <w:rPr>
          <w:rFonts w:ascii="Arial" w:eastAsia="Times New Roman" w:hAnsi="Arial" w:cs="Arial"/>
          <w:color w:val="000000"/>
          <w:sz w:val="20"/>
          <w:szCs w:val="20"/>
        </w:rPr>
        <w:t>strategy for developing the new ERP system, client-facing technology, workforce management tools, and data analytics; and</w:t>
      </w:r>
    </w:p>
    <w:p w:rsidR="00000000" w:rsidRDefault="0099409C">
      <w:pPr>
        <w:ind w:hanging="360"/>
        <w:jc w:val="both"/>
        <w:divId w:val="48779558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$3.7 million increase related to the Able Acquisition.</w:t>
      </w:r>
    </w:p>
    <w:p w:rsidR="00000000" w:rsidRDefault="0099409C">
      <w:pPr>
        <w:jc w:val="center"/>
        <w:divId w:val="50469489"/>
        <w:rPr>
          <w:rFonts w:eastAsia="Times New Roman"/>
        </w:rPr>
      </w:pPr>
      <w:r>
        <w:rPr>
          <w:rFonts w:ascii="Arial" w:eastAsia="Times New Roman" w:hAnsi="Arial" w:cs="Arial"/>
          <w:color w:val="000000"/>
          <w:sz w:val="20"/>
          <w:szCs w:val="20"/>
        </w:rPr>
        <w:t>32</w:t>
      </w:r>
    </w:p>
    <w:p w:rsidR="00000000" w:rsidRDefault="0099409C">
      <w:pPr>
        <w:rPr>
          <w:rFonts w:eastAsia="Times New Roman"/>
        </w:rPr>
      </w:pPr>
      <w:r>
        <w:rPr>
          <w:rFonts w:eastAsia="Times New Roman"/>
        </w:rPr>
        <w:pict>
          <v:rect id="_x0000_i1066" style="width:0;height:1.5pt" o:hralign="center" o:hrstd="t" o:hr="t" fillcolor="#a0a0a0" stroked="f"/>
        </w:pict>
      </w:r>
    </w:p>
    <w:p w:rsidR="00000000" w:rsidRDefault="0099409C">
      <w:pPr>
        <w:jc w:val="both"/>
        <w:divId w:val="2002342362"/>
        <w:rPr>
          <w:rFonts w:eastAsia="Times New Roman"/>
        </w:rPr>
      </w:pPr>
    </w:p>
    <w:p w:rsidR="00000000" w:rsidRDefault="0099409C">
      <w:pPr>
        <w:divId w:val="1156804926"/>
        <w:rPr>
          <w:rFonts w:eastAsia="Times New Roman"/>
        </w:rPr>
      </w:pPr>
      <w:r>
        <w:rPr>
          <w:rFonts w:ascii="Arial" w:eastAsia="Times New Roman" w:hAnsi="Arial" w:cs="Arial"/>
          <w:b/>
          <w:bCs/>
          <w:color w:val="0046AD"/>
          <w:sz w:val="20"/>
          <w:szCs w:val="20"/>
        </w:rPr>
        <w:t>Results of Operati</w:t>
      </w:r>
      <w:r>
        <w:rPr>
          <w:rFonts w:ascii="Arial" w:eastAsia="Times New Roman" w:hAnsi="Arial" w:cs="Arial"/>
          <w:b/>
          <w:bCs/>
          <w:color w:val="0046AD"/>
          <w:sz w:val="20"/>
          <w:szCs w:val="20"/>
        </w:rPr>
        <w:t>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892762254"/>
        </w:trPr>
        <w:tc>
          <w:tcPr>
            <w:tcW w:w="5" w:type="pct"/>
            <w:vAlign w:val="center"/>
            <w:hideMark/>
          </w:tcPr>
          <w:p w:rsidR="00000000" w:rsidRDefault="0099409C">
            <w:pPr>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892762254"/>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jc w:val="both"/>
        <w:divId w:val="1604075055"/>
        <w:rPr>
          <w:rFonts w:eastAsia="Times New Roman"/>
        </w:rPr>
      </w:pPr>
      <w:r>
        <w:rPr>
          <w:rFonts w:ascii="Arial" w:eastAsia="Times New Roman" w:hAnsi="Arial" w:cs="Arial"/>
          <w:b/>
          <w:bCs/>
          <w:i/>
          <w:iCs/>
          <w:color w:val="0046AD"/>
          <w:sz w:val="20"/>
          <w:szCs w:val="20"/>
        </w:rPr>
        <w:t>Nine Months Ended July 31, 2022</w:t>
      </w:r>
      <w:r>
        <w:rPr>
          <w:rFonts w:ascii="Arial" w:eastAsia="Times New Roman" w:hAnsi="Arial" w:cs="Arial"/>
          <w:color w:val="0046AD"/>
          <w:sz w:val="20"/>
          <w:szCs w:val="20"/>
        </w:rPr>
        <w:t xml:space="preserve"> </w:t>
      </w:r>
      <w:r>
        <w:rPr>
          <w:rFonts w:ascii="Arial" w:eastAsia="Times New Roman" w:hAnsi="Arial" w:cs="Arial"/>
          <w:b/>
          <w:bCs/>
          <w:i/>
          <w:iCs/>
          <w:color w:val="0046AD"/>
          <w:sz w:val="20"/>
          <w:szCs w:val="20"/>
        </w:rPr>
        <w:t>Compared with the Nine Months Ended July 31, 2021</w:t>
      </w:r>
    </w:p>
    <w:p w:rsidR="00000000" w:rsidRDefault="0099409C">
      <w:pPr>
        <w:divId w:val="756555021"/>
        <w:rPr>
          <w:rFonts w:eastAsia="Times New Roman"/>
        </w:rPr>
      </w:pPr>
      <w:r>
        <w:rPr>
          <w:rFonts w:ascii="Arial" w:eastAsia="Times New Roman" w:hAnsi="Arial" w:cs="Arial"/>
          <w:b/>
          <w:bCs/>
          <w:i/>
          <w:iCs/>
          <w:color w:val="0046AD"/>
          <w:sz w:val="20"/>
          <w:szCs w:val="20"/>
        </w:rPr>
        <w:t xml:space="preserve">Consolidated </w:t>
      </w:r>
    </w:p>
    <w:tbl>
      <w:tblPr>
        <w:tblW w:w="5000" w:type="pct"/>
        <w:tblCellMar>
          <w:top w:w="15" w:type="dxa"/>
          <w:left w:w="15" w:type="dxa"/>
          <w:bottom w:w="15" w:type="dxa"/>
          <w:right w:w="15" w:type="dxa"/>
        </w:tblCellMar>
        <w:tblLook w:val="04A0" w:firstRow="1" w:lastRow="0" w:firstColumn="1" w:lastColumn="0" w:noHBand="0" w:noVBand="1"/>
      </w:tblPr>
      <w:tblGrid>
        <w:gridCol w:w="41"/>
        <w:gridCol w:w="3959"/>
        <w:gridCol w:w="39"/>
        <w:gridCol w:w="121"/>
        <w:gridCol w:w="946"/>
        <w:gridCol w:w="163"/>
        <w:gridCol w:w="36"/>
        <w:gridCol w:w="36"/>
        <w:gridCol w:w="36"/>
        <w:gridCol w:w="121"/>
        <w:gridCol w:w="886"/>
        <w:gridCol w:w="163"/>
        <w:gridCol w:w="36"/>
        <w:gridCol w:w="36"/>
        <w:gridCol w:w="36"/>
        <w:gridCol w:w="121"/>
        <w:gridCol w:w="667"/>
        <w:gridCol w:w="36"/>
        <w:gridCol w:w="36"/>
        <w:gridCol w:w="36"/>
        <w:gridCol w:w="36"/>
        <w:gridCol w:w="63"/>
        <w:gridCol w:w="620"/>
        <w:gridCol w:w="36"/>
      </w:tblGrid>
      <w:tr w:rsidR="00000000">
        <w:trPr>
          <w:divId w:val="1685552653"/>
        </w:trPr>
        <w:tc>
          <w:tcPr>
            <w:tcW w:w="50" w:type="pct"/>
            <w:vAlign w:val="center"/>
            <w:hideMark/>
          </w:tcPr>
          <w:p w:rsidR="00000000" w:rsidRDefault="0099409C">
            <w:pPr>
              <w:rPr>
                <w:rFonts w:eastAsia="Times New Roman"/>
              </w:rPr>
            </w:pPr>
          </w:p>
        </w:tc>
        <w:tc>
          <w:tcPr>
            <w:tcW w:w="243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1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1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7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7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685552653"/>
        </w:trPr>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Nine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685552653"/>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1685552653"/>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 xml:space="preserve">Revenues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5,795.5 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4,533.0 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1,262.5 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27.9%</w:t>
            </w:r>
          </w:p>
        </w:tc>
      </w:tr>
      <w:tr w:rsidR="00000000">
        <w:trPr>
          <w:divId w:val="1685552653"/>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xml:space="preserve">Operating expenses </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5,004.4 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3,812.0 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1,192.4 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31.3%</w:t>
            </w:r>
          </w:p>
        </w:tc>
      </w:tr>
      <w:tr w:rsidR="00000000">
        <w:trPr>
          <w:divId w:val="1685552653"/>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Gross margin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13.7 </w:t>
            </w:r>
          </w:p>
        </w:tc>
        <w:tc>
          <w:tcPr>
            <w:tcW w:w="0" w:type="auto"/>
            <w:shd w:val="clear" w:color="auto" w:fill="DCE2E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15.9 </w:t>
            </w:r>
          </w:p>
        </w:tc>
        <w:tc>
          <w:tcPr>
            <w:tcW w:w="0" w:type="auto"/>
            <w:shd w:val="clear" w:color="auto" w:fill="DCE2E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(226) bps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685552653"/>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468.5 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538.3 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(69.8)</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(13.0)%</w:t>
            </w:r>
          </w:p>
        </w:tc>
      </w:tr>
      <w:tr w:rsidR="00000000">
        <w:trPr>
          <w:divId w:val="1685552653"/>
        </w:trPr>
        <w:tc>
          <w:tcPr>
            <w:tcW w:w="0" w:type="auto"/>
            <w:gridSpan w:val="3"/>
            <w:vAlign w:val="center"/>
            <w:hideMark/>
          </w:tcPr>
          <w:p w:rsidR="00000000" w:rsidRDefault="0099409C">
            <w:pPr>
              <w:spacing w:after="100"/>
              <w:jc w:val="center"/>
              <w:rPr>
                <w:rFonts w:eastAsia="Times New Roman"/>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1685552653"/>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Amortization of intangible assets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52.9 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32.1 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64.8%</w:t>
            </w:r>
          </w:p>
        </w:tc>
      </w:tr>
      <w:tr w:rsidR="00000000">
        <w:trPr>
          <w:divId w:val="1685552653"/>
        </w:trPr>
        <w:tc>
          <w:tcPr>
            <w:tcW w:w="0" w:type="auto"/>
            <w:gridSpan w:val="3"/>
            <w:vAlign w:val="center"/>
            <w:hideMark/>
          </w:tcPr>
          <w:p w:rsidR="00000000" w:rsidRDefault="0099409C">
            <w:pPr>
              <w:spacing w:after="100"/>
              <w:jc w:val="center"/>
              <w:rPr>
                <w:rFonts w:eastAsia="Times New Roman"/>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1685552653"/>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Operating profit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269.7 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119.1 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79.1%</w:t>
            </w:r>
          </w:p>
        </w:tc>
      </w:tr>
      <w:tr w:rsidR="00000000">
        <w:trPr>
          <w:divId w:val="1685552653"/>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33.7%</w:t>
            </w:r>
          </w:p>
        </w:tc>
      </w:tr>
      <w:tr w:rsidR="00000000">
        <w:trPr>
          <w:divId w:val="1685552653"/>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(25.2)</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(22.6)</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(2.6)</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(11.6)%</w:t>
            </w:r>
          </w:p>
        </w:tc>
      </w:tr>
      <w:tr w:rsidR="00000000">
        <w:trPr>
          <w:divId w:val="1685552653"/>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Income before 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246.3 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129.4 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116.9 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90.3%</w:t>
            </w:r>
          </w:p>
        </w:tc>
      </w:tr>
      <w:tr w:rsidR="00000000">
        <w:trPr>
          <w:divId w:val="1685552653"/>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(64.8)</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(37.4)</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(27.4)</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(73.0)%</w:t>
            </w:r>
          </w:p>
        </w:tc>
      </w:tr>
      <w:tr w:rsidR="00000000">
        <w:trPr>
          <w:divId w:val="1685552653"/>
        </w:trPr>
        <w:tc>
          <w:tcPr>
            <w:tcW w:w="0" w:type="auto"/>
            <w:gridSpan w:val="3"/>
            <w:vAlign w:val="center"/>
            <w:hideMark/>
          </w:tcPr>
          <w:p w:rsidR="00000000" w:rsidRDefault="0099409C">
            <w:pPr>
              <w:spacing w:after="100"/>
              <w:jc w:val="center"/>
              <w:rPr>
                <w:rFonts w:eastAsia="Times New Roman"/>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1685552653"/>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1685552653"/>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Net income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181.6 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92.0 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89.6 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97.3%</w:t>
            </w:r>
          </w:p>
        </w:tc>
      </w:tr>
      <w:tr w:rsidR="00000000">
        <w:trPr>
          <w:divId w:val="1685552653"/>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685552653"/>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6.2 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78.4%</w:t>
            </w:r>
          </w:p>
        </w:tc>
      </w:tr>
      <w:tr w:rsidR="00000000">
        <w:trPr>
          <w:divId w:val="1685552653"/>
        </w:trPr>
        <w:tc>
          <w:tcPr>
            <w:tcW w:w="0" w:type="auto"/>
            <w:gridSpan w:val="3"/>
            <w:shd w:val="clear" w:color="auto" w:fill="FFFFF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(15.1)</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5.3 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(20.4)</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NM*</w:t>
            </w:r>
          </w:p>
        </w:tc>
      </w:tr>
      <w:tr w:rsidR="00000000">
        <w:trPr>
          <w:divId w:val="1685552653"/>
        </w:trPr>
        <w:tc>
          <w:tcPr>
            <w:tcW w:w="0" w:type="auto"/>
            <w:gridSpan w:val="3"/>
            <w:shd w:val="clear" w:color="auto" w:fill="DCE2EF"/>
            <w:tcMar>
              <w:top w:w="30" w:type="dxa"/>
              <w:left w:w="38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Income tax benefit (provision)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(1.7)</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(0.7)</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70.9%</w:t>
            </w:r>
          </w:p>
        </w:tc>
      </w:tr>
      <w:tr w:rsidR="00000000">
        <w:trPr>
          <w:divId w:val="1685552653"/>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171.1 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71.3%</w:t>
            </w:r>
          </w:p>
        </w:tc>
      </w:tr>
    </w:tbl>
    <w:p w:rsidR="00000000" w:rsidRDefault="0099409C">
      <w:pPr>
        <w:divId w:val="1516385308"/>
        <w:rPr>
          <w:rFonts w:eastAsia="Times New Roman"/>
        </w:rPr>
      </w:pPr>
      <w:r>
        <w:rPr>
          <w:rFonts w:ascii="Arial" w:eastAsia="Times New Roman" w:hAnsi="Arial" w:cs="Arial"/>
          <w:color w:val="000000"/>
          <w:sz w:val="18"/>
          <w:szCs w:val="18"/>
        </w:rPr>
        <w:t>*Not meaningful</w:t>
      </w:r>
    </w:p>
    <w:p w:rsidR="00000000" w:rsidRDefault="0099409C">
      <w:pPr>
        <w:divId w:val="654646659"/>
        <w:rPr>
          <w:rFonts w:eastAsia="Times New Roman"/>
        </w:rPr>
      </w:pPr>
      <w:r>
        <w:rPr>
          <w:rFonts w:ascii="Arial" w:eastAsia="Times New Roman" w:hAnsi="Arial" w:cs="Arial"/>
          <w:b/>
          <w:bCs/>
          <w:i/>
          <w:iCs/>
          <w:color w:val="0046AD"/>
          <w:sz w:val="20"/>
          <w:szCs w:val="20"/>
        </w:rPr>
        <w:t>Revenues</w:t>
      </w:r>
      <w:r>
        <w:rPr>
          <w:rFonts w:ascii="Arial" w:eastAsia="Times New Roman" w:hAnsi="Arial" w:cs="Arial"/>
          <w:i/>
          <w:iCs/>
          <w:color w:val="0046AD"/>
          <w:sz w:val="20"/>
          <w:szCs w:val="20"/>
        </w:rPr>
        <w:t xml:space="preserve"> </w:t>
      </w:r>
    </w:p>
    <w:p w:rsidR="00000000" w:rsidRDefault="0099409C">
      <w:pPr>
        <w:ind w:firstLine="720"/>
        <w:jc w:val="both"/>
        <w:divId w:val="1151487449"/>
        <w:rPr>
          <w:rFonts w:eastAsia="Times New Roman"/>
        </w:rPr>
      </w:pPr>
      <w:r>
        <w:rPr>
          <w:rFonts w:ascii="Arial" w:eastAsia="Times New Roman" w:hAnsi="Arial" w:cs="Arial"/>
          <w:color w:val="000000"/>
          <w:sz w:val="20"/>
          <w:szCs w:val="20"/>
        </w:rPr>
        <w:t xml:space="preserve">Revenues increased by $1,262.5 million, or 27.9%, </w:t>
      </w:r>
      <w:r>
        <w:rPr>
          <w:rFonts w:ascii="Arial" w:eastAsia="Times New Roman" w:hAnsi="Arial" w:cs="Arial"/>
          <w:color w:val="000000"/>
          <w:sz w:val="20"/>
          <w:szCs w:val="20"/>
        </w:rPr>
        <w:t>to $5,795.5 million during the nine months ended July 31, 2022, as compared to the prior year period. Revenue growth was comprised of acquisition growth of 19.9% and organic growth of 8.0%. Acquisition growth was primarily driven by an $878.4 million reven</w:t>
      </w:r>
      <w:r>
        <w:rPr>
          <w:rFonts w:ascii="Arial" w:eastAsia="Times New Roman" w:hAnsi="Arial" w:cs="Arial"/>
          <w:color w:val="000000"/>
          <w:sz w:val="20"/>
          <w:szCs w:val="20"/>
        </w:rPr>
        <w:t>ue increase due to the Able Acquisition, completed in the fourth quarter of 2021. Organic growth was primarily driven by the recovery in volume of our business as Pandemic disruptions eased (primarily in Aviation and B&amp;I) and new business within M&amp;D and Te</w:t>
      </w:r>
      <w:r>
        <w:rPr>
          <w:rFonts w:ascii="Arial" w:eastAsia="Times New Roman" w:hAnsi="Arial" w:cs="Arial"/>
          <w:color w:val="000000"/>
          <w:sz w:val="20"/>
          <w:szCs w:val="20"/>
        </w:rPr>
        <w:t xml:space="preserve">chnical Solutions. The increase in revenues was partially offset by a decrease in work orders for pandemic-related demands (primarily in M&amp;D and B&amp;I) and the loss of certain accounts within Education in the third quarter of fiscal year 2021. </w:t>
      </w:r>
    </w:p>
    <w:p w:rsidR="00000000" w:rsidRDefault="0099409C">
      <w:pPr>
        <w:jc w:val="both"/>
        <w:divId w:val="596132840"/>
        <w:rPr>
          <w:rFonts w:eastAsia="Times New Roman"/>
        </w:rPr>
      </w:pPr>
      <w:r>
        <w:rPr>
          <w:rFonts w:ascii="Arial" w:eastAsia="Times New Roman" w:hAnsi="Arial" w:cs="Arial"/>
          <w:b/>
          <w:bCs/>
          <w:i/>
          <w:iCs/>
          <w:color w:val="0046AD"/>
          <w:sz w:val="20"/>
          <w:szCs w:val="20"/>
        </w:rPr>
        <w:t>Operating Exp</w:t>
      </w:r>
      <w:r>
        <w:rPr>
          <w:rFonts w:ascii="Arial" w:eastAsia="Times New Roman" w:hAnsi="Arial" w:cs="Arial"/>
          <w:b/>
          <w:bCs/>
          <w:i/>
          <w:iCs/>
          <w:color w:val="0046AD"/>
          <w:sz w:val="20"/>
          <w:szCs w:val="20"/>
        </w:rPr>
        <w:t>enses</w:t>
      </w:r>
    </w:p>
    <w:p w:rsidR="00000000" w:rsidRDefault="0099409C">
      <w:pPr>
        <w:ind w:firstLine="720"/>
        <w:jc w:val="both"/>
        <w:divId w:val="1191147311"/>
        <w:rPr>
          <w:rFonts w:eastAsia="Times New Roman"/>
        </w:rPr>
      </w:pPr>
      <w:r>
        <w:rPr>
          <w:rFonts w:ascii="Arial" w:eastAsia="Times New Roman" w:hAnsi="Arial" w:cs="Arial"/>
          <w:color w:val="000000"/>
          <w:sz w:val="20"/>
          <w:szCs w:val="20"/>
        </w:rPr>
        <w:t>Operating expenses increased by $1,192.4 million, or 31.3%, to $5,004.4 million during the nine months ended July </w:t>
      </w:r>
      <w:r>
        <w:rPr>
          <w:rFonts w:ascii="Arial" w:eastAsia="Times New Roman" w:hAnsi="Arial" w:cs="Arial"/>
          <w:color w:val="000000"/>
          <w:sz w:val="20"/>
          <w:szCs w:val="20"/>
        </w:rPr>
        <w:t>31, 2022, as compared to the prior year period. Gross margin decreased by 226 bps to 13.7% in the nine months ended July 31, 2022, from 15.9% in the nine months ended July 31, 2021. The decrease in gross margin was primarily driven by the decrease in clean</w:t>
      </w:r>
      <w:r>
        <w:rPr>
          <w:rFonts w:ascii="Arial" w:eastAsia="Times New Roman" w:hAnsi="Arial" w:cs="Arial"/>
          <w:color w:val="000000"/>
          <w:sz w:val="20"/>
          <w:szCs w:val="20"/>
        </w:rPr>
        <w:t>ing services for pandemic-related demands (primarily in M&amp;D and B&amp;I), which have higher margins, and the changes in contract mix due to the Able Acquisition. In addition, gross margin was negatively impacted by an increase in direct labor and related costs</w:t>
      </w:r>
      <w:r>
        <w:rPr>
          <w:rFonts w:ascii="Arial" w:eastAsia="Times New Roman" w:hAnsi="Arial" w:cs="Arial"/>
          <w:color w:val="000000"/>
          <w:sz w:val="20"/>
          <w:szCs w:val="20"/>
        </w:rPr>
        <w:t xml:space="preserve"> (primarily in B&amp;I, Aviation, and Education) and the amortization of intangibles acquired as part of the Able Acquisition. </w:t>
      </w:r>
    </w:p>
    <w:p w:rsidR="00000000" w:rsidRDefault="0099409C">
      <w:pPr>
        <w:jc w:val="both"/>
        <w:divId w:val="1883666206"/>
        <w:rPr>
          <w:rFonts w:eastAsia="Times New Roman"/>
        </w:rPr>
      </w:pPr>
      <w:r>
        <w:rPr>
          <w:rFonts w:ascii="Arial" w:eastAsia="Times New Roman" w:hAnsi="Arial" w:cs="Arial"/>
          <w:b/>
          <w:bCs/>
          <w:i/>
          <w:iCs/>
          <w:color w:val="0046AD"/>
          <w:sz w:val="20"/>
          <w:szCs w:val="20"/>
        </w:rPr>
        <w:t>Selling, General and Administrative Expenses</w:t>
      </w:r>
    </w:p>
    <w:p w:rsidR="00000000" w:rsidRDefault="0099409C">
      <w:pPr>
        <w:jc w:val="both"/>
        <w:divId w:val="1573394549"/>
        <w:rPr>
          <w:rFonts w:eastAsia="Times New Roman"/>
        </w:rPr>
      </w:pPr>
      <w:r>
        <w:rPr>
          <w:rFonts w:ascii="Arial" w:eastAsia="Times New Roman" w:hAnsi="Arial" w:cs="Arial"/>
          <w:color w:val="000000"/>
          <w:sz w:val="20"/>
          <w:szCs w:val="20"/>
        </w:rPr>
        <w:t xml:space="preserve">    Selling, general and administrative expenses decreased by $69.8 million, or 13.0%, </w:t>
      </w:r>
      <w:r>
        <w:rPr>
          <w:rFonts w:ascii="Arial" w:eastAsia="Times New Roman" w:hAnsi="Arial" w:cs="Arial"/>
          <w:color w:val="000000"/>
          <w:sz w:val="20"/>
          <w:szCs w:val="20"/>
        </w:rPr>
        <w:t>to $468.5 million during the nine months ended July 31, 2022, as compared to the nine months ended July 31, 2021. The decrease in selling, general and administrative expenses was primarily attributable to:</w:t>
      </w:r>
    </w:p>
    <w:p w:rsidR="00000000" w:rsidRDefault="0099409C">
      <w:pPr>
        <w:ind w:hanging="360"/>
        <w:jc w:val="both"/>
        <w:divId w:val="1503543050"/>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$151.8 million decrease in legal costs and sett</w:t>
      </w:r>
      <w:r>
        <w:rPr>
          <w:rFonts w:ascii="Arial" w:eastAsia="Times New Roman" w:hAnsi="Arial" w:cs="Arial"/>
          <w:color w:val="000000"/>
          <w:sz w:val="20"/>
          <w:szCs w:val="20"/>
        </w:rPr>
        <w:t xml:space="preserve">lements, of which $142.9 million was attributed to the accrual of a legal reserve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during the nine months ended July 31, 2021;</w:t>
      </w:r>
    </w:p>
    <w:p w:rsidR="00000000" w:rsidRDefault="0099409C">
      <w:pPr>
        <w:jc w:val="center"/>
        <w:divId w:val="1992908449"/>
        <w:rPr>
          <w:rFonts w:eastAsia="Times New Roman"/>
        </w:rPr>
      </w:pPr>
      <w:r>
        <w:rPr>
          <w:rFonts w:ascii="Arial" w:eastAsia="Times New Roman" w:hAnsi="Arial" w:cs="Arial"/>
          <w:color w:val="000000"/>
          <w:sz w:val="20"/>
          <w:szCs w:val="20"/>
        </w:rPr>
        <w:t>33</w:t>
      </w:r>
    </w:p>
    <w:p w:rsidR="00000000" w:rsidRDefault="0099409C">
      <w:pPr>
        <w:rPr>
          <w:rFonts w:eastAsia="Times New Roman"/>
        </w:rPr>
      </w:pPr>
      <w:r>
        <w:rPr>
          <w:rFonts w:eastAsia="Times New Roman"/>
        </w:rPr>
        <w:pict>
          <v:rect id="_x0000_i1067" style="width:0;height:1.5pt" o:hralign="center" o:hrstd="t" o:hr="t" fillcolor="#a0a0a0" stroked="f"/>
        </w:pict>
      </w:r>
    </w:p>
    <w:p w:rsidR="00000000" w:rsidRDefault="0099409C">
      <w:pPr>
        <w:jc w:val="both"/>
        <w:divId w:val="346686474"/>
        <w:rPr>
          <w:rFonts w:eastAsia="Times New Roman"/>
        </w:rPr>
      </w:pPr>
    </w:p>
    <w:p w:rsidR="00000000" w:rsidRDefault="0099409C">
      <w:pPr>
        <w:ind w:hanging="360"/>
        <w:jc w:val="both"/>
        <w:divId w:val="55635896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the absence of a $9.1 million non-cash impairment charge for previously capitalized internal-use software related to our ERP system implementation as we determined that certain components developed will no longer be i</w:t>
      </w:r>
      <w:r>
        <w:rPr>
          <w:rFonts w:ascii="Arial" w:eastAsia="Times New Roman" w:hAnsi="Arial" w:cs="Arial"/>
          <w:color w:val="000000"/>
          <w:sz w:val="20"/>
          <w:szCs w:val="20"/>
        </w:rPr>
        <w:t>ncorporated into the new ERP system during the nine months ended July 31, 2021;</w:t>
      </w:r>
    </w:p>
    <w:p w:rsidR="00000000" w:rsidRDefault="0099409C">
      <w:pPr>
        <w:ind w:hanging="360"/>
        <w:jc w:val="both"/>
        <w:divId w:val="197375565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$7.6 million gain recognized on the sale of a group of customer contracts related to healthcare technology management services within Technical Solutions; and</w:t>
      </w:r>
    </w:p>
    <w:p w:rsidR="00000000" w:rsidRDefault="0099409C">
      <w:pPr>
        <w:ind w:hanging="360"/>
        <w:jc w:val="both"/>
        <w:divId w:val="169780375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$2.8 millio</w:t>
      </w:r>
      <w:r>
        <w:rPr>
          <w:rFonts w:ascii="Arial" w:eastAsia="Times New Roman" w:hAnsi="Arial" w:cs="Arial"/>
          <w:color w:val="000000"/>
          <w:sz w:val="20"/>
          <w:szCs w:val="20"/>
        </w:rPr>
        <w:t>n decrease in bad debt expense.</w:t>
      </w:r>
    </w:p>
    <w:p w:rsidR="00000000" w:rsidRDefault="0099409C">
      <w:pPr>
        <w:jc w:val="both"/>
        <w:divId w:val="1695154891"/>
        <w:rPr>
          <w:rFonts w:eastAsia="Times New Roman"/>
        </w:rPr>
      </w:pPr>
      <w:r>
        <w:rPr>
          <w:rFonts w:ascii="Arial" w:eastAsia="Times New Roman" w:hAnsi="Arial" w:cs="Arial"/>
          <w:color w:val="000000"/>
          <w:sz w:val="20"/>
          <w:szCs w:val="20"/>
        </w:rPr>
        <w:t>This decrease was partially offset by:</w:t>
      </w:r>
    </w:p>
    <w:p w:rsidR="00000000" w:rsidRDefault="0099409C">
      <w:pPr>
        <w:ind w:hanging="360"/>
        <w:jc w:val="both"/>
        <w:divId w:val="65248579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$44.0 million increase in compensation and related expenses primarily attributable to talent acquisition activities; </w:t>
      </w:r>
    </w:p>
    <w:p w:rsidR="00000000" w:rsidRDefault="0099409C">
      <w:pPr>
        <w:ind w:hanging="360"/>
        <w:jc w:val="both"/>
        <w:divId w:val="230965363"/>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$25.3 million increase in certain technology projects primari</w:t>
      </w:r>
      <w:r>
        <w:rPr>
          <w:rFonts w:ascii="Arial" w:eastAsia="Times New Roman" w:hAnsi="Arial" w:cs="Arial"/>
          <w:color w:val="000000"/>
          <w:sz w:val="20"/>
          <w:szCs w:val="20"/>
        </w:rPr>
        <w:t xml:space="preserve">ly attributable to discrete transformational costs under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for developing the new ERP system, client-facing technology, workforce management tools, and data analytics;</w:t>
      </w:r>
    </w:p>
    <w:p w:rsidR="00000000" w:rsidRDefault="0099409C">
      <w:pPr>
        <w:ind w:hanging="360"/>
        <w:jc w:val="both"/>
        <w:divId w:val="594217786"/>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$16.1 million increase related to the Able Acquisition;</w:t>
      </w:r>
    </w:p>
    <w:p w:rsidR="00000000" w:rsidRDefault="0099409C">
      <w:pPr>
        <w:ind w:hanging="360"/>
        <w:jc w:val="both"/>
        <w:divId w:val="814176840"/>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$10.0 m</w:t>
      </w:r>
      <w:r>
        <w:rPr>
          <w:rFonts w:ascii="Arial" w:eastAsia="Times New Roman" w:hAnsi="Arial" w:cs="Arial"/>
          <w:color w:val="000000"/>
          <w:sz w:val="20"/>
          <w:szCs w:val="20"/>
        </w:rPr>
        <w:t>illion increase in acquisition and integration costs attributable to the Able and Momentum acquisitions; and</w:t>
      </w:r>
    </w:p>
    <w:p w:rsidR="00000000" w:rsidRDefault="0099409C">
      <w:pPr>
        <w:ind w:hanging="360"/>
        <w:jc w:val="both"/>
        <w:divId w:val="248269255"/>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$6.7 million decrease in favorable self-insurance adjustments related to prior year claims as the result of actuarial evaluations completed on o</w:t>
      </w:r>
      <w:r>
        <w:rPr>
          <w:rFonts w:ascii="Arial" w:eastAsia="Times New Roman" w:hAnsi="Arial" w:cs="Arial"/>
          <w:color w:val="000000"/>
          <w:sz w:val="20"/>
          <w:szCs w:val="20"/>
        </w:rPr>
        <w:t>ur medical and dental self-insurance plans.</w:t>
      </w:r>
    </w:p>
    <w:p w:rsidR="00000000" w:rsidRDefault="0099409C">
      <w:pPr>
        <w:jc w:val="both"/>
        <w:divId w:val="1682198797"/>
        <w:rPr>
          <w:rFonts w:eastAsia="Times New Roman"/>
        </w:rPr>
      </w:pPr>
      <w:r>
        <w:rPr>
          <w:rFonts w:ascii="Arial" w:eastAsia="Times New Roman" w:hAnsi="Arial" w:cs="Arial"/>
          <w:b/>
          <w:bCs/>
          <w:i/>
          <w:iCs/>
          <w:color w:val="0046AD"/>
          <w:sz w:val="20"/>
          <w:szCs w:val="20"/>
        </w:rPr>
        <w:t>Amortization of Intangible Assets</w:t>
      </w:r>
    </w:p>
    <w:p w:rsidR="00000000" w:rsidRDefault="0099409C">
      <w:pPr>
        <w:ind w:firstLine="720"/>
        <w:jc w:val="both"/>
        <w:divId w:val="1983848166"/>
        <w:rPr>
          <w:rFonts w:eastAsia="Times New Roman"/>
        </w:rPr>
      </w:pPr>
      <w:r>
        <w:rPr>
          <w:rFonts w:ascii="Arial" w:eastAsia="Times New Roman" w:hAnsi="Arial" w:cs="Arial"/>
          <w:color w:val="000000"/>
          <w:sz w:val="20"/>
          <w:szCs w:val="20"/>
        </w:rPr>
        <w:t>Amortization of intangible assets increased by $20.8 million, or 64.8%, to $52.9 million during the nine months ended July 31, 2022, as compared to the nine months ended July 31,</w:t>
      </w:r>
      <w:r>
        <w:rPr>
          <w:rFonts w:ascii="Arial" w:eastAsia="Times New Roman" w:hAnsi="Arial" w:cs="Arial"/>
          <w:color w:val="000000"/>
          <w:sz w:val="20"/>
          <w:szCs w:val="20"/>
        </w:rPr>
        <w:t xml:space="preserve"> 2021. This increase was primarily due to the amortization of intangibles acquired as part of the Able Acquisition.</w:t>
      </w:r>
    </w:p>
    <w:p w:rsidR="00000000" w:rsidRDefault="0099409C">
      <w:pPr>
        <w:jc w:val="both"/>
        <w:divId w:val="1642879682"/>
        <w:rPr>
          <w:rFonts w:eastAsia="Times New Roman"/>
        </w:rPr>
      </w:pPr>
      <w:r>
        <w:rPr>
          <w:rFonts w:ascii="Arial" w:eastAsia="Times New Roman" w:hAnsi="Arial" w:cs="Arial"/>
          <w:b/>
          <w:bCs/>
          <w:i/>
          <w:iCs/>
          <w:color w:val="0046AD"/>
          <w:sz w:val="20"/>
          <w:szCs w:val="20"/>
        </w:rPr>
        <w:t>Interest Expense</w:t>
      </w:r>
    </w:p>
    <w:p w:rsidR="00000000" w:rsidRDefault="0099409C">
      <w:pPr>
        <w:ind w:firstLine="720"/>
        <w:jc w:val="both"/>
        <w:divId w:val="1798377936"/>
        <w:rPr>
          <w:rFonts w:eastAsia="Times New Roman"/>
        </w:rPr>
      </w:pPr>
      <w:r>
        <w:rPr>
          <w:rFonts w:ascii="Arial" w:eastAsia="Times New Roman" w:hAnsi="Arial" w:cs="Arial"/>
          <w:color w:val="000000"/>
          <w:sz w:val="20"/>
          <w:szCs w:val="20"/>
        </w:rPr>
        <w:t>Interest expense increased by $2.6 million, or 11.6%, to $25.2 million during the nine months ended July 31, 2022, as compa</w:t>
      </w:r>
      <w:r>
        <w:rPr>
          <w:rFonts w:ascii="Arial" w:eastAsia="Times New Roman" w:hAnsi="Arial" w:cs="Arial"/>
          <w:color w:val="000000"/>
          <w:sz w:val="20"/>
          <w:szCs w:val="20"/>
        </w:rPr>
        <w:t>red to the nine months ended July 31, 2021, primarily driven by the indebtedness to fund the Able Acquisition and working capital requirements and an increase in the reference rates on our debt borrowings in the second and third quarters of fiscal year 202</w:t>
      </w:r>
      <w:r>
        <w:rPr>
          <w:rFonts w:ascii="Arial" w:eastAsia="Times New Roman" w:hAnsi="Arial" w:cs="Arial"/>
          <w:color w:val="000000"/>
          <w:sz w:val="20"/>
          <w:szCs w:val="20"/>
        </w:rPr>
        <w:t>2. This increase was partially offset by more favorable terms in the current year as the result of amending our credit facility in the third quarter of fiscal year 2021.</w:t>
      </w:r>
    </w:p>
    <w:p w:rsidR="00000000" w:rsidRDefault="0099409C">
      <w:pPr>
        <w:jc w:val="both"/>
        <w:divId w:val="1401101465"/>
        <w:rPr>
          <w:rFonts w:eastAsia="Times New Roman"/>
        </w:rPr>
      </w:pPr>
      <w:r>
        <w:rPr>
          <w:rFonts w:ascii="Arial" w:eastAsia="Times New Roman" w:hAnsi="Arial" w:cs="Arial"/>
          <w:b/>
          <w:bCs/>
          <w:i/>
          <w:iCs/>
          <w:color w:val="0046AD"/>
          <w:sz w:val="20"/>
          <w:szCs w:val="20"/>
        </w:rPr>
        <w:t>Income Taxes from Operations</w:t>
      </w:r>
    </w:p>
    <w:p w:rsidR="00000000" w:rsidRDefault="0099409C">
      <w:pPr>
        <w:ind w:firstLine="720"/>
        <w:jc w:val="both"/>
        <w:divId w:val="419567944"/>
        <w:rPr>
          <w:rFonts w:eastAsia="Times New Roman"/>
        </w:rPr>
      </w:pPr>
      <w:r>
        <w:rPr>
          <w:rFonts w:ascii="Arial" w:eastAsia="Times New Roman" w:hAnsi="Arial" w:cs="Arial"/>
          <w:color w:val="000000"/>
          <w:sz w:val="20"/>
          <w:szCs w:val="20"/>
        </w:rPr>
        <w:t>Our effective tax rates on income from operations for the</w:t>
      </w:r>
      <w:r>
        <w:rPr>
          <w:rFonts w:ascii="Arial" w:eastAsia="Times New Roman" w:hAnsi="Arial" w:cs="Arial"/>
          <w:color w:val="000000"/>
          <w:sz w:val="20"/>
          <w:szCs w:val="20"/>
        </w:rPr>
        <w:t xml:space="preserve"> nine months ended July 31, 2022, and July 31, 2021, were 26.3% and 28.9%, respectively, resulting in provisions for taxes of $64.8 million and $37.4 million, respectively. </w:t>
      </w:r>
    </w:p>
    <w:p w:rsidR="00000000" w:rsidRDefault="0099409C">
      <w:pPr>
        <w:ind w:firstLine="720"/>
        <w:divId w:val="1612206126"/>
        <w:rPr>
          <w:rFonts w:eastAsia="Times New Roman"/>
        </w:rPr>
      </w:pPr>
      <w:r>
        <w:rPr>
          <w:rFonts w:ascii="Arial" w:eastAsia="Times New Roman" w:hAnsi="Arial" w:cs="Arial"/>
          <w:color w:val="000000"/>
          <w:sz w:val="20"/>
          <w:szCs w:val="20"/>
        </w:rPr>
        <w:t xml:space="preserve">Our effective tax rate for the nine months ended July 31, 2022, was impacted by a </w:t>
      </w:r>
      <w:r>
        <w:rPr>
          <w:rFonts w:ascii="Arial" w:eastAsia="Times New Roman" w:hAnsi="Arial" w:cs="Arial"/>
          <w:color w:val="000000"/>
          <w:sz w:val="20"/>
          <w:szCs w:val="20"/>
        </w:rPr>
        <w:t>$3.3 million benefit from change in tax reserves. Our effective tax rate for the nine months ended July 31, 2021, was impacted by a $3.1 million provision from change of tax reserves and a $1.1 million benefit from energy efficiency incentives.</w:t>
      </w:r>
    </w:p>
    <w:p w:rsidR="00000000" w:rsidRDefault="0099409C">
      <w:pPr>
        <w:jc w:val="both"/>
        <w:divId w:val="54401698"/>
        <w:rPr>
          <w:rFonts w:eastAsia="Times New Roman"/>
        </w:rPr>
      </w:pPr>
      <w:r>
        <w:rPr>
          <w:rFonts w:ascii="Arial" w:eastAsia="Times New Roman" w:hAnsi="Arial" w:cs="Arial"/>
          <w:b/>
          <w:bCs/>
          <w:i/>
          <w:iCs/>
          <w:color w:val="0046AD"/>
          <w:sz w:val="20"/>
          <w:szCs w:val="20"/>
        </w:rPr>
        <w:t>Interest Ra</w:t>
      </w:r>
      <w:r>
        <w:rPr>
          <w:rFonts w:ascii="Arial" w:eastAsia="Times New Roman" w:hAnsi="Arial" w:cs="Arial"/>
          <w:b/>
          <w:bCs/>
          <w:i/>
          <w:iCs/>
          <w:color w:val="0046AD"/>
          <w:sz w:val="20"/>
          <w:szCs w:val="20"/>
        </w:rPr>
        <w:t>te Swaps</w:t>
      </w:r>
    </w:p>
    <w:p w:rsidR="00000000" w:rsidRDefault="0099409C">
      <w:pPr>
        <w:ind w:firstLine="720"/>
        <w:jc w:val="both"/>
        <w:divId w:val="973563002"/>
        <w:rPr>
          <w:rFonts w:eastAsia="Times New Roman"/>
        </w:rPr>
      </w:pPr>
      <w:r>
        <w:rPr>
          <w:rFonts w:ascii="Arial" w:eastAsia="Times New Roman" w:hAnsi="Arial" w:cs="Arial"/>
          <w:color w:val="000000"/>
          <w:sz w:val="20"/>
          <w:szCs w:val="20"/>
        </w:rPr>
        <w:t>Interest rate swaps gain increased by $2.7 million, or 78.4%, to $6.2 million during the nine months ended July 31, 2022, as compared to the prior year period, primarily due to new interest rate swaps executed in the second and third quarters of f</w:t>
      </w:r>
      <w:r>
        <w:rPr>
          <w:rFonts w:ascii="Arial" w:eastAsia="Times New Roman" w:hAnsi="Arial" w:cs="Arial"/>
          <w:color w:val="000000"/>
          <w:sz w:val="20"/>
          <w:szCs w:val="20"/>
        </w:rPr>
        <w:t xml:space="preserve">iscal year 2022 and to underlying changes in the fair value of our interest rate swaps. </w:t>
      </w:r>
    </w:p>
    <w:p w:rsidR="00000000" w:rsidRDefault="0099409C">
      <w:pPr>
        <w:jc w:val="both"/>
        <w:divId w:val="1422070754"/>
        <w:rPr>
          <w:rFonts w:eastAsia="Times New Roman"/>
        </w:rPr>
      </w:pPr>
      <w:r>
        <w:rPr>
          <w:rFonts w:ascii="Arial" w:eastAsia="Times New Roman" w:hAnsi="Arial" w:cs="Arial"/>
          <w:b/>
          <w:bCs/>
          <w:i/>
          <w:iCs/>
          <w:color w:val="0046AD"/>
          <w:sz w:val="20"/>
          <w:szCs w:val="20"/>
        </w:rPr>
        <w:t>Foreign Currency Translation</w:t>
      </w:r>
    </w:p>
    <w:p w:rsidR="00000000" w:rsidRDefault="0099409C">
      <w:pPr>
        <w:jc w:val="both"/>
        <w:divId w:val="1227062764"/>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We had a foreign currency translation loss of $15.1 million during the nine months ended July 31, 2022, as compared to a foreign currency translation gain of $5.3 million during the nine months ended July 31, 2021. This change was due to fluctuations in th</w:t>
      </w:r>
      <w:r>
        <w:rPr>
          <w:rFonts w:ascii="Arial" w:eastAsia="Times New Roman" w:hAnsi="Arial" w:cs="Arial"/>
          <w:color w:val="000000"/>
          <w:sz w:val="20"/>
          <w:szCs w:val="20"/>
        </w:rPr>
        <w:t xml:space="preserve">e exchange rate between the USD and the GBP. Future gains and losses on </w:t>
      </w:r>
    </w:p>
    <w:p w:rsidR="00000000" w:rsidRDefault="0099409C">
      <w:pPr>
        <w:jc w:val="center"/>
        <w:divId w:val="1898274549"/>
        <w:rPr>
          <w:rFonts w:eastAsia="Times New Roman"/>
        </w:rPr>
      </w:pPr>
      <w:r>
        <w:rPr>
          <w:rFonts w:ascii="Arial" w:eastAsia="Times New Roman" w:hAnsi="Arial" w:cs="Arial"/>
          <w:color w:val="000000"/>
          <w:sz w:val="20"/>
          <w:szCs w:val="20"/>
        </w:rPr>
        <w:t>34</w:t>
      </w:r>
    </w:p>
    <w:p w:rsidR="00000000" w:rsidRDefault="0099409C">
      <w:pPr>
        <w:rPr>
          <w:rFonts w:eastAsia="Times New Roman"/>
        </w:rPr>
      </w:pPr>
      <w:r>
        <w:rPr>
          <w:rFonts w:eastAsia="Times New Roman"/>
        </w:rPr>
        <w:pict>
          <v:rect id="_x0000_i1068" style="width:0;height:1.5pt" o:hralign="center" o:hrstd="t" o:hr="t" fillcolor="#a0a0a0" stroked="f"/>
        </w:pict>
      </w:r>
    </w:p>
    <w:p w:rsidR="00000000" w:rsidRDefault="0099409C">
      <w:pPr>
        <w:jc w:val="both"/>
        <w:divId w:val="688527503"/>
        <w:rPr>
          <w:rFonts w:eastAsia="Times New Roman"/>
        </w:rPr>
      </w:pPr>
    </w:p>
    <w:p w:rsidR="00000000" w:rsidRDefault="0099409C">
      <w:pPr>
        <w:jc w:val="both"/>
        <w:divId w:val="633028577"/>
        <w:rPr>
          <w:rFonts w:eastAsia="Times New Roman"/>
        </w:rPr>
      </w:pPr>
      <w:r>
        <w:rPr>
          <w:rFonts w:ascii="Arial" w:eastAsia="Times New Roman" w:hAnsi="Arial" w:cs="Arial"/>
          <w:color w:val="000000"/>
          <w:sz w:val="20"/>
          <w:szCs w:val="20"/>
        </w:rPr>
        <w:t>foreign currency translation will be dependent upon changes in the relative value of foreign currencies to the USD and the extent of our forei</w:t>
      </w:r>
      <w:r>
        <w:rPr>
          <w:rFonts w:ascii="Arial" w:eastAsia="Times New Roman" w:hAnsi="Arial" w:cs="Arial"/>
          <w:color w:val="000000"/>
          <w:sz w:val="20"/>
          <w:szCs w:val="20"/>
        </w:rPr>
        <w:t xml:space="preserve">gn assets and liabilities. </w:t>
      </w:r>
    </w:p>
    <w:p w:rsidR="00000000" w:rsidRDefault="0099409C">
      <w:pPr>
        <w:jc w:val="center"/>
        <w:divId w:val="947591002"/>
        <w:rPr>
          <w:rFonts w:eastAsia="Times New Roman"/>
        </w:rPr>
      </w:pPr>
      <w:r>
        <w:rPr>
          <w:rFonts w:ascii="Arial" w:eastAsia="Times New Roman" w:hAnsi="Arial" w:cs="Arial"/>
          <w:color w:val="000000"/>
          <w:sz w:val="20"/>
          <w:szCs w:val="20"/>
        </w:rPr>
        <w:t>35</w:t>
      </w:r>
    </w:p>
    <w:p w:rsidR="00000000" w:rsidRDefault="0099409C">
      <w:pPr>
        <w:rPr>
          <w:rFonts w:eastAsia="Times New Roman"/>
        </w:rPr>
      </w:pPr>
      <w:r>
        <w:rPr>
          <w:rFonts w:eastAsia="Times New Roman"/>
        </w:rPr>
        <w:pict>
          <v:rect id="_x0000_i1069" style="width:0;height:1.5pt" o:hralign="center" o:hrstd="t" o:hr="t" fillcolor="#a0a0a0" stroked="f"/>
        </w:pict>
      </w:r>
    </w:p>
    <w:p w:rsidR="00000000" w:rsidRDefault="0099409C">
      <w:pPr>
        <w:jc w:val="both"/>
        <w:divId w:val="1944410379"/>
        <w:rPr>
          <w:rFonts w:eastAsia="Times New Roman"/>
        </w:rPr>
      </w:pPr>
    </w:p>
    <w:p w:rsidR="00000000" w:rsidRDefault="0099409C">
      <w:pPr>
        <w:divId w:val="1792551224"/>
        <w:rPr>
          <w:rFonts w:eastAsia="Times New Roman"/>
        </w:rPr>
      </w:pPr>
      <w:r>
        <w:rPr>
          <w:rFonts w:ascii="Arial" w:eastAsia="Times New Roman" w:hAnsi="Arial" w:cs="Arial"/>
          <w:b/>
          <w:bCs/>
          <w:i/>
          <w:iCs/>
          <w:color w:val="0046AD"/>
          <w:sz w:val="20"/>
          <w:szCs w:val="20"/>
        </w:rPr>
        <w:t>Segment Information</w:t>
      </w:r>
    </w:p>
    <w:p w:rsidR="00000000" w:rsidRDefault="0099409C">
      <w:pPr>
        <w:jc w:val="both"/>
        <w:divId w:val="1787508297"/>
        <w:rPr>
          <w:rFonts w:eastAsia="Times New Roman"/>
        </w:rPr>
      </w:pPr>
      <w:r>
        <w:rPr>
          <w:rFonts w:ascii="Arial" w:eastAsia="Times New Roman" w:hAnsi="Arial" w:cs="Arial"/>
          <w:b/>
          <w:bCs/>
          <w:i/>
          <w:iCs/>
          <w:color w:val="0046AD"/>
          <w:sz w:val="20"/>
          <w:szCs w:val="20"/>
        </w:rPr>
        <w:t>Financial Information for Each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3961"/>
        <w:gridCol w:w="38"/>
        <w:gridCol w:w="121"/>
        <w:gridCol w:w="946"/>
        <w:gridCol w:w="163"/>
        <w:gridCol w:w="36"/>
        <w:gridCol w:w="36"/>
        <w:gridCol w:w="36"/>
        <w:gridCol w:w="121"/>
        <w:gridCol w:w="886"/>
        <w:gridCol w:w="163"/>
        <w:gridCol w:w="36"/>
        <w:gridCol w:w="36"/>
        <w:gridCol w:w="36"/>
        <w:gridCol w:w="121"/>
        <w:gridCol w:w="667"/>
        <w:gridCol w:w="36"/>
        <w:gridCol w:w="36"/>
        <w:gridCol w:w="36"/>
        <w:gridCol w:w="36"/>
        <w:gridCol w:w="63"/>
        <w:gridCol w:w="620"/>
        <w:gridCol w:w="36"/>
      </w:tblGrid>
      <w:tr w:rsidR="00000000">
        <w:trPr>
          <w:divId w:val="608321859"/>
        </w:trPr>
        <w:tc>
          <w:tcPr>
            <w:tcW w:w="50" w:type="pct"/>
            <w:vAlign w:val="center"/>
            <w:hideMark/>
          </w:tcPr>
          <w:p w:rsidR="00000000" w:rsidRDefault="0099409C">
            <w:pPr>
              <w:jc w:val="both"/>
              <w:rPr>
                <w:rFonts w:eastAsia="Times New Roman"/>
              </w:rPr>
            </w:pPr>
          </w:p>
        </w:tc>
        <w:tc>
          <w:tcPr>
            <w:tcW w:w="243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1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61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7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7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608321859"/>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Nine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608321859"/>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608321859"/>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608321859"/>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3,067.0 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2,046.9 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1,020.1 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49.8%</w:t>
            </w:r>
          </w:p>
        </w:tc>
      </w:tr>
      <w:tr w:rsidR="00000000">
        <w:trPr>
          <w:divId w:val="608321859"/>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1,074.1 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1,021.5 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52.6 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5.1%</w:t>
            </w:r>
          </w:p>
        </w:tc>
      </w:tr>
      <w:tr w:rsidR="00000000">
        <w:trPr>
          <w:divId w:val="608321859"/>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617.6 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627.8 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(10.2)</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(1.6)%</w:t>
            </w:r>
          </w:p>
        </w:tc>
      </w:tr>
      <w:tr w:rsidR="00000000">
        <w:trPr>
          <w:divId w:val="608321859"/>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589.7 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454.7 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135.0 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29.7%</w:t>
            </w:r>
          </w:p>
        </w:tc>
      </w:tr>
      <w:tr w:rsidR="00000000">
        <w:trPr>
          <w:divId w:val="608321859"/>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447.2 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382.1 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65.1 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17.0%</w:t>
            </w:r>
          </w:p>
        </w:tc>
      </w:tr>
      <w:tr w:rsidR="00000000">
        <w:trPr>
          <w:divId w:val="608321859"/>
        </w:trPr>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5,795.5 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4,533.0 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1,262.5 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27.9%</w:t>
            </w:r>
          </w:p>
        </w:tc>
      </w:tr>
      <w:tr w:rsidR="00000000">
        <w:trPr>
          <w:divId w:val="608321859"/>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Operating profit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608321859"/>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242.4 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216.4 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26.0 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12.1%</w:t>
            </w:r>
          </w:p>
        </w:tc>
      </w:tr>
      <w:tr w:rsidR="00000000">
        <w:trPr>
          <w:divId w:val="608321859"/>
        </w:trPr>
        <w:tc>
          <w:tcPr>
            <w:tcW w:w="0" w:type="auto"/>
            <w:gridSpan w:val="3"/>
            <w:shd w:val="clear" w:color="auto" w:fill="FFFFF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7.9 </w:t>
            </w:r>
          </w:p>
        </w:tc>
        <w:tc>
          <w:tcPr>
            <w:tcW w:w="0" w:type="auto"/>
            <w:shd w:val="clear" w:color="auto" w:fill="FFFFF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10.6 </w:t>
            </w:r>
          </w:p>
        </w:tc>
        <w:tc>
          <w:tcPr>
            <w:tcW w:w="0" w:type="auto"/>
            <w:shd w:val="clear" w:color="auto" w:fill="FFFFF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 xml:space="preserve">(266) bps </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608321859"/>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120.6 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118.5 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1.8%</w:t>
            </w:r>
          </w:p>
        </w:tc>
      </w:tr>
      <w:tr w:rsidR="00000000">
        <w:trPr>
          <w:divId w:val="608321859"/>
        </w:trPr>
        <w:tc>
          <w:tcPr>
            <w:tcW w:w="0" w:type="auto"/>
            <w:gridSpan w:val="3"/>
            <w:shd w:val="clear" w:color="auto" w:fill="FFFFF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11.2 </w:t>
            </w:r>
          </w:p>
        </w:tc>
        <w:tc>
          <w:tcPr>
            <w:tcW w:w="0" w:type="auto"/>
            <w:shd w:val="clear" w:color="auto" w:fill="FFFFF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11.6 </w:t>
            </w:r>
          </w:p>
        </w:tc>
        <w:tc>
          <w:tcPr>
            <w:tcW w:w="0" w:type="auto"/>
            <w:shd w:val="clear" w:color="auto" w:fill="FFFFF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 xml:space="preserve">(37) bps </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608321859"/>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38.8 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53.4 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(14.6)</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(27.4)%</w:t>
            </w:r>
          </w:p>
        </w:tc>
      </w:tr>
      <w:tr w:rsidR="00000000">
        <w:trPr>
          <w:divId w:val="608321859"/>
        </w:trPr>
        <w:tc>
          <w:tcPr>
            <w:tcW w:w="0" w:type="auto"/>
            <w:gridSpan w:val="3"/>
            <w:shd w:val="clear" w:color="auto" w:fill="FFFFF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6.3 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8.5 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 xml:space="preserve">(223) bps </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608321859"/>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28.0 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18.9 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48.7%</w:t>
            </w:r>
          </w:p>
        </w:tc>
      </w:tr>
      <w:tr w:rsidR="00000000">
        <w:trPr>
          <w:divId w:val="608321859"/>
        </w:trPr>
        <w:tc>
          <w:tcPr>
            <w:tcW w:w="0" w:type="auto"/>
            <w:gridSpan w:val="3"/>
            <w:shd w:val="clear" w:color="auto" w:fill="FFFFF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4.8 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4.1 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 xml:space="preserve">61 bps </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608321859"/>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42.8 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30.6 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12.2 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40.0%</w:t>
            </w:r>
          </w:p>
        </w:tc>
      </w:tr>
      <w:tr w:rsidR="00000000">
        <w:trPr>
          <w:divId w:val="608321859"/>
        </w:trPr>
        <w:tc>
          <w:tcPr>
            <w:tcW w:w="0" w:type="auto"/>
            <w:gridSpan w:val="3"/>
            <w:shd w:val="clear" w:color="auto" w:fill="FFFFF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9.6 </w:t>
            </w:r>
          </w:p>
        </w:tc>
        <w:tc>
          <w:tcPr>
            <w:tcW w:w="0" w:type="auto"/>
            <w:shd w:val="clear" w:color="auto" w:fill="FFFFF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8.0 </w:t>
            </w:r>
          </w:p>
        </w:tc>
        <w:tc>
          <w:tcPr>
            <w:tcW w:w="0" w:type="auto"/>
            <w:shd w:val="clear" w:color="auto" w:fill="FFFFF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 xml:space="preserve">157 bps </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608321859"/>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(0.3)</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NM*</w:t>
            </w:r>
          </w:p>
        </w:tc>
      </w:tr>
      <w:tr w:rsidR="00000000">
        <w:trPr>
          <w:divId w:val="608321859"/>
        </w:trPr>
        <w:tc>
          <w:tcPr>
            <w:tcW w:w="0" w:type="auto"/>
            <w:gridSpan w:val="3"/>
            <w:shd w:val="clear" w:color="auto" w:fill="FFFFF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margin</w:t>
            </w: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 xml:space="preserve">— bps </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608321859"/>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Corporate</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(200.6)</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(284.5)</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83.9 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29.5%</w:t>
            </w:r>
          </w:p>
        </w:tc>
      </w:tr>
      <w:tr w:rsidR="00000000">
        <w:trPr>
          <w:divId w:val="608321859"/>
        </w:trPr>
        <w:tc>
          <w:tcPr>
            <w:tcW w:w="0" w:type="auto"/>
            <w:gridSpan w:val="3"/>
            <w:shd w:val="clear" w:color="auto" w:fill="FFFFFF"/>
            <w:tcMar>
              <w:top w:w="30" w:type="dxa"/>
              <w:left w:w="200" w:type="dxa"/>
              <w:bottom w:w="30" w:type="dxa"/>
              <w:right w:w="20" w:type="dxa"/>
            </w:tcMar>
            <w:vAlign w:val="bottom"/>
            <w:hideMark/>
          </w:tcPr>
          <w:p w:rsidR="00000000" w:rsidRDefault="0099409C">
            <w:pPr>
              <w:spacing w:after="100"/>
              <w:ind w:hanging="180"/>
              <w:rPr>
                <w:rFonts w:eastAsia="Times New Roman"/>
              </w:rPr>
            </w:pPr>
            <w:r>
              <w:rPr>
                <w:rFonts w:ascii="Arial" w:eastAsia="Times New Roman" w:hAnsi="Arial" w:cs="Arial"/>
                <w:color w:val="000000"/>
                <w:sz w:val="18"/>
                <w:szCs w:val="18"/>
              </w:rPr>
              <w:t>Adjustment for income from unconsolidated affiliates, included in Aviation and Technical Solutions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(1.8)</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(1.4)</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(0.5)</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(33.7)%</w:t>
            </w:r>
          </w:p>
        </w:tc>
      </w:tr>
      <w:tr w:rsidR="00000000">
        <w:trPr>
          <w:divId w:val="608321859"/>
        </w:trPr>
        <w:tc>
          <w:tcPr>
            <w:tcW w:w="0" w:type="auto"/>
            <w:gridSpan w:val="3"/>
            <w:shd w:val="clear" w:color="auto" w:fill="DCE2EF"/>
            <w:tcMar>
              <w:top w:w="30" w:type="dxa"/>
              <w:left w:w="200" w:type="dxa"/>
              <w:bottom w:w="30" w:type="dxa"/>
              <w:right w:w="20" w:type="dxa"/>
            </w:tcMar>
            <w:vAlign w:val="bottom"/>
            <w:hideMark/>
          </w:tcPr>
          <w:p w:rsidR="00000000" w:rsidRDefault="0099409C">
            <w:pPr>
              <w:spacing w:after="100"/>
              <w:ind w:hanging="180"/>
              <w:rPr>
                <w:rFonts w:eastAsia="Times New Roman"/>
              </w:rPr>
            </w:pPr>
            <w:r>
              <w:rPr>
                <w:rFonts w:ascii="Arial" w:eastAsia="Times New Roman" w:hAnsi="Arial" w:cs="Arial"/>
                <w:color w:val="000000"/>
                <w:sz w:val="18"/>
                <w:szCs w:val="18"/>
              </w:rPr>
              <w:t>Adjustment for tax deductions for energy efficient government buildings, included in Technical Solutions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(0.3)</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(1.1)</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76.5%</w:t>
            </w:r>
          </w:p>
        </w:tc>
      </w:tr>
      <w:tr w:rsidR="00000000">
        <w:trPr>
          <w:divId w:val="608321859"/>
        </w:trPr>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269.7 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150.6 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119.1 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79.0%</w:t>
            </w:r>
          </w:p>
        </w:tc>
      </w:tr>
    </w:tbl>
    <w:p w:rsidR="00000000" w:rsidRDefault="0099409C">
      <w:pPr>
        <w:divId w:val="1246383499"/>
        <w:rPr>
          <w:rFonts w:eastAsia="Times New Roman"/>
        </w:rPr>
      </w:pPr>
      <w:r>
        <w:rPr>
          <w:rFonts w:ascii="Arial" w:eastAsia="Times New Roman" w:hAnsi="Arial" w:cs="Arial"/>
          <w:color w:val="000000"/>
          <w:sz w:val="18"/>
          <w:szCs w:val="18"/>
        </w:rPr>
        <w:t>*Not meaningful</w:t>
      </w:r>
    </w:p>
    <w:tbl>
      <w:tblPr>
        <w:tblW w:w="5000" w:type="pct"/>
        <w:tblCellMar>
          <w:top w:w="15" w:type="dxa"/>
          <w:left w:w="15" w:type="dxa"/>
          <w:bottom w:w="15" w:type="dxa"/>
          <w:right w:w="15" w:type="dxa"/>
        </w:tblCellMar>
        <w:tblLook w:val="04A0" w:firstRow="1" w:lastRow="0" w:firstColumn="1" w:lastColumn="0" w:noHBand="0" w:noVBand="1"/>
      </w:tblPr>
      <w:tblGrid>
        <w:gridCol w:w="37"/>
        <w:gridCol w:w="2674"/>
        <w:gridCol w:w="36"/>
        <w:gridCol w:w="121"/>
        <w:gridCol w:w="1165"/>
        <w:gridCol w:w="163"/>
        <w:gridCol w:w="36"/>
        <w:gridCol w:w="36"/>
        <w:gridCol w:w="36"/>
        <w:gridCol w:w="121"/>
        <w:gridCol w:w="1093"/>
        <w:gridCol w:w="163"/>
        <w:gridCol w:w="36"/>
        <w:gridCol w:w="36"/>
        <w:gridCol w:w="36"/>
        <w:gridCol w:w="121"/>
        <w:gridCol w:w="1106"/>
        <w:gridCol w:w="36"/>
        <w:gridCol w:w="36"/>
        <w:gridCol w:w="36"/>
        <w:gridCol w:w="36"/>
        <w:gridCol w:w="37"/>
        <w:gridCol w:w="1073"/>
        <w:gridCol w:w="36"/>
      </w:tblGrid>
      <w:tr w:rsidR="00000000">
        <w:trPr>
          <w:divId w:val="1049692250"/>
        </w:trPr>
        <w:tc>
          <w:tcPr>
            <w:tcW w:w="50" w:type="pct"/>
            <w:vAlign w:val="center"/>
            <w:hideMark/>
          </w:tcPr>
          <w:p w:rsidR="00000000" w:rsidRDefault="0099409C">
            <w:pPr>
              <w:rPr>
                <w:rFonts w:eastAsia="Times New Roman"/>
              </w:rPr>
            </w:pPr>
          </w:p>
        </w:tc>
        <w:tc>
          <w:tcPr>
            <w:tcW w:w="166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4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3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4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3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049692250"/>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i/>
                <w:iCs/>
                <w:color w:val="0046AD"/>
                <w:sz w:val="18"/>
                <w:szCs w:val="18"/>
              </w:rPr>
              <w:t>Business &amp; Industry</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049692250"/>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Nine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049692250"/>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1049692250"/>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3,067.0 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2,046.9 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1,020.1 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49.8%</w:t>
            </w:r>
          </w:p>
        </w:tc>
      </w:tr>
      <w:tr w:rsidR="00000000">
        <w:trPr>
          <w:divId w:val="1049692250"/>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242.4 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216.4 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26.0 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12.1%</w:t>
            </w:r>
          </w:p>
        </w:tc>
      </w:tr>
      <w:tr w:rsidR="00000000">
        <w:trPr>
          <w:divId w:val="1049692250"/>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7.9 </w:t>
            </w:r>
          </w:p>
        </w:tc>
        <w:tc>
          <w:tcPr>
            <w:tcW w:w="0" w:type="auto"/>
            <w:shd w:val="clear" w:color="auto" w:fill="DCE2E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10.6 </w:t>
            </w:r>
          </w:p>
        </w:tc>
        <w:tc>
          <w:tcPr>
            <w:tcW w:w="0" w:type="auto"/>
            <w:shd w:val="clear" w:color="auto" w:fill="DCE2E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(266) bps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ind w:firstLine="720"/>
        <w:jc w:val="both"/>
        <w:divId w:val="2094010358"/>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I revenues increased by $1,020.1 million, or 49.8%, to $3,067.0 million during the nine months ended July 31, 2022, as compared to the prior year period. Revenue growth was comprised of acquisition growth of 43.9% and organic growth of 6.0%. Acquisition gr</w:t>
      </w:r>
      <w:r>
        <w:rPr>
          <w:rFonts w:ascii="Arial" w:eastAsia="Times New Roman" w:hAnsi="Arial" w:cs="Arial"/>
          <w:color w:val="000000"/>
          <w:sz w:val="20"/>
          <w:szCs w:val="20"/>
        </w:rPr>
        <w:t>owth was primarily driven by a $874.9 million revenue increase due to the Able Acquisition, completed in the fourth quarter of 2021. Organic growth was primarily driven by the recovery of certain accounts as Pandemic-related disruptions continue to ease an</w:t>
      </w:r>
      <w:r>
        <w:rPr>
          <w:rFonts w:ascii="Arial" w:eastAsia="Times New Roman" w:hAnsi="Arial" w:cs="Arial"/>
          <w:color w:val="000000"/>
          <w:sz w:val="20"/>
          <w:szCs w:val="20"/>
        </w:rPr>
        <w:t xml:space="preserve">d targeted expansion of certain key clients, while partially offset by decrease in pandemic-related cleaning services. Management reimbursement revenues for this segment totaled $165.0 million and $134.1 million for the nine months ended July 31, 2022 and </w:t>
      </w:r>
      <w:r>
        <w:rPr>
          <w:rFonts w:ascii="Arial" w:eastAsia="Times New Roman" w:hAnsi="Arial" w:cs="Arial"/>
          <w:color w:val="000000"/>
          <w:sz w:val="20"/>
          <w:szCs w:val="20"/>
        </w:rPr>
        <w:t>2021, respectively.</w:t>
      </w:r>
    </w:p>
    <w:p w:rsidR="00000000" w:rsidRDefault="0099409C">
      <w:pPr>
        <w:ind w:firstLine="720"/>
        <w:jc w:val="both"/>
        <w:divId w:val="1689677818"/>
        <w:rPr>
          <w:rFonts w:eastAsia="Times New Roman"/>
        </w:rPr>
      </w:pPr>
      <w:r>
        <w:rPr>
          <w:rFonts w:ascii="Arial" w:eastAsia="Times New Roman" w:hAnsi="Arial" w:cs="Arial"/>
          <w:color w:val="000000"/>
          <w:sz w:val="20"/>
          <w:szCs w:val="20"/>
        </w:rPr>
        <w:t>Operating profit increased by $26.0 million, or 12.1%, to $242.4 million during the nine months ended July </w:t>
      </w:r>
      <w:r>
        <w:rPr>
          <w:rFonts w:ascii="Arial" w:eastAsia="Times New Roman" w:hAnsi="Arial" w:cs="Arial"/>
          <w:color w:val="000000"/>
          <w:sz w:val="20"/>
          <w:szCs w:val="20"/>
        </w:rPr>
        <w:t xml:space="preserve">31, 2022, as compared to the prior year period. Operating profit margin decreased by 266 bps to 7.9% in the nine months ended July 31, 2022, from 10.6% in the nine months ended July 31, 2021. The decrease in operating </w:t>
      </w:r>
    </w:p>
    <w:p w:rsidR="00000000" w:rsidRDefault="0099409C">
      <w:pPr>
        <w:jc w:val="center"/>
        <w:divId w:val="1692947703"/>
        <w:rPr>
          <w:rFonts w:eastAsia="Times New Roman"/>
        </w:rPr>
      </w:pPr>
      <w:r>
        <w:rPr>
          <w:rFonts w:ascii="Arial" w:eastAsia="Times New Roman" w:hAnsi="Arial" w:cs="Arial"/>
          <w:color w:val="000000"/>
          <w:sz w:val="20"/>
          <w:szCs w:val="20"/>
        </w:rPr>
        <w:t>36</w:t>
      </w:r>
    </w:p>
    <w:p w:rsidR="00000000" w:rsidRDefault="0099409C">
      <w:pPr>
        <w:rPr>
          <w:rFonts w:eastAsia="Times New Roman"/>
        </w:rPr>
      </w:pPr>
      <w:r>
        <w:rPr>
          <w:rFonts w:eastAsia="Times New Roman"/>
        </w:rPr>
        <w:pict>
          <v:rect id="_x0000_i1070" style="width:0;height:1.5pt" o:hralign="center" o:hrstd="t" o:hr="t" fillcolor="#a0a0a0" stroked="f"/>
        </w:pict>
      </w:r>
    </w:p>
    <w:p w:rsidR="00000000" w:rsidRDefault="0099409C">
      <w:pPr>
        <w:jc w:val="both"/>
        <w:divId w:val="842352250"/>
        <w:rPr>
          <w:rFonts w:eastAsia="Times New Roman"/>
        </w:rPr>
      </w:pPr>
    </w:p>
    <w:p w:rsidR="00000000" w:rsidRDefault="0099409C">
      <w:pPr>
        <w:jc w:val="both"/>
        <w:divId w:val="702828473"/>
        <w:rPr>
          <w:rFonts w:eastAsia="Times New Roman"/>
        </w:rPr>
      </w:pPr>
      <w:r>
        <w:rPr>
          <w:rFonts w:ascii="Arial" w:eastAsia="Times New Roman" w:hAnsi="Arial" w:cs="Arial"/>
          <w:color w:val="000000"/>
          <w:sz w:val="20"/>
          <w:szCs w:val="20"/>
        </w:rPr>
        <w:t xml:space="preserve">profit margin was primarily driven by an increase in direct labor and related costs due to a limited labor supply in certain non-union markets; a decrease in pandemic-related cleaning services, which have higher margins; and changes in contract mix as </w:t>
      </w:r>
      <w:r>
        <w:rPr>
          <w:rFonts w:ascii="Arial" w:eastAsia="Times New Roman" w:hAnsi="Arial" w:cs="Arial"/>
          <w:color w:val="000000"/>
          <w:sz w:val="20"/>
          <w:szCs w:val="20"/>
        </w:rPr>
        <w:t>a result of the Able Acquisition. In addition, operating profit margin was negatively impacted by the amortization of intangibles acquired as part of the Able Acquisition.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2673"/>
        <w:gridCol w:w="36"/>
        <w:gridCol w:w="121"/>
        <w:gridCol w:w="1165"/>
        <w:gridCol w:w="163"/>
        <w:gridCol w:w="36"/>
        <w:gridCol w:w="36"/>
        <w:gridCol w:w="36"/>
        <w:gridCol w:w="121"/>
        <w:gridCol w:w="1092"/>
        <w:gridCol w:w="163"/>
        <w:gridCol w:w="36"/>
        <w:gridCol w:w="36"/>
        <w:gridCol w:w="36"/>
        <w:gridCol w:w="122"/>
        <w:gridCol w:w="1104"/>
        <w:gridCol w:w="37"/>
        <w:gridCol w:w="37"/>
        <w:gridCol w:w="37"/>
        <w:gridCol w:w="37"/>
        <w:gridCol w:w="36"/>
        <w:gridCol w:w="1072"/>
        <w:gridCol w:w="36"/>
      </w:tblGrid>
      <w:tr w:rsidR="00000000">
        <w:trPr>
          <w:divId w:val="585114623"/>
        </w:trPr>
        <w:tc>
          <w:tcPr>
            <w:tcW w:w="50" w:type="pct"/>
            <w:vAlign w:val="center"/>
            <w:hideMark/>
          </w:tcPr>
          <w:p w:rsidR="00000000" w:rsidRDefault="0099409C">
            <w:pPr>
              <w:jc w:val="both"/>
              <w:rPr>
                <w:rFonts w:eastAsia="Times New Roman"/>
              </w:rPr>
            </w:pPr>
          </w:p>
        </w:tc>
        <w:tc>
          <w:tcPr>
            <w:tcW w:w="166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4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3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4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3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585114623"/>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i/>
                <w:iCs/>
                <w:color w:val="0046AD"/>
                <w:sz w:val="18"/>
                <w:szCs w:val="18"/>
              </w:rPr>
              <w:t>Manufacturing &amp; Distribution</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585114623"/>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Nine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585114623"/>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585114623"/>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1,074.1 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1,021.5 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52.6 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5.1%</w:t>
            </w:r>
          </w:p>
        </w:tc>
      </w:tr>
      <w:tr w:rsidR="00000000">
        <w:trPr>
          <w:divId w:val="585114623"/>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120.6 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118.5 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1.8%</w:t>
            </w:r>
          </w:p>
        </w:tc>
      </w:tr>
      <w:tr w:rsidR="00000000">
        <w:trPr>
          <w:divId w:val="585114623"/>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11.2 </w:t>
            </w:r>
          </w:p>
        </w:tc>
        <w:tc>
          <w:tcPr>
            <w:tcW w:w="0" w:type="auto"/>
            <w:shd w:val="clear" w:color="auto" w:fill="DCE2E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11.6 </w:t>
            </w:r>
          </w:p>
        </w:tc>
        <w:tc>
          <w:tcPr>
            <w:tcW w:w="0" w:type="auto"/>
            <w:shd w:val="clear" w:color="auto" w:fill="DCE2E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(37) bps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ind w:firstLine="720"/>
        <w:jc w:val="both"/>
        <w:divId w:val="207883459"/>
        <w:rPr>
          <w:rFonts w:eastAsia="Times New Roman"/>
        </w:rPr>
      </w:pPr>
      <w:r>
        <w:rPr>
          <w:rFonts w:ascii="Arial" w:eastAsia="Times New Roman" w:hAnsi="Arial" w:cs="Arial"/>
          <w:color w:val="000000"/>
          <w:sz w:val="20"/>
          <w:szCs w:val="20"/>
        </w:rPr>
        <w:t>M&amp;</w:t>
      </w:r>
      <w:r>
        <w:rPr>
          <w:rFonts w:ascii="Arial" w:eastAsia="Times New Roman" w:hAnsi="Arial" w:cs="Arial"/>
          <w:color w:val="000000"/>
          <w:sz w:val="20"/>
          <w:szCs w:val="20"/>
        </w:rPr>
        <w:t>D revenues increased by $52.6 million, or 5.1%, to $1,074.1 million during the nine months ended July 31, 2022, as compared to the prior year period. The increase was primarily attributable to the expansion of business with existing customers led by distri</w:t>
      </w:r>
      <w:r>
        <w:rPr>
          <w:rFonts w:ascii="Arial" w:eastAsia="Times New Roman" w:hAnsi="Arial" w:cs="Arial"/>
          <w:color w:val="000000"/>
          <w:sz w:val="20"/>
          <w:szCs w:val="20"/>
        </w:rPr>
        <w:t>bution clients, partially offset by a decrease in work orders for pandemic-related demands.</w:t>
      </w:r>
    </w:p>
    <w:p w:rsidR="00000000" w:rsidRDefault="0099409C">
      <w:pPr>
        <w:ind w:firstLine="720"/>
        <w:jc w:val="both"/>
        <w:divId w:val="708383223"/>
        <w:rPr>
          <w:rFonts w:eastAsia="Times New Roman"/>
        </w:rPr>
      </w:pPr>
      <w:r>
        <w:rPr>
          <w:rFonts w:ascii="Arial" w:eastAsia="Times New Roman" w:hAnsi="Arial" w:cs="Arial"/>
          <w:color w:val="000000"/>
          <w:sz w:val="20"/>
          <w:szCs w:val="20"/>
        </w:rPr>
        <w:t>Operating profit increased by $2.1 million, or 1.8%, to $120.6 million during the nine months ended July 31, 2022, as compared to the prior year period. Operating profit margin decreased by 37 bps to 11.2% in the nine months ended July 31, 2022, from 11.6%</w:t>
      </w:r>
      <w:r>
        <w:rPr>
          <w:rFonts w:ascii="Arial" w:eastAsia="Times New Roman" w:hAnsi="Arial" w:cs="Arial"/>
          <w:color w:val="000000"/>
          <w:sz w:val="20"/>
          <w:szCs w:val="20"/>
        </w:rPr>
        <w:t xml:space="preserve"> in the nine months ended July 31, 2021. The decrease in operating profit margin was primarily attributable to the decrease in pandemic-related work orders, which have higher margins.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674"/>
        <w:gridCol w:w="36"/>
        <w:gridCol w:w="121"/>
        <w:gridCol w:w="1165"/>
        <w:gridCol w:w="163"/>
        <w:gridCol w:w="36"/>
        <w:gridCol w:w="36"/>
        <w:gridCol w:w="36"/>
        <w:gridCol w:w="121"/>
        <w:gridCol w:w="1093"/>
        <w:gridCol w:w="163"/>
        <w:gridCol w:w="36"/>
        <w:gridCol w:w="36"/>
        <w:gridCol w:w="36"/>
        <w:gridCol w:w="121"/>
        <w:gridCol w:w="1106"/>
        <w:gridCol w:w="36"/>
        <w:gridCol w:w="36"/>
        <w:gridCol w:w="36"/>
        <w:gridCol w:w="36"/>
        <w:gridCol w:w="43"/>
        <w:gridCol w:w="1067"/>
        <w:gridCol w:w="36"/>
      </w:tblGrid>
      <w:tr w:rsidR="00000000">
        <w:trPr>
          <w:divId w:val="1184633617"/>
          <w:jc w:val="center"/>
        </w:trPr>
        <w:tc>
          <w:tcPr>
            <w:tcW w:w="50" w:type="pct"/>
            <w:vAlign w:val="center"/>
            <w:hideMark/>
          </w:tcPr>
          <w:p w:rsidR="00000000" w:rsidRDefault="0099409C">
            <w:pPr>
              <w:ind w:firstLine="720"/>
              <w:jc w:val="both"/>
              <w:rPr>
                <w:rFonts w:eastAsia="Times New Roman"/>
              </w:rPr>
            </w:pPr>
          </w:p>
        </w:tc>
        <w:tc>
          <w:tcPr>
            <w:tcW w:w="166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4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3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4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3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184633617"/>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i/>
                <w:iCs/>
                <w:color w:val="0046AD"/>
                <w:sz w:val="18"/>
                <w:szCs w:val="18"/>
              </w:rPr>
              <w:t>Education</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184633617"/>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Nine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184633617"/>
          <w:jc w:val="center"/>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Decrease</w:t>
            </w:r>
          </w:p>
        </w:tc>
      </w:tr>
      <w:tr w:rsidR="00000000">
        <w:trPr>
          <w:divId w:val="1184633617"/>
          <w:jc w:val="center"/>
        </w:trPr>
        <w:tc>
          <w:tcPr>
            <w:tcW w:w="0" w:type="auto"/>
            <w:gridSpan w:val="3"/>
            <w:shd w:val="clear" w:color="auto" w:fill="DCE3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3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3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617.6 </w:t>
            </w:r>
          </w:p>
        </w:tc>
        <w:tc>
          <w:tcPr>
            <w:tcW w:w="0" w:type="auto"/>
            <w:tcBorders>
              <w:top w:val="single" w:sz="8" w:space="0" w:color="000000"/>
            </w:tcBorders>
            <w:shd w:val="clear" w:color="auto" w:fill="DCE3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3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3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3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627.8 </w:t>
            </w:r>
          </w:p>
        </w:tc>
        <w:tc>
          <w:tcPr>
            <w:tcW w:w="0" w:type="auto"/>
            <w:tcBorders>
              <w:top w:val="single" w:sz="8" w:space="0" w:color="000000"/>
            </w:tcBorders>
            <w:shd w:val="clear" w:color="auto" w:fill="DCE3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3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(10.2)</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tcBorders>
              <w:top w:val="single" w:sz="8" w:space="0" w:color="000000"/>
            </w:tcBorders>
            <w:shd w:val="clear" w:color="auto" w:fill="DCE3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tcBorders>
              <w:top w:val="single" w:sz="8" w:space="0" w:color="000000"/>
            </w:tcBorders>
            <w:shd w:val="clear" w:color="auto" w:fill="DCE3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(1.6)%</w:t>
            </w:r>
          </w:p>
        </w:tc>
      </w:tr>
      <w:tr w:rsidR="00000000">
        <w:trPr>
          <w:divId w:val="1184633617"/>
          <w:jc w:val="center"/>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38.8 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53.4 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(14.6)</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(27.4)%</w:t>
            </w:r>
          </w:p>
        </w:tc>
      </w:tr>
      <w:tr w:rsidR="00000000">
        <w:trPr>
          <w:divId w:val="1184633617"/>
          <w:jc w:val="center"/>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6.3 </w:t>
            </w:r>
          </w:p>
        </w:tc>
        <w:tc>
          <w:tcPr>
            <w:tcW w:w="0" w:type="auto"/>
            <w:shd w:val="clear" w:color="auto" w:fill="DCE2E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8.5 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(223) bps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184633617"/>
          <w:jc w:val="center"/>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divId w:val="1184633617"/>
          <w:jc w:val="center"/>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bl>
    <w:p w:rsidR="00000000" w:rsidRDefault="0099409C">
      <w:pPr>
        <w:ind w:firstLine="720"/>
        <w:jc w:val="both"/>
        <w:divId w:val="176777730"/>
        <w:rPr>
          <w:rFonts w:eastAsia="Times New Roman"/>
        </w:rPr>
      </w:pPr>
      <w:r>
        <w:rPr>
          <w:rFonts w:ascii="Arial" w:eastAsia="Times New Roman" w:hAnsi="Arial" w:cs="Arial"/>
          <w:color w:val="000000"/>
          <w:sz w:val="20"/>
          <w:szCs w:val="20"/>
        </w:rPr>
        <w:t>Education revenues decreased by $10.2 million, or 1.6%, to $617.6 million during the nine months ended July 31, 2022, as compared to the prior year period. The decrease was primarily attributable to the loss of certain accounts in the third quarter of fisc</w:t>
      </w:r>
      <w:r>
        <w:rPr>
          <w:rFonts w:ascii="Arial" w:eastAsia="Times New Roman" w:hAnsi="Arial" w:cs="Arial"/>
          <w:color w:val="000000"/>
          <w:sz w:val="20"/>
          <w:szCs w:val="20"/>
        </w:rPr>
        <w:t xml:space="preserve">al year 2021. The decrease was partially offset by new business and recovery in the volume of our business as schools reopened to full capacity. </w:t>
      </w:r>
    </w:p>
    <w:p w:rsidR="00000000" w:rsidRDefault="0099409C">
      <w:pPr>
        <w:ind w:firstLine="720"/>
        <w:jc w:val="both"/>
        <w:divId w:val="1938905350"/>
        <w:rPr>
          <w:rFonts w:eastAsia="Times New Roman"/>
        </w:rPr>
      </w:pPr>
      <w:r>
        <w:rPr>
          <w:rFonts w:ascii="Arial" w:eastAsia="Times New Roman" w:hAnsi="Arial" w:cs="Arial"/>
          <w:color w:val="000000"/>
          <w:sz w:val="20"/>
          <w:szCs w:val="20"/>
        </w:rPr>
        <w:t>Operating profit decreased by $14.6 million, or 27.4%, during the nine months ended July 31, 2022, as compared</w:t>
      </w:r>
      <w:r>
        <w:rPr>
          <w:rFonts w:ascii="Arial" w:eastAsia="Times New Roman" w:hAnsi="Arial" w:cs="Arial"/>
          <w:color w:val="000000"/>
          <w:sz w:val="20"/>
          <w:szCs w:val="20"/>
        </w:rPr>
        <w:t xml:space="preserve"> to the prior year period. Operating profit margin decreased by 223 bps to 6.3% in the nine months ended July 31, 2022, from 8.7% in the nine months ended July 31, 2021. The decrease in operating margin was primarily attributable to an increase in direct l</w:t>
      </w:r>
      <w:r>
        <w:rPr>
          <w:rFonts w:ascii="Arial" w:eastAsia="Times New Roman" w:hAnsi="Arial" w:cs="Arial"/>
          <w:color w:val="000000"/>
          <w:sz w:val="20"/>
          <w:szCs w:val="20"/>
        </w:rPr>
        <w:t>abor and related costs due to the return to in-person learning and a limited labor supply in certain geographies. Operating margin was positively impacted by lower amortization of intangible assets.</w:t>
      </w:r>
    </w:p>
    <w:tbl>
      <w:tblPr>
        <w:tblW w:w="5000" w:type="pct"/>
        <w:tblCellMar>
          <w:top w:w="15" w:type="dxa"/>
          <w:left w:w="15" w:type="dxa"/>
          <w:bottom w:w="15" w:type="dxa"/>
          <w:right w:w="15" w:type="dxa"/>
        </w:tblCellMar>
        <w:tblLook w:val="04A0" w:firstRow="1" w:lastRow="0" w:firstColumn="1" w:lastColumn="0" w:noHBand="0" w:noVBand="1"/>
      </w:tblPr>
      <w:tblGrid>
        <w:gridCol w:w="38"/>
        <w:gridCol w:w="2735"/>
        <w:gridCol w:w="37"/>
        <w:gridCol w:w="121"/>
        <w:gridCol w:w="1141"/>
        <w:gridCol w:w="163"/>
        <w:gridCol w:w="36"/>
        <w:gridCol w:w="36"/>
        <w:gridCol w:w="36"/>
        <w:gridCol w:w="121"/>
        <w:gridCol w:w="1081"/>
        <w:gridCol w:w="163"/>
        <w:gridCol w:w="36"/>
        <w:gridCol w:w="36"/>
        <w:gridCol w:w="36"/>
        <w:gridCol w:w="121"/>
        <w:gridCol w:w="1092"/>
        <w:gridCol w:w="36"/>
        <w:gridCol w:w="36"/>
        <w:gridCol w:w="36"/>
        <w:gridCol w:w="36"/>
        <w:gridCol w:w="37"/>
        <w:gridCol w:w="1060"/>
        <w:gridCol w:w="36"/>
      </w:tblGrid>
      <w:tr w:rsidR="00000000">
        <w:trPr>
          <w:divId w:val="1758285867"/>
        </w:trPr>
        <w:tc>
          <w:tcPr>
            <w:tcW w:w="50" w:type="pct"/>
            <w:vAlign w:val="center"/>
            <w:hideMark/>
          </w:tcPr>
          <w:p w:rsidR="00000000" w:rsidRDefault="0099409C">
            <w:pPr>
              <w:ind w:firstLine="720"/>
              <w:jc w:val="both"/>
              <w:rPr>
                <w:rFonts w:eastAsia="Times New Roman"/>
              </w:rPr>
            </w:pPr>
          </w:p>
        </w:tc>
        <w:tc>
          <w:tcPr>
            <w:tcW w:w="169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3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758285867"/>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i/>
                <w:iCs/>
                <w:color w:val="0046AD"/>
                <w:sz w:val="18"/>
                <w:szCs w:val="18"/>
              </w:rPr>
              <w:t xml:space="preserve">Aviation </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758285867"/>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Nine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758285867"/>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Increase</w:t>
            </w:r>
          </w:p>
        </w:tc>
      </w:tr>
      <w:tr w:rsidR="00000000">
        <w:trPr>
          <w:divId w:val="1758285867"/>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589.7 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454.7 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135.0 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29.7%</w:t>
            </w:r>
          </w:p>
        </w:tc>
      </w:tr>
      <w:tr w:rsidR="00000000">
        <w:trPr>
          <w:divId w:val="1758285867"/>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28.0 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18.9 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48.7%</w:t>
            </w:r>
          </w:p>
        </w:tc>
      </w:tr>
      <w:tr w:rsidR="00000000">
        <w:trPr>
          <w:divId w:val="1758285867"/>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4.8 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4.1 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61 bps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ind w:firstLine="720"/>
        <w:jc w:val="both"/>
        <w:divId w:val="682165065"/>
        <w:rPr>
          <w:rFonts w:eastAsia="Times New Roman"/>
        </w:rPr>
      </w:pPr>
      <w:r>
        <w:rPr>
          <w:rFonts w:ascii="Arial" w:eastAsia="Times New Roman" w:hAnsi="Arial" w:cs="Arial"/>
          <w:color w:val="000000"/>
          <w:sz w:val="20"/>
          <w:szCs w:val="20"/>
        </w:rPr>
        <w:t>Aviation revenues increased by $135.0 million, or 29.7%, to $589.7 million during the nine months ended July 31, 2022, as compared to the prior year period. The increase was primarily attributable to a recovery in consumer and business travel (both domesti</w:t>
      </w:r>
      <w:r>
        <w:rPr>
          <w:rFonts w:ascii="Arial" w:eastAsia="Times New Roman" w:hAnsi="Arial" w:cs="Arial"/>
          <w:color w:val="000000"/>
          <w:sz w:val="20"/>
          <w:szCs w:val="20"/>
        </w:rPr>
        <w:t xml:space="preserve">c and international) and new parking-related services. Management reimbursement revenues for this segment totaled $39.0 million and $39.9 million for the nine months ended July 31, 2022 and 2021, respectively. </w:t>
      </w:r>
    </w:p>
    <w:p w:rsidR="00000000" w:rsidRDefault="0099409C">
      <w:pPr>
        <w:ind w:firstLine="720"/>
        <w:jc w:val="both"/>
        <w:divId w:val="2135781973"/>
        <w:rPr>
          <w:rFonts w:eastAsia="Times New Roman"/>
        </w:rPr>
      </w:pPr>
      <w:r>
        <w:rPr>
          <w:rFonts w:ascii="Arial" w:eastAsia="Times New Roman" w:hAnsi="Arial" w:cs="Arial"/>
          <w:color w:val="000000"/>
          <w:sz w:val="20"/>
          <w:szCs w:val="20"/>
        </w:rPr>
        <w:t>Operating profit increased by $9.1 million, or 48.7%, to $28.0 million during the nine months ended July 31, 2022, as compared to the prior year period. Operating margin increased by 61 bps to 4.8% in the nine months ended July 31, 2022, from 4.1% in the n</w:t>
      </w:r>
      <w:r>
        <w:rPr>
          <w:rFonts w:ascii="Arial" w:eastAsia="Times New Roman" w:hAnsi="Arial" w:cs="Arial"/>
          <w:color w:val="000000"/>
          <w:sz w:val="20"/>
          <w:szCs w:val="20"/>
        </w:rPr>
        <w:t xml:space="preserve">ine months ended July 31, 2021. The increase was primarily attributable to </w:t>
      </w:r>
    </w:p>
    <w:p w:rsidR="00000000" w:rsidRDefault="0099409C">
      <w:pPr>
        <w:jc w:val="center"/>
        <w:divId w:val="1489637085"/>
        <w:rPr>
          <w:rFonts w:eastAsia="Times New Roman"/>
        </w:rPr>
      </w:pPr>
      <w:r>
        <w:rPr>
          <w:rFonts w:ascii="Arial" w:eastAsia="Times New Roman" w:hAnsi="Arial" w:cs="Arial"/>
          <w:color w:val="000000"/>
          <w:sz w:val="20"/>
          <w:szCs w:val="20"/>
        </w:rPr>
        <w:t>37</w:t>
      </w:r>
    </w:p>
    <w:p w:rsidR="00000000" w:rsidRDefault="0099409C">
      <w:pPr>
        <w:rPr>
          <w:rFonts w:eastAsia="Times New Roman"/>
        </w:rPr>
      </w:pPr>
      <w:r>
        <w:rPr>
          <w:rFonts w:eastAsia="Times New Roman"/>
        </w:rPr>
        <w:pict>
          <v:rect id="_x0000_i1071" style="width:0;height:1.5pt" o:hralign="center" o:hrstd="t" o:hr="t" fillcolor="#a0a0a0" stroked="f"/>
        </w:pict>
      </w:r>
    </w:p>
    <w:p w:rsidR="00000000" w:rsidRDefault="0099409C">
      <w:pPr>
        <w:jc w:val="both"/>
        <w:divId w:val="611940609"/>
        <w:rPr>
          <w:rFonts w:eastAsia="Times New Roman"/>
        </w:rPr>
      </w:pPr>
    </w:p>
    <w:p w:rsidR="00000000" w:rsidRDefault="0099409C">
      <w:pPr>
        <w:jc w:val="both"/>
        <w:divId w:val="432828277"/>
        <w:rPr>
          <w:rFonts w:eastAsia="Times New Roman"/>
        </w:rPr>
      </w:pPr>
      <w:r>
        <w:rPr>
          <w:rFonts w:ascii="Arial" w:eastAsia="Times New Roman" w:hAnsi="Arial" w:cs="Arial"/>
          <w:color w:val="000000"/>
          <w:sz w:val="20"/>
          <w:szCs w:val="20"/>
        </w:rPr>
        <w:t>lower bad debt expense, driven by net recoveries of certain previously reserved receivables, and higher margin contracts. Operating margin</w:t>
      </w:r>
      <w:r>
        <w:rPr>
          <w:rFonts w:ascii="Arial" w:eastAsia="Times New Roman" w:hAnsi="Arial" w:cs="Arial"/>
          <w:color w:val="000000"/>
          <w:sz w:val="20"/>
          <w:szCs w:val="20"/>
        </w:rPr>
        <w:t xml:space="preserve"> was negatively impacted by an increase in direct labor and related costs due to increased headcounts as travel continues to recover and a decrease in pandemic-related demands, which have higher margins. </w:t>
      </w:r>
    </w:p>
    <w:tbl>
      <w:tblPr>
        <w:tblW w:w="5000" w:type="pct"/>
        <w:tblCellMar>
          <w:top w:w="15" w:type="dxa"/>
          <w:left w:w="15" w:type="dxa"/>
          <w:bottom w:w="15" w:type="dxa"/>
          <w:right w:w="15" w:type="dxa"/>
        </w:tblCellMar>
        <w:tblLook w:val="04A0" w:firstRow="1" w:lastRow="0" w:firstColumn="1" w:lastColumn="0" w:noHBand="0" w:noVBand="1"/>
      </w:tblPr>
      <w:tblGrid>
        <w:gridCol w:w="37"/>
        <w:gridCol w:w="2674"/>
        <w:gridCol w:w="36"/>
        <w:gridCol w:w="121"/>
        <w:gridCol w:w="1165"/>
        <w:gridCol w:w="163"/>
        <w:gridCol w:w="36"/>
        <w:gridCol w:w="36"/>
        <w:gridCol w:w="36"/>
        <w:gridCol w:w="121"/>
        <w:gridCol w:w="1093"/>
        <w:gridCol w:w="163"/>
        <w:gridCol w:w="36"/>
        <w:gridCol w:w="36"/>
        <w:gridCol w:w="36"/>
        <w:gridCol w:w="121"/>
        <w:gridCol w:w="1106"/>
        <w:gridCol w:w="36"/>
        <w:gridCol w:w="36"/>
        <w:gridCol w:w="36"/>
        <w:gridCol w:w="36"/>
        <w:gridCol w:w="37"/>
        <w:gridCol w:w="1073"/>
        <w:gridCol w:w="36"/>
      </w:tblGrid>
      <w:tr w:rsidR="00000000">
        <w:trPr>
          <w:divId w:val="1625115403"/>
        </w:trPr>
        <w:tc>
          <w:tcPr>
            <w:tcW w:w="50" w:type="pct"/>
            <w:vAlign w:val="center"/>
            <w:hideMark/>
          </w:tcPr>
          <w:p w:rsidR="00000000" w:rsidRDefault="0099409C">
            <w:pPr>
              <w:jc w:val="both"/>
              <w:rPr>
                <w:rFonts w:eastAsia="Times New Roman"/>
              </w:rPr>
            </w:pPr>
          </w:p>
        </w:tc>
        <w:tc>
          <w:tcPr>
            <w:tcW w:w="166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4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3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4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3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625115403"/>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i/>
                <w:iCs/>
                <w:color w:val="0046AD"/>
                <w:sz w:val="18"/>
                <w:szCs w:val="18"/>
              </w:rPr>
              <w:t>Technical Solutions</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625115403"/>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Nine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625115403"/>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Increase</w:t>
            </w:r>
          </w:p>
        </w:tc>
      </w:tr>
      <w:tr w:rsidR="00000000">
        <w:trPr>
          <w:divId w:val="1625115403"/>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447.2 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382.1 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65.1 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17.0%</w:t>
            </w:r>
          </w:p>
        </w:tc>
      </w:tr>
      <w:tr w:rsidR="00000000">
        <w:trPr>
          <w:divId w:val="1625115403"/>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42.8 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30.6 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12.2 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40.0%</w:t>
            </w:r>
          </w:p>
        </w:tc>
      </w:tr>
      <w:tr w:rsidR="00000000">
        <w:trPr>
          <w:divId w:val="1625115403"/>
        </w:trPr>
        <w:tc>
          <w:tcPr>
            <w:tcW w:w="0" w:type="auto"/>
            <w:gridSpan w:val="3"/>
            <w:shd w:val="clear" w:color="auto" w:fill="DCE2EF"/>
            <w:tcMar>
              <w:top w:w="30" w:type="dxa"/>
              <w:left w:w="155"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9.6 </w:t>
            </w:r>
          </w:p>
        </w:tc>
        <w:tc>
          <w:tcPr>
            <w:tcW w:w="0" w:type="auto"/>
            <w:shd w:val="clear" w:color="auto" w:fill="DCE2E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8.0 </w:t>
            </w:r>
          </w:p>
        </w:tc>
        <w:tc>
          <w:tcPr>
            <w:tcW w:w="0" w:type="auto"/>
            <w:shd w:val="clear" w:color="auto" w:fill="DCE2EF"/>
            <w:tcMar>
              <w:top w:w="30" w:type="dxa"/>
              <w:left w:w="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i/>
                <w:iCs/>
                <w:color w:val="000000"/>
                <w:sz w:val="16"/>
                <w:szCs w:val="16"/>
              </w:rPr>
              <w:t>157 bps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ind w:firstLine="720"/>
        <w:jc w:val="both"/>
        <w:divId w:val="1925336886"/>
        <w:rPr>
          <w:rFonts w:eastAsia="Times New Roman"/>
        </w:rPr>
      </w:pPr>
      <w:r>
        <w:rPr>
          <w:rFonts w:ascii="Arial" w:eastAsia="Times New Roman" w:hAnsi="Arial" w:cs="Arial"/>
          <w:color w:val="000000"/>
          <w:sz w:val="20"/>
          <w:szCs w:val="20"/>
        </w:rPr>
        <w:t>Technical Solutions revenues increased by $65.1 million, or 17.0%, to $447.2 million during the nine months ended July 31, 2022, as compared to the prior year period. The increase was primarily driven by the growth in electric vehicle charging station inst</w:t>
      </w:r>
      <w:r>
        <w:rPr>
          <w:rFonts w:ascii="Arial" w:eastAsia="Times New Roman" w:hAnsi="Arial" w:cs="Arial"/>
          <w:color w:val="000000"/>
          <w:sz w:val="20"/>
          <w:szCs w:val="20"/>
        </w:rPr>
        <w:t>allation sales.</w:t>
      </w:r>
    </w:p>
    <w:p w:rsidR="00000000" w:rsidRDefault="0099409C">
      <w:pPr>
        <w:ind w:firstLine="720"/>
        <w:jc w:val="both"/>
        <w:divId w:val="1508522191"/>
        <w:rPr>
          <w:rFonts w:eastAsia="Times New Roman"/>
        </w:rPr>
      </w:pPr>
      <w:r>
        <w:rPr>
          <w:rFonts w:ascii="Arial" w:eastAsia="Times New Roman" w:hAnsi="Arial" w:cs="Arial"/>
          <w:color w:val="000000"/>
          <w:sz w:val="20"/>
          <w:szCs w:val="20"/>
        </w:rPr>
        <w:t>Operating profit increased by increased by $12.2 million, or 40.0%, to $42.8 million during the nine months ended July </w:t>
      </w:r>
      <w:r>
        <w:rPr>
          <w:rFonts w:ascii="Arial" w:eastAsia="Times New Roman" w:hAnsi="Arial" w:cs="Arial"/>
          <w:color w:val="000000"/>
          <w:sz w:val="20"/>
          <w:szCs w:val="20"/>
        </w:rPr>
        <w:t>31, 2022, as compared to the prior year period. Operating margin increased by 157 bps to 9.6% in the nine months ended July 31, 2022, from 8.0% in the nine months ended July 31, 2021. The increase in operating profit margin was primarily attributable to th</w:t>
      </w:r>
      <w:r>
        <w:rPr>
          <w:rFonts w:ascii="Arial" w:eastAsia="Times New Roman" w:hAnsi="Arial" w:cs="Arial"/>
          <w:color w:val="000000"/>
          <w:sz w:val="20"/>
          <w:szCs w:val="20"/>
        </w:rPr>
        <w:t>e $7.6 million gain recognized on the sale of a group of customer contracts related to healthcare technology management services and lower bad debt expense.</w:t>
      </w:r>
    </w:p>
    <w:tbl>
      <w:tblPr>
        <w:tblW w:w="5000" w:type="pct"/>
        <w:tblCellMar>
          <w:top w:w="15" w:type="dxa"/>
          <w:left w:w="15" w:type="dxa"/>
          <w:bottom w:w="15" w:type="dxa"/>
          <w:right w:w="15" w:type="dxa"/>
        </w:tblCellMar>
        <w:tblLook w:val="04A0" w:firstRow="1" w:lastRow="0" w:firstColumn="1" w:lastColumn="0" w:noHBand="0" w:noVBand="1"/>
      </w:tblPr>
      <w:tblGrid>
        <w:gridCol w:w="40"/>
        <w:gridCol w:w="2721"/>
        <w:gridCol w:w="36"/>
        <w:gridCol w:w="121"/>
        <w:gridCol w:w="1190"/>
        <w:gridCol w:w="36"/>
        <w:gridCol w:w="36"/>
        <w:gridCol w:w="36"/>
        <w:gridCol w:w="36"/>
        <w:gridCol w:w="121"/>
        <w:gridCol w:w="1143"/>
        <w:gridCol w:w="36"/>
        <w:gridCol w:w="36"/>
        <w:gridCol w:w="36"/>
        <w:gridCol w:w="36"/>
        <w:gridCol w:w="122"/>
        <w:gridCol w:w="1156"/>
        <w:gridCol w:w="37"/>
        <w:gridCol w:w="37"/>
        <w:gridCol w:w="37"/>
        <w:gridCol w:w="37"/>
        <w:gridCol w:w="37"/>
        <w:gridCol w:w="1147"/>
        <w:gridCol w:w="36"/>
      </w:tblGrid>
      <w:tr w:rsidR="00000000">
        <w:trPr>
          <w:divId w:val="1529831325"/>
        </w:trPr>
        <w:tc>
          <w:tcPr>
            <w:tcW w:w="50" w:type="pct"/>
            <w:vAlign w:val="center"/>
            <w:hideMark/>
          </w:tcPr>
          <w:p w:rsidR="00000000" w:rsidRDefault="0099409C">
            <w:pPr>
              <w:ind w:firstLine="720"/>
              <w:jc w:val="both"/>
              <w:rPr>
                <w:rFonts w:eastAsia="Times New Roman"/>
              </w:rPr>
            </w:pPr>
          </w:p>
        </w:tc>
        <w:tc>
          <w:tcPr>
            <w:tcW w:w="166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4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3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4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3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529831325"/>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i/>
                <w:iCs/>
                <w:color w:val="0046AD"/>
                <w:sz w:val="18"/>
                <w:szCs w:val="18"/>
              </w:rPr>
              <w:t>Corporate</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529831325"/>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Nine Months Ended July 31,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529831325"/>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Decrease</w:t>
            </w:r>
          </w:p>
        </w:tc>
      </w:tr>
      <w:tr w:rsidR="00000000">
        <w:trPr>
          <w:divId w:val="1529831325"/>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Corporate expenses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(200.6)</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(284.5)</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83.9 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color w:val="000000"/>
                <w:sz w:val="18"/>
                <w:szCs w:val="18"/>
              </w:rPr>
              <w:t>29.5%</w:t>
            </w:r>
          </w:p>
        </w:tc>
      </w:tr>
    </w:tbl>
    <w:p w:rsidR="00000000" w:rsidRDefault="0099409C">
      <w:pPr>
        <w:jc w:val="both"/>
        <w:divId w:val="761268809"/>
        <w:rPr>
          <w:rFonts w:eastAsia="Times New Roman"/>
        </w:rPr>
      </w:pPr>
      <w:r>
        <w:rPr>
          <w:rFonts w:ascii="Arial" w:eastAsia="Times New Roman" w:hAnsi="Arial" w:cs="Arial"/>
          <w:b/>
          <w:bCs/>
          <w:color w:val="000000"/>
          <w:sz w:val="20"/>
          <w:szCs w:val="20"/>
        </w:rPr>
        <w:t>    </w:t>
      </w:r>
      <w:r>
        <w:rPr>
          <w:rFonts w:ascii="Arial" w:eastAsia="Times New Roman" w:hAnsi="Arial" w:cs="Arial"/>
          <w:color w:val="000000"/>
          <w:sz w:val="20"/>
          <w:szCs w:val="20"/>
        </w:rPr>
        <w:t>Corporate expenses decreased by $83.9 million, or 29.5%, to $200.6 million during the nine months ended July 31, 2022, as compared to the prior year period. The d</w:t>
      </w:r>
      <w:r>
        <w:rPr>
          <w:rFonts w:ascii="Arial" w:eastAsia="Times New Roman" w:hAnsi="Arial" w:cs="Arial"/>
          <w:color w:val="000000"/>
          <w:sz w:val="20"/>
          <w:szCs w:val="20"/>
        </w:rPr>
        <w:t>ecrease in corporate expenses was primarily attributable to:</w:t>
      </w:r>
    </w:p>
    <w:p w:rsidR="00000000" w:rsidRDefault="0099409C">
      <w:pPr>
        <w:ind w:hanging="360"/>
        <w:jc w:val="both"/>
        <w:divId w:val="195118147"/>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$150.7 million decrease in legal costs and settlements, of which $142.9 million was attributed to the accrual of a legal reserve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w:t>
      </w:r>
      <w:r>
        <w:rPr>
          <w:rFonts w:ascii="Arial" w:eastAsia="Times New Roman" w:hAnsi="Arial" w:cs="Arial"/>
          <w:color w:val="000000"/>
          <w:sz w:val="20"/>
          <w:szCs w:val="20"/>
        </w:rPr>
        <w:t>case during the nine months ended July 31, 2021;</w:t>
      </w:r>
    </w:p>
    <w:p w:rsidR="00000000" w:rsidRDefault="0099409C">
      <w:pPr>
        <w:ind w:hanging="360"/>
        <w:jc w:val="both"/>
        <w:divId w:val="180453785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the absence of a $9.1 million non-cash impairment charge for previously capitalized internal-use software related to our ERP system implementation as we determined that certain components developed will no longer be incorporated into the new ERP system dur</w:t>
      </w:r>
      <w:r>
        <w:rPr>
          <w:rFonts w:ascii="Arial" w:eastAsia="Times New Roman" w:hAnsi="Arial" w:cs="Arial"/>
          <w:color w:val="000000"/>
          <w:sz w:val="20"/>
          <w:szCs w:val="20"/>
        </w:rPr>
        <w:t>ing the nine months ended July 31, 2021; and</w:t>
      </w:r>
    </w:p>
    <w:p w:rsidR="00000000" w:rsidRDefault="0099409C">
      <w:pPr>
        <w:ind w:hanging="360"/>
        <w:jc w:val="both"/>
        <w:divId w:val="1633094610"/>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$6.3 million decrease in insurance expense as the result of favorable self-insurance reserve adjustments from actuarial evaluations completed on our workers’ compensation, general liability, automobile liabil</w:t>
      </w:r>
      <w:r>
        <w:rPr>
          <w:rFonts w:ascii="Arial" w:eastAsia="Times New Roman" w:hAnsi="Arial" w:cs="Arial"/>
          <w:color w:val="000000"/>
          <w:sz w:val="20"/>
          <w:szCs w:val="20"/>
        </w:rPr>
        <w:t>ity, and property damage insurance plans.</w:t>
      </w:r>
    </w:p>
    <w:p w:rsidR="00000000" w:rsidRDefault="0099409C">
      <w:pPr>
        <w:jc w:val="both"/>
        <w:divId w:val="66811193"/>
        <w:rPr>
          <w:rFonts w:eastAsia="Times New Roman"/>
        </w:rPr>
      </w:pPr>
      <w:r>
        <w:rPr>
          <w:rFonts w:ascii="Arial" w:eastAsia="Times New Roman" w:hAnsi="Arial" w:cs="Arial"/>
          <w:color w:val="000000"/>
          <w:sz w:val="20"/>
          <w:szCs w:val="20"/>
        </w:rPr>
        <w:t>This decrease was partially offset by:</w:t>
      </w:r>
    </w:p>
    <w:p w:rsidR="00000000" w:rsidRDefault="0099409C">
      <w:pPr>
        <w:ind w:hanging="360"/>
        <w:jc w:val="both"/>
        <w:divId w:val="1237469665"/>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$22.7 million increase in compensation and related expenses primarily attributable to talent acquisition activities;</w:t>
      </w:r>
    </w:p>
    <w:p w:rsidR="00000000" w:rsidRDefault="0099409C">
      <w:pPr>
        <w:ind w:hanging="360"/>
        <w:jc w:val="both"/>
        <w:divId w:val="1244098837"/>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$25.6 million increase in certain technology project</w:t>
      </w:r>
      <w:r>
        <w:rPr>
          <w:rFonts w:ascii="Arial" w:eastAsia="Times New Roman" w:hAnsi="Arial" w:cs="Arial"/>
          <w:color w:val="000000"/>
          <w:sz w:val="20"/>
          <w:szCs w:val="20"/>
        </w:rPr>
        <w:t xml:space="preserve">s primarily attributable to discrete transformational costs under our </w:t>
      </w:r>
      <w:r>
        <w:rPr>
          <w:rFonts w:ascii="Arial" w:eastAsia="Times New Roman" w:hAnsi="Arial" w:cs="Arial"/>
          <w:b/>
          <w:bCs/>
          <w:color w:val="E98300"/>
          <w:sz w:val="20"/>
          <w:szCs w:val="20"/>
        </w:rPr>
        <w:t xml:space="preserve">ELEVATE </w:t>
      </w:r>
      <w:r>
        <w:rPr>
          <w:rFonts w:ascii="Arial" w:eastAsia="Times New Roman" w:hAnsi="Arial" w:cs="Arial"/>
          <w:color w:val="000000"/>
          <w:sz w:val="20"/>
          <w:szCs w:val="20"/>
        </w:rPr>
        <w:t xml:space="preserve">strategy for developing the new ERP system, client-facing technology, workforce management tools, and data analytics; </w:t>
      </w:r>
    </w:p>
    <w:p w:rsidR="00000000" w:rsidRDefault="0099409C">
      <w:pPr>
        <w:ind w:hanging="360"/>
        <w:jc w:val="both"/>
        <w:divId w:val="126068091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$12.8 million increase related to the Able Acquisition;</w:t>
      </w:r>
    </w:p>
    <w:p w:rsidR="00000000" w:rsidRDefault="0099409C">
      <w:pPr>
        <w:ind w:hanging="360"/>
        <w:jc w:val="both"/>
        <w:divId w:val="138991412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$10.0 million increase in acquisition and integration costs attributable to the Able and Momentum acquisitions; and</w:t>
      </w:r>
    </w:p>
    <w:p w:rsidR="00000000" w:rsidRDefault="0099409C">
      <w:pPr>
        <w:jc w:val="center"/>
        <w:divId w:val="1405763368"/>
        <w:rPr>
          <w:rFonts w:eastAsia="Times New Roman"/>
        </w:rPr>
      </w:pPr>
      <w:r>
        <w:rPr>
          <w:rFonts w:ascii="Arial" w:eastAsia="Times New Roman" w:hAnsi="Arial" w:cs="Arial"/>
          <w:color w:val="000000"/>
          <w:sz w:val="20"/>
          <w:szCs w:val="20"/>
        </w:rPr>
        <w:t>38</w:t>
      </w:r>
    </w:p>
    <w:p w:rsidR="00000000" w:rsidRDefault="0099409C">
      <w:pPr>
        <w:rPr>
          <w:rFonts w:eastAsia="Times New Roman"/>
        </w:rPr>
      </w:pPr>
      <w:r>
        <w:rPr>
          <w:rFonts w:eastAsia="Times New Roman"/>
        </w:rPr>
        <w:pict>
          <v:rect id="_x0000_i1072" style="width:0;height:1.5pt" o:hralign="center" o:hrstd="t" o:hr="t" fillcolor="#a0a0a0" stroked="f"/>
        </w:pict>
      </w:r>
    </w:p>
    <w:p w:rsidR="00000000" w:rsidRDefault="0099409C">
      <w:pPr>
        <w:jc w:val="both"/>
        <w:divId w:val="649864669"/>
        <w:rPr>
          <w:rFonts w:eastAsia="Times New Roman"/>
        </w:rPr>
      </w:pPr>
    </w:p>
    <w:p w:rsidR="00000000" w:rsidRDefault="0099409C">
      <w:pPr>
        <w:ind w:hanging="360"/>
        <w:jc w:val="both"/>
        <w:divId w:val="1917938838"/>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$6.7 million decrease in favorable self-insurance adjustments related to prior year claims as</w:t>
      </w:r>
      <w:r>
        <w:rPr>
          <w:rFonts w:ascii="Arial" w:eastAsia="Times New Roman" w:hAnsi="Arial" w:cs="Arial"/>
          <w:color w:val="000000"/>
          <w:sz w:val="20"/>
          <w:szCs w:val="20"/>
        </w:rPr>
        <w:t xml:space="preserve"> the result of actuarial evaluations completed on our medical and dental self-insurance plans.</w:t>
      </w:r>
    </w:p>
    <w:p w:rsidR="00000000" w:rsidRDefault="0099409C">
      <w:pPr>
        <w:jc w:val="both"/>
        <w:divId w:val="1472749251"/>
        <w:rPr>
          <w:rFonts w:eastAsia="Times New Roman"/>
        </w:rPr>
      </w:pPr>
    </w:p>
    <w:p w:rsidR="00000000" w:rsidRDefault="0099409C">
      <w:pPr>
        <w:divId w:val="242836966"/>
        <w:rPr>
          <w:rFonts w:eastAsia="Times New Roman"/>
        </w:rPr>
      </w:pPr>
      <w:r>
        <w:rPr>
          <w:rFonts w:ascii="Arial" w:eastAsia="Times New Roman" w:hAnsi="Arial" w:cs="Arial"/>
          <w:b/>
          <w:bCs/>
          <w:color w:val="0046AD"/>
          <w:sz w:val="20"/>
          <w:szCs w:val="20"/>
        </w:rPr>
        <w:t>Liquidity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421147082"/>
        </w:trPr>
        <w:tc>
          <w:tcPr>
            <w:tcW w:w="5" w:type="pct"/>
            <w:vAlign w:val="center"/>
            <w:hideMark/>
          </w:tcPr>
          <w:p w:rsidR="00000000" w:rsidRDefault="0099409C">
            <w:pPr>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421147082"/>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ind w:firstLine="720"/>
        <w:jc w:val="both"/>
        <w:divId w:val="811796035"/>
        <w:rPr>
          <w:rFonts w:eastAsia="Times New Roman"/>
        </w:rPr>
      </w:pPr>
      <w:r>
        <w:rPr>
          <w:rFonts w:ascii="Arial" w:eastAsia="Times New Roman" w:hAnsi="Arial" w:cs="Arial"/>
          <w:color w:val="000000"/>
          <w:sz w:val="20"/>
          <w:szCs w:val="20"/>
        </w:rPr>
        <w:t>Our primary sources of liquidity are operating cash flows and borrowing capacity under our Amended Credit Facility and Receivables Facility. We assess our liquidity in terms of our ability to generate cash to fund our short- and long-term cash requirements</w:t>
      </w:r>
      <w:r>
        <w:rPr>
          <w:rFonts w:ascii="Arial" w:eastAsia="Times New Roman" w:hAnsi="Arial" w:cs="Arial"/>
          <w:color w:val="000000"/>
          <w:sz w:val="20"/>
          <w:szCs w:val="20"/>
        </w:rPr>
        <w:t xml:space="preserve">. As such, we project our anticipated cash requirements as well as cash flows generated from operating activities to meet those needs. </w:t>
      </w:r>
    </w:p>
    <w:p w:rsidR="00000000" w:rsidRDefault="0099409C">
      <w:pPr>
        <w:ind w:firstLine="720"/>
        <w:jc w:val="both"/>
        <w:divId w:val="810051213"/>
        <w:rPr>
          <w:rFonts w:eastAsia="Times New Roman"/>
        </w:rPr>
      </w:pPr>
      <w:r>
        <w:rPr>
          <w:rFonts w:ascii="Arial" w:eastAsia="Times New Roman" w:hAnsi="Arial" w:cs="Arial"/>
          <w:color w:val="000000"/>
          <w:sz w:val="20"/>
          <w:szCs w:val="20"/>
        </w:rPr>
        <w:t>In addition to normal working capital requirements, we anticipate that our short- and long-term cash requirements will i</w:t>
      </w:r>
      <w:r>
        <w:rPr>
          <w:rFonts w:ascii="Arial" w:eastAsia="Times New Roman" w:hAnsi="Arial" w:cs="Arial"/>
          <w:color w:val="000000"/>
          <w:sz w:val="20"/>
          <w:szCs w:val="20"/>
        </w:rPr>
        <w:t xml:space="preserve">nclude funding legal settlements, insurance claims, dividend payments, capital expenditures, share repurchases, mandatory loan repayments, and systems and technology transformation initiatives under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We anticipate long-term cash uses m</w:t>
      </w:r>
      <w:r>
        <w:rPr>
          <w:rFonts w:ascii="Arial" w:eastAsia="Times New Roman" w:hAnsi="Arial" w:cs="Arial"/>
          <w:color w:val="000000"/>
          <w:sz w:val="20"/>
          <w:szCs w:val="20"/>
        </w:rPr>
        <w:t>ay also include strategic acquisitions. On a long-term basis, we will continue to rely on our Amended Credit Facility for any long-term funding not provided by operating cash flows.</w:t>
      </w:r>
    </w:p>
    <w:p w:rsidR="00000000" w:rsidRDefault="0099409C">
      <w:pPr>
        <w:ind w:firstLine="720"/>
        <w:jc w:val="both"/>
        <w:divId w:val="1135679878"/>
        <w:rPr>
          <w:rFonts w:eastAsia="Times New Roman"/>
        </w:rPr>
      </w:pPr>
      <w:r>
        <w:rPr>
          <w:rFonts w:ascii="Arial" w:eastAsia="Times New Roman" w:hAnsi="Arial" w:cs="Arial"/>
          <w:color w:val="000000"/>
          <w:sz w:val="20"/>
          <w:szCs w:val="20"/>
        </w:rPr>
        <w:t xml:space="preserve">We believe that our operating cash flows and borrowing capacity under our </w:t>
      </w:r>
      <w:r>
        <w:rPr>
          <w:rFonts w:ascii="Arial" w:eastAsia="Times New Roman" w:hAnsi="Arial" w:cs="Arial"/>
          <w:color w:val="000000"/>
          <w:sz w:val="20"/>
          <w:szCs w:val="20"/>
        </w:rPr>
        <w:t>Amended Credit Facility and Receivables Facility are sufficient to fund our cash requirements for the next 12 months. In the event that our plans change or our cash requirements are greater than we anticipate, we may need to access the capital markets to f</w:t>
      </w:r>
      <w:r>
        <w:rPr>
          <w:rFonts w:ascii="Arial" w:eastAsia="Times New Roman" w:hAnsi="Arial" w:cs="Arial"/>
          <w:color w:val="000000"/>
          <w:sz w:val="20"/>
          <w:szCs w:val="20"/>
        </w:rPr>
        <w:t xml:space="preserve">inance future cash requirements. However, there can be no assurance that such financing will be available to us should we need it or, if available, that the terms will be satisfactory to us and not dilutive to existing shareholders. Additionally, since we </w:t>
      </w:r>
      <w:r>
        <w:rPr>
          <w:rFonts w:ascii="Arial" w:eastAsia="Times New Roman" w:hAnsi="Arial" w:cs="Arial"/>
          <w:color w:val="000000"/>
          <w:sz w:val="20"/>
          <w:szCs w:val="20"/>
        </w:rPr>
        <w:t>cannot predict the duration or scope of the ongoing Pandemic, we cannot fully anticipate or reasonably estimate all the ways in which the current global health crisis and financial market conditions could adversely impact our business in fiscal year 2022.</w:t>
      </w:r>
    </w:p>
    <w:p w:rsidR="00000000" w:rsidRDefault="0099409C">
      <w:pPr>
        <w:divId w:val="1103259167"/>
        <w:rPr>
          <w:rFonts w:eastAsia="Times New Roman"/>
        </w:rPr>
      </w:pPr>
      <w:r>
        <w:rPr>
          <w:rFonts w:ascii="Arial" w:eastAsia="Times New Roman" w:hAnsi="Arial" w:cs="Arial"/>
          <w:b/>
          <w:bCs/>
          <w:color w:val="0046AD"/>
          <w:sz w:val="20"/>
          <w:szCs w:val="20"/>
        </w:rPr>
        <w:t>Debt Facilities</w:t>
      </w:r>
    </w:p>
    <w:p w:rsidR="00000000" w:rsidRDefault="0099409C">
      <w:pPr>
        <w:ind w:firstLine="720"/>
        <w:jc w:val="both"/>
        <w:divId w:val="1380664312"/>
        <w:rPr>
          <w:rFonts w:eastAsia="Times New Roman"/>
        </w:rPr>
      </w:pPr>
      <w:r>
        <w:rPr>
          <w:rFonts w:ascii="Arial" w:eastAsia="Times New Roman" w:hAnsi="Arial" w:cs="Arial"/>
          <w:color w:val="000000"/>
          <w:sz w:val="20"/>
          <w:szCs w:val="20"/>
        </w:rPr>
        <w:t>On September 1, 2017, we refinanced and replaced our then-existing $800.0 million credit facility with a new senior, secured five-year syndicated credit facility, consisting of a $900.0 million revolver and an $800.0 million amortizing term</w:t>
      </w:r>
      <w:r>
        <w:rPr>
          <w:rFonts w:ascii="Arial" w:eastAsia="Times New Roman" w:hAnsi="Arial" w:cs="Arial"/>
          <w:color w:val="000000"/>
          <w:sz w:val="20"/>
          <w:szCs w:val="20"/>
        </w:rPr>
        <w:t xml:space="preserve"> loan, both of which were scheduled to mature on September 1, 2022. In accordance with terms of the Credit Facility, the revolver was reduced to $800.0 million on September 1, 2018.</w:t>
      </w:r>
    </w:p>
    <w:p w:rsidR="00000000" w:rsidRDefault="0099409C">
      <w:pPr>
        <w:ind w:firstLine="720"/>
        <w:jc w:val="both"/>
        <w:divId w:val="670835096"/>
        <w:rPr>
          <w:rFonts w:eastAsia="Times New Roman"/>
        </w:rPr>
      </w:pPr>
      <w:r>
        <w:rPr>
          <w:rFonts w:ascii="Arial" w:eastAsia="Times New Roman" w:hAnsi="Arial" w:cs="Arial"/>
          <w:color w:val="000000"/>
          <w:sz w:val="20"/>
          <w:szCs w:val="20"/>
        </w:rPr>
        <w:t>On June 28, 2021, the Company amended and restated the Credit Facility, ex</w:t>
      </w:r>
      <w:r>
        <w:rPr>
          <w:rFonts w:ascii="Arial" w:eastAsia="Times New Roman" w:hAnsi="Arial" w:cs="Arial"/>
          <w:color w:val="000000"/>
          <w:sz w:val="20"/>
          <w:szCs w:val="20"/>
        </w:rPr>
        <w:t>tending the maturity date to June 28, 2026, and increasing the capacity of the revolving credit facility from $800.0 million to $1.3 billion and the then-remaining term loan outstanding from $620.0 million to $650.0 million. The Amended Credit Facility pro</w:t>
      </w:r>
      <w:r>
        <w:rPr>
          <w:rFonts w:ascii="Arial" w:eastAsia="Times New Roman" w:hAnsi="Arial" w:cs="Arial"/>
          <w:color w:val="000000"/>
          <w:sz w:val="20"/>
          <w:szCs w:val="20"/>
        </w:rPr>
        <w:t>vides for the issuance of up to $350.0 million for standby letters of credit and the issuance of up to $75.0 million in swingline advances. The obligations under the Amended Credit Facility are secured on a first-priority basis by a lien on substantially a</w:t>
      </w:r>
      <w:r>
        <w:rPr>
          <w:rFonts w:ascii="Arial" w:eastAsia="Times New Roman" w:hAnsi="Arial" w:cs="Arial"/>
          <w:color w:val="000000"/>
          <w:sz w:val="20"/>
          <w:szCs w:val="20"/>
        </w:rPr>
        <w:t xml:space="preserve">ll of our assets and properties, subject to certain exceptions. Additionally, we may repay amounts borrowed under the Amended Credit Facility at any time without penalty. </w:t>
      </w:r>
    </w:p>
    <w:p w:rsidR="00000000" w:rsidRDefault="0099409C">
      <w:pPr>
        <w:ind w:firstLine="720"/>
        <w:jc w:val="both"/>
        <w:divId w:val="1464083083"/>
        <w:rPr>
          <w:rFonts w:eastAsia="Times New Roman"/>
        </w:rPr>
      </w:pPr>
      <w:r>
        <w:rPr>
          <w:rFonts w:ascii="Arial" w:eastAsia="Times New Roman" w:hAnsi="Arial" w:cs="Arial"/>
          <w:color w:val="000000"/>
          <w:sz w:val="20"/>
          <w:szCs w:val="20"/>
        </w:rPr>
        <w:t>Under the Amended Credit Facility, the term loan and U.S.-dollar-denominated borrowi</w:t>
      </w:r>
      <w:r>
        <w:rPr>
          <w:rFonts w:ascii="Arial" w:eastAsia="Times New Roman" w:hAnsi="Arial" w:cs="Arial"/>
          <w:color w:val="000000"/>
          <w:sz w:val="20"/>
          <w:szCs w:val="20"/>
        </w:rPr>
        <w:t>ngs under the revolver bear interest at a rate equal to one-month LIBOR plus a spread based upon our leverage ratio. Euro- and sterling-denominated borrowings under the revolver bear at the interest rate of the EURIBOR and SONIA reference rates, respective</w:t>
      </w:r>
      <w:r>
        <w:rPr>
          <w:rFonts w:ascii="Arial" w:eastAsia="Times New Roman" w:hAnsi="Arial" w:cs="Arial"/>
          <w:color w:val="000000"/>
          <w:sz w:val="20"/>
          <w:szCs w:val="20"/>
        </w:rPr>
        <w:t>ly, plus a spread that is based upon our leverage ratio. The spread ranges from 1.375% to 2.250% for Eurocurrency loans and 0.375% to 1.250% for base rate loans. We also pay a commitment fee, based on our leverage ratio and payable quarterly in arrears, ra</w:t>
      </w:r>
      <w:r>
        <w:rPr>
          <w:rFonts w:ascii="Arial" w:eastAsia="Times New Roman" w:hAnsi="Arial" w:cs="Arial"/>
          <w:color w:val="000000"/>
          <w:sz w:val="20"/>
          <w:szCs w:val="20"/>
        </w:rPr>
        <w:t>nging from 0.20% to 0.40% on the average daily unused portion of the line of credit. For purposes of this calculation, irrevocable standby letters of credit, which are issued primarily in conjunction with our insurance programs, and cash borrowings are inc</w:t>
      </w:r>
      <w:r>
        <w:rPr>
          <w:rFonts w:ascii="Arial" w:eastAsia="Times New Roman" w:hAnsi="Arial" w:cs="Arial"/>
          <w:color w:val="000000"/>
          <w:sz w:val="20"/>
          <w:szCs w:val="20"/>
        </w:rPr>
        <w:t>luded as outstanding under the line of credit.</w:t>
      </w:r>
    </w:p>
    <w:p w:rsidR="00000000" w:rsidRDefault="0099409C">
      <w:pPr>
        <w:jc w:val="center"/>
        <w:divId w:val="1225750889"/>
        <w:rPr>
          <w:rFonts w:eastAsia="Times New Roman"/>
        </w:rPr>
      </w:pPr>
      <w:r>
        <w:rPr>
          <w:rFonts w:ascii="Arial" w:eastAsia="Times New Roman" w:hAnsi="Arial" w:cs="Arial"/>
          <w:color w:val="000000"/>
          <w:sz w:val="20"/>
          <w:szCs w:val="20"/>
        </w:rPr>
        <w:t>39</w:t>
      </w:r>
    </w:p>
    <w:p w:rsidR="00000000" w:rsidRDefault="0099409C">
      <w:pPr>
        <w:rPr>
          <w:rFonts w:eastAsia="Times New Roman"/>
        </w:rPr>
      </w:pPr>
      <w:r>
        <w:rPr>
          <w:rFonts w:eastAsia="Times New Roman"/>
        </w:rPr>
        <w:pict>
          <v:rect id="_x0000_i1073" style="width:0;height:1.5pt" o:hralign="center" o:hrstd="t" o:hr="t" fillcolor="#a0a0a0" stroked="f"/>
        </w:pict>
      </w:r>
    </w:p>
    <w:p w:rsidR="00000000" w:rsidRDefault="0099409C">
      <w:pPr>
        <w:jc w:val="both"/>
        <w:divId w:val="1952324470"/>
        <w:rPr>
          <w:rFonts w:eastAsia="Times New Roman"/>
        </w:rPr>
      </w:pPr>
    </w:p>
    <w:p w:rsidR="00000000" w:rsidRDefault="0099409C">
      <w:pPr>
        <w:ind w:firstLine="720"/>
        <w:jc w:val="both"/>
        <w:divId w:val="717632458"/>
        <w:rPr>
          <w:rFonts w:eastAsia="Times New Roman"/>
        </w:rPr>
      </w:pPr>
      <w:r>
        <w:rPr>
          <w:rFonts w:ascii="Arial" w:eastAsia="Times New Roman" w:hAnsi="Arial" w:cs="Arial"/>
          <w:color w:val="000000"/>
          <w:sz w:val="20"/>
          <w:szCs w:val="20"/>
        </w:rPr>
        <w:t>The Amended Credit Facility contains certain covenants, including a maximum total net leverage ratio of 5.00 to 1.00, a maximum secured net leverage ratio of 4.00 to 1.00, and a minimum interest coverage ratio of 1.50 to 1.00, as well as other financial an</w:t>
      </w:r>
      <w:r>
        <w:rPr>
          <w:rFonts w:ascii="Arial" w:eastAsia="Times New Roman" w:hAnsi="Arial" w:cs="Arial"/>
          <w:color w:val="000000"/>
          <w:sz w:val="20"/>
          <w:szCs w:val="20"/>
        </w:rPr>
        <w:t>d non-financial covenants. In the event of a material acquisition, as defined in the Amended Credit Facility, we may elect to increase the maximum total net leverage ratio to 5.50 to 1.00 for a total of four fiscal quarters and increase the maximum secured</w:t>
      </w:r>
      <w:r>
        <w:rPr>
          <w:rFonts w:ascii="Arial" w:eastAsia="Times New Roman" w:hAnsi="Arial" w:cs="Arial"/>
          <w:color w:val="000000"/>
          <w:sz w:val="20"/>
          <w:szCs w:val="20"/>
        </w:rPr>
        <w:t xml:space="preserve"> net leverage ratio to 4.50 to 1.00 for a total of four fiscal quarters. Our borrowing capacity is subject to, and limited by, compliance with the covenants described above. At July 31, 2022, we were in compliance with these covenants.</w:t>
      </w:r>
    </w:p>
    <w:p w:rsidR="00000000" w:rsidRDefault="0099409C">
      <w:pPr>
        <w:ind w:firstLine="720"/>
        <w:jc w:val="both"/>
        <w:divId w:val="1613248564"/>
        <w:rPr>
          <w:rFonts w:eastAsia="Times New Roman"/>
        </w:rPr>
      </w:pPr>
      <w:r>
        <w:rPr>
          <w:rFonts w:ascii="Arial" w:eastAsia="Times New Roman" w:hAnsi="Arial" w:cs="Arial"/>
          <w:color w:val="000000"/>
          <w:sz w:val="20"/>
          <w:szCs w:val="20"/>
        </w:rPr>
        <w:t>On March 1, 2022, we</w:t>
      </w:r>
      <w:r>
        <w:rPr>
          <w:rFonts w:ascii="Arial" w:eastAsia="Times New Roman" w:hAnsi="Arial" w:cs="Arial"/>
          <w:color w:val="000000"/>
          <w:sz w:val="20"/>
          <w:szCs w:val="20"/>
        </w:rPr>
        <w:t xml:space="preserve"> entered into a new uncommitted receivable repurchase facility (the “Receivables Facility”) of up to $150 million, which expires on February 28, 2023. The Receivables Facility allows the Company to sell a portfolio of available and eligible outstanding U.S</w:t>
      </w:r>
      <w:r>
        <w:rPr>
          <w:rFonts w:ascii="Arial" w:eastAsia="Times New Roman" w:hAnsi="Arial" w:cs="Arial"/>
          <w:color w:val="000000"/>
          <w:sz w:val="20"/>
          <w:szCs w:val="20"/>
        </w:rPr>
        <w:t>. trade accounts receivable to a participating institution and simultaneously agree to repurchase them generally on a monthly basis. Under this arrangement, we make floating rate interest payments equal to the forward-looking term rate based on Secured Ove</w:t>
      </w:r>
      <w:r>
        <w:rPr>
          <w:rFonts w:ascii="Arial" w:eastAsia="Times New Roman" w:hAnsi="Arial" w:cs="Arial"/>
          <w:color w:val="000000"/>
          <w:sz w:val="20"/>
          <w:szCs w:val="20"/>
        </w:rPr>
        <w:t>rnight Financing Rate (“SOFR”) plus 1.05%. These interest payments are payable monthly in arrears. The repurchase price of the receivables in the facility is the original face value. Outstanding receivables must be repurchased on a date agreed upon by both</w:t>
      </w:r>
      <w:r>
        <w:rPr>
          <w:rFonts w:ascii="Arial" w:eastAsia="Times New Roman" w:hAnsi="Arial" w:cs="Arial"/>
          <w:color w:val="000000"/>
          <w:sz w:val="20"/>
          <w:szCs w:val="20"/>
        </w:rPr>
        <w:t xml:space="preserve"> the buyer and seller, generally on a monthly basis, and on the termination date of the repurchase facility. This facility is considered a secured borrowing and provides the buyer with customary rights of termination upon the occurrence of certain events o</w:t>
      </w:r>
      <w:r>
        <w:rPr>
          <w:rFonts w:ascii="Arial" w:eastAsia="Times New Roman" w:hAnsi="Arial" w:cs="Arial"/>
          <w:color w:val="000000"/>
          <w:sz w:val="20"/>
          <w:szCs w:val="20"/>
        </w:rPr>
        <w:t>f default. We have guaranteed all of the sellers’ obligations under the facility.</w:t>
      </w:r>
    </w:p>
    <w:p w:rsidR="00000000" w:rsidRDefault="0099409C">
      <w:pPr>
        <w:ind w:firstLine="720"/>
        <w:jc w:val="both"/>
        <w:divId w:val="1248153488"/>
        <w:rPr>
          <w:rFonts w:eastAsia="Times New Roman"/>
        </w:rPr>
      </w:pPr>
      <w:r>
        <w:rPr>
          <w:rFonts w:ascii="Arial" w:eastAsia="Times New Roman" w:hAnsi="Arial" w:cs="Arial"/>
          <w:color w:val="000000"/>
          <w:sz w:val="20"/>
          <w:szCs w:val="20"/>
        </w:rPr>
        <w:t>During the three and nine months ended July 31, 2022, we made principal payments of $8.1 million and $24.4 million, respectively, under the term loan. At July 31, 2022, the t</w:t>
      </w:r>
      <w:r>
        <w:rPr>
          <w:rFonts w:ascii="Arial" w:eastAsia="Times New Roman" w:hAnsi="Arial" w:cs="Arial"/>
          <w:color w:val="000000"/>
          <w:sz w:val="20"/>
          <w:szCs w:val="20"/>
        </w:rPr>
        <w:t xml:space="preserve">otal outstanding borrowings under our Amended Credit Facility and Receivables Facility in the form of cash borrowings and standby letters of credit were $1.2 billion and $158.8 million, and our weighted average interest rate on all outstanding borrowings, </w:t>
      </w:r>
      <w:r>
        <w:rPr>
          <w:rFonts w:ascii="Arial" w:eastAsia="Times New Roman" w:hAnsi="Arial" w:cs="Arial"/>
          <w:color w:val="000000"/>
          <w:sz w:val="20"/>
          <w:szCs w:val="20"/>
        </w:rPr>
        <w:t>excluding letters of credit, was 3.64%. At July 31, 2022, we had up to $705.1 million of borrowing capacity.</w:t>
      </w:r>
    </w:p>
    <w:p w:rsidR="00000000" w:rsidRDefault="0099409C">
      <w:pPr>
        <w:ind w:firstLine="720"/>
        <w:jc w:val="both"/>
        <w:divId w:val="1481843220"/>
        <w:rPr>
          <w:rFonts w:eastAsia="Times New Roman"/>
        </w:rPr>
      </w:pPr>
      <w:r>
        <w:rPr>
          <w:rFonts w:ascii="Arial" w:eastAsia="Times New Roman" w:hAnsi="Arial" w:cs="Arial"/>
          <w:color w:val="000000"/>
          <w:sz w:val="20"/>
          <w:szCs w:val="20"/>
        </w:rPr>
        <w:t>On March 5, 2021, the United Kingdom’s Financial Conduct Authority, the regulator of LIBOR, announced that the USD LIBOR rates will no longer be pu</w:t>
      </w:r>
      <w:r>
        <w:rPr>
          <w:rFonts w:ascii="Arial" w:eastAsia="Times New Roman" w:hAnsi="Arial" w:cs="Arial"/>
          <w:color w:val="000000"/>
          <w:sz w:val="20"/>
          <w:szCs w:val="20"/>
        </w:rPr>
        <w:t>blished after June 30, 2023. While we expect LIBOR to be available in substantially its current form until at least the end of June 30, 2023, it is possible that LIBOR will become unavailable prior to that point, which may impact our Amended Credit Facilit</w:t>
      </w:r>
      <w:r>
        <w:rPr>
          <w:rFonts w:ascii="Arial" w:eastAsia="Times New Roman" w:hAnsi="Arial" w:cs="Arial"/>
          <w:color w:val="000000"/>
          <w:sz w:val="20"/>
          <w:szCs w:val="20"/>
        </w:rPr>
        <w:t>y and interest rate swaps. Our current credit agreement, as well as our International Swaps and Derivatives Association, Inc. agreement, provide for any changes away from LIBOR to a successor rate to be based on prevailing or equivalent standards. As such,</w:t>
      </w:r>
      <w:r>
        <w:rPr>
          <w:rFonts w:ascii="Arial" w:eastAsia="Times New Roman" w:hAnsi="Arial" w:cs="Arial"/>
          <w:color w:val="000000"/>
          <w:sz w:val="20"/>
          <w:szCs w:val="20"/>
        </w:rPr>
        <w:t xml:space="preserve"> we do not anticipate a material impact related to the LIBOR transition and will continue to monitor developments related to the LIBOR transition and/or identification of an alternative, market-accepted rate.</w:t>
      </w:r>
    </w:p>
    <w:p w:rsidR="00000000" w:rsidRDefault="0099409C">
      <w:pPr>
        <w:jc w:val="both"/>
        <w:divId w:val="1650090703"/>
        <w:rPr>
          <w:rFonts w:eastAsia="Times New Roman"/>
        </w:rPr>
      </w:pPr>
      <w:r>
        <w:rPr>
          <w:rFonts w:ascii="Arial" w:eastAsia="Times New Roman" w:hAnsi="Arial" w:cs="Arial"/>
          <w:b/>
          <w:bCs/>
          <w:i/>
          <w:iCs/>
          <w:color w:val="0046AD"/>
          <w:sz w:val="20"/>
          <w:szCs w:val="20"/>
        </w:rPr>
        <w:t>Reinvestment of Foreign Earnings</w:t>
      </w:r>
    </w:p>
    <w:p w:rsidR="00000000" w:rsidRDefault="0099409C">
      <w:pPr>
        <w:ind w:firstLine="720"/>
        <w:jc w:val="both"/>
        <w:divId w:val="1304118418"/>
        <w:rPr>
          <w:rFonts w:eastAsia="Times New Roman"/>
        </w:rPr>
      </w:pPr>
      <w:r>
        <w:rPr>
          <w:rFonts w:ascii="Arial" w:eastAsia="Times New Roman" w:hAnsi="Arial" w:cs="Arial"/>
          <w:color w:val="000000"/>
          <w:sz w:val="20"/>
          <w:szCs w:val="20"/>
        </w:rPr>
        <w:t>We plan to rei</w:t>
      </w:r>
      <w:r>
        <w:rPr>
          <w:rFonts w:ascii="Arial" w:eastAsia="Times New Roman" w:hAnsi="Arial" w:cs="Arial"/>
          <w:color w:val="000000"/>
          <w:sz w:val="20"/>
          <w:szCs w:val="20"/>
        </w:rPr>
        <w:t>nvest our foreign earnings to fund future non-U.S. growth and expansion, and we do not anticipate remitting such earnings to the United States. While U.S. federal tax expense has been recognized as a result of the Tax Cuts and Jobs Act of 2017, no deferred</w:t>
      </w:r>
      <w:r>
        <w:rPr>
          <w:rFonts w:ascii="Arial" w:eastAsia="Times New Roman" w:hAnsi="Arial" w:cs="Arial"/>
          <w:color w:val="000000"/>
          <w:sz w:val="20"/>
          <w:szCs w:val="20"/>
        </w:rPr>
        <w:t xml:space="preserve"> tax liabilities with respect to federal and state income taxes or foreign withholding taxes have been recognized.</w:t>
      </w:r>
    </w:p>
    <w:p w:rsidR="00000000" w:rsidRDefault="0099409C">
      <w:pPr>
        <w:jc w:val="both"/>
        <w:divId w:val="908616763"/>
        <w:rPr>
          <w:rFonts w:eastAsia="Times New Roman"/>
        </w:rPr>
      </w:pPr>
      <w:r>
        <w:rPr>
          <w:rFonts w:ascii="Arial" w:eastAsia="Times New Roman" w:hAnsi="Arial" w:cs="Arial"/>
          <w:b/>
          <w:bCs/>
          <w:i/>
          <w:iCs/>
          <w:color w:val="0046AD"/>
          <w:sz w:val="20"/>
          <w:szCs w:val="20"/>
        </w:rPr>
        <w:t xml:space="preserve">IFM Insurance Company </w:t>
      </w:r>
    </w:p>
    <w:p w:rsidR="00000000" w:rsidRDefault="0099409C">
      <w:pPr>
        <w:ind w:firstLine="720"/>
        <w:jc w:val="both"/>
        <w:divId w:val="1107430028"/>
        <w:rPr>
          <w:rFonts w:eastAsia="Times New Roman"/>
        </w:rPr>
      </w:pPr>
      <w:r>
        <w:rPr>
          <w:rFonts w:ascii="Arial" w:eastAsia="Times New Roman" w:hAnsi="Arial" w:cs="Arial"/>
          <w:color w:val="000000"/>
          <w:sz w:val="20"/>
          <w:szCs w:val="20"/>
        </w:rPr>
        <w:t>IFM Assurance Company (“IFM”) is a wholly owned captive insurance company that we formed in 2015. IFM is part of our e</w:t>
      </w:r>
      <w:r>
        <w:rPr>
          <w:rFonts w:ascii="Arial" w:eastAsia="Times New Roman" w:hAnsi="Arial" w:cs="Arial"/>
          <w:color w:val="000000"/>
          <w:sz w:val="20"/>
          <w:szCs w:val="20"/>
        </w:rPr>
        <w:t>nterprise-wide, multiyear insurance strategy that is intended to better position our risk and safety programs and provide us with increased flexibility in the end-to-end management of our insurance programs. IFM began providing coverage to us as of January</w:t>
      </w:r>
      <w:r>
        <w:rPr>
          <w:rFonts w:ascii="Arial" w:eastAsia="Times New Roman" w:hAnsi="Arial" w:cs="Arial"/>
          <w:color w:val="000000"/>
          <w:sz w:val="20"/>
          <w:szCs w:val="20"/>
        </w:rPr>
        <w:t xml:space="preserve"> 1, 2015. </w:t>
      </w:r>
    </w:p>
    <w:p w:rsidR="00000000" w:rsidRDefault="0099409C">
      <w:pPr>
        <w:jc w:val="both"/>
        <w:divId w:val="467746799"/>
        <w:rPr>
          <w:rFonts w:eastAsia="Times New Roman"/>
        </w:rPr>
      </w:pPr>
      <w:r>
        <w:rPr>
          <w:rFonts w:ascii="Arial" w:eastAsia="Times New Roman" w:hAnsi="Arial" w:cs="Arial"/>
          <w:b/>
          <w:bCs/>
          <w:i/>
          <w:iCs/>
          <w:color w:val="0046AD"/>
          <w:sz w:val="20"/>
          <w:szCs w:val="20"/>
        </w:rPr>
        <w:t>Share Repurchases</w:t>
      </w:r>
    </w:p>
    <w:p w:rsidR="00000000" w:rsidRDefault="0099409C">
      <w:pPr>
        <w:ind w:firstLine="720"/>
        <w:jc w:val="both"/>
        <w:divId w:val="1483505109"/>
        <w:rPr>
          <w:rFonts w:eastAsia="Times New Roman"/>
        </w:rPr>
      </w:pPr>
      <w:r>
        <w:rPr>
          <w:rFonts w:ascii="Arial" w:eastAsia="Times New Roman" w:hAnsi="Arial" w:cs="Arial"/>
          <w:color w:val="000000"/>
          <w:sz w:val="20"/>
          <w:szCs w:val="20"/>
        </w:rPr>
        <w:t>We repurchased shares under the 2019 Share Repurchase Program during the three and nine months ended July 31, 2022, as summarized below. No shares were repurchased during the three and nine months ended July 31, 2021. These pur</w:t>
      </w:r>
      <w:r>
        <w:rPr>
          <w:rFonts w:ascii="Arial" w:eastAsia="Times New Roman" w:hAnsi="Arial" w:cs="Arial"/>
          <w:color w:val="000000"/>
          <w:sz w:val="20"/>
          <w:szCs w:val="20"/>
        </w:rPr>
        <w:t>chases may take place on the open market or otherwise, and all or part of the repurchases may be made pursuant to Rule 10b5-1 plans or in privately negotiated transactions. The timing of repurchases is at our discretion and will depend upon several factors</w:t>
      </w:r>
      <w:r>
        <w:rPr>
          <w:rFonts w:ascii="Arial" w:eastAsia="Times New Roman" w:hAnsi="Arial" w:cs="Arial"/>
          <w:color w:val="000000"/>
          <w:sz w:val="20"/>
          <w:szCs w:val="20"/>
        </w:rPr>
        <w:t xml:space="preserve">, including market and business conditions, future cash flows, share price, share availability, and other factors at our discretion. Repurchased shares are retired and returned to an authorized but unissued status. At July 31,2022, authorization for $70.4 </w:t>
      </w:r>
      <w:r>
        <w:rPr>
          <w:rFonts w:ascii="Arial" w:eastAsia="Times New Roman" w:hAnsi="Arial" w:cs="Arial"/>
          <w:color w:val="000000"/>
          <w:sz w:val="20"/>
          <w:szCs w:val="20"/>
        </w:rPr>
        <w:t xml:space="preserve">million of repurchases remained under the 2019 Share Repurchase Program. </w:t>
      </w:r>
    </w:p>
    <w:p w:rsidR="00000000" w:rsidRDefault="0099409C">
      <w:pPr>
        <w:jc w:val="center"/>
        <w:divId w:val="108933049"/>
        <w:rPr>
          <w:rFonts w:eastAsia="Times New Roman"/>
        </w:rPr>
      </w:pPr>
      <w:r>
        <w:rPr>
          <w:rFonts w:ascii="Arial" w:eastAsia="Times New Roman" w:hAnsi="Arial" w:cs="Arial"/>
          <w:color w:val="000000"/>
          <w:sz w:val="20"/>
          <w:szCs w:val="20"/>
        </w:rPr>
        <w:t>40</w:t>
      </w:r>
    </w:p>
    <w:p w:rsidR="00000000" w:rsidRDefault="0099409C">
      <w:pPr>
        <w:rPr>
          <w:rFonts w:eastAsia="Times New Roman"/>
        </w:rPr>
      </w:pPr>
      <w:r>
        <w:rPr>
          <w:rFonts w:eastAsia="Times New Roman"/>
        </w:rPr>
        <w:pict>
          <v:rect id="_x0000_i1074" style="width:0;height:1.5pt" o:hralign="center" o:hrstd="t" o:hr="t" fillcolor="#a0a0a0" stroked="f"/>
        </w:pict>
      </w:r>
    </w:p>
    <w:p w:rsidR="00000000" w:rsidRDefault="0099409C">
      <w:pPr>
        <w:jc w:val="both"/>
        <w:divId w:val="49068149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817"/>
        <w:gridCol w:w="38"/>
        <w:gridCol w:w="36"/>
        <w:gridCol w:w="36"/>
        <w:gridCol w:w="36"/>
        <w:gridCol w:w="122"/>
        <w:gridCol w:w="1440"/>
        <w:gridCol w:w="36"/>
        <w:gridCol w:w="36"/>
        <w:gridCol w:w="36"/>
        <w:gridCol w:w="36"/>
        <w:gridCol w:w="122"/>
        <w:gridCol w:w="1440"/>
        <w:gridCol w:w="36"/>
      </w:tblGrid>
      <w:tr w:rsidR="00000000">
        <w:trPr>
          <w:divId w:val="308362577"/>
        </w:trPr>
        <w:tc>
          <w:tcPr>
            <w:tcW w:w="50" w:type="pct"/>
            <w:vAlign w:val="center"/>
            <w:hideMark/>
          </w:tcPr>
          <w:p w:rsidR="00000000" w:rsidRDefault="0099409C">
            <w:pPr>
              <w:jc w:val="both"/>
              <w:rPr>
                <w:rFonts w:eastAsia="Times New Roman"/>
              </w:rPr>
            </w:pPr>
          </w:p>
        </w:tc>
        <w:tc>
          <w:tcPr>
            <w:tcW w:w="292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91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91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308362577"/>
          <w:trHeight w:val="300"/>
        </w:trPr>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308362577"/>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Three Months Ended July 31, 2022</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Nine Months Ended July 31, 2022</w:t>
            </w:r>
          </w:p>
        </w:tc>
      </w:tr>
      <w:tr w:rsidR="00000000">
        <w:trPr>
          <w:divId w:val="308362577"/>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Total number of shares purchased</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08362577"/>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Average price paid per share</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41.92 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42.95 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308362577"/>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Total cash paid for share repurchases</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31.2 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74.5 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divId w:val="1919829921"/>
        <w:rPr>
          <w:rFonts w:eastAsia="Times New Roman"/>
        </w:rPr>
      </w:pPr>
      <w:r>
        <w:rPr>
          <w:rFonts w:ascii="Arial" w:eastAsia="Times New Roman" w:hAnsi="Arial" w:cs="Arial"/>
          <w:b/>
          <w:bCs/>
          <w:i/>
          <w:iCs/>
          <w:color w:val="0046AD"/>
          <w:sz w:val="20"/>
          <w:szCs w:val="20"/>
        </w:rPr>
        <w:t xml:space="preserve">Cash Flows </w:t>
      </w:r>
    </w:p>
    <w:p w:rsidR="00000000" w:rsidRDefault="0099409C">
      <w:pPr>
        <w:ind w:firstLine="720"/>
        <w:jc w:val="both"/>
        <w:divId w:val="428160262"/>
        <w:rPr>
          <w:rFonts w:eastAsia="Times New Roman"/>
        </w:rPr>
      </w:pPr>
      <w:r>
        <w:rPr>
          <w:rFonts w:ascii="Arial" w:eastAsia="Times New Roman" w:hAnsi="Arial" w:cs="Arial"/>
          <w:color w:val="000000"/>
          <w:sz w:val="20"/>
          <w:szCs w:val="20"/>
        </w:rPr>
        <w:t xml:space="preserve">In addition to revenues and operating profit, our management views operating cash flows as a good indicator of financial performance, because strong operating cash flows provide opportunities for growth both organically and through acquisitions. Operating </w:t>
      </w:r>
      <w:r>
        <w:rPr>
          <w:rFonts w:ascii="Arial" w:eastAsia="Times New Roman" w:hAnsi="Arial" w:cs="Arial"/>
          <w:color w:val="000000"/>
          <w:sz w:val="20"/>
          <w:szCs w:val="20"/>
        </w:rPr>
        <w:t>cash flows primarily depend on: revenue levels; the quality and timing of collections of accounts receivable; the timing of payments to suppliers and other vendors; the timing and amount of income tax payments; and the timing and amount of payments on insu</w:t>
      </w:r>
      <w:r>
        <w:rPr>
          <w:rFonts w:ascii="Arial" w:eastAsia="Times New Roman" w:hAnsi="Arial" w:cs="Arial"/>
          <w:color w:val="000000"/>
          <w:sz w:val="20"/>
          <w:szCs w:val="20"/>
        </w:rPr>
        <w:t xml:space="preserve">rance claims and legal settlements. </w:t>
      </w:r>
    </w:p>
    <w:tbl>
      <w:tblPr>
        <w:tblW w:w="5000" w:type="pct"/>
        <w:tblCellMar>
          <w:top w:w="15" w:type="dxa"/>
          <w:left w:w="15" w:type="dxa"/>
          <w:bottom w:w="15" w:type="dxa"/>
          <w:right w:w="15" w:type="dxa"/>
        </w:tblCellMar>
        <w:tblLook w:val="04A0" w:firstRow="1" w:lastRow="0" w:firstColumn="1" w:lastColumn="0" w:noHBand="0" w:noVBand="1"/>
      </w:tblPr>
      <w:tblGrid>
        <w:gridCol w:w="40"/>
        <w:gridCol w:w="5466"/>
        <w:gridCol w:w="37"/>
        <w:gridCol w:w="121"/>
        <w:gridCol w:w="1188"/>
        <w:gridCol w:w="36"/>
        <w:gridCol w:w="36"/>
        <w:gridCol w:w="36"/>
        <w:gridCol w:w="36"/>
        <w:gridCol w:w="121"/>
        <w:gridCol w:w="1153"/>
        <w:gridCol w:w="36"/>
      </w:tblGrid>
      <w:tr w:rsidR="00000000">
        <w:trPr>
          <w:divId w:val="1051344899"/>
        </w:trPr>
        <w:tc>
          <w:tcPr>
            <w:tcW w:w="50" w:type="pct"/>
            <w:vAlign w:val="center"/>
            <w:hideMark/>
          </w:tcPr>
          <w:p w:rsidR="00000000" w:rsidRDefault="0099409C">
            <w:pPr>
              <w:ind w:firstLine="720"/>
              <w:jc w:val="both"/>
              <w:rPr>
                <w:rFonts w:eastAsia="Times New Roman"/>
              </w:rPr>
            </w:pPr>
          </w:p>
        </w:tc>
        <w:tc>
          <w:tcPr>
            <w:tcW w:w="331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4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74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051344899"/>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Nine Months Ended July 31,</w:t>
            </w:r>
          </w:p>
        </w:tc>
      </w:tr>
      <w:tr w:rsidR="00000000">
        <w:trPr>
          <w:divId w:val="1051344899"/>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2021</w:t>
            </w:r>
          </w:p>
        </w:tc>
      </w:tr>
      <w:tr w:rsidR="00000000">
        <w:trPr>
          <w:divId w:val="1051344899"/>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Net cash (used in) provided by operating activities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(96.7)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258.8 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051344899"/>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Net cash used in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(93.3)</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(21.2)</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051344899"/>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Net cash provided by (used in) financing activities</w:t>
            </w: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194.2 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(128.7)</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ind w:firstLine="720"/>
        <w:jc w:val="both"/>
        <w:divId w:val="1607615465"/>
        <w:rPr>
          <w:rFonts w:eastAsia="Times New Roman"/>
        </w:rPr>
      </w:pPr>
      <w:r>
        <w:rPr>
          <w:rFonts w:ascii="Arial" w:eastAsia="Times New Roman" w:hAnsi="Arial" w:cs="Arial"/>
          <w:i/>
          <w:iCs/>
          <w:color w:val="000000"/>
          <w:sz w:val="20"/>
          <w:szCs w:val="20"/>
        </w:rPr>
        <w:t xml:space="preserve">Operating Activities </w:t>
      </w:r>
    </w:p>
    <w:p w:rsidR="00000000" w:rsidRDefault="0099409C">
      <w:pPr>
        <w:ind w:firstLine="720"/>
        <w:jc w:val="both"/>
        <w:divId w:val="1608391827"/>
        <w:rPr>
          <w:rFonts w:eastAsia="Times New Roman"/>
        </w:rPr>
      </w:pPr>
      <w:r>
        <w:rPr>
          <w:rFonts w:ascii="Arial" w:eastAsia="Times New Roman" w:hAnsi="Arial" w:cs="Arial"/>
          <w:color w:val="000000"/>
          <w:sz w:val="20"/>
          <w:szCs w:val="20"/>
        </w:rPr>
        <w:t>Net cash used in operating activities was $96.7 million during the nine months ended July 31, 2022, as compared to net cash provided by operating activities of $258.8 million during the nine months ended July 31, 2021. The change was primarily driven by pa</w:t>
      </w:r>
      <w:r>
        <w:rPr>
          <w:rFonts w:ascii="Arial" w:eastAsia="Times New Roman" w:hAnsi="Arial" w:cs="Arial"/>
          <w:color w:val="000000"/>
          <w:sz w:val="20"/>
          <w:szCs w:val="20"/>
        </w:rPr>
        <w:t xml:space="preserve">yments made for the </w:t>
      </w:r>
      <w:r>
        <w:rPr>
          <w:rFonts w:ascii="Arial" w:eastAsia="Times New Roman" w:hAnsi="Arial" w:cs="Arial"/>
          <w:i/>
          <w:iCs/>
          <w:color w:val="000000"/>
          <w:sz w:val="20"/>
          <w:szCs w:val="20"/>
        </w:rPr>
        <w:t xml:space="preserve">Bucio </w:t>
      </w:r>
      <w:r>
        <w:rPr>
          <w:rFonts w:ascii="Arial" w:eastAsia="Times New Roman" w:hAnsi="Arial" w:cs="Arial"/>
          <w:color w:val="000000"/>
          <w:sz w:val="20"/>
          <w:szCs w:val="20"/>
        </w:rPr>
        <w:t xml:space="preserve">settlement and deferred remittance of payroll taxes in the current year and the timing of client receivable collections and vendor payments. </w:t>
      </w:r>
    </w:p>
    <w:p w:rsidR="00000000" w:rsidRDefault="0099409C">
      <w:pPr>
        <w:ind w:firstLine="720"/>
        <w:jc w:val="both"/>
        <w:divId w:val="1075398325"/>
        <w:rPr>
          <w:rFonts w:eastAsia="Times New Roman"/>
        </w:rPr>
      </w:pPr>
      <w:r>
        <w:rPr>
          <w:rFonts w:ascii="Arial" w:eastAsia="Times New Roman" w:hAnsi="Arial" w:cs="Arial"/>
          <w:i/>
          <w:iCs/>
          <w:color w:val="000000"/>
          <w:sz w:val="20"/>
          <w:szCs w:val="20"/>
        </w:rPr>
        <w:t xml:space="preserve">Investing Activities </w:t>
      </w:r>
    </w:p>
    <w:p w:rsidR="00000000" w:rsidRDefault="0099409C">
      <w:pPr>
        <w:ind w:firstLine="720"/>
        <w:jc w:val="both"/>
        <w:divId w:val="1016082620"/>
        <w:rPr>
          <w:rFonts w:eastAsia="Times New Roman"/>
        </w:rPr>
      </w:pPr>
      <w:r>
        <w:rPr>
          <w:rFonts w:ascii="Arial" w:eastAsia="Times New Roman" w:hAnsi="Arial" w:cs="Arial"/>
          <w:color w:val="000000"/>
          <w:sz w:val="20"/>
          <w:szCs w:val="20"/>
        </w:rPr>
        <w:t>Net cash used in investing activities increased by $72.1 million d</w:t>
      </w:r>
      <w:r>
        <w:rPr>
          <w:rFonts w:ascii="Arial" w:eastAsia="Times New Roman" w:hAnsi="Arial" w:cs="Arial"/>
          <w:color w:val="000000"/>
          <w:sz w:val="20"/>
          <w:szCs w:val="20"/>
        </w:rPr>
        <w:t>uring the nine months ended July 31, 2022, as compared to the prior year period. This increase was primarily related to the acquisition of Momentum; higher purchases in property, plant and equipment; and investments in equity securities in the current year</w:t>
      </w:r>
      <w:r>
        <w:rPr>
          <w:rFonts w:ascii="Arial" w:eastAsia="Times New Roman" w:hAnsi="Arial" w:cs="Arial"/>
          <w:color w:val="000000"/>
          <w:sz w:val="20"/>
          <w:szCs w:val="20"/>
        </w:rPr>
        <w:t>.</w:t>
      </w:r>
    </w:p>
    <w:p w:rsidR="00000000" w:rsidRDefault="0099409C">
      <w:pPr>
        <w:ind w:firstLine="720"/>
        <w:jc w:val="both"/>
        <w:divId w:val="769199280"/>
        <w:rPr>
          <w:rFonts w:eastAsia="Times New Roman"/>
        </w:rPr>
      </w:pPr>
      <w:r>
        <w:rPr>
          <w:rFonts w:ascii="Arial" w:eastAsia="Times New Roman" w:hAnsi="Arial" w:cs="Arial"/>
          <w:i/>
          <w:iCs/>
          <w:color w:val="000000"/>
          <w:sz w:val="20"/>
          <w:szCs w:val="20"/>
        </w:rPr>
        <w:t xml:space="preserve">Financing Activities </w:t>
      </w:r>
    </w:p>
    <w:p w:rsidR="00000000" w:rsidRDefault="0099409C">
      <w:pPr>
        <w:ind w:firstLine="720"/>
        <w:jc w:val="both"/>
        <w:divId w:val="1277560757"/>
        <w:rPr>
          <w:rFonts w:eastAsia="Times New Roman"/>
        </w:rPr>
      </w:pPr>
      <w:r>
        <w:rPr>
          <w:rFonts w:ascii="Arial" w:eastAsia="Times New Roman" w:hAnsi="Arial" w:cs="Arial"/>
          <w:color w:val="000000"/>
          <w:sz w:val="20"/>
          <w:szCs w:val="20"/>
        </w:rPr>
        <w:t>Net cash provided by financing activities was $194.2 million during the nine months ended July 31, 2022, as compared to net cash used in financing activities of $128.7 million during the nine months ended July 31, 2021. The change w</w:t>
      </w:r>
      <w:r>
        <w:rPr>
          <w:rFonts w:ascii="Arial" w:eastAsia="Times New Roman" w:hAnsi="Arial" w:cs="Arial"/>
          <w:color w:val="000000"/>
          <w:sz w:val="20"/>
          <w:szCs w:val="20"/>
        </w:rPr>
        <w:t xml:space="preserve">as primarily related to an increase in net borrowings from our Amended Credit Facility and Receivable Facility and repurchases of our common stock in the current year. </w:t>
      </w:r>
    </w:p>
    <w:p w:rsidR="00000000" w:rsidRDefault="0099409C">
      <w:pPr>
        <w:divId w:val="1162622220"/>
        <w:rPr>
          <w:rFonts w:eastAsia="Times New Roman"/>
        </w:rPr>
      </w:pPr>
    </w:p>
    <w:p w:rsidR="00000000" w:rsidRDefault="0099409C">
      <w:pPr>
        <w:divId w:val="797142535"/>
        <w:rPr>
          <w:rFonts w:eastAsia="Times New Roman"/>
        </w:rPr>
      </w:pPr>
      <w:r>
        <w:rPr>
          <w:rFonts w:ascii="Arial" w:eastAsia="Times New Roman" w:hAnsi="Arial" w:cs="Arial"/>
          <w:b/>
          <w:bCs/>
          <w:color w:val="0046AD"/>
          <w:sz w:val="20"/>
          <w:szCs w:val="20"/>
        </w:rPr>
        <w:t>Contingencies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841772918"/>
        </w:trPr>
        <w:tc>
          <w:tcPr>
            <w:tcW w:w="5" w:type="pct"/>
            <w:vAlign w:val="center"/>
            <w:hideMark/>
          </w:tcPr>
          <w:p w:rsidR="00000000" w:rsidRDefault="0099409C">
            <w:pPr>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841772918"/>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ind w:firstLine="720"/>
        <w:jc w:val="both"/>
        <w:divId w:val="2004817330"/>
        <w:rPr>
          <w:rFonts w:eastAsia="Times New Roman"/>
        </w:rPr>
      </w:pPr>
      <w:r>
        <w:rPr>
          <w:rFonts w:ascii="Arial" w:eastAsia="Times New Roman" w:hAnsi="Arial" w:cs="Arial"/>
          <w:color w:val="000000"/>
          <w:sz w:val="20"/>
          <w:szCs w:val="20"/>
        </w:rPr>
        <w:t>For disclosures on contingencies, see Note 10, “Commitments and Contingencies,” of the Notes to unaudited Consolidated Financial Statements included in Part I, Item 1 of this Form 10-Q.</w:t>
      </w:r>
    </w:p>
    <w:p w:rsidR="00000000" w:rsidRDefault="0099409C">
      <w:pPr>
        <w:jc w:val="center"/>
        <w:divId w:val="1439325222"/>
        <w:rPr>
          <w:rFonts w:eastAsia="Times New Roman"/>
        </w:rPr>
      </w:pPr>
      <w:r>
        <w:rPr>
          <w:rFonts w:ascii="Arial" w:eastAsia="Times New Roman" w:hAnsi="Arial" w:cs="Arial"/>
          <w:color w:val="000000"/>
          <w:sz w:val="20"/>
          <w:szCs w:val="20"/>
        </w:rPr>
        <w:t>41</w:t>
      </w:r>
    </w:p>
    <w:p w:rsidR="00000000" w:rsidRDefault="0099409C">
      <w:pPr>
        <w:rPr>
          <w:rFonts w:eastAsia="Times New Roman"/>
        </w:rPr>
      </w:pPr>
      <w:r>
        <w:rPr>
          <w:rFonts w:eastAsia="Times New Roman"/>
        </w:rPr>
        <w:pict>
          <v:rect id="_x0000_i1075" style="width:0;height:1.5pt" o:hralign="center" o:hrstd="t" o:hr="t" fillcolor="#a0a0a0" stroked="f"/>
        </w:pict>
      </w:r>
    </w:p>
    <w:p w:rsidR="00000000" w:rsidRDefault="0099409C">
      <w:pPr>
        <w:jc w:val="both"/>
        <w:divId w:val="1367830150"/>
        <w:rPr>
          <w:rFonts w:eastAsia="Times New Roman"/>
        </w:rPr>
      </w:pPr>
    </w:p>
    <w:p w:rsidR="00000000" w:rsidRDefault="0099409C">
      <w:pPr>
        <w:divId w:val="1977294228"/>
        <w:rPr>
          <w:rFonts w:eastAsia="Times New Roman"/>
        </w:rPr>
      </w:pPr>
      <w:r>
        <w:rPr>
          <w:rFonts w:ascii="Arial" w:eastAsia="Times New Roman" w:hAnsi="Arial" w:cs="Arial"/>
          <w:b/>
          <w:bCs/>
          <w:color w:val="0046AD"/>
          <w:sz w:val="20"/>
          <w:szCs w:val="20"/>
        </w:rPr>
        <w:t>Critical Accounting Policies</w:t>
      </w:r>
      <w:r>
        <w:rPr>
          <w:rFonts w:ascii="Arial" w:eastAsia="Times New Roman" w:hAnsi="Arial" w:cs="Arial"/>
          <w:b/>
          <w:bCs/>
          <w:color w:val="0046AD"/>
          <w:sz w:val="20"/>
          <w:szCs w:val="20"/>
        </w:rPr>
        <w:t xml:space="preserve"> and Estimates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305430483"/>
        </w:trPr>
        <w:tc>
          <w:tcPr>
            <w:tcW w:w="5" w:type="pct"/>
            <w:vAlign w:val="center"/>
            <w:hideMark/>
          </w:tcPr>
          <w:p w:rsidR="00000000" w:rsidRDefault="0099409C">
            <w:pPr>
              <w:rPr>
                <w:rFonts w:eastAsia="Times New Roman"/>
              </w:rPr>
            </w:pPr>
          </w:p>
        </w:tc>
        <w:tc>
          <w:tcPr>
            <w:tcW w:w="12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80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305430483"/>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99409C">
            <w:pPr>
              <w:spacing w:after="100"/>
              <w:rPr>
                <w:rFonts w:eastAsia="Times New Roman"/>
                <w:sz w:val="20"/>
                <w:szCs w:val="20"/>
              </w:rPr>
            </w:pPr>
          </w:p>
        </w:tc>
      </w:tr>
    </w:tbl>
    <w:p w:rsidR="00000000" w:rsidRDefault="0099409C">
      <w:pPr>
        <w:ind w:firstLine="720"/>
        <w:jc w:val="both"/>
        <w:divId w:val="1114330447"/>
        <w:rPr>
          <w:rFonts w:eastAsia="Times New Roman"/>
        </w:rPr>
      </w:pPr>
      <w:r>
        <w:rPr>
          <w:rFonts w:ascii="Arial" w:eastAsia="Times New Roman" w:hAnsi="Arial" w:cs="Arial"/>
          <w:color w:val="000000"/>
          <w:sz w:val="20"/>
          <w:szCs w:val="20"/>
        </w:rPr>
        <w:t>Our Financial Statements are prepared in accordance with U.S. GAAP, which require us to make certain estimates in the application of our accounting policies based on the best assumptions, judgments, and opinions of our management. There have been no signif</w:t>
      </w:r>
      <w:r>
        <w:rPr>
          <w:rFonts w:ascii="Arial" w:eastAsia="Times New Roman" w:hAnsi="Arial" w:cs="Arial"/>
          <w:color w:val="000000"/>
          <w:sz w:val="20"/>
          <w:szCs w:val="20"/>
        </w:rPr>
        <w:t xml:space="preserve">icant changes to our critical accounting policies and estimates. For a description of our critical accounting policies, see Item 7., “Management’s Discussion and Analysis of Financial Condition and Results of Operations,” in our Annual Report on Form 10-K </w:t>
      </w:r>
      <w:r>
        <w:rPr>
          <w:rFonts w:ascii="Arial" w:eastAsia="Times New Roman" w:hAnsi="Arial" w:cs="Arial"/>
          <w:color w:val="000000"/>
          <w:sz w:val="20"/>
          <w:szCs w:val="20"/>
        </w:rPr>
        <w:t xml:space="preserve">for the year ended October 31, 2021. </w:t>
      </w:r>
    </w:p>
    <w:p w:rsidR="00000000" w:rsidRDefault="0099409C">
      <w:pPr>
        <w:jc w:val="both"/>
        <w:divId w:val="1436170771"/>
        <w:rPr>
          <w:rFonts w:eastAsia="Times New Roman"/>
        </w:rPr>
      </w:pPr>
      <w:r>
        <w:rPr>
          <w:rFonts w:ascii="Arial" w:eastAsia="Times New Roman" w:hAnsi="Arial" w:cs="Arial"/>
          <w:b/>
          <w:bCs/>
          <w:i/>
          <w:iCs/>
          <w:color w:val="0046AD"/>
          <w:sz w:val="20"/>
          <w:szCs w:val="20"/>
        </w:rPr>
        <w:t>Recently Issued Accounting Pronouncements    </w:t>
      </w:r>
    </w:p>
    <w:tbl>
      <w:tblPr>
        <w:tblW w:w="5000" w:type="pct"/>
        <w:tblCellMar>
          <w:top w:w="15" w:type="dxa"/>
          <w:left w:w="15" w:type="dxa"/>
          <w:bottom w:w="15" w:type="dxa"/>
          <w:right w:w="15" w:type="dxa"/>
        </w:tblCellMar>
        <w:tblLook w:val="04A0" w:firstRow="1" w:lastRow="0" w:firstColumn="1" w:lastColumn="0" w:noHBand="0" w:noVBand="1"/>
      </w:tblPr>
      <w:tblGrid>
        <w:gridCol w:w="97"/>
        <w:gridCol w:w="924"/>
        <w:gridCol w:w="36"/>
        <w:gridCol w:w="36"/>
        <w:gridCol w:w="36"/>
        <w:gridCol w:w="36"/>
        <w:gridCol w:w="42"/>
        <w:gridCol w:w="1577"/>
        <w:gridCol w:w="36"/>
        <w:gridCol w:w="36"/>
        <w:gridCol w:w="36"/>
        <w:gridCol w:w="36"/>
        <w:gridCol w:w="39"/>
        <w:gridCol w:w="3536"/>
        <w:gridCol w:w="37"/>
        <w:gridCol w:w="36"/>
        <w:gridCol w:w="36"/>
        <w:gridCol w:w="36"/>
        <w:gridCol w:w="57"/>
        <w:gridCol w:w="1564"/>
        <w:gridCol w:w="37"/>
      </w:tblGrid>
      <w:tr w:rsidR="00000000">
        <w:trPr>
          <w:divId w:val="1522814081"/>
        </w:trPr>
        <w:tc>
          <w:tcPr>
            <w:tcW w:w="50" w:type="pct"/>
            <w:vAlign w:val="center"/>
            <w:hideMark/>
          </w:tcPr>
          <w:p w:rsidR="00000000" w:rsidRDefault="0099409C">
            <w:pPr>
              <w:jc w:val="both"/>
              <w:rPr>
                <w:rFonts w:eastAsia="Times New Roman"/>
              </w:rPr>
            </w:pPr>
          </w:p>
        </w:tc>
        <w:tc>
          <w:tcPr>
            <w:tcW w:w="47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1004"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181"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100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522814081"/>
        </w:trPr>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Accounting Standard Update(s)</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Topic</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Summary</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Effective Date/</w:t>
            </w:r>
            <w:r>
              <w:rPr>
                <w:rFonts w:ascii="Arial" w:eastAsia="Times New Roman" w:hAnsi="Arial" w:cs="Arial"/>
                <w:b/>
                <w:bCs/>
                <w:color w:val="000000"/>
                <w:sz w:val="18"/>
                <w:szCs w:val="18"/>
              </w:rPr>
              <w:br/>
              <w:t>Method of Adoption</w:t>
            </w:r>
          </w:p>
        </w:tc>
      </w:tr>
      <w:tr w:rsidR="00000000">
        <w:trPr>
          <w:divId w:val="1522814081"/>
        </w:trPr>
        <w:tc>
          <w:tcPr>
            <w:tcW w:w="0" w:type="auto"/>
            <w:gridSpan w:val="3"/>
            <w:tcBorders>
              <w:top w:val="single" w:sz="8" w:space="0" w:color="000000"/>
            </w:tcBorders>
            <w:tcMar>
              <w:top w:w="30" w:type="dxa"/>
              <w:left w:w="20" w:type="dxa"/>
              <w:bottom w:w="30" w:type="dxa"/>
              <w:right w:w="20" w:type="dxa"/>
            </w:tcMar>
            <w:hideMark/>
          </w:tcPr>
          <w:p w:rsidR="00000000" w:rsidRDefault="0099409C">
            <w:pPr>
              <w:spacing w:after="100"/>
              <w:jc w:val="center"/>
              <w:rPr>
                <w:rFonts w:eastAsia="Times New Roman"/>
              </w:rPr>
            </w:pPr>
            <w:r>
              <w:rPr>
                <w:rFonts w:ascii="Arial" w:eastAsia="Times New Roman" w:hAnsi="Arial" w:cs="Arial"/>
                <w:color w:val="000000"/>
                <w:sz w:val="18"/>
                <w:szCs w:val="18"/>
              </w:rPr>
              <w:t>2021-01</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9409C">
            <w:pPr>
              <w:spacing w:after="100"/>
              <w:jc w:val="center"/>
              <w:rPr>
                <w:rFonts w:eastAsia="Times New Roman"/>
              </w:rPr>
            </w:pPr>
            <w:r>
              <w:rPr>
                <w:rFonts w:ascii="Arial" w:eastAsia="Times New Roman" w:hAnsi="Arial" w:cs="Arial"/>
                <w:color w:val="000000"/>
                <w:sz w:val="18"/>
                <w:szCs w:val="18"/>
              </w:rPr>
              <w:t>Reference Rate Reform (Topic 848): Scope</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This ASU, issued in January 2021, clarifies that derivatives affected by the discounting transition are explicitly eligible for certain optional expedients and exceptions under Topic 848.</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While we are currently evaluating the impact of implementing this g</w:t>
            </w:r>
            <w:r>
              <w:rPr>
                <w:rFonts w:ascii="Arial" w:eastAsia="Times New Roman" w:hAnsi="Arial" w:cs="Arial"/>
                <w:color w:val="000000"/>
                <w:sz w:val="18"/>
                <w:szCs w:val="18"/>
              </w:rPr>
              <w:t xml:space="preserve">uidance on our financial statements, we do not expect adoption to have a material impact. </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9409C">
            <w:pPr>
              <w:spacing w:after="100"/>
              <w:jc w:val="center"/>
              <w:rPr>
                <w:rFonts w:eastAsia="Times New Roman"/>
              </w:rPr>
            </w:pPr>
            <w:r>
              <w:rPr>
                <w:rFonts w:ascii="Arial" w:eastAsia="Times New Roman" w:hAnsi="Arial" w:cs="Arial"/>
                <w:color w:val="000000"/>
                <w:sz w:val="18"/>
                <w:szCs w:val="18"/>
              </w:rPr>
              <w:t>This ASU was effective upon issuance and can be applied to hedging relationships retrospectively or prospectively through December 31, 2022.</w:t>
            </w:r>
          </w:p>
        </w:tc>
      </w:tr>
      <w:tr w:rsidR="00000000">
        <w:trPr>
          <w:divId w:val="1522814081"/>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99409C">
            <w:pPr>
              <w:spacing w:after="100"/>
              <w:jc w:val="center"/>
              <w:rPr>
                <w:rFonts w:eastAsia="Times New Roman"/>
              </w:rPr>
            </w:pPr>
            <w:r>
              <w:rPr>
                <w:rFonts w:ascii="Arial" w:eastAsia="Times New Roman" w:hAnsi="Arial" w:cs="Arial"/>
                <w:color w:val="000000"/>
                <w:sz w:val="18"/>
                <w:szCs w:val="18"/>
              </w:rPr>
              <w:t>2020-04</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99409C">
            <w:pPr>
              <w:spacing w:after="100"/>
              <w:jc w:val="center"/>
              <w:rPr>
                <w:rFonts w:eastAsia="Times New Roman"/>
              </w:rPr>
            </w:pPr>
            <w:r>
              <w:rPr>
                <w:rFonts w:ascii="Arial" w:eastAsia="Times New Roman" w:hAnsi="Arial" w:cs="Arial"/>
                <w:color w:val="000000"/>
                <w:sz w:val="18"/>
                <w:szCs w:val="18"/>
              </w:rPr>
              <w:t>Re</w:t>
            </w:r>
            <w:r>
              <w:rPr>
                <w:rFonts w:ascii="Arial" w:eastAsia="Times New Roman" w:hAnsi="Arial" w:cs="Arial"/>
                <w:color w:val="000000"/>
                <w:sz w:val="18"/>
                <w:szCs w:val="18"/>
              </w:rPr>
              <w:t>ference Rate Reform (Topic 848): Facilitation of the Effects of Reference Rate Reform on Financial Reporting</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This ASU, issued in March 2020, provides optional expedients to assist with the discontinuance of LIBOR. The expedients allow companies to eas</w:t>
            </w:r>
            <w:r>
              <w:rPr>
                <w:rFonts w:ascii="Arial" w:eastAsia="Times New Roman" w:hAnsi="Arial" w:cs="Arial"/>
                <w:color w:val="000000"/>
                <w:sz w:val="18"/>
                <w:szCs w:val="18"/>
              </w:rPr>
              <w:t xml:space="preserve">e the potential accounting burden when modifying contracts and hedging relationships that use LIBOR as a reference rate, if certain criteria are met.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 xml:space="preserve">While we are currently evaluating the impact of implementing this guidance on our financial statements, </w:t>
            </w:r>
            <w:r>
              <w:rPr>
                <w:rFonts w:ascii="Arial" w:eastAsia="Times New Roman" w:hAnsi="Arial" w:cs="Arial"/>
                <w:color w:val="000000"/>
                <w:sz w:val="18"/>
                <w:szCs w:val="18"/>
              </w:rPr>
              <w:t>we do not expect adoption to have a material impact.</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99409C">
            <w:pPr>
              <w:spacing w:after="100"/>
              <w:jc w:val="center"/>
              <w:rPr>
                <w:rFonts w:eastAsia="Times New Roman"/>
              </w:rPr>
            </w:pPr>
            <w:r>
              <w:rPr>
                <w:rFonts w:ascii="Arial" w:eastAsia="Times New Roman" w:hAnsi="Arial" w:cs="Arial"/>
                <w:color w:val="000000"/>
                <w:sz w:val="18"/>
                <w:szCs w:val="18"/>
              </w:rPr>
              <w:t>This ASU was effective upon issuance and can be applied prospectively to contract modifications made and hedging relationships entered into or evaluated through December 31, 2022.</w:t>
            </w:r>
          </w:p>
        </w:tc>
      </w:tr>
    </w:tbl>
    <w:p w:rsidR="00000000" w:rsidRDefault="0099409C">
      <w:pPr>
        <w:divId w:val="312563831"/>
        <w:rPr>
          <w:rFonts w:eastAsia="Times New Roman"/>
        </w:rPr>
      </w:pPr>
    </w:p>
    <w:p w:rsidR="00000000" w:rsidRDefault="0099409C">
      <w:pPr>
        <w:divId w:val="2007200318"/>
        <w:rPr>
          <w:rFonts w:eastAsia="Times New Roman"/>
        </w:rPr>
      </w:pPr>
    </w:p>
    <w:p w:rsidR="00000000" w:rsidRDefault="0099409C">
      <w:pPr>
        <w:jc w:val="center"/>
        <w:divId w:val="1326474844"/>
        <w:rPr>
          <w:rFonts w:eastAsia="Times New Roman"/>
        </w:rPr>
      </w:pPr>
      <w:r>
        <w:rPr>
          <w:rFonts w:ascii="Arial" w:eastAsia="Times New Roman" w:hAnsi="Arial" w:cs="Arial"/>
          <w:color w:val="000000"/>
          <w:sz w:val="20"/>
          <w:szCs w:val="20"/>
        </w:rPr>
        <w:t>42</w:t>
      </w:r>
    </w:p>
    <w:p w:rsidR="00000000" w:rsidRDefault="0099409C">
      <w:pPr>
        <w:rPr>
          <w:rFonts w:eastAsia="Times New Roman"/>
        </w:rPr>
      </w:pPr>
      <w:r>
        <w:rPr>
          <w:rFonts w:eastAsia="Times New Roman"/>
        </w:rPr>
        <w:pict>
          <v:rect id="_x0000_i1076" style="width:0;height:1.5pt" o:hralign="center" o:hrstd="t" o:hr="t" fillcolor="#a0a0a0" stroked="f"/>
        </w:pict>
      </w:r>
    </w:p>
    <w:p w:rsidR="00000000" w:rsidRDefault="0099409C">
      <w:pPr>
        <w:jc w:val="both"/>
        <w:divId w:val="1375736912"/>
        <w:rPr>
          <w:rFonts w:eastAsia="Times New Roman"/>
        </w:rPr>
      </w:pPr>
    </w:p>
    <w:p w:rsidR="00000000" w:rsidRDefault="0099409C">
      <w:pPr>
        <w:divId w:val="1480613621"/>
        <w:rPr>
          <w:rFonts w:eastAsia="Times New Roman"/>
        </w:rPr>
      </w:pPr>
      <w:r>
        <w:rPr>
          <w:rFonts w:ascii="Arial" w:eastAsia="Times New Roman" w:hAnsi="Arial" w:cs="Arial"/>
          <w:b/>
          <w:bCs/>
          <w:color w:val="0046AD"/>
          <w:sz w:val="20"/>
          <w:szCs w:val="20"/>
        </w:rPr>
        <w:t>ITEM 3. QUANTITATIVE AND QUALITATIVE DISCLOSURES ABOUT MARKET RISK.</w:t>
      </w:r>
    </w:p>
    <w:p w:rsidR="00000000" w:rsidRDefault="0099409C">
      <w:pPr>
        <w:ind w:firstLine="720"/>
        <w:jc w:val="both"/>
        <w:divId w:val="129638923"/>
        <w:rPr>
          <w:rFonts w:eastAsia="Times New Roman"/>
        </w:rPr>
      </w:pPr>
      <w:r>
        <w:rPr>
          <w:rFonts w:ascii="Arial" w:eastAsia="Times New Roman" w:hAnsi="Arial" w:cs="Arial"/>
          <w:color w:val="000000"/>
          <w:sz w:val="20"/>
          <w:szCs w:val="20"/>
        </w:rPr>
        <w:t xml:space="preserve">There are no material changes related to market risk from the disclosures in our Annual Report on Form 10-K for the year ended October 31, 2021. </w:t>
      </w:r>
    </w:p>
    <w:p w:rsidR="00000000" w:rsidRDefault="0099409C">
      <w:pPr>
        <w:divId w:val="142308815"/>
        <w:rPr>
          <w:rFonts w:eastAsia="Times New Roman"/>
        </w:rPr>
      </w:pPr>
      <w:r>
        <w:rPr>
          <w:rFonts w:ascii="Arial" w:eastAsia="Times New Roman" w:hAnsi="Arial" w:cs="Arial"/>
          <w:b/>
          <w:bCs/>
          <w:color w:val="0046AD"/>
          <w:sz w:val="20"/>
          <w:szCs w:val="20"/>
        </w:rPr>
        <w:t>ITEM</w:t>
      </w:r>
      <w:r>
        <w:rPr>
          <w:rFonts w:ascii="Arial" w:eastAsia="Times New Roman" w:hAnsi="Arial" w:cs="Arial"/>
          <w:b/>
          <w:bCs/>
          <w:color w:val="0046AD"/>
          <w:sz w:val="20"/>
          <w:szCs w:val="20"/>
        </w:rPr>
        <w:t> 4. CONTROLS AND PROCEDURES.</w:t>
      </w:r>
    </w:p>
    <w:p w:rsidR="00000000" w:rsidRDefault="0099409C">
      <w:pPr>
        <w:jc w:val="both"/>
        <w:divId w:val="1014918213"/>
        <w:rPr>
          <w:rFonts w:eastAsia="Times New Roman"/>
        </w:rPr>
      </w:pPr>
      <w:r>
        <w:rPr>
          <w:rFonts w:ascii="Arial" w:eastAsia="Times New Roman" w:hAnsi="Arial" w:cs="Arial"/>
          <w:b/>
          <w:bCs/>
          <w:color w:val="0046AD"/>
          <w:sz w:val="20"/>
          <w:szCs w:val="20"/>
        </w:rPr>
        <w:t>a.</w:t>
      </w:r>
      <w:r>
        <w:rPr>
          <w:rFonts w:ascii="Arial" w:eastAsia="Times New Roman" w:hAnsi="Arial" w:cs="Arial"/>
          <w:color w:val="0046AD"/>
          <w:sz w:val="20"/>
          <w:szCs w:val="20"/>
        </w:rPr>
        <w:t xml:space="preserve"> </w:t>
      </w:r>
      <w:r>
        <w:rPr>
          <w:rFonts w:ascii="Arial" w:eastAsia="Times New Roman" w:hAnsi="Arial" w:cs="Arial"/>
          <w:b/>
          <w:bCs/>
          <w:color w:val="0046AD"/>
          <w:sz w:val="20"/>
          <w:szCs w:val="20"/>
        </w:rPr>
        <w:t>Disclosure Controls and Procedures.</w:t>
      </w:r>
      <w:r>
        <w:rPr>
          <w:rFonts w:ascii="Arial" w:eastAsia="Times New Roman" w:hAnsi="Arial" w:cs="Arial"/>
          <w:color w:val="0046AD"/>
          <w:sz w:val="20"/>
          <w:szCs w:val="20"/>
        </w:rPr>
        <w:t xml:space="preserve"> </w:t>
      </w:r>
    </w:p>
    <w:p w:rsidR="00000000" w:rsidRDefault="0099409C">
      <w:pPr>
        <w:ind w:firstLine="720"/>
        <w:jc w:val="both"/>
        <w:divId w:val="967932232"/>
        <w:rPr>
          <w:rFonts w:eastAsia="Times New Roman"/>
        </w:rPr>
      </w:pPr>
      <w:r>
        <w:rPr>
          <w:rFonts w:ascii="Arial" w:eastAsia="Times New Roman" w:hAnsi="Arial" w:cs="Arial"/>
          <w:color w:val="000000"/>
          <w:sz w:val="20"/>
          <w:szCs w:val="20"/>
        </w:rPr>
        <w:t>As of th</w:t>
      </w:r>
      <w:r>
        <w:rPr>
          <w:rFonts w:ascii="Arial" w:eastAsia="Times New Roman" w:hAnsi="Arial" w:cs="Arial"/>
          <w:color w:val="000000"/>
          <w:sz w:val="20"/>
          <w:szCs w:val="20"/>
        </w:rPr>
        <w:t>e end of the period covered by this report, our Principal Executive Officer and Principal Financial Officer evaluated our disclosure controls and procedures, as such term is defined in Rules 13a-15(e) and 15d-15(e) of the Exchange Act. Based upon that eval</w:t>
      </w:r>
      <w:r>
        <w:rPr>
          <w:rFonts w:ascii="Arial" w:eastAsia="Times New Roman" w:hAnsi="Arial" w:cs="Arial"/>
          <w:color w:val="000000"/>
          <w:sz w:val="20"/>
          <w:szCs w:val="20"/>
        </w:rPr>
        <w:t>uation, our Principal Executive Officer and Principal Financial Officer concluded that as of the end of the period covered by this report, our disclosure controls and procedures were effective to ensure that information required to be disclosed by us in re</w:t>
      </w:r>
      <w:r>
        <w:rPr>
          <w:rFonts w:ascii="Arial" w:eastAsia="Times New Roman" w:hAnsi="Arial" w:cs="Arial"/>
          <w:color w:val="000000"/>
          <w:sz w:val="20"/>
          <w:szCs w:val="20"/>
        </w:rPr>
        <w:t>ports we file or submit under the Exchange Act is (1) recorded, processed, summarized, and reported within the time periods specified in the rules and forms of the SEC and (2) accumulated and communicated to our management, including our Principal Executiv</w:t>
      </w:r>
      <w:r>
        <w:rPr>
          <w:rFonts w:ascii="Arial" w:eastAsia="Times New Roman" w:hAnsi="Arial" w:cs="Arial"/>
          <w:color w:val="000000"/>
          <w:sz w:val="20"/>
          <w:szCs w:val="20"/>
        </w:rPr>
        <w:t xml:space="preserve">e Officer and Principal Financial Officer, to allow timely decisions regarding required disclosure. </w:t>
      </w:r>
    </w:p>
    <w:p w:rsidR="00000000" w:rsidRDefault="0099409C">
      <w:pPr>
        <w:jc w:val="both"/>
        <w:divId w:val="1540901199"/>
        <w:rPr>
          <w:rFonts w:eastAsia="Times New Roman"/>
        </w:rPr>
      </w:pPr>
      <w:r>
        <w:rPr>
          <w:rFonts w:ascii="Arial" w:eastAsia="Times New Roman" w:hAnsi="Arial" w:cs="Arial"/>
          <w:b/>
          <w:bCs/>
          <w:color w:val="0046AD"/>
          <w:sz w:val="20"/>
          <w:szCs w:val="20"/>
        </w:rPr>
        <w:t>b. Changes in Internal Control Over Financial Reporting.</w:t>
      </w:r>
    </w:p>
    <w:p w:rsidR="00000000" w:rsidRDefault="0099409C">
      <w:pPr>
        <w:ind w:firstLine="720"/>
        <w:jc w:val="both"/>
        <w:divId w:val="2076854793"/>
        <w:rPr>
          <w:rFonts w:eastAsia="Times New Roman"/>
        </w:rPr>
      </w:pPr>
      <w:r>
        <w:rPr>
          <w:rFonts w:ascii="Arial" w:eastAsia="Times New Roman" w:hAnsi="Arial" w:cs="Arial"/>
          <w:color w:val="000000"/>
          <w:sz w:val="20"/>
          <w:szCs w:val="20"/>
        </w:rPr>
        <w:t xml:space="preserve">During fiscal year 2021 and the second quarter of fiscal year 2022, we completed the acquisitions </w:t>
      </w:r>
      <w:r>
        <w:rPr>
          <w:rFonts w:ascii="Arial" w:eastAsia="Times New Roman" w:hAnsi="Arial" w:cs="Arial"/>
          <w:color w:val="000000"/>
          <w:sz w:val="20"/>
          <w:szCs w:val="20"/>
        </w:rPr>
        <w:t xml:space="preserve">of Able and Momentum, respectively, as described in Note 3, “Acquisitions and Dispositions,” to the unaudited Consolidated Financial Statements in this Form 10-Q. We continue to integrate policies, processes, personnel, technology, and operations relating </w:t>
      </w:r>
      <w:r>
        <w:rPr>
          <w:rFonts w:ascii="Arial" w:eastAsia="Times New Roman" w:hAnsi="Arial" w:cs="Arial"/>
          <w:color w:val="000000"/>
          <w:sz w:val="20"/>
          <w:szCs w:val="20"/>
        </w:rPr>
        <w:t>to this transaction and will continue to evaluate the impact of any related changes to our internal controls over financial reporting. Additionally, to support the growth of our financial shared service capabilities and standardize our financial systems, w</w:t>
      </w:r>
      <w:r>
        <w:rPr>
          <w:rFonts w:ascii="Arial" w:eastAsia="Times New Roman" w:hAnsi="Arial" w:cs="Arial"/>
          <w:color w:val="000000"/>
          <w:sz w:val="20"/>
          <w:szCs w:val="20"/>
        </w:rPr>
        <w:t>e continue to update several key platforms, including our human resources information systems, enterprise resource planning system, and labor management system. The implementation of several key platforms involves changes in the systems that include intern</w:t>
      </w:r>
      <w:r>
        <w:rPr>
          <w:rFonts w:ascii="Arial" w:eastAsia="Times New Roman" w:hAnsi="Arial" w:cs="Arial"/>
          <w:color w:val="000000"/>
          <w:sz w:val="20"/>
          <w:szCs w:val="20"/>
        </w:rPr>
        <w:t xml:space="preserve">al controls. Although some of the transitions have proceeded to date without material adverse effects, the possibility exists that they could adversely affect our internal controls over financial reporting and procedures. </w:t>
      </w:r>
    </w:p>
    <w:p w:rsidR="00000000" w:rsidRDefault="0099409C">
      <w:pPr>
        <w:ind w:firstLine="720"/>
        <w:jc w:val="both"/>
        <w:divId w:val="1813254131"/>
        <w:rPr>
          <w:rFonts w:eastAsia="Times New Roman"/>
        </w:rPr>
      </w:pPr>
      <w:r>
        <w:rPr>
          <w:rFonts w:ascii="Arial" w:eastAsia="Times New Roman" w:hAnsi="Arial" w:cs="Arial"/>
          <w:color w:val="000000"/>
          <w:sz w:val="20"/>
          <w:szCs w:val="20"/>
        </w:rPr>
        <w:t>There were no other changes in our internal control over financial reporting during the third quarter of 2022 identified in connection with the evaluation required by Rules 13a-15(d) and 15d-15(d) of the Exchange Act that have materially affected, or are r</w:t>
      </w:r>
      <w:r>
        <w:rPr>
          <w:rFonts w:ascii="Arial" w:eastAsia="Times New Roman" w:hAnsi="Arial" w:cs="Arial"/>
          <w:color w:val="000000"/>
          <w:sz w:val="20"/>
          <w:szCs w:val="20"/>
        </w:rPr>
        <w:t>easonably likely to materially affect, our internal control over financial reporting. As a result of the Pandemic, a majority of our office-based employees began working remotely in March 2020, with many transitioning to working in a hybrid environment sta</w:t>
      </w:r>
      <w:r>
        <w:rPr>
          <w:rFonts w:ascii="Arial" w:eastAsia="Times New Roman" w:hAnsi="Arial" w:cs="Arial"/>
          <w:color w:val="000000"/>
          <w:sz w:val="20"/>
          <w:szCs w:val="20"/>
        </w:rPr>
        <w:t>rting March 2022. The changes to the working environment did not have a material effect on our internal controls over financial reporting during the third quarter of 2022. We are continually monitoring and assessing the impact of the Pandemic and the resul</w:t>
      </w:r>
      <w:r>
        <w:rPr>
          <w:rFonts w:ascii="Arial" w:eastAsia="Times New Roman" w:hAnsi="Arial" w:cs="Arial"/>
          <w:color w:val="000000"/>
          <w:sz w:val="20"/>
          <w:szCs w:val="20"/>
        </w:rPr>
        <w:t>ting changes to our working environment on our internal controls over financial reporting.</w:t>
      </w:r>
    </w:p>
    <w:p w:rsidR="00000000" w:rsidRDefault="0099409C">
      <w:pPr>
        <w:divId w:val="2003240569"/>
        <w:rPr>
          <w:rFonts w:eastAsia="Times New Roman"/>
        </w:rPr>
      </w:pPr>
      <w:r>
        <w:rPr>
          <w:rFonts w:ascii="Arial" w:eastAsia="Times New Roman" w:hAnsi="Arial" w:cs="Arial"/>
          <w:b/>
          <w:bCs/>
          <w:color w:val="0046AD"/>
          <w:sz w:val="20"/>
          <w:szCs w:val="20"/>
        </w:rPr>
        <w:t>PART II. OTHER INFORMATION</w:t>
      </w:r>
    </w:p>
    <w:p w:rsidR="00000000" w:rsidRDefault="0099409C">
      <w:pPr>
        <w:divId w:val="1312128749"/>
        <w:rPr>
          <w:rFonts w:eastAsia="Times New Roman"/>
        </w:rPr>
      </w:pPr>
      <w:r>
        <w:rPr>
          <w:rFonts w:ascii="Arial" w:eastAsia="Times New Roman" w:hAnsi="Arial" w:cs="Arial"/>
          <w:b/>
          <w:bCs/>
          <w:color w:val="0046AD"/>
          <w:sz w:val="20"/>
          <w:szCs w:val="20"/>
        </w:rPr>
        <w:t>ITEM 1. LEGAL PROCEEDINGS.</w:t>
      </w:r>
    </w:p>
    <w:p w:rsidR="00000000" w:rsidRDefault="0099409C">
      <w:pPr>
        <w:ind w:firstLine="720"/>
        <w:jc w:val="both"/>
        <w:divId w:val="1753971052"/>
        <w:rPr>
          <w:rFonts w:eastAsia="Times New Roman"/>
        </w:rPr>
      </w:pPr>
      <w:r>
        <w:rPr>
          <w:rFonts w:ascii="Arial" w:eastAsia="Times New Roman" w:hAnsi="Arial" w:cs="Arial"/>
          <w:color w:val="000000"/>
          <w:sz w:val="20"/>
          <w:szCs w:val="20"/>
        </w:rPr>
        <w:t xml:space="preserve">A discussion of material developments in our litigation matters occurring in the period covered by this report </w:t>
      </w:r>
      <w:r>
        <w:rPr>
          <w:rFonts w:ascii="Arial" w:eastAsia="Times New Roman" w:hAnsi="Arial" w:cs="Arial"/>
          <w:color w:val="000000"/>
          <w:sz w:val="20"/>
          <w:szCs w:val="20"/>
        </w:rPr>
        <w:t>is found in Note 10, “Commitments and Contingencies,” to the unaudited Consolidated Financial Statements in this Form 10-Q.</w:t>
      </w:r>
    </w:p>
    <w:p w:rsidR="00000000" w:rsidRDefault="0099409C">
      <w:pPr>
        <w:divId w:val="1389568600"/>
        <w:rPr>
          <w:rFonts w:eastAsia="Times New Roman"/>
        </w:rPr>
      </w:pPr>
      <w:r>
        <w:rPr>
          <w:rFonts w:ascii="Arial" w:eastAsia="Times New Roman" w:hAnsi="Arial" w:cs="Arial"/>
          <w:b/>
          <w:bCs/>
          <w:color w:val="0046AD"/>
          <w:sz w:val="20"/>
          <w:szCs w:val="20"/>
        </w:rPr>
        <w:t>ITEM 1A. RISK FACTORS.</w:t>
      </w:r>
    </w:p>
    <w:p w:rsidR="00000000" w:rsidRDefault="0099409C">
      <w:pPr>
        <w:ind w:firstLine="720"/>
        <w:jc w:val="both"/>
        <w:divId w:val="415633535"/>
        <w:rPr>
          <w:rFonts w:eastAsia="Times New Roman"/>
        </w:rPr>
      </w:pPr>
      <w:r>
        <w:rPr>
          <w:rFonts w:ascii="Arial" w:eastAsia="Times New Roman" w:hAnsi="Arial" w:cs="Arial"/>
          <w:color w:val="000000"/>
          <w:sz w:val="20"/>
          <w:szCs w:val="20"/>
        </w:rPr>
        <w:t xml:space="preserve">There have been no material changes to the risk factors identified in our Annual Report on Form 10-K for the </w:t>
      </w:r>
      <w:r>
        <w:rPr>
          <w:rFonts w:ascii="Arial" w:eastAsia="Times New Roman" w:hAnsi="Arial" w:cs="Arial"/>
          <w:color w:val="000000"/>
          <w:sz w:val="20"/>
          <w:szCs w:val="20"/>
        </w:rPr>
        <w:t>year ended October 31, 2021, in response to Item 1A., “Risk Factors,” of Part I of the Annual Report.</w:t>
      </w:r>
    </w:p>
    <w:p w:rsidR="00000000" w:rsidRDefault="0099409C">
      <w:pPr>
        <w:divId w:val="1575429810"/>
        <w:rPr>
          <w:rFonts w:eastAsia="Times New Roman"/>
        </w:rPr>
      </w:pPr>
      <w:r>
        <w:rPr>
          <w:rFonts w:ascii="Arial" w:eastAsia="Times New Roman" w:hAnsi="Arial" w:cs="Arial"/>
          <w:b/>
          <w:bCs/>
          <w:color w:val="0046AD"/>
          <w:sz w:val="20"/>
          <w:szCs w:val="20"/>
        </w:rPr>
        <w:t>ITEM 2. UNREGISTERED SALES OF EQUITY SECURITIES AND USE OF PROCEEDS.</w:t>
      </w:r>
    </w:p>
    <w:p w:rsidR="00000000" w:rsidRDefault="0099409C">
      <w:pPr>
        <w:ind w:firstLine="720"/>
        <w:jc w:val="both"/>
        <w:divId w:val="547034271"/>
        <w:rPr>
          <w:rFonts w:eastAsia="Times New Roman"/>
        </w:rPr>
      </w:pPr>
      <w:r>
        <w:rPr>
          <w:rFonts w:ascii="Arial" w:eastAsia="Times New Roman" w:hAnsi="Arial" w:cs="Arial"/>
          <w:color w:val="000000"/>
          <w:sz w:val="20"/>
          <w:szCs w:val="20"/>
        </w:rPr>
        <w:t>The following table sets forth, for the months indicated, our purchases of common sto</w:t>
      </w:r>
      <w:r>
        <w:rPr>
          <w:rFonts w:ascii="Arial" w:eastAsia="Times New Roman" w:hAnsi="Arial" w:cs="Arial"/>
          <w:color w:val="000000"/>
          <w:sz w:val="20"/>
          <w:szCs w:val="20"/>
        </w:rPr>
        <w:t>ck in the second quarter of fiscal year 2022:</w:t>
      </w:r>
    </w:p>
    <w:p w:rsidR="00000000" w:rsidRDefault="0099409C">
      <w:pPr>
        <w:jc w:val="both"/>
        <w:divId w:val="373970562"/>
        <w:rPr>
          <w:rFonts w:eastAsia="Times New Roman"/>
        </w:rPr>
      </w:pPr>
    </w:p>
    <w:p w:rsidR="00000000" w:rsidRDefault="0099409C">
      <w:pPr>
        <w:jc w:val="both"/>
        <w:divId w:val="1394699282"/>
        <w:rPr>
          <w:rFonts w:eastAsia="Times New Roman"/>
        </w:rPr>
      </w:pPr>
    </w:p>
    <w:p w:rsidR="00000000" w:rsidRDefault="0099409C">
      <w:pPr>
        <w:jc w:val="both"/>
        <w:divId w:val="263611371"/>
        <w:rPr>
          <w:rFonts w:eastAsia="Times New Roman"/>
        </w:rPr>
      </w:pPr>
    </w:p>
    <w:p w:rsidR="00000000" w:rsidRDefault="0099409C">
      <w:pPr>
        <w:jc w:val="center"/>
        <w:divId w:val="1646616242"/>
        <w:rPr>
          <w:rFonts w:eastAsia="Times New Roman"/>
        </w:rPr>
      </w:pPr>
      <w:r>
        <w:rPr>
          <w:rFonts w:ascii="Arial" w:eastAsia="Times New Roman" w:hAnsi="Arial" w:cs="Arial"/>
          <w:color w:val="000000"/>
          <w:sz w:val="20"/>
          <w:szCs w:val="20"/>
        </w:rPr>
        <w:t>43</w:t>
      </w:r>
    </w:p>
    <w:p w:rsidR="00000000" w:rsidRDefault="0099409C">
      <w:pPr>
        <w:rPr>
          <w:rFonts w:eastAsia="Times New Roman"/>
        </w:rPr>
      </w:pPr>
      <w:r>
        <w:rPr>
          <w:rFonts w:eastAsia="Times New Roman"/>
        </w:rPr>
        <w:pict>
          <v:rect id="_x0000_i1077" style="width:0;height:1.5pt" o:hralign="center" o:hrstd="t" o:hr="t" fillcolor="#a0a0a0" stroked="f"/>
        </w:pict>
      </w:r>
    </w:p>
    <w:p w:rsidR="00000000" w:rsidRDefault="0099409C">
      <w:pPr>
        <w:jc w:val="both"/>
        <w:divId w:val="51850633"/>
        <w:rPr>
          <w:rFonts w:eastAsia="Times New Roman"/>
        </w:rPr>
      </w:pPr>
    </w:p>
    <w:p w:rsidR="00000000" w:rsidRDefault="0099409C">
      <w:pPr>
        <w:jc w:val="both"/>
        <w:divId w:val="1509949808"/>
        <w:rPr>
          <w:rFonts w:eastAsia="Times New Roman"/>
        </w:rPr>
      </w:pPr>
    </w:p>
    <w:p w:rsidR="00000000" w:rsidRDefault="0099409C">
      <w:pPr>
        <w:jc w:val="both"/>
        <w:divId w:val="640428956"/>
        <w:rPr>
          <w:rFonts w:eastAsia="Times New Roman"/>
        </w:rPr>
      </w:pPr>
      <w:r>
        <w:rPr>
          <w:rFonts w:ascii="Arial" w:eastAsia="Times New Roman" w:hAnsi="Arial" w:cs="Arial"/>
          <w:b/>
          <w:bCs/>
          <w:i/>
          <w:iCs/>
          <w:color w:val="0046AD"/>
          <w:sz w:val="20"/>
          <w:szCs w:val="20"/>
        </w:rPr>
        <w:t>Issuer Purchases of Equity Securities</w:t>
      </w:r>
    </w:p>
    <w:tbl>
      <w:tblPr>
        <w:tblW w:w="5000" w:type="pct"/>
        <w:tblCellMar>
          <w:top w:w="15" w:type="dxa"/>
          <w:left w:w="15" w:type="dxa"/>
          <w:bottom w:w="15" w:type="dxa"/>
          <w:right w:w="15" w:type="dxa"/>
        </w:tblCellMar>
        <w:tblLook w:val="04A0" w:firstRow="1" w:lastRow="0" w:firstColumn="1" w:lastColumn="0" w:noHBand="0" w:noVBand="1"/>
      </w:tblPr>
      <w:tblGrid>
        <w:gridCol w:w="42"/>
        <w:gridCol w:w="2018"/>
        <w:gridCol w:w="37"/>
        <w:gridCol w:w="36"/>
        <w:gridCol w:w="36"/>
        <w:gridCol w:w="36"/>
        <w:gridCol w:w="54"/>
        <w:gridCol w:w="1306"/>
        <w:gridCol w:w="36"/>
        <w:gridCol w:w="36"/>
        <w:gridCol w:w="36"/>
        <w:gridCol w:w="36"/>
        <w:gridCol w:w="122"/>
        <w:gridCol w:w="1317"/>
        <w:gridCol w:w="36"/>
        <w:gridCol w:w="36"/>
        <w:gridCol w:w="36"/>
        <w:gridCol w:w="36"/>
        <w:gridCol w:w="58"/>
        <w:gridCol w:w="1335"/>
        <w:gridCol w:w="36"/>
        <w:gridCol w:w="36"/>
        <w:gridCol w:w="36"/>
        <w:gridCol w:w="36"/>
        <w:gridCol w:w="122"/>
        <w:gridCol w:w="1319"/>
        <w:gridCol w:w="36"/>
      </w:tblGrid>
      <w:tr w:rsidR="00000000">
        <w:trPr>
          <w:divId w:val="1615743776"/>
        </w:trPr>
        <w:tc>
          <w:tcPr>
            <w:tcW w:w="50" w:type="pct"/>
            <w:vAlign w:val="center"/>
            <w:hideMark/>
          </w:tcPr>
          <w:p w:rsidR="00000000" w:rsidRDefault="0099409C">
            <w:pPr>
              <w:jc w:val="both"/>
              <w:rPr>
                <w:rFonts w:eastAsia="Times New Roman"/>
              </w:rPr>
            </w:pPr>
          </w:p>
        </w:tc>
        <w:tc>
          <w:tcPr>
            <w:tcW w:w="123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83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83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19"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83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83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615743776"/>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Total Number of Shares Purchased</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Average Price Paid per Share</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Total Number of Shares Purchased as Part of Publicly Announced Pla</w:t>
            </w:r>
            <w:r>
              <w:rPr>
                <w:rFonts w:ascii="Arial" w:eastAsia="Times New Roman" w:hAnsi="Arial" w:cs="Arial"/>
                <w:b/>
                <w:bCs/>
                <w:color w:val="000000"/>
                <w:sz w:val="18"/>
                <w:szCs w:val="18"/>
              </w:rPr>
              <w:t>n</w:t>
            </w:r>
            <w:r>
              <w:rPr>
                <w:rFonts w:ascii="Arial" w:eastAsia="Times New Roman" w:hAnsi="Arial" w:cs="Arial"/>
                <w:b/>
                <w:bCs/>
                <w:color w:val="000000"/>
                <w:sz w:val="12"/>
                <w:szCs w:val="12"/>
              </w:rPr>
              <w:t>(1</w:t>
            </w:r>
            <w:r>
              <w:rPr>
                <w:rFonts w:ascii="Arial" w:eastAsia="Times New Roman" w:hAnsi="Arial" w:cs="Arial"/>
                <w:b/>
                <w:bCs/>
                <w:color w:val="000000"/>
                <w:sz w:val="12"/>
                <w:szCs w:val="12"/>
              </w:rPr>
              <w:t>)</w:t>
            </w:r>
          </w:p>
        </w:tc>
        <w:tc>
          <w:tcPr>
            <w:tcW w:w="0" w:type="auto"/>
            <w:gridSpan w:val="3"/>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jc w:val="center"/>
              <w:rPr>
                <w:rFonts w:eastAsia="Times New Roman"/>
              </w:rPr>
            </w:pPr>
            <w:r>
              <w:rPr>
                <w:rFonts w:ascii="Arial" w:eastAsia="Times New Roman" w:hAnsi="Arial" w:cs="Arial"/>
                <w:b/>
                <w:bCs/>
                <w:color w:val="000000"/>
                <w:sz w:val="18"/>
                <w:szCs w:val="18"/>
              </w:rPr>
              <w:t>Approximate Dollar Value of Shares that May Yet Be Purchased Under the Plan</w:t>
            </w:r>
          </w:p>
        </w:tc>
      </w:tr>
      <w:tr w:rsidR="00000000">
        <w:trPr>
          <w:divId w:val="1615743776"/>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Period</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divId w:val="1615743776"/>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5/1/2022 – 5/31/2022</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101.6 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5743776"/>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6/1/2022 – 6/30/2022</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0.7</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41.82 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0.7</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73.7 </w:t>
            </w:r>
          </w:p>
        </w:tc>
        <w:tc>
          <w:tcPr>
            <w:tcW w:w="0" w:type="auto"/>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5743776"/>
        </w:trPr>
        <w:tc>
          <w:tcPr>
            <w:tcW w:w="0" w:type="auto"/>
            <w:gridSpan w:val="3"/>
            <w:shd w:val="clear" w:color="auto" w:fill="FFFFF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7/1/2022 – 7/31/2022</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42.74 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70.4 </w:t>
            </w:r>
          </w:p>
        </w:tc>
        <w:tc>
          <w:tcPr>
            <w:tcW w:w="0" w:type="auto"/>
            <w:shd w:val="clear" w:color="auto" w:fill="FFFFFF"/>
            <w:tcMar>
              <w:top w:w="30" w:type="dxa"/>
              <w:left w:w="0" w:type="dxa"/>
              <w:bottom w:w="30" w:type="dxa"/>
              <w:right w:w="20" w:type="dxa"/>
            </w:tcMar>
            <w:vAlign w:val="bottom"/>
            <w:hideMark/>
          </w:tcPr>
          <w:p w:rsidR="00000000" w:rsidRDefault="0099409C">
            <w:pPr>
              <w:spacing w:after="100"/>
              <w:jc w:val="right"/>
              <w:rPr>
                <w:rFonts w:eastAsia="Times New Roman"/>
              </w:rPr>
            </w:pPr>
          </w:p>
        </w:tc>
      </w:tr>
      <w:tr w:rsidR="00000000">
        <w:trPr>
          <w:divId w:val="1615743776"/>
        </w:trPr>
        <w:tc>
          <w:tcPr>
            <w:tcW w:w="0" w:type="auto"/>
            <w:gridSpan w:val="3"/>
            <w:shd w:val="clear" w:color="auto" w:fill="DCE2EF"/>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b/>
                <w:bCs/>
                <w:color w:val="000000"/>
                <w:sz w:val="18"/>
                <w:szCs w:val="18"/>
              </w:rPr>
              <w:t>Total</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Borders>
              <w:top w:val="single" w:sz="8" w:space="0" w:color="000000"/>
              <w:bottom w:val="double" w:sz="6" w:space="0" w:color="000000"/>
            </w:tcBorders>
            <w:shd w:val="clear" w:color="auto" w:fill="DCE2E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0.7</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41.92 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DCE2EF"/>
            <w:tcMar>
              <w:top w:w="30" w:type="dxa"/>
              <w:left w:w="20" w:type="dxa"/>
              <w:bottom w:w="30" w:type="dxa"/>
              <w:right w:w="2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0.7</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right"/>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99409C">
            <w:pPr>
              <w:spacing w:after="100"/>
              <w:jc w:val="right"/>
              <w:rPr>
                <w:rFonts w:eastAsia="Times New Roman"/>
              </w:rPr>
            </w:pPr>
            <w:r>
              <w:rPr>
                <w:rFonts w:ascii="Arial" w:eastAsia="Times New Roman" w:hAnsi="Arial" w:cs="Arial"/>
                <w:color w:val="000000"/>
                <w:sz w:val="18"/>
                <w:szCs w:val="18"/>
              </w:rPr>
              <w:t>70.4 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99409C">
            <w:pPr>
              <w:spacing w:after="100"/>
              <w:jc w:val="right"/>
              <w:rPr>
                <w:rFonts w:eastAsia="Times New Roman"/>
              </w:rPr>
            </w:pPr>
          </w:p>
        </w:tc>
      </w:tr>
    </w:tbl>
    <w:p w:rsidR="00000000" w:rsidRDefault="0099409C">
      <w:pPr>
        <w:ind w:hanging="180"/>
        <w:jc w:val="both"/>
        <w:divId w:val="37015664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In December 2019, our Board of Directors authorized a new stock repurchase program that authorized us to acquire up to $150 million of our common stock. Under the repurchase program, we may repurchase shares on the open market, through solicited or unsolic</w:t>
      </w:r>
      <w:r>
        <w:rPr>
          <w:rFonts w:ascii="Arial" w:eastAsia="Times New Roman" w:hAnsi="Arial" w:cs="Arial"/>
          <w:color w:val="000000"/>
          <w:sz w:val="18"/>
          <w:szCs w:val="18"/>
        </w:rPr>
        <w:t xml:space="preserve">ited privately negotiated transactions, or otherwise, from time to time based on market conditions and other factors. </w:t>
      </w:r>
    </w:p>
    <w:p w:rsidR="00000000" w:rsidRDefault="0099409C">
      <w:pPr>
        <w:divId w:val="874345149"/>
        <w:rPr>
          <w:rFonts w:eastAsia="Times New Roman"/>
        </w:rPr>
      </w:pPr>
      <w:r>
        <w:rPr>
          <w:rFonts w:ascii="Arial" w:eastAsia="Times New Roman" w:hAnsi="Arial" w:cs="Arial"/>
          <w:b/>
          <w:bCs/>
          <w:color w:val="0046AD"/>
          <w:sz w:val="20"/>
          <w:szCs w:val="20"/>
        </w:rPr>
        <w:t>ITEM 3. DEFAULTS UPON SENIOR SECURITIES.</w:t>
      </w:r>
    </w:p>
    <w:p w:rsidR="00000000" w:rsidRDefault="0099409C">
      <w:pPr>
        <w:ind w:firstLine="720"/>
        <w:jc w:val="both"/>
        <w:divId w:val="1674649452"/>
        <w:rPr>
          <w:rFonts w:eastAsia="Times New Roman"/>
        </w:rPr>
      </w:pPr>
      <w:r>
        <w:rPr>
          <w:rFonts w:ascii="Arial" w:eastAsia="Times New Roman" w:hAnsi="Arial" w:cs="Arial"/>
          <w:color w:val="000000"/>
          <w:sz w:val="20"/>
          <w:szCs w:val="20"/>
        </w:rPr>
        <w:t>None.</w:t>
      </w:r>
    </w:p>
    <w:p w:rsidR="00000000" w:rsidRDefault="0099409C">
      <w:pPr>
        <w:divId w:val="273830590"/>
        <w:rPr>
          <w:rFonts w:eastAsia="Times New Roman"/>
        </w:rPr>
      </w:pPr>
      <w:r>
        <w:rPr>
          <w:rFonts w:ascii="Arial" w:eastAsia="Times New Roman" w:hAnsi="Arial" w:cs="Arial"/>
          <w:b/>
          <w:bCs/>
          <w:color w:val="0046AD"/>
          <w:sz w:val="20"/>
          <w:szCs w:val="20"/>
        </w:rPr>
        <w:t>ITEM 4. MINE SAFETY DISCLOSURES.</w:t>
      </w:r>
    </w:p>
    <w:p w:rsidR="00000000" w:rsidRDefault="0099409C">
      <w:pPr>
        <w:ind w:firstLine="720"/>
        <w:jc w:val="both"/>
        <w:divId w:val="1767572517"/>
        <w:rPr>
          <w:rFonts w:eastAsia="Times New Roman"/>
        </w:rPr>
      </w:pPr>
      <w:r>
        <w:rPr>
          <w:rFonts w:ascii="Arial" w:eastAsia="Times New Roman" w:hAnsi="Arial" w:cs="Arial"/>
          <w:color w:val="000000"/>
          <w:sz w:val="20"/>
          <w:szCs w:val="20"/>
        </w:rPr>
        <w:t>Not applicable.</w:t>
      </w:r>
    </w:p>
    <w:p w:rsidR="00000000" w:rsidRDefault="0099409C">
      <w:pPr>
        <w:divId w:val="11490775"/>
        <w:rPr>
          <w:rFonts w:eastAsia="Times New Roman"/>
        </w:rPr>
      </w:pPr>
      <w:r>
        <w:rPr>
          <w:rFonts w:ascii="Arial" w:eastAsia="Times New Roman" w:hAnsi="Arial" w:cs="Arial"/>
          <w:b/>
          <w:bCs/>
          <w:color w:val="0046AD"/>
          <w:sz w:val="20"/>
          <w:szCs w:val="20"/>
        </w:rPr>
        <w:t>ITEM </w:t>
      </w:r>
      <w:r>
        <w:rPr>
          <w:rFonts w:ascii="Arial" w:eastAsia="Times New Roman" w:hAnsi="Arial" w:cs="Arial"/>
          <w:b/>
          <w:bCs/>
          <w:color w:val="0046AD"/>
          <w:sz w:val="20"/>
          <w:szCs w:val="20"/>
        </w:rPr>
        <w:t>5. OTHER INFORMATION.</w:t>
      </w:r>
    </w:p>
    <w:p w:rsidR="00000000" w:rsidRDefault="0099409C">
      <w:pPr>
        <w:ind w:firstLine="720"/>
        <w:jc w:val="both"/>
        <w:divId w:val="768354130"/>
        <w:rPr>
          <w:rFonts w:eastAsia="Times New Roman"/>
        </w:rPr>
      </w:pPr>
      <w:r>
        <w:rPr>
          <w:rFonts w:ascii="Arial" w:eastAsia="Times New Roman" w:hAnsi="Arial" w:cs="Arial"/>
          <w:color w:val="000000"/>
          <w:sz w:val="20"/>
          <w:szCs w:val="20"/>
        </w:rPr>
        <w:t>Not applicable.</w:t>
      </w:r>
    </w:p>
    <w:p w:rsidR="00000000" w:rsidRDefault="0099409C">
      <w:pPr>
        <w:divId w:val="2066374622"/>
        <w:rPr>
          <w:rFonts w:eastAsia="Times New Roman"/>
        </w:rPr>
      </w:pPr>
    </w:p>
    <w:p w:rsidR="00000000" w:rsidRDefault="0099409C">
      <w:pPr>
        <w:jc w:val="center"/>
        <w:divId w:val="1946427616"/>
        <w:rPr>
          <w:rFonts w:eastAsia="Times New Roman"/>
        </w:rPr>
      </w:pPr>
      <w:r>
        <w:rPr>
          <w:rFonts w:ascii="Arial" w:eastAsia="Times New Roman" w:hAnsi="Arial" w:cs="Arial"/>
          <w:color w:val="000000"/>
          <w:sz w:val="20"/>
          <w:szCs w:val="20"/>
        </w:rPr>
        <w:t>44</w:t>
      </w:r>
    </w:p>
    <w:p w:rsidR="00000000" w:rsidRDefault="0099409C">
      <w:pPr>
        <w:rPr>
          <w:rFonts w:eastAsia="Times New Roman"/>
        </w:rPr>
      </w:pPr>
      <w:r>
        <w:rPr>
          <w:rFonts w:eastAsia="Times New Roman"/>
        </w:rPr>
        <w:pict>
          <v:rect id="_x0000_i1078" style="width:0;height:1.5pt" o:hralign="center" o:hrstd="t" o:hr="t" fillcolor="#a0a0a0" stroked="f"/>
        </w:pict>
      </w:r>
    </w:p>
    <w:p w:rsidR="00000000" w:rsidRDefault="0099409C">
      <w:pPr>
        <w:jc w:val="both"/>
        <w:divId w:val="1927566205"/>
        <w:rPr>
          <w:rFonts w:eastAsia="Times New Roman"/>
        </w:rPr>
      </w:pPr>
    </w:p>
    <w:p w:rsidR="00000000" w:rsidRDefault="0099409C">
      <w:pPr>
        <w:divId w:val="518085228"/>
        <w:rPr>
          <w:rFonts w:eastAsia="Times New Roman"/>
        </w:rPr>
      </w:pPr>
      <w:r>
        <w:rPr>
          <w:rFonts w:ascii="Arial" w:eastAsia="Times New Roman" w:hAnsi="Arial" w:cs="Arial"/>
          <w:b/>
          <w:bCs/>
          <w:color w:val="0046AD"/>
          <w:sz w:val="20"/>
          <w:szCs w:val="20"/>
        </w:rPr>
        <w:t>ITEM 6. EXHIBITS.</w:t>
      </w:r>
    </w:p>
    <w:p w:rsidR="00000000" w:rsidRDefault="0099409C">
      <w:pPr>
        <w:ind w:firstLine="720"/>
        <w:divId w:val="384640403"/>
        <w:rPr>
          <w:rFonts w:eastAsia="Times New Roman"/>
        </w:rPr>
      </w:pPr>
      <w:r>
        <w:rPr>
          <w:rFonts w:ascii="Arial" w:eastAsia="Times New Roman" w:hAnsi="Arial" w:cs="Arial"/>
          <w:color w:val="000000"/>
          <w:sz w:val="20"/>
          <w:szCs w:val="20"/>
          <w:shd w:val="clear" w:color="auto" w:fill="FFFFFF"/>
        </w:rPr>
        <w:t>(a) Exhibits</w:t>
      </w:r>
    </w:p>
    <w:tbl>
      <w:tblPr>
        <w:tblW w:w="5000" w:type="pct"/>
        <w:tblCellMar>
          <w:top w:w="15" w:type="dxa"/>
          <w:left w:w="15" w:type="dxa"/>
          <w:bottom w:w="15" w:type="dxa"/>
          <w:right w:w="15" w:type="dxa"/>
        </w:tblCellMar>
        <w:tblLook w:val="04A0" w:firstRow="1" w:lastRow="0" w:firstColumn="1" w:lastColumn="0" w:noHBand="0" w:noVBand="1"/>
      </w:tblPr>
      <w:tblGrid>
        <w:gridCol w:w="78"/>
        <w:gridCol w:w="801"/>
        <w:gridCol w:w="38"/>
        <w:gridCol w:w="36"/>
        <w:gridCol w:w="36"/>
        <w:gridCol w:w="36"/>
        <w:gridCol w:w="46"/>
        <w:gridCol w:w="7199"/>
        <w:gridCol w:w="36"/>
      </w:tblGrid>
      <w:tr w:rsidR="00000000">
        <w:trPr>
          <w:divId w:val="469903820"/>
        </w:trPr>
        <w:tc>
          <w:tcPr>
            <w:tcW w:w="50" w:type="pct"/>
            <w:vAlign w:val="center"/>
            <w:hideMark/>
          </w:tcPr>
          <w:p w:rsidR="00000000" w:rsidRDefault="0099409C">
            <w:pPr>
              <w:ind w:firstLine="720"/>
              <w:rPr>
                <w:rFonts w:eastAsia="Times New Roman"/>
              </w:rPr>
            </w:pPr>
          </w:p>
        </w:tc>
        <w:tc>
          <w:tcPr>
            <w:tcW w:w="50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2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345"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469903820"/>
        </w:trPr>
        <w:tc>
          <w:tcPr>
            <w:tcW w:w="0" w:type="auto"/>
            <w:gridSpan w:val="3"/>
            <w:shd w:val="clear" w:color="auto" w:fill="DCE2EF"/>
            <w:tcMar>
              <w:top w:w="30" w:type="dxa"/>
              <w:left w:w="20" w:type="dxa"/>
              <w:bottom w:w="30" w:type="dxa"/>
              <w:right w:w="20" w:type="dxa"/>
            </w:tcMar>
            <w:hideMark/>
          </w:tcPr>
          <w:p w:rsidR="00000000" w:rsidRDefault="0099409C">
            <w:pPr>
              <w:spacing w:after="100"/>
              <w:jc w:val="center"/>
              <w:rPr>
                <w:rFonts w:eastAsia="Times New Roman"/>
              </w:rPr>
            </w:pPr>
            <w:r>
              <w:rPr>
                <w:rFonts w:ascii="Arial" w:eastAsia="Times New Roman" w:hAnsi="Arial" w:cs="Arial"/>
                <w:b/>
                <w:bCs/>
                <w:color w:val="000000"/>
                <w:sz w:val="18"/>
                <w:szCs w:val="18"/>
              </w:rPr>
              <w:t xml:space="preserve">Exhibit No. </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99409C">
            <w:pPr>
              <w:spacing w:after="100"/>
              <w:jc w:val="center"/>
              <w:rPr>
                <w:rFonts w:eastAsia="Times New Roman"/>
              </w:rPr>
            </w:pPr>
            <w:r>
              <w:rPr>
                <w:rFonts w:ascii="Arial" w:eastAsia="Times New Roman" w:hAnsi="Arial" w:cs="Arial"/>
                <w:b/>
                <w:bCs/>
                <w:color w:val="000000"/>
                <w:sz w:val="18"/>
                <w:szCs w:val="18"/>
              </w:rPr>
              <w:t>Exhibit Description</w:t>
            </w:r>
          </w:p>
        </w:tc>
      </w:tr>
      <w:tr w:rsidR="00000000">
        <w:trPr>
          <w:divId w:val="469903820"/>
        </w:trPr>
        <w:tc>
          <w:tcPr>
            <w:tcW w:w="0" w:type="auto"/>
            <w:gridSpan w:val="3"/>
            <w:shd w:val="clear" w:color="auto" w:fill="FFFFFF"/>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2.1</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9409C">
            <w:pPr>
              <w:spacing w:after="100"/>
              <w:jc w:val="both"/>
              <w:rPr>
                <w:rFonts w:eastAsia="Times New Roman"/>
              </w:rPr>
            </w:pPr>
            <w:hyperlink r:id="rId11" w:history="1">
              <w:r>
                <w:rPr>
                  <w:rStyle w:val="a3"/>
                  <w:rFonts w:ascii="Arial" w:eastAsia="Times New Roman" w:hAnsi="Arial" w:cs="Arial"/>
                  <w:sz w:val="18"/>
                  <w:szCs w:val="18"/>
                </w:rPr>
                <w:t>Agreement and Plan of Merger, dated August 17, 2022, by and among ABM Industries Incorporated, RavenVolt Merger Sub, Inc., RavenVolt, Inc., and Jonathan Hinton, as shareholders’ representative (incorporated by reference to Exhibit 2.1 to the Company’s Curr</w:t>
              </w:r>
              <w:r>
                <w:rPr>
                  <w:rStyle w:val="a3"/>
                  <w:rFonts w:ascii="Arial" w:eastAsia="Times New Roman" w:hAnsi="Arial" w:cs="Arial"/>
                  <w:sz w:val="18"/>
                  <w:szCs w:val="18"/>
                </w:rPr>
                <w:t>ent Report on Form 8-K, filed on August 18, 2022).</w:t>
              </w:r>
            </w:hyperlink>
          </w:p>
        </w:tc>
      </w:tr>
      <w:tr w:rsidR="00000000">
        <w:trPr>
          <w:divId w:val="469903820"/>
        </w:trPr>
        <w:tc>
          <w:tcPr>
            <w:tcW w:w="0" w:type="auto"/>
            <w:gridSpan w:val="3"/>
            <w:shd w:val="clear" w:color="auto" w:fill="DCE2EF"/>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31.1†</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99409C">
            <w:pPr>
              <w:spacing w:after="100"/>
              <w:divId w:val="130560887"/>
              <w:rPr>
                <w:rFonts w:eastAsia="Times New Roman"/>
              </w:rPr>
            </w:pPr>
            <w:hyperlink r:id="rId12" w:history="1">
              <w:r>
                <w:rPr>
                  <w:rStyle w:val="a3"/>
                  <w:rFonts w:ascii="Arial" w:eastAsia="Times New Roman" w:hAnsi="Arial" w:cs="Arial"/>
                  <w:sz w:val="18"/>
                  <w:szCs w:val="18"/>
                </w:rPr>
                <w:t>Certification of Principal Executive Officer pursuant to Section 302 of the Sarbanes-Oxley Act of 2002</w:t>
              </w:r>
            </w:hyperlink>
          </w:p>
        </w:tc>
      </w:tr>
      <w:tr w:rsidR="00000000">
        <w:trPr>
          <w:divId w:val="469903820"/>
        </w:trPr>
        <w:tc>
          <w:tcPr>
            <w:tcW w:w="0" w:type="auto"/>
            <w:gridSpan w:val="3"/>
            <w:shd w:val="clear" w:color="auto" w:fill="FFFFFF"/>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31.2†</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9409C">
            <w:pPr>
              <w:spacing w:after="100"/>
              <w:jc w:val="both"/>
              <w:rPr>
                <w:rFonts w:eastAsia="Times New Roman"/>
              </w:rPr>
            </w:pPr>
            <w:hyperlink r:id="rId13" w:history="1">
              <w:r>
                <w:rPr>
                  <w:rStyle w:val="a3"/>
                  <w:rFonts w:ascii="Arial" w:eastAsia="Times New Roman" w:hAnsi="Arial" w:cs="Arial"/>
                  <w:sz w:val="18"/>
                  <w:szCs w:val="18"/>
                </w:rPr>
                <w:t>Certification of Principal Financial Officer pursuant to Section 302 of the Sarbanes-Oxley Act of 2002</w:t>
              </w:r>
            </w:hyperlink>
          </w:p>
        </w:tc>
      </w:tr>
      <w:tr w:rsidR="00000000">
        <w:trPr>
          <w:divId w:val="469903820"/>
        </w:trPr>
        <w:tc>
          <w:tcPr>
            <w:tcW w:w="0" w:type="auto"/>
            <w:gridSpan w:val="3"/>
            <w:shd w:val="clear" w:color="auto" w:fill="DCE2EF"/>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32‡</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99409C">
            <w:pPr>
              <w:spacing w:after="100"/>
              <w:jc w:val="both"/>
              <w:rPr>
                <w:rFonts w:eastAsia="Times New Roman"/>
              </w:rPr>
            </w:pPr>
            <w:hyperlink r:id="rId14" w:history="1">
              <w:r>
                <w:rPr>
                  <w:rStyle w:val="a3"/>
                  <w:rFonts w:ascii="Arial" w:eastAsia="Times New Roman" w:hAnsi="Arial" w:cs="Arial"/>
                  <w:sz w:val="18"/>
                  <w:szCs w:val="18"/>
                </w:rPr>
                <w:t>Certification pursuant to 18 U.S.C. Section 1350, as adopted pursuant to Section 906 of the Sarbanes-Oxley Act of 2002</w:t>
              </w:r>
            </w:hyperlink>
          </w:p>
        </w:tc>
      </w:tr>
      <w:tr w:rsidR="00000000">
        <w:trPr>
          <w:divId w:val="469903820"/>
        </w:trPr>
        <w:tc>
          <w:tcPr>
            <w:tcW w:w="0" w:type="auto"/>
            <w:gridSpan w:val="3"/>
            <w:shd w:val="clear" w:color="auto" w:fill="FFFFFF"/>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101.INS†</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9409C">
            <w:pPr>
              <w:spacing w:after="100"/>
              <w:jc w:val="both"/>
              <w:rPr>
                <w:rFonts w:eastAsia="Times New Roman"/>
              </w:rPr>
            </w:pPr>
            <w:r>
              <w:rPr>
                <w:rFonts w:ascii="Arial" w:eastAsia="Times New Roman" w:hAnsi="Arial" w:cs="Arial"/>
                <w:color w:val="000000"/>
                <w:sz w:val="18"/>
                <w:szCs w:val="18"/>
              </w:rPr>
              <w:t xml:space="preserve">Inline XBRL Instance Document (the instance document does not appear in the Interactive Data File because its XBRL tags </w:t>
            </w:r>
            <w:r>
              <w:rPr>
                <w:rFonts w:ascii="Arial" w:eastAsia="Times New Roman" w:hAnsi="Arial" w:cs="Arial"/>
                <w:color w:val="000000"/>
                <w:sz w:val="18"/>
                <w:szCs w:val="18"/>
              </w:rPr>
              <w:t>are embedded within the Inline XBRL document)</w:t>
            </w:r>
          </w:p>
        </w:tc>
      </w:tr>
      <w:tr w:rsidR="00000000">
        <w:trPr>
          <w:divId w:val="469903820"/>
        </w:trPr>
        <w:tc>
          <w:tcPr>
            <w:tcW w:w="0" w:type="auto"/>
            <w:gridSpan w:val="3"/>
            <w:shd w:val="clear" w:color="auto" w:fill="DCE2EF"/>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101.SCH†</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99409C">
            <w:pPr>
              <w:spacing w:after="100"/>
              <w:jc w:val="both"/>
              <w:rPr>
                <w:rFonts w:eastAsia="Times New Roman"/>
              </w:rPr>
            </w:pPr>
            <w:r>
              <w:rPr>
                <w:rFonts w:ascii="Arial" w:eastAsia="Times New Roman" w:hAnsi="Arial" w:cs="Arial"/>
                <w:color w:val="000000"/>
                <w:sz w:val="18"/>
                <w:szCs w:val="18"/>
              </w:rPr>
              <w:t>Inline XBRL Taxonomy Extension Schema Document</w:t>
            </w:r>
          </w:p>
        </w:tc>
      </w:tr>
      <w:tr w:rsidR="00000000">
        <w:trPr>
          <w:divId w:val="469903820"/>
        </w:trPr>
        <w:tc>
          <w:tcPr>
            <w:tcW w:w="0" w:type="auto"/>
            <w:gridSpan w:val="3"/>
            <w:shd w:val="clear" w:color="auto" w:fill="FFFFFF"/>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101.CAL†</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9409C">
            <w:pPr>
              <w:spacing w:after="100"/>
              <w:jc w:val="both"/>
              <w:rPr>
                <w:rFonts w:eastAsia="Times New Roman"/>
              </w:rPr>
            </w:pPr>
            <w:r>
              <w:rPr>
                <w:rFonts w:ascii="Arial" w:eastAsia="Times New Roman" w:hAnsi="Arial" w:cs="Arial"/>
                <w:color w:val="000000"/>
                <w:sz w:val="18"/>
                <w:szCs w:val="18"/>
              </w:rPr>
              <w:t>Inline XBRL Taxonomy Calculation Linkbase Document</w:t>
            </w:r>
          </w:p>
        </w:tc>
      </w:tr>
      <w:tr w:rsidR="00000000">
        <w:trPr>
          <w:divId w:val="469903820"/>
        </w:trPr>
        <w:tc>
          <w:tcPr>
            <w:tcW w:w="0" w:type="auto"/>
            <w:gridSpan w:val="3"/>
            <w:shd w:val="clear" w:color="auto" w:fill="DCE2EF"/>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101.DEF†</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99409C">
            <w:pPr>
              <w:spacing w:after="100"/>
              <w:jc w:val="both"/>
              <w:rPr>
                <w:rFonts w:eastAsia="Times New Roman"/>
              </w:rPr>
            </w:pPr>
            <w:r>
              <w:rPr>
                <w:rFonts w:ascii="Arial" w:eastAsia="Times New Roman" w:hAnsi="Arial" w:cs="Arial"/>
                <w:color w:val="000000"/>
                <w:sz w:val="18"/>
                <w:szCs w:val="18"/>
              </w:rPr>
              <w:t>Inline XBRL Taxonomy Extension Definition Linkbase Document</w:t>
            </w:r>
          </w:p>
        </w:tc>
      </w:tr>
      <w:tr w:rsidR="00000000">
        <w:trPr>
          <w:divId w:val="469903820"/>
        </w:trPr>
        <w:tc>
          <w:tcPr>
            <w:tcW w:w="0" w:type="auto"/>
            <w:gridSpan w:val="3"/>
            <w:shd w:val="clear" w:color="auto" w:fill="FFFFFF"/>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101.LAB†</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9409C">
            <w:pPr>
              <w:spacing w:after="100"/>
              <w:jc w:val="both"/>
              <w:rPr>
                <w:rFonts w:eastAsia="Times New Roman"/>
              </w:rPr>
            </w:pPr>
            <w:r>
              <w:rPr>
                <w:rFonts w:ascii="Arial" w:eastAsia="Times New Roman" w:hAnsi="Arial" w:cs="Arial"/>
                <w:color w:val="000000"/>
                <w:sz w:val="18"/>
                <w:szCs w:val="18"/>
              </w:rPr>
              <w:t>Inline XBRL Taxonomy Label Linkbase Document</w:t>
            </w:r>
          </w:p>
        </w:tc>
      </w:tr>
      <w:tr w:rsidR="00000000">
        <w:trPr>
          <w:divId w:val="469903820"/>
        </w:trPr>
        <w:tc>
          <w:tcPr>
            <w:tcW w:w="0" w:type="auto"/>
            <w:gridSpan w:val="3"/>
            <w:shd w:val="clear" w:color="auto" w:fill="DCE2EF"/>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101.PRE†</w:t>
            </w:r>
          </w:p>
        </w:tc>
        <w:tc>
          <w:tcPr>
            <w:tcW w:w="0" w:type="auto"/>
            <w:gridSpan w:val="3"/>
            <w:shd w:val="clear" w:color="auto" w:fill="DCE2E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99409C">
            <w:pPr>
              <w:spacing w:after="100"/>
              <w:jc w:val="both"/>
              <w:rPr>
                <w:rFonts w:eastAsia="Times New Roman"/>
              </w:rPr>
            </w:pPr>
            <w:r>
              <w:rPr>
                <w:rFonts w:ascii="Arial" w:eastAsia="Times New Roman" w:hAnsi="Arial" w:cs="Arial"/>
                <w:color w:val="000000"/>
                <w:sz w:val="18"/>
                <w:szCs w:val="18"/>
              </w:rPr>
              <w:t>Inline XBRL Presentation Linkbase Document</w:t>
            </w:r>
          </w:p>
        </w:tc>
      </w:tr>
      <w:tr w:rsidR="00000000">
        <w:trPr>
          <w:divId w:val="469903820"/>
        </w:trPr>
        <w:tc>
          <w:tcPr>
            <w:tcW w:w="0" w:type="auto"/>
            <w:gridSpan w:val="3"/>
            <w:shd w:val="clear" w:color="auto" w:fill="FFFFFF"/>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9409C">
            <w:pPr>
              <w:spacing w:after="100"/>
              <w:jc w:val="both"/>
              <w:rPr>
                <w:rFonts w:eastAsia="Times New Roman"/>
              </w:rPr>
            </w:pPr>
            <w:r>
              <w:rPr>
                <w:rFonts w:ascii="Arial" w:eastAsia="Times New Roman" w:hAnsi="Arial" w:cs="Arial"/>
                <w:color w:val="000000"/>
                <w:sz w:val="18"/>
                <w:szCs w:val="18"/>
              </w:rPr>
              <w:t>Cover Page Interactive Data File (formatted as Inline XBRL and contained in Exhibit 101)</w:t>
            </w: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381"/>
        <w:gridCol w:w="144"/>
        <w:gridCol w:w="144"/>
        <w:gridCol w:w="7667"/>
        <w:gridCol w:w="144"/>
      </w:tblGrid>
      <w:tr w:rsidR="00000000">
        <w:trPr>
          <w:jc w:val="center"/>
        </w:trPr>
        <w:tc>
          <w:tcPr>
            <w:tcW w:w="50" w:type="pct"/>
            <w:vAlign w:val="center"/>
            <w:hideMark/>
          </w:tcPr>
          <w:p w:rsidR="00000000" w:rsidRDefault="0099409C">
            <w:pPr>
              <w:rPr>
                <w:rFonts w:eastAsia="Times New Roman"/>
              </w:rPr>
            </w:pPr>
          </w:p>
        </w:tc>
        <w:tc>
          <w:tcPr>
            <w:tcW w:w="232"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4657"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jc w:val="center"/>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jc w:val="center"/>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gridSpan w:val="3"/>
            <w:shd w:val="clear" w:color="auto" w:fill="FFFFFF"/>
            <w:tcMar>
              <w:top w:w="30" w:type="dxa"/>
              <w:left w:w="20" w:type="dxa"/>
              <w:bottom w:w="30" w:type="dxa"/>
              <w:right w:w="20" w:type="dxa"/>
            </w:tcMar>
            <w:hideMark/>
          </w:tcPr>
          <w:p w:rsidR="00000000" w:rsidRDefault="0099409C">
            <w:pPr>
              <w:spacing w:after="100"/>
              <w:divId w:val="506869203"/>
              <w:rPr>
                <w:rFonts w:eastAsia="Times New Roman"/>
              </w:rPr>
            </w:pPr>
            <w:r>
              <w:rPr>
                <w:rFonts w:ascii="Arial" w:eastAsia="Times New Roman" w:hAnsi="Arial" w:cs="Arial"/>
                <w:color w:val="000000"/>
                <w:sz w:val="18"/>
                <w:szCs w:val="18"/>
              </w:rPr>
              <w:t>Indicates management contract or compensatory plan, contract, or arrangement.</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gridSpan w:val="3"/>
            <w:shd w:val="clear" w:color="auto" w:fill="FFFFFF"/>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Indicates filed herewith.</w:t>
            </w: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w:t>
            </w:r>
          </w:p>
        </w:tc>
        <w:tc>
          <w:tcPr>
            <w:tcW w:w="0" w:type="auto"/>
            <w:gridSpan w:val="3"/>
            <w:shd w:val="clear" w:color="auto" w:fill="FFFFFF"/>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Indicates furnished herewith.</w:t>
            </w: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99409C">
            <w:pPr>
              <w:spacing w:after="100"/>
              <w:rPr>
                <w:rFonts w:eastAsia="Times New Roman"/>
                <w:sz w:val="20"/>
                <w:szCs w:val="20"/>
              </w:rPr>
            </w:pPr>
          </w:p>
        </w:tc>
      </w:tr>
      <w:tr w:rsidR="00000000">
        <w:trPr>
          <w:jc w:val="center"/>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r w:rsidR="00000000">
        <w:trPr>
          <w:jc w:val="center"/>
        </w:trPr>
        <w:tc>
          <w:tcPr>
            <w:tcW w:w="0" w:type="auto"/>
            <w:gridSpan w:val="3"/>
            <w:vAlign w:val="center"/>
            <w:hideMark/>
          </w:tcPr>
          <w:p w:rsidR="00000000" w:rsidRDefault="0099409C">
            <w:pPr>
              <w:spacing w:after="100"/>
              <w:rPr>
                <w:rFonts w:eastAsia="Times New Roman"/>
                <w:sz w:val="20"/>
                <w:szCs w:val="20"/>
              </w:rPr>
            </w:pPr>
          </w:p>
        </w:tc>
        <w:tc>
          <w:tcPr>
            <w:tcW w:w="0" w:type="auto"/>
            <w:gridSpan w:val="3"/>
            <w:vAlign w:val="center"/>
            <w:hideMark/>
          </w:tcPr>
          <w:p w:rsidR="00000000" w:rsidRDefault="0099409C">
            <w:pPr>
              <w:spacing w:after="100"/>
              <w:rPr>
                <w:rFonts w:eastAsia="Times New Roman"/>
                <w:sz w:val="20"/>
                <w:szCs w:val="20"/>
              </w:rPr>
            </w:pPr>
          </w:p>
        </w:tc>
      </w:tr>
    </w:tbl>
    <w:p w:rsidR="00000000" w:rsidRDefault="0099409C">
      <w:pPr>
        <w:jc w:val="center"/>
        <w:divId w:val="1922522392"/>
        <w:rPr>
          <w:rFonts w:eastAsia="Times New Roman"/>
        </w:rPr>
      </w:pPr>
      <w:r>
        <w:rPr>
          <w:rFonts w:ascii="Arial" w:eastAsia="Times New Roman" w:hAnsi="Arial" w:cs="Arial"/>
          <w:color w:val="000000"/>
          <w:sz w:val="20"/>
          <w:szCs w:val="20"/>
        </w:rPr>
        <w:t>45</w:t>
      </w:r>
    </w:p>
    <w:p w:rsidR="00000000" w:rsidRDefault="0099409C">
      <w:pPr>
        <w:rPr>
          <w:rFonts w:eastAsia="Times New Roman"/>
        </w:rPr>
      </w:pPr>
      <w:r>
        <w:rPr>
          <w:rFonts w:eastAsia="Times New Roman"/>
        </w:rPr>
        <w:pict>
          <v:rect id="_x0000_i1079" style="width:0;height:1.5pt" o:hralign="center" o:hrstd="t" o:hr="t" fillcolor="#a0a0a0" stroked="f"/>
        </w:pict>
      </w:r>
    </w:p>
    <w:p w:rsidR="00000000" w:rsidRDefault="0099409C">
      <w:pPr>
        <w:jc w:val="both"/>
        <w:divId w:val="1049381249"/>
        <w:rPr>
          <w:rFonts w:eastAsia="Times New Roman"/>
        </w:rPr>
      </w:pPr>
    </w:p>
    <w:p w:rsidR="00000000" w:rsidRDefault="0099409C">
      <w:pPr>
        <w:jc w:val="center"/>
        <w:divId w:val="1096053608"/>
        <w:rPr>
          <w:rFonts w:eastAsia="Times New Roman"/>
        </w:rPr>
      </w:pPr>
      <w:r>
        <w:rPr>
          <w:rFonts w:ascii="Arial" w:eastAsia="Times New Roman" w:hAnsi="Arial" w:cs="Arial"/>
          <w:b/>
          <w:bCs/>
          <w:color w:val="000000"/>
          <w:sz w:val="20"/>
          <w:szCs w:val="20"/>
        </w:rPr>
        <w:t>SIGNATURES</w:t>
      </w:r>
    </w:p>
    <w:p w:rsidR="00000000" w:rsidRDefault="0099409C">
      <w:pPr>
        <w:jc w:val="both"/>
        <w:divId w:val="30031736"/>
        <w:rPr>
          <w:rFonts w:eastAsia="Times New Roman"/>
        </w:rPr>
      </w:pPr>
      <w:r>
        <w:rPr>
          <w:rFonts w:ascii="Arial" w:eastAsia="Times New Roman" w:hAnsi="Arial" w:cs="Arial"/>
          <w:color w:val="000000"/>
          <w:sz w:val="20"/>
          <w:szCs w:val="20"/>
        </w:rPr>
        <w:t>Pursuant to the requirements of the Securities Exchange Act of 1934, the registrant has duly caused this report to be signed on its behalf by the undersigned thereunto duly authorized.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9"/>
        <w:gridCol w:w="36"/>
        <w:gridCol w:w="70"/>
        <w:gridCol w:w="3452"/>
        <w:gridCol w:w="36"/>
      </w:tblGrid>
      <w:tr w:rsidR="00000000">
        <w:trPr>
          <w:divId w:val="1072628649"/>
          <w:jc w:val="center"/>
        </w:trPr>
        <w:tc>
          <w:tcPr>
            <w:tcW w:w="50" w:type="pct"/>
            <w:vAlign w:val="center"/>
            <w:hideMark/>
          </w:tcPr>
          <w:p w:rsidR="00000000" w:rsidRDefault="0099409C">
            <w:pPr>
              <w:jc w:val="both"/>
              <w:rPr>
                <w:rFonts w:eastAsia="Times New Roman"/>
              </w:rPr>
            </w:pPr>
          </w:p>
        </w:tc>
        <w:tc>
          <w:tcPr>
            <w:tcW w:w="129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145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08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072628649"/>
          <w:jc w:val="center"/>
        </w:trPr>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rPr>
              <w:t>ABM Industries Incorporated</w:t>
            </w:r>
          </w:p>
        </w:tc>
      </w:tr>
    </w:tbl>
    <w:p w:rsidR="00000000" w:rsidRDefault="0099409C">
      <w:pPr>
        <w:jc w:val="both"/>
        <w:divId w:val="214010164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8"/>
        <w:gridCol w:w="36"/>
        <w:gridCol w:w="70"/>
        <w:gridCol w:w="3452"/>
        <w:gridCol w:w="37"/>
      </w:tblGrid>
      <w:tr w:rsidR="00000000">
        <w:trPr>
          <w:divId w:val="1909683625"/>
        </w:trPr>
        <w:tc>
          <w:tcPr>
            <w:tcW w:w="50" w:type="pct"/>
            <w:vAlign w:val="center"/>
            <w:hideMark/>
          </w:tcPr>
          <w:p w:rsidR="00000000" w:rsidRDefault="0099409C">
            <w:pPr>
              <w:jc w:val="both"/>
              <w:rPr>
                <w:rFonts w:eastAsia="Times New Roman"/>
              </w:rPr>
            </w:pPr>
          </w:p>
        </w:tc>
        <w:tc>
          <w:tcPr>
            <w:tcW w:w="129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145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08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909683625"/>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u w:val="single"/>
              </w:rPr>
              <w:t>September 9, 2022</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u w:val="single"/>
              </w:rPr>
              <w:t>/s/ Earl R. Ellis</w:t>
            </w:r>
          </w:p>
        </w:tc>
      </w:tr>
      <w:tr w:rsidR="00000000">
        <w:trPr>
          <w:divId w:val="1909683625"/>
        </w:trPr>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Earl R. Ellis</w:t>
            </w:r>
            <w:r>
              <w:rPr>
                <w:rFonts w:ascii="Arial" w:eastAsia="Times New Roman" w:hAnsi="Arial" w:cs="Arial"/>
                <w:color w:val="000000"/>
                <w:sz w:val="18"/>
                <w:szCs w:val="18"/>
              </w:rPr>
              <w:br/>
              <w:t>Executive Vice President and Chief Financial Officer</w:t>
            </w:r>
            <w:r>
              <w:rPr>
                <w:rFonts w:ascii="Arial" w:eastAsia="Times New Roman" w:hAnsi="Arial" w:cs="Arial"/>
                <w:color w:val="000000"/>
                <w:sz w:val="18"/>
                <w:szCs w:val="18"/>
              </w:rPr>
              <w:br/>
              <w:t>(Duly Authorized Officer)</w:t>
            </w:r>
          </w:p>
        </w:tc>
      </w:tr>
    </w:tbl>
    <w:p w:rsidR="00000000" w:rsidRDefault="0099409C">
      <w:pPr>
        <w:jc w:val="both"/>
        <w:divId w:val="28982315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8"/>
        <w:gridCol w:w="36"/>
        <w:gridCol w:w="70"/>
        <w:gridCol w:w="3452"/>
        <w:gridCol w:w="37"/>
      </w:tblGrid>
      <w:tr w:rsidR="00000000">
        <w:trPr>
          <w:divId w:val="1332026020"/>
        </w:trPr>
        <w:tc>
          <w:tcPr>
            <w:tcW w:w="50" w:type="pct"/>
            <w:vAlign w:val="center"/>
            <w:hideMark/>
          </w:tcPr>
          <w:p w:rsidR="00000000" w:rsidRDefault="0099409C">
            <w:pPr>
              <w:jc w:val="both"/>
              <w:rPr>
                <w:rFonts w:eastAsia="Times New Roman"/>
              </w:rPr>
            </w:pPr>
          </w:p>
        </w:tc>
        <w:tc>
          <w:tcPr>
            <w:tcW w:w="1290"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1458"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c>
          <w:tcPr>
            <w:tcW w:w="50" w:type="pct"/>
            <w:vAlign w:val="center"/>
            <w:hideMark/>
          </w:tcPr>
          <w:p w:rsidR="00000000" w:rsidRDefault="0099409C">
            <w:pPr>
              <w:spacing w:after="100"/>
              <w:rPr>
                <w:rFonts w:eastAsia="Times New Roman"/>
                <w:sz w:val="20"/>
                <w:szCs w:val="20"/>
              </w:rPr>
            </w:pPr>
          </w:p>
        </w:tc>
        <w:tc>
          <w:tcPr>
            <w:tcW w:w="2086" w:type="pct"/>
            <w:vAlign w:val="center"/>
            <w:hideMark/>
          </w:tcPr>
          <w:p w:rsidR="00000000" w:rsidRDefault="0099409C">
            <w:pPr>
              <w:spacing w:after="100"/>
              <w:rPr>
                <w:rFonts w:eastAsia="Times New Roman"/>
                <w:sz w:val="20"/>
                <w:szCs w:val="20"/>
              </w:rPr>
            </w:pPr>
          </w:p>
        </w:tc>
        <w:tc>
          <w:tcPr>
            <w:tcW w:w="5" w:type="pct"/>
            <w:vAlign w:val="center"/>
            <w:hideMark/>
          </w:tcPr>
          <w:p w:rsidR="00000000" w:rsidRDefault="0099409C">
            <w:pPr>
              <w:spacing w:after="100"/>
              <w:rPr>
                <w:rFonts w:eastAsia="Times New Roman"/>
                <w:sz w:val="20"/>
                <w:szCs w:val="20"/>
              </w:rPr>
            </w:pPr>
          </w:p>
        </w:tc>
      </w:tr>
      <w:tr w:rsidR="00000000">
        <w:trPr>
          <w:divId w:val="1332026020"/>
        </w:trPr>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u w:val="single"/>
              </w:rPr>
              <w:t>September 9, 2022</w:t>
            </w: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99409C">
            <w:pPr>
              <w:spacing w:after="100"/>
              <w:rPr>
                <w:rFonts w:eastAsia="Times New Roman"/>
              </w:rPr>
            </w:pPr>
            <w:r>
              <w:rPr>
                <w:rFonts w:ascii="Arial" w:eastAsia="Times New Roman" w:hAnsi="Arial" w:cs="Arial"/>
                <w:color w:val="000000"/>
                <w:sz w:val="18"/>
                <w:szCs w:val="18"/>
                <w:u w:val="single"/>
              </w:rPr>
              <w:t>/s/ Dean A. Chin</w:t>
            </w:r>
          </w:p>
        </w:tc>
      </w:tr>
      <w:tr w:rsidR="00000000">
        <w:trPr>
          <w:divId w:val="1332026020"/>
        </w:trPr>
        <w:tc>
          <w:tcPr>
            <w:tcW w:w="0" w:type="auto"/>
            <w:gridSpan w:val="3"/>
            <w:tcMar>
              <w:top w:w="0" w:type="dxa"/>
              <w:left w:w="20" w:type="dxa"/>
              <w:bottom w:w="0" w:type="dxa"/>
              <w:right w:w="20" w:type="dxa"/>
            </w:tcMar>
            <w:vAlign w:val="center"/>
            <w:hideMark/>
          </w:tcPr>
          <w:p w:rsidR="00000000" w:rsidRDefault="0099409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99409C">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99409C">
            <w:pPr>
              <w:spacing w:after="100"/>
              <w:rPr>
                <w:rFonts w:eastAsia="Times New Roman"/>
              </w:rPr>
            </w:pPr>
            <w:r>
              <w:rPr>
                <w:rFonts w:ascii="Arial" w:eastAsia="Times New Roman" w:hAnsi="Arial" w:cs="Arial"/>
                <w:color w:val="000000"/>
                <w:sz w:val="18"/>
                <w:szCs w:val="18"/>
              </w:rPr>
              <w:t>Dean A. Chin</w:t>
            </w:r>
            <w:r>
              <w:rPr>
                <w:rFonts w:ascii="Arial" w:eastAsia="Times New Roman" w:hAnsi="Arial" w:cs="Arial"/>
                <w:color w:val="000000"/>
                <w:sz w:val="18"/>
                <w:szCs w:val="18"/>
              </w:rPr>
              <w:br/>
              <w:t>Senior Vice President, Chief Accounting Officer, Corporate Controller and Treasurer</w:t>
            </w:r>
            <w:r>
              <w:rPr>
                <w:rFonts w:ascii="Arial" w:eastAsia="Times New Roman" w:hAnsi="Arial" w:cs="Arial"/>
                <w:color w:val="000000"/>
                <w:sz w:val="18"/>
                <w:szCs w:val="18"/>
              </w:rPr>
              <w:br/>
              <w:t>(Principal Accounting Officer)</w:t>
            </w:r>
          </w:p>
        </w:tc>
      </w:tr>
    </w:tbl>
    <w:p w:rsidR="0099409C" w:rsidRDefault="0099409C">
      <w:pPr>
        <w:jc w:val="center"/>
        <w:divId w:val="130754567"/>
        <w:rPr>
          <w:rFonts w:eastAsia="Times New Roman"/>
        </w:rPr>
      </w:pPr>
      <w:r>
        <w:rPr>
          <w:rFonts w:ascii="Arial" w:eastAsia="Times New Roman" w:hAnsi="Arial" w:cs="Arial"/>
          <w:color w:val="000000"/>
          <w:sz w:val="20"/>
          <w:szCs w:val="20"/>
        </w:rPr>
        <w:t>46</w:t>
      </w:r>
    </w:p>
    <w:sectPr w:rsidR="0099409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9409C"/>
    <w:rsid w:val="0099409C"/>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www.w3.org/1999/xlink"/>
  <w:attachedSchema w:val="http://www.xbrl.org/2003/iso4217"/>
  <w:attachedSchema w:val="http://xbrl.org/2006/xbrldi"/>
  <w:attachedSchema w:val="http://www.xbrl.org/2013/inlineXBRL"/>
  <w:attachedSchema w:val="http://www.abm.com/20220731"/>
  <w:attachedSchema w:val="http://www.xbrl.org/2003/instance"/>
  <w:attachedSchema w:val="http://xbrl.sec.gov/dei/2022"/>
  <w:attachedSchema w:val="http://fasb.org/us-gaap/2022"/>
  <w:attachedSchema w:val="http://fasb.org/srt/2022"/>
  <w:attachedSchema w:val="http://www.sec.gov/inlineXBRL/transformation/2015-08-31"/>
  <w:attachedSchema w:val="http://www.xbrl.org/inlineXBRL/transformation/2020-02-1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281">
      <w:marLeft w:val="0"/>
      <w:marRight w:val="0"/>
      <w:marTop w:val="0"/>
      <w:marBottom w:val="0"/>
      <w:divBdr>
        <w:top w:val="none" w:sz="0" w:space="0" w:color="auto"/>
        <w:left w:val="none" w:sz="0" w:space="0" w:color="auto"/>
        <w:bottom w:val="none" w:sz="0" w:space="0" w:color="auto"/>
        <w:right w:val="none" w:sz="0" w:space="0" w:color="auto"/>
      </w:divBdr>
      <w:divsChild>
        <w:div w:id="1927566205">
          <w:marLeft w:val="0"/>
          <w:marRight w:val="0"/>
          <w:marTop w:val="180"/>
          <w:marBottom w:val="180"/>
          <w:divBdr>
            <w:top w:val="none" w:sz="0" w:space="0" w:color="auto"/>
            <w:left w:val="none" w:sz="0" w:space="0" w:color="auto"/>
            <w:bottom w:val="none" w:sz="0" w:space="0" w:color="auto"/>
            <w:right w:val="none" w:sz="0" w:space="0" w:color="auto"/>
          </w:divBdr>
        </w:div>
      </w:divsChild>
    </w:div>
    <w:div w:id="3094851">
      <w:marLeft w:val="0"/>
      <w:marRight w:val="0"/>
      <w:marTop w:val="180"/>
      <w:marBottom w:val="0"/>
      <w:divBdr>
        <w:top w:val="none" w:sz="0" w:space="0" w:color="auto"/>
        <w:left w:val="none" w:sz="0" w:space="0" w:color="auto"/>
        <w:bottom w:val="none" w:sz="0" w:space="0" w:color="auto"/>
        <w:right w:val="none" w:sz="0" w:space="0" w:color="auto"/>
      </w:divBdr>
    </w:div>
    <w:div w:id="11490775">
      <w:marLeft w:val="0"/>
      <w:marRight w:val="0"/>
      <w:marTop w:val="180"/>
      <w:marBottom w:val="0"/>
      <w:divBdr>
        <w:top w:val="none" w:sz="0" w:space="0" w:color="auto"/>
        <w:left w:val="none" w:sz="0" w:space="0" w:color="auto"/>
        <w:bottom w:val="none" w:sz="0" w:space="0" w:color="auto"/>
        <w:right w:val="none" w:sz="0" w:space="0" w:color="auto"/>
      </w:divBdr>
    </w:div>
    <w:div w:id="12387900">
      <w:marLeft w:val="0"/>
      <w:marRight w:val="0"/>
      <w:marTop w:val="140"/>
      <w:marBottom w:val="180"/>
      <w:divBdr>
        <w:top w:val="none" w:sz="0" w:space="0" w:color="auto"/>
        <w:left w:val="none" w:sz="0" w:space="0" w:color="auto"/>
        <w:bottom w:val="none" w:sz="0" w:space="0" w:color="auto"/>
        <w:right w:val="none" w:sz="0" w:space="0" w:color="auto"/>
      </w:divBdr>
    </w:div>
    <w:div w:id="14504533">
      <w:marLeft w:val="0"/>
      <w:marRight w:val="0"/>
      <w:marTop w:val="180"/>
      <w:marBottom w:val="0"/>
      <w:divBdr>
        <w:top w:val="none" w:sz="0" w:space="0" w:color="auto"/>
        <w:left w:val="none" w:sz="0" w:space="0" w:color="auto"/>
        <w:bottom w:val="none" w:sz="0" w:space="0" w:color="auto"/>
        <w:right w:val="none" w:sz="0" w:space="0" w:color="auto"/>
      </w:divBdr>
    </w:div>
    <w:div w:id="19094122">
      <w:marLeft w:val="0"/>
      <w:marRight w:val="0"/>
      <w:marTop w:val="120"/>
      <w:marBottom w:val="120"/>
      <w:divBdr>
        <w:top w:val="none" w:sz="0" w:space="0" w:color="auto"/>
        <w:left w:val="none" w:sz="0" w:space="0" w:color="auto"/>
        <w:bottom w:val="none" w:sz="0" w:space="0" w:color="auto"/>
        <w:right w:val="none" w:sz="0" w:space="0" w:color="auto"/>
      </w:divBdr>
    </w:div>
    <w:div w:id="22829481">
      <w:marLeft w:val="0"/>
      <w:marRight w:val="0"/>
      <w:marTop w:val="180"/>
      <w:marBottom w:val="0"/>
      <w:divBdr>
        <w:top w:val="none" w:sz="0" w:space="0" w:color="auto"/>
        <w:left w:val="none" w:sz="0" w:space="0" w:color="auto"/>
        <w:bottom w:val="none" w:sz="0" w:space="0" w:color="auto"/>
        <w:right w:val="none" w:sz="0" w:space="0" w:color="auto"/>
      </w:divBdr>
    </w:div>
    <w:div w:id="24916658">
      <w:marLeft w:val="0"/>
      <w:marRight w:val="0"/>
      <w:marTop w:val="180"/>
      <w:marBottom w:val="0"/>
      <w:divBdr>
        <w:top w:val="none" w:sz="0" w:space="0" w:color="auto"/>
        <w:left w:val="none" w:sz="0" w:space="0" w:color="auto"/>
        <w:bottom w:val="none" w:sz="0" w:space="0" w:color="auto"/>
        <w:right w:val="none" w:sz="0" w:space="0" w:color="auto"/>
      </w:divBdr>
    </w:div>
    <w:div w:id="30031736">
      <w:marLeft w:val="0"/>
      <w:marRight w:val="0"/>
      <w:marTop w:val="180"/>
      <w:marBottom w:val="0"/>
      <w:divBdr>
        <w:top w:val="none" w:sz="0" w:space="0" w:color="auto"/>
        <w:left w:val="none" w:sz="0" w:space="0" w:color="auto"/>
        <w:bottom w:val="none" w:sz="0" w:space="0" w:color="auto"/>
        <w:right w:val="none" w:sz="0" w:space="0" w:color="auto"/>
      </w:divBdr>
    </w:div>
    <w:div w:id="35980524">
      <w:marLeft w:val="0"/>
      <w:marRight w:val="0"/>
      <w:marTop w:val="180"/>
      <w:marBottom w:val="0"/>
      <w:divBdr>
        <w:top w:val="none" w:sz="0" w:space="0" w:color="auto"/>
        <w:left w:val="none" w:sz="0" w:space="0" w:color="auto"/>
        <w:bottom w:val="none" w:sz="0" w:space="0" w:color="auto"/>
        <w:right w:val="none" w:sz="0" w:space="0" w:color="auto"/>
      </w:divBdr>
    </w:div>
    <w:div w:id="45497064">
      <w:marLeft w:val="0"/>
      <w:marRight w:val="0"/>
      <w:marTop w:val="20"/>
      <w:marBottom w:val="0"/>
      <w:divBdr>
        <w:top w:val="none" w:sz="0" w:space="0" w:color="auto"/>
        <w:left w:val="none" w:sz="0" w:space="0" w:color="auto"/>
        <w:bottom w:val="none" w:sz="0" w:space="0" w:color="auto"/>
        <w:right w:val="none" w:sz="0" w:space="0" w:color="auto"/>
      </w:divBdr>
    </w:div>
    <w:div w:id="48001392">
      <w:marLeft w:val="0"/>
      <w:marRight w:val="0"/>
      <w:marTop w:val="130"/>
      <w:marBottom w:val="120"/>
      <w:divBdr>
        <w:top w:val="none" w:sz="0" w:space="0" w:color="auto"/>
        <w:left w:val="none" w:sz="0" w:space="0" w:color="auto"/>
        <w:bottom w:val="none" w:sz="0" w:space="0" w:color="auto"/>
        <w:right w:val="none" w:sz="0" w:space="0" w:color="auto"/>
      </w:divBdr>
    </w:div>
    <w:div w:id="49695278">
      <w:marLeft w:val="0"/>
      <w:marRight w:val="0"/>
      <w:marTop w:val="0"/>
      <w:marBottom w:val="0"/>
      <w:divBdr>
        <w:top w:val="none" w:sz="0" w:space="0" w:color="auto"/>
        <w:left w:val="none" w:sz="0" w:space="0" w:color="auto"/>
        <w:bottom w:val="none" w:sz="0" w:space="0" w:color="auto"/>
        <w:right w:val="none" w:sz="0" w:space="0" w:color="auto"/>
      </w:divBdr>
      <w:divsChild>
        <w:div w:id="2046713549">
          <w:marLeft w:val="0"/>
          <w:marRight w:val="0"/>
          <w:marTop w:val="0"/>
          <w:marBottom w:val="0"/>
          <w:divBdr>
            <w:top w:val="none" w:sz="0" w:space="0" w:color="auto"/>
            <w:left w:val="none" w:sz="0" w:space="0" w:color="auto"/>
            <w:bottom w:val="none" w:sz="0" w:space="0" w:color="auto"/>
            <w:right w:val="none" w:sz="0" w:space="0" w:color="auto"/>
          </w:divBdr>
          <w:divsChild>
            <w:div w:id="81842375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4401698">
      <w:marLeft w:val="0"/>
      <w:marRight w:val="0"/>
      <w:marTop w:val="180"/>
      <w:marBottom w:val="0"/>
      <w:divBdr>
        <w:top w:val="none" w:sz="0" w:space="0" w:color="auto"/>
        <w:left w:val="none" w:sz="0" w:space="0" w:color="auto"/>
        <w:bottom w:val="none" w:sz="0" w:space="0" w:color="auto"/>
        <w:right w:val="none" w:sz="0" w:space="0" w:color="auto"/>
      </w:divBdr>
    </w:div>
    <w:div w:id="55856454">
      <w:marLeft w:val="0"/>
      <w:marRight w:val="0"/>
      <w:marTop w:val="180"/>
      <w:marBottom w:val="0"/>
      <w:divBdr>
        <w:top w:val="none" w:sz="0" w:space="0" w:color="auto"/>
        <w:left w:val="none" w:sz="0" w:space="0" w:color="auto"/>
        <w:bottom w:val="none" w:sz="0" w:space="0" w:color="auto"/>
        <w:right w:val="none" w:sz="0" w:space="0" w:color="auto"/>
      </w:divBdr>
    </w:div>
    <w:div w:id="55861764">
      <w:marLeft w:val="0"/>
      <w:marRight w:val="0"/>
      <w:marTop w:val="180"/>
      <w:marBottom w:val="0"/>
      <w:divBdr>
        <w:top w:val="none" w:sz="0" w:space="0" w:color="auto"/>
        <w:left w:val="none" w:sz="0" w:space="0" w:color="auto"/>
        <w:bottom w:val="none" w:sz="0" w:space="0" w:color="auto"/>
        <w:right w:val="none" w:sz="0" w:space="0" w:color="auto"/>
      </w:divBdr>
    </w:div>
    <w:div w:id="65305199">
      <w:marLeft w:val="0"/>
      <w:marRight w:val="0"/>
      <w:marTop w:val="0"/>
      <w:marBottom w:val="0"/>
      <w:divBdr>
        <w:top w:val="none" w:sz="0" w:space="0" w:color="auto"/>
        <w:left w:val="none" w:sz="0" w:space="0" w:color="auto"/>
        <w:bottom w:val="none" w:sz="0" w:space="0" w:color="auto"/>
        <w:right w:val="none" w:sz="0" w:space="0" w:color="auto"/>
      </w:divBdr>
      <w:divsChild>
        <w:div w:id="1724594901">
          <w:marLeft w:val="0"/>
          <w:marRight w:val="0"/>
          <w:marTop w:val="180"/>
          <w:marBottom w:val="180"/>
          <w:divBdr>
            <w:top w:val="none" w:sz="0" w:space="0" w:color="auto"/>
            <w:left w:val="none" w:sz="0" w:space="0" w:color="auto"/>
            <w:bottom w:val="none" w:sz="0" w:space="0" w:color="auto"/>
            <w:right w:val="none" w:sz="0" w:space="0" w:color="auto"/>
          </w:divBdr>
        </w:div>
      </w:divsChild>
    </w:div>
    <w:div w:id="66391080">
      <w:marLeft w:val="0"/>
      <w:marRight w:val="0"/>
      <w:marTop w:val="180"/>
      <w:marBottom w:val="0"/>
      <w:divBdr>
        <w:top w:val="none" w:sz="0" w:space="0" w:color="auto"/>
        <w:left w:val="none" w:sz="0" w:space="0" w:color="auto"/>
        <w:bottom w:val="none" w:sz="0" w:space="0" w:color="auto"/>
        <w:right w:val="none" w:sz="0" w:space="0" w:color="auto"/>
      </w:divBdr>
    </w:div>
    <w:div w:id="66811193">
      <w:marLeft w:val="0"/>
      <w:marRight w:val="0"/>
      <w:marTop w:val="180"/>
      <w:marBottom w:val="0"/>
      <w:divBdr>
        <w:top w:val="none" w:sz="0" w:space="0" w:color="auto"/>
        <w:left w:val="none" w:sz="0" w:space="0" w:color="auto"/>
        <w:bottom w:val="none" w:sz="0" w:space="0" w:color="auto"/>
        <w:right w:val="none" w:sz="0" w:space="0" w:color="auto"/>
      </w:divBdr>
    </w:div>
    <w:div w:id="66922582">
      <w:marLeft w:val="0"/>
      <w:marRight w:val="0"/>
      <w:marTop w:val="60"/>
      <w:marBottom w:val="20"/>
      <w:divBdr>
        <w:top w:val="none" w:sz="0" w:space="0" w:color="auto"/>
        <w:left w:val="none" w:sz="0" w:space="0" w:color="auto"/>
        <w:bottom w:val="none" w:sz="0" w:space="0" w:color="auto"/>
        <w:right w:val="none" w:sz="0" w:space="0" w:color="auto"/>
      </w:divBdr>
    </w:div>
    <w:div w:id="67120609">
      <w:marLeft w:val="0"/>
      <w:marRight w:val="0"/>
      <w:marTop w:val="0"/>
      <w:marBottom w:val="0"/>
      <w:divBdr>
        <w:top w:val="none" w:sz="0" w:space="0" w:color="auto"/>
        <w:left w:val="none" w:sz="0" w:space="0" w:color="auto"/>
        <w:bottom w:val="none" w:sz="0" w:space="0" w:color="auto"/>
        <w:right w:val="none" w:sz="0" w:space="0" w:color="auto"/>
      </w:divBdr>
      <w:divsChild>
        <w:div w:id="1682049028">
          <w:marLeft w:val="0"/>
          <w:marRight w:val="0"/>
          <w:marTop w:val="0"/>
          <w:marBottom w:val="0"/>
          <w:divBdr>
            <w:top w:val="none" w:sz="0" w:space="0" w:color="auto"/>
            <w:left w:val="none" w:sz="0" w:space="0" w:color="auto"/>
            <w:bottom w:val="none" w:sz="0" w:space="0" w:color="auto"/>
            <w:right w:val="none" w:sz="0" w:space="0" w:color="auto"/>
          </w:divBdr>
          <w:divsChild>
            <w:div w:id="75628610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0003454">
      <w:marLeft w:val="0"/>
      <w:marRight w:val="0"/>
      <w:marTop w:val="60"/>
      <w:marBottom w:val="0"/>
      <w:divBdr>
        <w:top w:val="none" w:sz="0" w:space="0" w:color="auto"/>
        <w:left w:val="none" w:sz="0" w:space="0" w:color="auto"/>
        <w:bottom w:val="none" w:sz="0" w:space="0" w:color="auto"/>
        <w:right w:val="none" w:sz="0" w:space="0" w:color="auto"/>
      </w:divBdr>
    </w:div>
    <w:div w:id="73087982">
      <w:marLeft w:val="0"/>
      <w:marRight w:val="0"/>
      <w:marTop w:val="180"/>
      <w:marBottom w:val="120"/>
      <w:divBdr>
        <w:top w:val="none" w:sz="0" w:space="0" w:color="auto"/>
        <w:left w:val="none" w:sz="0" w:space="0" w:color="auto"/>
        <w:bottom w:val="none" w:sz="0" w:space="0" w:color="auto"/>
        <w:right w:val="none" w:sz="0" w:space="0" w:color="auto"/>
      </w:divBdr>
    </w:div>
    <w:div w:id="74516210">
      <w:marLeft w:val="0"/>
      <w:marRight w:val="0"/>
      <w:marTop w:val="0"/>
      <w:marBottom w:val="0"/>
      <w:divBdr>
        <w:top w:val="none" w:sz="0" w:space="0" w:color="auto"/>
        <w:left w:val="none" w:sz="0" w:space="0" w:color="auto"/>
        <w:bottom w:val="none" w:sz="0" w:space="0" w:color="auto"/>
        <w:right w:val="none" w:sz="0" w:space="0" w:color="auto"/>
      </w:divBdr>
      <w:divsChild>
        <w:div w:id="1214267346">
          <w:marLeft w:val="0"/>
          <w:marRight w:val="0"/>
          <w:marTop w:val="0"/>
          <w:marBottom w:val="0"/>
          <w:divBdr>
            <w:top w:val="none" w:sz="0" w:space="0" w:color="auto"/>
            <w:left w:val="none" w:sz="0" w:space="0" w:color="auto"/>
            <w:bottom w:val="none" w:sz="0" w:space="0" w:color="auto"/>
            <w:right w:val="none" w:sz="0" w:space="0" w:color="auto"/>
          </w:divBdr>
          <w:divsChild>
            <w:div w:id="8658454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9908699">
      <w:marLeft w:val="0"/>
      <w:marRight w:val="0"/>
      <w:marTop w:val="0"/>
      <w:marBottom w:val="0"/>
      <w:divBdr>
        <w:top w:val="none" w:sz="0" w:space="0" w:color="auto"/>
        <w:left w:val="none" w:sz="0" w:space="0" w:color="auto"/>
        <w:bottom w:val="none" w:sz="0" w:space="0" w:color="auto"/>
        <w:right w:val="none" w:sz="0" w:space="0" w:color="auto"/>
      </w:divBdr>
      <w:divsChild>
        <w:div w:id="1757631120">
          <w:marLeft w:val="0"/>
          <w:marRight w:val="0"/>
          <w:marTop w:val="0"/>
          <w:marBottom w:val="0"/>
          <w:divBdr>
            <w:top w:val="none" w:sz="0" w:space="0" w:color="auto"/>
            <w:left w:val="none" w:sz="0" w:space="0" w:color="auto"/>
            <w:bottom w:val="none" w:sz="0" w:space="0" w:color="auto"/>
            <w:right w:val="none" w:sz="0" w:space="0" w:color="auto"/>
          </w:divBdr>
          <w:divsChild>
            <w:div w:id="94759100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0296438">
      <w:marLeft w:val="0"/>
      <w:marRight w:val="0"/>
      <w:marTop w:val="180"/>
      <w:marBottom w:val="60"/>
      <w:divBdr>
        <w:top w:val="none" w:sz="0" w:space="0" w:color="auto"/>
        <w:left w:val="none" w:sz="0" w:space="0" w:color="auto"/>
        <w:bottom w:val="none" w:sz="0" w:space="0" w:color="auto"/>
        <w:right w:val="none" w:sz="0" w:space="0" w:color="auto"/>
      </w:divBdr>
    </w:div>
    <w:div w:id="81802645">
      <w:marLeft w:val="0"/>
      <w:marRight w:val="0"/>
      <w:marTop w:val="120"/>
      <w:marBottom w:val="20"/>
      <w:divBdr>
        <w:top w:val="none" w:sz="0" w:space="0" w:color="auto"/>
        <w:left w:val="none" w:sz="0" w:space="0" w:color="auto"/>
        <w:bottom w:val="none" w:sz="0" w:space="0" w:color="auto"/>
        <w:right w:val="none" w:sz="0" w:space="0" w:color="auto"/>
      </w:divBdr>
      <w:divsChild>
        <w:div w:id="904993012">
          <w:marLeft w:val="0"/>
          <w:marRight w:val="0"/>
          <w:marTop w:val="0"/>
          <w:marBottom w:val="0"/>
          <w:divBdr>
            <w:top w:val="none" w:sz="0" w:space="0" w:color="auto"/>
            <w:left w:val="none" w:sz="0" w:space="0" w:color="auto"/>
            <w:bottom w:val="none" w:sz="0" w:space="0" w:color="auto"/>
            <w:right w:val="none" w:sz="0" w:space="0" w:color="auto"/>
          </w:divBdr>
        </w:div>
        <w:div w:id="1203637108">
          <w:marLeft w:val="0"/>
          <w:marRight w:val="0"/>
          <w:marTop w:val="0"/>
          <w:marBottom w:val="0"/>
          <w:divBdr>
            <w:top w:val="none" w:sz="0" w:space="0" w:color="auto"/>
            <w:left w:val="none" w:sz="0" w:space="0" w:color="auto"/>
            <w:bottom w:val="none" w:sz="0" w:space="0" w:color="auto"/>
            <w:right w:val="none" w:sz="0" w:space="0" w:color="auto"/>
          </w:divBdr>
        </w:div>
      </w:divsChild>
    </w:div>
    <w:div w:id="82997893">
      <w:marLeft w:val="0"/>
      <w:marRight w:val="0"/>
      <w:marTop w:val="130"/>
      <w:marBottom w:val="120"/>
      <w:divBdr>
        <w:top w:val="none" w:sz="0" w:space="0" w:color="auto"/>
        <w:left w:val="none" w:sz="0" w:space="0" w:color="auto"/>
        <w:bottom w:val="none" w:sz="0" w:space="0" w:color="auto"/>
        <w:right w:val="none" w:sz="0" w:space="0" w:color="auto"/>
      </w:divBdr>
    </w:div>
    <w:div w:id="83890971">
      <w:marLeft w:val="0"/>
      <w:marRight w:val="0"/>
      <w:marTop w:val="180"/>
      <w:marBottom w:val="120"/>
      <w:divBdr>
        <w:top w:val="none" w:sz="0" w:space="0" w:color="auto"/>
        <w:left w:val="none" w:sz="0" w:space="0" w:color="auto"/>
        <w:bottom w:val="none" w:sz="0" w:space="0" w:color="auto"/>
        <w:right w:val="none" w:sz="0" w:space="0" w:color="auto"/>
      </w:divBdr>
    </w:div>
    <w:div w:id="84423961">
      <w:marLeft w:val="0"/>
      <w:marRight w:val="0"/>
      <w:marTop w:val="180"/>
      <w:marBottom w:val="0"/>
      <w:divBdr>
        <w:top w:val="none" w:sz="0" w:space="0" w:color="auto"/>
        <w:left w:val="none" w:sz="0" w:space="0" w:color="auto"/>
        <w:bottom w:val="none" w:sz="0" w:space="0" w:color="auto"/>
        <w:right w:val="none" w:sz="0" w:space="0" w:color="auto"/>
      </w:divBdr>
    </w:div>
    <w:div w:id="86005591">
      <w:marLeft w:val="0"/>
      <w:marRight w:val="0"/>
      <w:marTop w:val="180"/>
      <w:marBottom w:val="0"/>
      <w:divBdr>
        <w:top w:val="none" w:sz="0" w:space="0" w:color="auto"/>
        <w:left w:val="none" w:sz="0" w:space="0" w:color="auto"/>
        <w:bottom w:val="none" w:sz="0" w:space="0" w:color="auto"/>
        <w:right w:val="none" w:sz="0" w:space="0" w:color="auto"/>
      </w:divBdr>
    </w:div>
    <w:div w:id="90050025">
      <w:marLeft w:val="0"/>
      <w:marRight w:val="0"/>
      <w:marTop w:val="0"/>
      <w:marBottom w:val="0"/>
      <w:divBdr>
        <w:top w:val="none" w:sz="0" w:space="0" w:color="auto"/>
        <w:left w:val="none" w:sz="0" w:space="0" w:color="auto"/>
        <w:bottom w:val="none" w:sz="0" w:space="0" w:color="auto"/>
        <w:right w:val="none" w:sz="0" w:space="0" w:color="auto"/>
      </w:divBdr>
      <w:divsChild>
        <w:div w:id="1049381249">
          <w:marLeft w:val="0"/>
          <w:marRight w:val="0"/>
          <w:marTop w:val="180"/>
          <w:marBottom w:val="180"/>
          <w:divBdr>
            <w:top w:val="none" w:sz="0" w:space="0" w:color="auto"/>
            <w:left w:val="none" w:sz="0" w:space="0" w:color="auto"/>
            <w:bottom w:val="none" w:sz="0" w:space="0" w:color="auto"/>
            <w:right w:val="none" w:sz="0" w:space="0" w:color="auto"/>
          </w:divBdr>
        </w:div>
      </w:divsChild>
    </w:div>
    <w:div w:id="90396495">
      <w:marLeft w:val="0"/>
      <w:marRight w:val="0"/>
      <w:marTop w:val="180"/>
      <w:marBottom w:val="0"/>
      <w:divBdr>
        <w:top w:val="none" w:sz="0" w:space="0" w:color="auto"/>
        <w:left w:val="none" w:sz="0" w:space="0" w:color="auto"/>
        <w:bottom w:val="none" w:sz="0" w:space="0" w:color="auto"/>
        <w:right w:val="none" w:sz="0" w:space="0" w:color="auto"/>
      </w:divBdr>
    </w:div>
    <w:div w:id="90784065">
      <w:marLeft w:val="0"/>
      <w:marRight w:val="0"/>
      <w:marTop w:val="180"/>
      <w:marBottom w:val="0"/>
      <w:divBdr>
        <w:top w:val="none" w:sz="0" w:space="0" w:color="auto"/>
        <w:left w:val="none" w:sz="0" w:space="0" w:color="auto"/>
        <w:bottom w:val="none" w:sz="0" w:space="0" w:color="auto"/>
        <w:right w:val="none" w:sz="0" w:space="0" w:color="auto"/>
      </w:divBdr>
    </w:div>
    <w:div w:id="103038374">
      <w:marLeft w:val="0"/>
      <w:marRight w:val="0"/>
      <w:marTop w:val="180"/>
      <w:marBottom w:val="60"/>
      <w:divBdr>
        <w:top w:val="none" w:sz="0" w:space="0" w:color="auto"/>
        <w:left w:val="none" w:sz="0" w:space="0" w:color="auto"/>
        <w:bottom w:val="none" w:sz="0" w:space="0" w:color="auto"/>
        <w:right w:val="none" w:sz="0" w:space="0" w:color="auto"/>
      </w:divBdr>
    </w:div>
    <w:div w:id="104083207">
      <w:marLeft w:val="0"/>
      <w:marRight w:val="0"/>
      <w:marTop w:val="180"/>
      <w:marBottom w:val="180"/>
      <w:divBdr>
        <w:top w:val="none" w:sz="0" w:space="0" w:color="auto"/>
        <w:left w:val="none" w:sz="0" w:space="0" w:color="auto"/>
        <w:bottom w:val="none" w:sz="0" w:space="0" w:color="auto"/>
        <w:right w:val="none" w:sz="0" w:space="0" w:color="auto"/>
      </w:divBdr>
    </w:div>
    <w:div w:id="126629897">
      <w:marLeft w:val="0"/>
      <w:marRight w:val="0"/>
      <w:marTop w:val="180"/>
      <w:marBottom w:val="120"/>
      <w:divBdr>
        <w:top w:val="none" w:sz="0" w:space="0" w:color="auto"/>
        <w:left w:val="none" w:sz="0" w:space="0" w:color="auto"/>
        <w:bottom w:val="none" w:sz="0" w:space="0" w:color="auto"/>
        <w:right w:val="none" w:sz="0" w:space="0" w:color="auto"/>
      </w:divBdr>
    </w:div>
    <w:div w:id="127554224">
      <w:marLeft w:val="0"/>
      <w:marRight w:val="0"/>
      <w:marTop w:val="180"/>
      <w:marBottom w:val="0"/>
      <w:divBdr>
        <w:top w:val="none" w:sz="0" w:space="0" w:color="auto"/>
        <w:left w:val="none" w:sz="0" w:space="0" w:color="auto"/>
        <w:bottom w:val="none" w:sz="0" w:space="0" w:color="auto"/>
        <w:right w:val="none" w:sz="0" w:space="0" w:color="auto"/>
      </w:divBdr>
    </w:div>
    <w:div w:id="129638923">
      <w:marLeft w:val="0"/>
      <w:marRight w:val="0"/>
      <w:marTop w:val="180"/>
      <w:marBottom w:val="0"/>
      <w:divBdr>
        <w:top w:val="none" w:sz="0" w:space="0" w:color="auto"/>
        <w:left w:val="none" w:sz="0" w:space="0" w:color="auto"/>
        <w:bottom w:val="none" w:sz="0" w:space="0" w:color="auto"/>
        <w:right w:val="none" w:sz="0" w:space="0" w:color="auto"/>
      </w:divBdr>
    </w:div>
    <w:div w:id="137040037">
      <w:marLeft w:val="0"/>
      <w:marRight w:val="0"/>
      <w:marTop w:val="60"/>
      <w:marBottom w:val="20"/>
      <w:divBdr>
        <w:top w:val="none" w:sz="0" w:space="0" w:color="auto"/>
        <w:left w:val="none" w:sz="0" w:space="0" w:color="auto"/>
        <w:bottom w:val="none" w:sz="0" w:space="0" w:color="auto"/>
        <w:right w:val="none" w:sz="0" w:space="0" w:color="auto"/>
      </w:divBdr>
    </w:div>
    <w:div w:id="137234035">
      <w:marLeft w:val="0"/>
      <w:marRight w:val="0"/>
      <w:marTop w:val="120"/>
      <w:marBottom w:val="0"/>
      <w:divBdr>
        <w:top w:val="none" w:sz="0" w:space="0" w:color="auto"/>
        <w:left w:val="none" w:sz="0" w:space="0" w:color="auto"/>
        <w:bottom w:val="none" w:sz="0" w:space="0" w:color="auto"/>
        <w:right w:val="none" w:sz="0" w:space="0" w:color="auto"/>
      </w:divBdr>
    </w:div>
    <w:div w:id="140776976">
      <w:marLeft w:val="0"/>
      <w:marRight w:val="0"/>
      <w:marTop w:val="0"/>
      <w:marBottom w:val="0"/>
      <w:divBdr>
        <w:top w:val="none" w:sz="0" w:space="0" w:color="auto"/>
        <w:left w:val="none" w:sz="0" w:space="0" w:color="auto"/>
        <w:bottom w:val="none" w:sz="0" w:space="0" w:color="auto"/>
        <w:right w:val="none" w:sz="0" w:space="0" w:color="auto"/>
      </w:divBdr>
      <w:divsChild>
        <w:div w:id="1521234464">
          <w:marLeft w:val="0"/>
          <w:marRight w:val="0"/>
          <w:marTop w:val="0"/>
          <w:marBottom w:val="0"/>
          <w:divBdr>
            <w:top w:val="none" w:sz="0" w:space="0" w:color="auto"/>
            <w:left w:val="none" w:sz="0" w:space="0" w:color="auto"/>
            <w:bottom w:val="none" w:sz="0" w:space="0" w:color="auto"/>
            <w:right w:val="none" w:sz="0" w:space="0" w:color="auto"/>
          </w:divBdr>
          <w:divsChild>
            <w:div w:id="13927304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2308815">
      <w:marLeft w:val="0"/>
      <w:marRight w:val="0"/>
      <w:marTop w:val="180"/>
      <w:marBottom w:val="0"/>
      <w:divBdr>
        <w:top w:val="none" w:sz="0" w:space="0" w:color="auto"/>
        <w:left w:val="none" w:sz="0" w:space="0" w:color="auto"/>
        <w:bottom w:val="none" w:sz="0" w:space="0" w:color="auto"/>
        <w:right w:val="none" w:sz="0" w:space="0" w:color="auto"/>
      </w:divBdr>
    </w:div>
    <w:div w:id="142360144">
      <w:marLeft w:val="0"/>
      <w:marRight w:val="0"/>
      <w:marTop w:val="180"/>
      <w:marBottom w:val="0"/>
      <w:divBdr>
        <w:top w:val="none" w:sz="0" w:space="0" w:color="auto"/>
        <w:left w:val="none" w:sz="0" w:space="0" w:color="auto"/>
        <w:bottom w:val="none" w:sz="0" w:space="0" w:color="auto"/>
        <w:right w:val="none" w:sz="0" w:space="0" w:color="auto"/>
      </w:divBdr>
    </w:div>
    <w:div w:id="152796429">
      <w:marLeft w:val="0"/>
      <w:marRight w:val="0"/>
      <w:marTop w:val="180"/>
      <w:marBottom w:val="0"/>
      <w:divBdr>
        <w:top w:val="none" w:sz="0" w:space="0" w:color="auto"/>
        <w:left w:val="none" w:sz="0" w:space="0" w:color="auto"/>
        <w:bottom w:val="none" w:sz="0" w:space="0" w:color="auto"/>
        <w:right w:val="none" w:sz="0" w:space="0" w:color="auto"/>
      </w:divBdr>
    </w:div>
    <w:div w:id="154230109">
      <w:marLeft w:val="0"/>
      <w:marRight w:val="0"/>
      <w:marTop w:val="0"/>
      <w:marBottom w:val="0"/>
      <w:divBdr>
        <w:top w:val="none" w:sz="0" w:space="0" w:color="auto"/>
        <w:left w:val="none" w:sz="0" w:space="0" w:color="auto"/>
        <w:bottom w:val="none" w:sz="0" w:space="0" w:color="auto"/>
        <w:right w:val="none" w:sz="0" w:space="0" w:color="auto"/>
      </w:divBdr>
      <w:divsChild>
        <w:div w:id="1249195989">
          <w:marLeft w:val="0"/>
          <w:marRight w:val="0"/>
          <w:marTop w:val="0"/>
          <w:marBottom w:val="0"/>
          <w:divBdr>
            <w:top w:val="none" w:sz="0" w:space="0" w:color="auto"/>
            <w:left w:val="none" w:sz="0" w:space="0" w:color="auto"/>
            <w:bottom w:val="none" w:sz="0" w:space="0" w:color="auto"/>
            <w:right w:val="none" w:sz="0" w:space="0" w:color="auto"/>
          </w:divBdr>
          <w:divsChild>
            <w:div w:id="150513032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8691954">
      <w:marLeft w:val="0"/>
      <w:marRight w:val="0"/>
      <w:marTop w:val="0"/>
      <w:marBottom w:val="0"/>
      <w:divBdr>
        <w:top w:val="none" w:sz="0" w:space="0" w:color="auto"/>
        <w:left w:val="none" w:sz="0" w:space="0" w:color="auto"/>
        <w:bottom w:val="none" w:sz="0" w:space="0" w:color="auto"/>
        <w:right w:val="none" w:sz="0" w:space="0" w:color="auto"/>
      </w:divBdr>
      <w:divsChild>
        <w:div w:id="346686474">
          <w:marLeft w:val="0"/>
          <w:marRight w:val="0"/>
          <w:marTop w:val="180"/>
          <w:marBottom w:val="180"/>
          <w:divBdr>
            <w:top w:val="none" w:sz="0" w:space="0" w:color="auto"/>
            <w:left w:val="none" w:sz="0" w:space="0" w:color="auto"/>
            <w:bottom w:val="none" w:sz="0" w:space="0" w:color="auto"/>
            <w:right w:val="none" w:sz="0" w:space="0" w:color="auto"/>
          </w:divBdr>
        </w:div>
      </w:divsChild>
    </w:div>
    <w:div w:id="161162847">
      <w:marLeft w:val="0"/>
      <w:marRight w:val="0"/>
      <w:marTop w:val="180"/>
      <w:marBottom w:val="0"/>
      <w:divBdr>
        <w:top w:val="none" w:sz="0" w:space="0" w:color="auto"/>
        <w:left w:val="none" w:sz="0" w:space="0" w:color="auto"/>
        <w:bottom w:val="none" w:sz="0" w:space="0" w:color="auto"/>
        <w:right w:val="none" w:sz="0" w:space="0" w:color="auto"/>
      </w:divBdr>
    </w:div>
    <w:div w:id="161625581">
      <w:marLeft w:val="0"/>
      <w:marRight w:val="0"/>
      <w:marTop w:val="240"/>
      <w:marBottom w:val="0"/>
      <w:divBdr>
        <w:top w:val="none" w:sz="0" w:space="0" w:color="auto"/>
        <w:left w:val="none" w:sz="0" w:space="0" w:color="auto"/>
        <w:bottom w:val="none" w:sz="0" w:space="0" w:color="auto"/>
        <w:right w:val="none" w:sz="0" w:space="0" w:color="auto"/>
      </w:divBdr>
    </w:div>
    <w:div w:id="161899293">
      <w:marLeft w:val="0"/>
      <w:marRight w:val="0"/>
      <w:marTop w:val="180"/>
      <w:marBottom w:val="120"/>
      <w:divBdr>
        <w:top w:val="none" w:sz="0" w:space="0" w:color="auto"/>
        <w:left w:val="none" w:sz="0" w:space="0" w:color="auto"/>
        <w:bottom w:val="none" w:sz="0" w:space="0" w:color="auto"/>
        <w:right w:val="none" w:sz="0" w:space="0" w:color="auto"/>
      </w:divBdr>
    </w:div>
    <w:div w:id="169222367">
      <w:marLeft w:val="0"/>
      <w:marRight w:val="0"/>
      <w:marTop w:val="180"/>
      <w:marBottom w:val="0"/>
      <w:divBdr>
        <w:top w:val="none" w:sz="0" w:space="0" w:color="auto"/>
        <w:left w:val="none" w:sz="0" w:space="0" w:color="auto"/>
        <w:bottom w:val="none" w:sz="0" w:space="0" w:color="auto"/>
        <w:right w:val="none" w:sz="0" w:space="0" w:color="auto"/>
      </w:divBdr>
    </w:div>
    <w:div w:id="173228345">
      <w:marLeft w:val="0"/>
      <w:marRight w:val="0"/>
      <w:marTop w:val="180"/>
      <w:marBottom w:val="0"/>
      <w:divBdr>
        <w:top w:val="none" w:sz="0" w:space="0" w:color="auto"/>
        <w:left w:val="none" w:sz="0" w:space="0" w:color="auto"/>
        <w:bottom w:val="none" w:sz="0" w:space="0" w:color="auto"/>
        <w:right w:val="none" w:sz="0" w:space="0" w:color="auto"/>
      </w:divBdr>
    </w:div>
    <w:div w:id="176777730">
      <w:marLeft w:val="0"/>
      <w:marRight w:val="0"/>
      <w:marTop w:val="240"/>
      <w:marBottom w:val="0"/>
      <w:divBdr>
        <w:top w:val="none" w:sz="0" w:space="0" w:color="auto"/>
        <w:left w:val="none" w:sz="0" w:space="0" w:color="auto"/>
        <w:bottom w:val="none" w:sz="0" w:space="0" w:color="auto"/>
        <w:right w:val="none" w:sz="0" w:space="0" w:color="auto"/>
      </w:divBdr>
    </w:div>
    <w:div w:id="182284411">
      <w:marLeft w:val="0"/>
      <w:marRight w:val="0"/>
      <w:marTop w:val="0"/>
      <w:marBottom w:val="0"/>
      <w:divBdr>
        <w:top w:val="none" w:sz="0" w:space="0" w:color="auto"/>
        <w:left w:val="none" w:sz="0" w:space="0" w:color="auto"/>
        <w:bottom w:val="none" w:sz="0" w:space="0" w:color="auto"/>
        <w:right w:val="none" w:sz="0" w:space="0" w:color="auto"/>
      </w:divBdr>
      <w:divsChild>
        <w:div w:id="737485827">
          <w:marLeft w:val="0"/>
          <w:marRight w:val="0"/>
          <w:marTop w:val="0"/>
          <w:marBottom w:val="0"/>
          <w:divBdr>
            <w:top w:val="none" w:sz="0" w:space="0" w:color="auto"/>
            <w:left w:val="none" w:sz="0" w:space="0" w:color="auto"/>
            <w:bottom w:val="none" w:sz="0" w:space="0" w:color="auto"/>
            <w:right w:val="none" w:sz="0" w:space="0" w:color="auto"/>
          </w:divBdr>
          <w:divsChild>
            <w:div w:id="9808415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4172869">
      <w:marLeft w:val="0"/>
      <w:marRight w:val="0"/>
      <w:marTop w:val="180"/>
      <w:marBottom w:val="0"/>
      <w:divBdr>
        <w:top w:val="none" w:sz="0" w:space="0" w:color="auto"/>
        <w:left w:val="none" w:sz="0" w:space="0" w:color="auto"/>
        <w:bottom w:val="none" w:sz="0" w:space="0" w:color="auto"/>
        <w:right w:val="none" w:sz="0" w:space="0" w:color="auto"/>
      </w:divBdr>
    </w:div>
    <w:div w:id="187259263">
      <w:marLeft w:val="0"/>
      <w:marRight w:val="0"/>
      <w:marTop w:val="180"/>
      <w:marBottom w:val="0"/>
      <w:divBdr>
        <w:top w:val="none" w:sz="0" w:space="0" w:color="auto"/>
        <w:left w:val="none" w:sz="0" w:space="0" w:color="auto"/>
        <w:bottom w:val="none" w:sz="0" w:space="0" w:color="auto"/>
        <w:right w:val="none" w:sz="0" w:space="0" w:color="auto"/>
      </w:divBdr>
    </w:div>
    <w:div w:id="191043089">
      <w:marLeft w:val="0"/>
      <w:marRight w:val="0"/>
      <w:marTop w:val="180"/>
      <w:marBottom w:val="0"/>
      <w:divBdr>
        <w:top w:val="none" w:sz="0" w:space="0" w:color="auto"/>
        <w:left w:val="none" w:sz="0" w:space="0" w:color="auto"/>
        <w:bottom w:val="none" w:sz="0" w:space="0" w:color="auto"/>
        <w:right w:val="none" w:sz="0" w:space="0" w:color="auto"/>
      </w:divBdr>
    </w:div>
    <w:div w:id="191499128">
      <w:marLeft w:val="0"/>
      <w:marRight w:val="0"/>
      <w:marTop w:val="0"/>
      <w:marBottom w:val="0"/>
      <w:divBdr>
        <w:top w:val="none" w:sz="0" w:space="0" w:color="auto"/>
        <w:left w:val="none" w:sz="0" w:space="0" w:color="auto"/>
        <w:bottom w:val="none" w:sz="0" w:space="0" w:color="auto"/>
        <w:right w:val="none" w:sz="0" w:space="0" w:color="auto"/>
      </w:divBdr>
      <w:divsChild>
        <w:div w:id="1915629365">
          <w:marLeft w:val="0"/>
          <w:marRight w:val="0"/>
          <w:marTop w:val="0"/>
          <w:marBottom w:val="0"/>
          <w:divBdr>
            <w:top w:val="none" w:sz="0" w:space="0" w:color="auto"/>
            <w:left w:val="none" w:sz="0" w:space="0" w:color="auto"/>
            <w:bottom w:val="none" w:sz="0" w:space="0" w:color="auto"/>
            <w:right w:val="none" w:sz="0" w:space="0" w:color="auto"/>
          </w:divBdr>
          <w:divsChild>
            <w:div w:id="5046948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4587338">
      <w:marLeft w:val="0"/>
      <w:marRight w:val="0"/>
      <w:marTop w:val="180"/>
      <w:marBottom w:val="0"/>
      <w:divBdr>
        <w:top w:val="none" w:sz="0" w:space="0" w:color="auto"/>
        <w:left w:val="none" w:sz="0" w:space="0" w:color="auto"/>
        <w:bottom w:val="none" w:sz="0" w:space="0" w:color="auto"/>
        <w:right w:val="none" w:sz="0" w:space="0" w:color="auto"/>
      </w:divBdr>
    </w:div>
    <w:div w:id="195118147">
      <w:marLeft w:val="0"/>
      <w:marRight w:val="0"/>
      <w:marTop w:val="140"/>
      <w:marBottom w:val="0"/>
      <w:divBdr>
        <w:top w:val="none" w:sz="0" w:space="0" w:color="auto"/>
        <w:left w:val="none" w:sz="0" w:space="0" w:color="auto"/>
        <w:bottom w:val="none" w:sz="0" w:space="0" w:color="auto"/>
        <w:right w:val="none" w:sz="0" w:space="0" w:color="auto"/>
      </w:divBdr>
    </w:div>
    <w:div w:id="202136725">
      <w:marLeft w:val="0"/>
      <w:marRight w:val="0"/>
      <w:marTop w:val="180"/>
      <w:marBottom w:val="0"/>
      <w:divBdr>
        <w:top w:val="none" w:sz="0" w:space="0" w:color="auto"/>
        <w:left w:val="none" w:sz="0" w:space="0" w:color="auto"/>
        <w:bottom w:val="none" w:sz="0" w:space="0" w:color="auto"/>
        <w:right w:val="none" w:sz="0" w:space="0" w:color="auto"/>
      </w:divBdr>
    </w:div>
    <w:div w:id="202836488">
      <w:marLeft w:val="0"/>
      <w:marRight w:val="0"/>
      <w:marTop w:val="180"/>
      <w:marBottom w:val="120"/>
      <w:divBdr>
        <w:top w:val="none" w:sz="0" w:space="0" w:color="auto"/>
        <w:left w:val="none" w:sz="0" w:space="0" w:color="auto"/>
        <w:bottom w:val="none" w:sz="0" w:space="0" w:color="auto"/>
        <w:right w:val="none" w:sz="0" w:space="0" w:color="auto"/>
      </w:divBdr>
    </w:div>
    <w:div w:id="204172822">
      <w:marLeft w:val="0"/>
      <w:marRight w:val="0"/>
      <w:marTop w:val="0"/>
      <w:marBottom w:val="0"/>
      <w:divBdr>
        <w:top w:val="none" w:sz="0" w:space="0" w:color="auto"/>
        <w:left w:val="none" w:sz="0" w:space="0" w:color="auto"/>
        <w:bottom w:val="none" w:sz="0" w:space="0" w:color="auto"/>
        <w:right w:val="none" w:sz="0" w:space="0" w:color="auto"/>
      </w:divBdr>
      <w:divsChild>
        <w:div w:id="738290826">
          <w:marLeft w:val="0"/>
          <w:marRight w:val="0"/>
          <w:marTop w:val="0"/>
          <w:marBottom w:val="0"/>
          <w:divBdr>
            <w:top w:val="none" w:sz="0" w:space="0" w:color="auto"/>
            <w:left w:val="none" w:sz="0" w:space="0" w:color="auto"/>
            <w:bottom w:val="none" w:sz="0" w:space="0" w:color="auto"/>
            <w:right w:val="none" w:sz="0" w:space="0" w:color="auto"/>
          </w:divBdr>
          <w:divsChild>
            <w:div w:id="172406534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4408336">
      <w:marLeft w:val="0"/>
      <w:marRight w:val="0"/>
      <w:marTop w:val="180"/>
      <w:marBottom w:val="0"/>
      <w:divBdr>
        <w:top w:val="none" w:sz="0" w:space="0" w:color="auto"/>
        <w:left w:val="none" w:sz="0" w:space="0" w:color="auto"/>
        <w:bottom w:val="none" w:sz="0" w:space="0" w:color="auto"/>
        <w:right w:val="none" w:sz="0" w:space="0" w:color="auto"/>
      </w:divBdr>
    </w:div>
    <w:div w:id="207883459">
      <w:marLeft w:val="0"/>
      <w:marRight w:val="0"/>
      <w:marTop w:val="140"/>
      <w:marBottom w:val="0"/>
      <w:divBdr>
        <w:top w:val="none" w:sz="0" w:space="0" w:color="auto"/>
        <w:left w:val="none" w:sz="0" w:space="0" w:color="auto"/>
        <w:bottom w:val="none" w:sz="0" w:space="0" w:color="auto"/>
        <w:right w:val="none" w:sz="0" w:space="0" w:color="auto"/>
      </w:divBdr>
    </w:div>
    <w:div w:id="217323248">
      <w:marLeft w:val="0"/>
      <w:marRight w:val="0"/>
      <w:marTop w:val="180"/>
      <w:marBottom w:val="0"/>
      <w:divBdr>
        <w:top w:val="none" w:sz="0" w:space="0" w:color="auto"/>
        <w:left w:val="none" w:sz="0" w:space="0" w:color="auto"/>
        <w:bottom w:val="none" w:sz="0" w:space="0" w:color="auto"/>
        <w:right w:val="none" w:sz="0" w:space="0" w:color="auto"/>
      </w:divBdr>
    </w:div>
    <w:div w:id="217596365">
      <w:marLeft w:val="0"/>
      <w:marRight w:val="0"/>
      <w:marTop w:val="60"/>
      <w:marBottom w:val="120"/>
      <w:divBdr>
        <w:top w:val="none" w:sz="0" w:space="0" w:color="auto"/>
        <w:left w:val="none" w:sz="0" w:space="0" w:color="auto"/>
        <w:bottom w:val="none" w:sz="0" w:space="0" w:color="auto"/>
        <w:right w:val="none" w:sz="0" w:space="0" w:color="auto"/>
      </w:divBdr>
    </w:div>
    <w:div w:id="220141735">
      <w:marLeft w:val="0"/>
      <w:marRight w:val="0"/>
      <w:marTop w:val="0"/>
      <w:marBottom w:val="0"/>
      <w:divBdr>
        <w:top w:val="none" w:sz="0" w:space="0" w:color="auto"/>
        <w:left w:val="none" w:sz="0" w:space="0" w:color="auto"/>
        <w:bottom w:val="none" w:sz="0" w:space="0" w:color="auto"/>
        <w:right w:val="none" w:sz="0" w:space="0" w:color="auto"/>
      </w:divBdr>
      <w:divsChild>
        <w:div w:id="4291529">
          <w:marLeft w:val="0"/>
          <w:marRight w:val="0"/>
          <w:marTop w:val="0"/>
          <w:marBottom w:val="0"/>
          <w:divBdr>
            <w:top w:val="none" w:sz="0" w:space="0" w:color="auto"/>
            <w:left w:val="none" w:sz="0" w:space="0" w:color="auto"/>
            <w:bottom w:val="none" w:sz="0" w:space="0" w:color="auto"/>
            <w:right w:val="none" w:sz="0" w:space="0" w:color="auto"/>
          </w:divBdr>
          <w:divsChild>
            <w:div w:id="13145984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20874025">
      <w:marLeft w:val="0"/>
      <w:marRight w:val="0"/>
      <w:marTop w:val="180"/>
      <w:marBottom w:val="0"/>
      <w:divBdr>
        <w:top w:val="none" w:sz="0" w:space="0" w:color="auto"/>
        <w:left w:val="none" w:sz="0" w:space="0" w:color="auto"/>
        <w:bottom w:val="none" w:sz="0" w:space="0" w:color="auto"/>
        <w:right w:val="none" w:sz="0" w:space="0" w:color="auto"/>
      </w:divBdr>
    </w:div>
    <w:div w:id="230505640">
      <w:marLeft w:val="0"/>
      <w:marRight w:val="0"/>
      <w:marTop w:val="0"/>
      <w:marBottom w:val="0"/>
      <w:divBdr>
        <w:top w:val="none" w:sz="0" w:space="0" w:color="auto"/>
        <w:left w:val="none" w:sz="0" w:space="0" w:color="auto"/>
        <w:bottom w:val="none" w:sz="0" w:space="0" w:color="auto"/>
        <w:right w:val="none" w:sz="0" w:space="0" w:color="auto"/>
      </w:divBdr>
      <w:divsChild>
        <w:div w:id="1665281358">
          <w:marLeft w:val="0"/>
          <w:marRight w:val="0"/>
          <w:marTop w:val="180"/>
          <w:marBottom w:val="0"/>
          <w:divBdr>
            <w:top w:val="none" w:sz="0" w:space="0" w:color="auto"/>
            <w:left w:val="none" w:sz="0" w:space="0" w:color="auto"/>
            <w:bottom w:val="none" w:sz="0" w:space="0" w:color="auto"/>
            <w:right w:val="none" w:sz="0" w:space="0" w:color="auto"/>
          </w:divBdr>
        </w:div>
      </w:divsChild>
    </w:div>
    <w:div w:id="230965363">
      <w:marLeft w:val="0"/>
      <w:marRight w:val="0"/>
      <w:marTop w:val="180"/>
      <w:marBottom w:val="0"/>
      <w:divBdr>
        <w:top w:val="none" w:sz="0" w:space="0" w:color="auto"/>
        <w:left w:val="none" w:sz="0" w:space="0" w:color="auto"/>
        <w:bottom w:val="none" w:sz="0" w:space="0" w:color="auto"/>
        <w:right w:val="none" w:sz="0" w:space="0" w:color="auto"/>
      </w:divBdr>
    </w:div>
    <w:div w:id="241454632">
      <w:marLeft w:val="0"/>
      <w:marRight w:val="0"/>
      <w:marTop w:val="180"/>
      <w:marBottom w:val="0"/>
      <w:divBdr>
        <w:top w:val="none" w:sz="0" w:space="0" w:color="auto"/>
        <w:left w:val="none" w:sz="0" w:space="0" w:color="auto"/>
        <w:bottom w:val="none" w:sz="0" w:space="0" w:color="auto"/>
        <w:right w:val="none" w:sz="0" w:space="0" w:color="auto"/>
      </w:divBdr>
    </w:div>
    <w:div w:id="242179687">
      <w:marLeft w:val="0"/>
      <w:marRight w:val="0"/>
      <w:marTop w:val="180"/>
      <w:marBottom w:val="0"/>
      <w:divBdr>
        <w:top w:val="none" w:sz="0" w:space="0" w:color="auto"/>
        <w:left w:val="none" w:sz="0" w:space="0" w:color="auto"/>
        <w:bottom w:val="none" w:sz="0" w:space="0" w:color="auto"/>
        <w:right w:val="none" w:sz="0" w:space="0" w:color="auto"/>
      </w:divBdr>
    </w:div>
    <w:div w:id="242836966">
      <w:marLeft w:val="0"/>
      <w:marRight w:val="0"/>
      <w:marTop w:val="180"/>
      <w:marBottom w:val="0"/>
      <w:divBdr>
        <w:top w:val="none" w:sz="0" w:space="0" w:color="auto"/>
        <w:left w:val="none" w:sz="0" w:space="0" w:color="auto"/>
        <w:bottom w:val="none" w:sz="0" w:space="0" w:color="auto"/>
        <w:right w:val="none" w:sz="0" w:space="0" w:color="auto"/>
      </w:divBdr>
    </w:div>
    <w:div w:id="246351678">
      <w:marLeft w:val="0"/>
      <w:marRight w:val="0"/>
      <w:marTop w:val="180"/>
      <w:marBottom w:val="0"/>
      <w:divBdr>
        <w:top w:val="none" w:sz="0" w:space="0" w:color="auto"/>
        <w:left w:val="none" w:sz="0" w:space="0" w:color="auto"/>
        <w:bottom w:val="none" w:sz="0" w:space="0" w:color="auto"/>
        <w:right w:val="none" w:sz="0" w:space="0" w:color="auto"/>
      </w:divBdr>
    </w:div>
    <w:div w:id="248269255">
      <w:marLeft w:val="0"/>
      <w:marRight w:val="0"/>
      <w:marTop w:val="180"/>
      <w:marBottom w:val="0"/>
      <w:divBdr>
        <w:top w:val="none" w:sz="0" w:space="0" w:color="auto"/>
        <w:left w:val="none" w:sz="0" w:space="0" w:color="auto"/>
        <w:bottom w:val="none" w:sz="0" w:space="0" w:color="auto"/>
        <w:right w:val="none" w:sz="0" w:space="0" w:color="auto"/>
      </w:divBdr>
    </w:div>
    <w:div w:id="255988805">
      <w:marLeft w:val="0"/>
      <w:marRight w:val="0"/>
      <w:marTop w:val="0"/>
      <w:marBottom w:val="0"/>
      <w:divBdr>
        <w:top w:val="none" w:sz="0" w:space="0" w:color="auto"/>
        <w:left w:val="none" w:sz="0" w:space="0" w:color="auto"/>
        <w:bottom w:val="none" w:sz="0" w:space="0" w:color="auto"/>
        <w:right w:val="none" w:sz="0" w:space="0" w:color="auto"/>
      </w:divBdr>
      <w:divsChild>
        <w:div w:id="1695569966">
          <w:marLeft w:val="0"/>
          <w:marRight w:val="0"/>
          <w:marTop w:val="0"/>
          <w:marBottom w:val="0"/>
          <w:divBdr>
            <w:top w:val="none" w:sz="0" w:space="0" w:color="auto"/>
            <w:left w:val="none" w:sz="0" w:space="0" w:color="auto"/>
            <w:bottom w:val="none" w:sz="0" w:space="0" w:color="auto"/>
            <w:right w:val="none" w:sz="0" w:space="0" w:color="auto"/>
          </w:divBdr>
          <w:divsChild>
            <w:div w:id="9312048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57064145">
      <w:marLeft w:val="0"/>
      <w:marRight w:val="0"/>
      <w:marTop w:val="180"/>
      <w:marBottom w:val="0"/>
      <w:divBdr>
        <w:top w:val="none" w:sz="0" w:space="0" w:color="auto"/>
        <w:left w:val="none" w:sz="0" w:space="0" w:color="auto"/>
        <w:bottom w:val="none" w:sz="0" w:space="0" w:color="auto"/>
        <w:right w:val="none" w:sz="0" w:space="0" w:color="auto"/>
      </w:divBdr>
    </w:div>
    <w:div w:id="262228379">
      <w:marLeft w:val="0"/>
      <w:marRight w:val="0"/>
      <w:marTop w:val="0"/>
      <w:marBottom w:val="0"/>
      <w:divBdr>
        <w:top w:val="none" w:sz="0" w:space="0" w:color="auto"/>
        <w:left w:val="none" w:sz="0" w:space="0" w:color="auto"/>
        <w:bottom w:val="none" w:sz="0" w:space="0" w:color="auto"/>
        <w:right w:val="none" w:sz="0" w:space="0" w:color="auto"/>
      </w:divBdr>
      <w:divsChild>
        <w:div w:id="1399136732">
          <w:marLeft w:val="0"/>
          <w:marRight w:val="0"/>
          <w:marTop w:val="0"/>
          <w:marBottom w:val="0"/>
          <w:divBdr>
            <w:top w:val="none" w:sz="0" w:space="0" w:color="auto"/>
            <w:left w:val="none" w:sz="0" w:space="0" w:color="auto"/>
            <w:bottom w:val="none" w:sz="0" w:space="0" w:color="auto"/>
            <w:right w:val="none" w:sz="0" w:space="0" w:color="auto"/>
          </w:divBdr>
          <w:divsChild>
            <w:div w:id="89929381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63611371">
      <w:marLeft w:val="0"/>
      <w:marRight w:val="0"/>
      <w:marTop w:val="180"/>
      <w:marBottom w:val="0"/>
      <w:divBdr>
        <w:top w:val="none" w:sz="0" w:space="0" w:color="auto"/>
        <w:left w:val="none" w:sz="0" w:space="0" w:color="auto"/>
        <w:bottom w:val="none" w:sz="0" w:space="0" w:color="auto"/>
        <w:right w:val="none" w:sz="0" w:space="0" w:color="auto"/>
      </w:divBdr>
    </w:div>
    <w:div w:id="264848335">
      <w:marLeft w:val="0"/>
      <w:marRight w:val="0"/>
      <w:marTop w:val="60"/>
      <w:marBottom w:val="0"/>
      <w:divBdr>
        <w:top w:val="none" w:sz="0" w:space="0" w:color="auto"/>
        <w:left w:val="none" w:sz="0" w:space="0" w:color="auto"/>
        <w:bottom w:val="none" w:sz="0" w:space="0" w:color="auto"/>
        <w:right w:val="none" w:sz="0" w:space="0" w:color="auto"/>
      </w:divBdr>
    </w:div>
    <w:div w:id="265163421">
      <w:marLeft w:val="0"/>
      <w:marRight w:val="0"/>
      <w:marTop w:val="240"/>
      <w:marBottom w:val="0"/>
      <w:divBdr>
        <w:top w:val="none" w:sz="0" w:space="0" w:color="auto"/>
        <w:left w:val="none" w:sz="0" w:space="0" w:color="auto"/>
        <w:bottom w:val="none" w:sz="0" w:space="0" w:color="auto"/>
        <w:right w:val="none" w:sz="0" w:space="0" w:color="auto"/>
      </w:divBdr>
    </w:div>
    <w:div w:id="267275956">
      <w:marLeft w:val="0"/>
      <w:marRight w:val="0"/>
      <w:marTop w:val="0"/>
      <w:marBottom w:val="0"/>
      <w:divBdr>
        <w:top w:val="none" w:sz="0" w:space="0" w:color="auto"/>
        <w:left w:val="none" w:sz="0" w:space="0" w:color="auto"/>
        <w:bottom w:val="none" w:sz="0" w:space="0" w:color="auto"/>
        <w:right w:val="none" w:sz="0" w:space="0" w:color="auto"/>
      </w:divBdr>
      <w:divsChild>
        <w:div w:id="1456559410">
          <w:marLeft w:val="0"/>
          <w:marRight w:val="0"/>
          <w:marTop w:val="180"/>
          <w:marBottom w:val="0"/>
          <w:divBdr>
            <w:top w:val="none" w:sz="0" w:space="0" w:color="auto"/>
            <w:left w:val="none" w:sz="0" w:space="0" w:color="auto"/>
            <w:bottom w:val="none" w:sz="0" w:space="0" w:color="auto"/>
            <w:right w:val="none" w:sz="0" w:space="0" w:color="auto"/>
          </w:divBdr>
        </w:div>
      </w:divsChild>
    </w:div>
    <w:div w:id="268396875">
      <w:marLeft w:val="0"/>
      <w:marRight w:val="0"/>
      <w:marTop w:val="240"/>
      <w:marBottom w:val="0"/>
      <w:divBdr>
        <w:top w:val="none" w:sz="0" w:space="0" w:color="auto"/>
        <w:left w:val="none" w:sz="0" w:space="0" w:color="auto"/>
        <w:bottom w:val="none" w:sz="0" w:space="0" w:color="auto"/>
        <w:right w:val="none" w:sz="0" w:space="0" w:color="auto"/>
      </w:divBdr>
    </w:div>
    <w:div w:id="273830590">
      <w:marLeft w:val="0"/>
      <w:marRight w:val="0"/>
      <w:marTop w:val="120"/>
      <w:marBottom w:val="0"/>
      <w:divBdr>
        <w:top w:val="none" w:sz="0" w:space="0" w:color="auto"/>
        <w:left w:val="none" w:sz="0" w:space="0" w:color="auto"/>
        <w:bottom w:val="none" w:sz="0" w:space="0" w:color="auto"/>
        <w:right w:val="none" w:sz="0" w:space="0" w:color="auto"/>
      </w:divBdr>
    </w:div>
    <w:div w:id="275447878">
      <w:marLeft w:val="0"/>
      <w:marRight w:val="0"/>
      <w:marTop w:val="0"/>
      <w:marBottom w:val="0"/>
      <w:divBdr>
        <w:top w:val="none" w:sz="0" w:space="0" w:color="auto"/>
        <w:left w:val="none" w:sz="0" w:space="0" w:color="auto"/>
        <w:bottom w:val="none" w:sz="0" w:space="0" w:color="auto"/>
        <w:right w:val="none" w:sz="0" w:space="0" w:color="auto"/>
      </w:divBdr>
      <w:divsChild>
        <w:div w:id="1526404785">
          <w:marLeft w:val="0"/>
          <w:marRight w:val="0"/>
          <w:marTop w:val="0"/>
          <w:marBottom w:val="0"/>
          <w:divBdr>
            <w:top w:val="none" w:sz="0" w:space="0" w:color="auto"/>
            <w:left w:val="none" w:sz="0" w:space="0" w:color="auto"/>
            <w:bottom w:val="none" w:sz="0" w:space="0" w:color="auto"/>
            <w:right w:val="none" w:sz="0" w:space="0" w:color="auto"/>
          </w:divBdr>
          <w:divsChild>
            <w:div w:id="6696473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77879467">
      <w:marLeft w:val="0"/>
      <w:marRight w:val="0"/>
      <w:marTop w:val="180"/>
      <w:marBottom w:val="0"/>
      <w:divBdr>
        <w:top w:val="none" w:sz="0" w:space="0" w:color="auto"/>
        <w:left w:val="none" w:sz="0" w:space="0" w:color="auto"/>
        <w:bottom w:val="none" w:sz="0" w:space="0" w:color="auto"/>
        <w:right w:val="none" w:sz="0" w:space="0" w:color="auto"/>
      </w:divBdr>
    </w:div>
    <w:div w:id="282730827">
      <w:marLeft w:val="0"/>
      <w:marRight w:val="0"/>
      <w:marTop w:val="60"/>
      <w:marBottom w:val="20"/>
      <w:divBdr>
        <w:top w:val="none" w:sz="0" w:space="0" w:color="auto"/>
        <w:left w:val="none" w:sz="0" w:space="0" w:color="auto"/>
        <w:bottom w:val="none" w:sz="0" w:space="0" w:color="auto"/>
        <w:right w:val="none" w:sz="0" w:space="0" w:color="auto"/>
      </w:divBdr>
    </w:div>
    <w:div w:id="289823152">
      <w:marLeft w:val="0"/>
      <w:marRight w:val="0"/>
      <w:marTop w:val="60"/>
      <w:marBottom w:val="0"/>
      <w:divBdr>
        <w:top w:val="none" w:sz="0" w:space="0" w:color="auto"/>
        <w:left w:val="none" w:sz="0" w:space="0" w:color="auto"/>
        <w:bottom w:val="none" w:sz="0" w:space="0" w:color="auto"/>
        <w:right w:val="none" w:sz="0" w:space="0" w:color="auto"/>
      </w:divBdr>
    </w:div>
    <w:div w:id="291181978">
      <w:marLeft w:val="0"/>
      <w:marRight w:val="0"/>
      <w:marTop w:val="180"/>
      <w:marBottom w:val="0"/>
      <w:divBdr>
        <w:top w:val="none" w:sz="0" w:space="0" w:color="auto"/>
        <w:left w:val="none" w:sz="0" w:space="0" w:color="auto"/>
        <w:bottom w:val="none" w:sz="0" w:space="0" w:color="auto"/>
        <w:right w:val="none" w:sz="0" w:space="0" w:color="auto"/>
      </w:divBdr>
    </w:div>
    <w:div w:id="295992092">
      <w:marLeft w:val="0"/>
      <w:marRight w:val="0"/>
      <w:marTop w:val="180"/>
      <w:marBottom w:val="0"/>
      <w:divBdr>
        <w:top w:val="none" w:sz="0" w:space="0" w:color="auto"/>
        <w:left w:val="none" w:sz="0" w:space="0" w:color="auto"/>
        <w:bottom w:val="none" w:sz="0" w:space="0" w:color="auto"/>
        <w:right w:val="none" w:sz="0" w:space="0" w:color="auto"/>
      </w:divBdr>
    </w:div>
    <w:div w:id="299458186">
      <w:marLeft w:val="0"/>
      <w:marRight w:val="0"/>
      <w:marTop w:val="0"/>
      <w:marBottom w:val="0"/>
      <w:divBdr>
        <w:top w:val="none" w:sz="0" w:space="0" w:color="auto"/>
        <w:left w:val="none" w:sz="0" w:space="0" w:color="auto"/>
        <w:bottom w:val="none" w:sz="0" w:space="0" w:color="auto"/>
        <w:right w:val="none" w:sz="0" w:space="0" w:color="auto"/>
      </w:divBdr>
      <w:divsChild>
        <w:div w:id="1448964528">
          <w:marLeft w:val="0"/>
          <w:marRight w:val="0"/>
          <w:marTop w:val="0"/>
          <w:marBottom w:val="0"/>
          <w:divBdr>
            <w:top w:val="none" w:sz="0" w:space="0" w:color="auto"/>
            <w:left w:val="none" w:sz="0" w:space="0" w:color="auto"/>
            <w:bottom w:val="none" w:sz="0" w:space="0" w:color="auto"/>
            <w:right w:val="none" w:sz="0" w:space="0" w:color="auto"/>
          </w:divBdr>
          <w:divsChild>
            <w:div w:id="5167009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05480134">
      <w:marLeft w:val="0"/>
      <w:marRight w:val="0"/>
      <w:marTop w:val="180"/>
      <w:marBottom w:val="60"/>
      <w:divBdr>
        <w:top w:val="none" w:sz="0" w:space="0" w:color="auto"/>
        <w:left w:val="none" w:sz="0" w:space="0" w:color="auto"/>
        <w:bottom w:val="none" w:sz="0" w:space="0" w:color="auto"/>
        <w:right w:val="none" w:sz="0" w:space="0" w:color="auto"/>
      </w:divBdr>
    </w:div>
    <w:div w:id="308362577">
      <w:marLeft w:val="0"/>
      <w:marRight w:val="0"/>
      <w:marTop w:val="60"/>
      <w:marBottom w:val="0"/>
      <w:divBdr>
        <w:top w:val="none" w:sz="0" w:space="0" w:color="auto"/>
        <w:left w:val="none" w:sz="0" w:space="0" w:color="auto"/>
        <w:bottom w:val="none" w:sz="0" w:space="0" w:color="auto"/>
        <w:right w:val="none" w:sz="0" w:space="0" w:color="auto"/>
      </w:divBdr>
    </w:div>
    <w:div w:id="312563831">
      <w:marLeft w:val="0"/>
      <w:marRight w:val="0"/>
      <w:marTop w:val="180"/>
      <w:marBottom w:val="0"/>
      <w:divBdr>
        <w:top w:val="none" w:sz="0" w:space="0" w:color="auto"/>
        <w:left w:val="none" w:sz="0" w:space="0" w:color="auto"/>
        <w:bottom w:val="none" w:sz="0" w:space="0" w:color="auto"/>
        <w:right w:val="none" w:sz="0" w:space="0" w:color="auto"/>
      </w:divBdr>
    </w:div>
    <w:div w:id="315844665">
      <w:marLeft w:val="0"/>
      <w:marRight w:val="0"/>
      <w:marTop w:val="180"/>
      <w:marBottom w:val="0"/>
      <w:divBdr>
        <w:top w:val="none" w:sz="0" w:space="0" w:color="auto"/>
        <w:left w:val="none" w:sz="0" w:space="0" w:color="auto"/>
        <w:bottom w:val="none" w:sz="0" w:space="0" w:color="auto"/>
        <w:right w:val="none" w:sz="0" w:space="0" w:color="auto"/>
      </w:divBdr>
    </w:div>
    <w:div w:id="317461463">
      <w:marLeft w:val="0"/>
      <w:marRight w:val="0"/>
      <w:marTop w:val="180"/>
      <w:marBottom w:val="0"/>
      <w:divBdr>
        <w:top w:val="none" w:sz="0" w:space="0" w:color="auto"/>
        <w:left w:val="none" w:sz="0" w:space="0" w:color="auto"/>
        <w:bottom w:val="none" w:sz="0" w:space="0" w:color="auto"/>
        <w:right w:val="none" w:sz="0" w:space="0" w:color="auto"/>
      </w:divBdr>
    </w:div>
    <w:div w:id="319624327">
      <w:marLeft w:val="0"/>
      <w:marRight w:val="0"/>
      <w:marTop w:val="180"/>
      <w:marBottom w:val="0"/>
      <w:divBdr>
        <w:top w:val="none" w:sz="0" w:space="0" w:color="auto"/>
        <w:left w:val="none" w:sz="0" w:space="0" w:color="auto"/>
        <w:bottom w:val="none" w:sz="0" w:space="0" w:color="auto"/>
        <w:right w:val="none" w:sz="0" w:space="0" w:color="auto"/>
      </w:divBdr>
    </w:div>
    <w:div w:id="347676299">
      <w:marLeft w:val="0"/>
      <w:marRight w:val="0"/>
      <w:marTop w:val="180"/>
      <w:marBottom w:val="0"/>
      <w:divBdr>
        <w:top w:val="none" w:sz="0" w:space="0" w:color="auto"/>
        <w:left w:val="none" w:sz="0" w:space="0" w:color="auto"/>
        <w:bottom w:val="none" w:sz="0" w:space="0" w:color="auto"/>
        <w:right w:val="none" w:sz="0" w:space="0" w:color="auto"/>
      </w:divBdr>
    </w:div>
    <w:div w:id="351155625">
      <w:marLeft w:val="0"/>
      <w:marRight w:val="0"/>
      <w:marTop w:val="180"/>
      <w:marBottom w:val="0"/>
      <w:divBdr>
        <w:top w:val="none" w:sz="0" w:space="0" w:color="auto"/>
        <w:left w:val="none" w:sz="0" w:space="0" w:color="auto"/>
        <w:bottom w:val="none" w:sz="0" w:space="0" w:color="auto"/>
        <w:right w:val="none" w:sz="0" w:space="0" w:color="auto"/>
      </w:divBdr>
    </w:div>
    <w:div w:id="358897589">
      <w:marLeft w:val="0"/>
      <w:marRight w:val="0"/>
      <w:marTop w:val="180"/>
      <w:marBottom w:val="0"/>
      <w:divBdr>
        <w:top w:val="none" w:sz="0" w:space="0" w:color="auto"/>
        <w:left w:val="none" w:sz="0" w:space="0" w:color="auto"/>
        <w:bottom w:val="none" w:sz="0" w:space="0" w:color="auto"/>
        <w:right w:val="none" w:sz="0" w:space="0" w:color="auto"/>
      </w:divBdr>
    </w:div>
    <w:div w:id="360009966">
      <w:marLeft w:val="0"/>
      <w:marRight w:val="0"/>
      <w:marTop w:val="200"/>
      <w:marBottom w:val="0"/>
      <w:divBdr>
        <w:top w:val="none" w:sz="0" w:space="0" w:color="auto"/>
        <w:left w:val="none" w:sz="0" w:space="0" w:color="auto"/>
        <w:bottom w:val="none" w:sz="0" w:space="0" w:color="auto"/>
        <w:right w:val="none" w:sz="0" w:space="0" w:color="auto"/>
      </w:divBdr>
    </w:div>
    <w:div w:id="363871960">
      <w:marLeft w:val="0"/>
      <w:marRight w:val="0"/>
      <w:marTop w:val="0"/>
      <w:marBottom w:val="0"/>
      <w:divBdr>
        <w:top w:val="none" w:sz="0" w:space="0" w:color="auto"/>
        <w:left w:val="none" w:sz="0" w:space="0" w:color="auto"/>
        <w:bottom w:val="none" w:sz="0" w:space="0" w:color="auto"/>
        <w:right w:val="none" w:sz="0" w:space="0" w:color="auto"/>
      </w:divBdr>
      <w:divsChild>
        <w:div w:id="649864669">
          <w:marLeft w:val="0"/>
          <w:marRight w:val="0"/>
          <w:marTop w:val="180"/>
          <w:marBottom w:val="180"/>
          <w:divBdr>
            <w:top w:val="none" w:sz="0" w:space="0" w:color="auto"/>
            <w:left w:val="none" w:sz="0" w:space="0" w:color="auto"/>
            <w:bottom w:val="none" w:sz="0" w:space="0" w:color="auto"/>
            <w:right w:val="none" w:sz="0" w:space="0" w:color="auto"/>
          </w:divBdr>
        </w:div>
      </w:divsChild>
    </w:div>
    <w:div w:id="364521609">
      <w:marLeft w:val="0"/>
      <w:marRight w:val="0"/>
      <w:marTop w:val="120"/>
      <w:marBottom w:val="0"/>
      <w:divBdr>
        <w:top w:val="none" w:sz="0" w:space="0" w:color="auto"/>
        <w:left w:val="none" w:sz="0" w:space="0" w:color="auto"/>
        <w:bottom w:val="none" w:sz="0" w:space="0" w:color="auto"/>
        <w:right w:val="none" w:sz="0" w:space="0" w:color="auto"/>
      </w:divBdr>
    </w:div>
    <w:div w:id="368997576">
      <w:marLeft w:val="0"/>
      <w:marRight w:val="0"/>
      <w:marTop w:val="120"/>
      <w:marBottom w:val="20"/>
      <w:divBdr>
        <w:top w:val="none" w:sz="0" w:space="0" w:color="auto"/>
        <w:left w:val="none" w:sz="0" w:space="0" w:color="auto"/>
        <w:bottom w:val="none" w:sz="0" w:space="0" w:color="auto"/>
        <w:right w:val="none" w:sz="0" w:space="0" w:color="auto"/>
      </w:divBdr>
    </w:div>
    <w:div w:id="369308593">
      <w:marLeft w:val="0"/>
      <w:marRight w:val="0"/>
      <w:marTop w:val="240"/>
      <w:marBottom w:val="0"/>
      <w:divBdr>
        <w:top w:val="none" w:sz="0" w:space="0" w:color="auto"/>
        <w:left w:val="none" w:sz="0" w:space="0" w:color="auto"/>
        <w:bottom w:val="none" w:sz="0" w:space="0" w:color="auto"/>
        <w:right w:val="none" w:sz="0" w:space="0" w:color="auto"/>
      </w:divBdr>
    </w:div>
    <w:div w:id="370156644">
      <w:marLeft w:val="0"/>
      <w:marRight w:val="0"/>
      <w:marTop w:val="180"/>
      <w:marBottom w:val="0"/>
      <w:divBdr>
        <w:top w:val="none" w:sz="0" w:space="0" w:color="auto"/>
        <w:left w:val="none" w:sz="0" w:space="0" w:color="auto"/>
        <w:bottom w:val="none" w:sz="0" w:space="0" w:color="auto"/>
        <w:right w:val="none" w:sz="0" w:space="0" w:color="auto"/>
      </w:divBdr>
    </w:div>
    <w:div w:id="373970562">
      <w:marLeft w:val="0"/>
      <w:marRight w:val="0"/>
      <w:marTop w:val="180"/>
      <w:marBottom w:val="0"/>
      <w:divBdr>
        <w:top w:val="none" w:sz="0" w:space="0" w:color="auto"/>
        <w:left w:val="none" w:sz="0" w:space="0" w:color="auto"/>
        <w:bottom w:val="none" w:sz="0" w:space="0" w:color="auto"/>
        <w:right w:val="none" w:sz="0" w:space="0" w:color="auto"/>
      </w:divBdr>
    </w:div>
    <w:div w:id="381485116">
      <w:marLeft w:val="0"/>
      <w:marRight w:val="0"/>
      <w:marTop w:val="0"/>
      <w:marBottom w:val="0"/>
      <w:divBdr>
        <w:top w:val="none" w:sz="0" w:space="0" w:color="auto"/>
        <w:left w:val="none" w:sz="0" w:space="0" w:color="auto"/>
        <w:bottom w:val="none" w:sz="0" w:space="0" w:color="auto"/>
        <w:right w:val="none" w:sz="0" w:space="0" w:color="auto"/>
      </w:divBdr>
      <w:divsChild>
        <w:div w:id="71709363">
          <w:marLeft w:val="0"/>
          <w:marRight w:val="0"/>
          <w:marTop w:val="180"/>
          <w:marBottom w:val="0"/>
          <w:divBdr>
            <w:top w:val="none" w:sz="0" w:space="0" w:color="auto"/>
            <w:left w:val="none" w:sz="0" w:space="0" w:color="auto"/>
            <w:bottom w:val="none" w:sz="0" w:space="0" w:color="auto"/>
            <w:right w:val="none" w:sz="0" w:space="0" w:color="auto"/>
          </w:divBdr>
        </w:div>
      </w:divsChild>
    </w:div>
    <w:div w:id="382801178">
      <w:marLeft w:val="0"/>
      <w:marRight w:val="0"/>
      <w:marTop w:val="180"/>
      <w:marBottom w:val="0"/>
      <w:divBdr>
        <w:top w:val="none" w:sz="0" w:space="0" w:color="auto"/>
        <w:left w:val="none" w:sz="0" w:space="0" w:color="auto"/>
        <w:bottom w:val="none" w:sz="0" w:space="0" w:color="auto"/>
        <w:right w:val="none" w:sz="0" w:space="0" w:color="auto"/>
      </w:divBdr>
    </w:div>
    <w:div w:id="383602291">
      <w:marLeft w:val="0"/>
      <w:marRight w:val="0"/>
      <w:marTop w:val="0"/>
      <w:marBottom w:val="0"/>
      <w:divBdr>
        <w:top w:val="none" w:sz="0" w:space="0" w:color="auto"/>
        <w:left w:val="none" w:sz="0" w:space="0" w:color="auto"/>
        <w:bottom w:val="none" w:sz="0" w:space="0" w:color="auto"/>
        <w:right w:val="none" w:sz="0" w:space="0" w:color="auto"/>
      </w:divBdr>
      <w:divsChild>
        <w:div w:id="1952324470">
          <w:marLeft w:val="0"/>
          <w:marRight w:val="0"/>
          <w:marTop w:val="180"/>
          <w:marBottom w:val="180"/>
          <w:divBdr>
            <w:top w:val="none" w:sz="0" w:space="0" w:color="auto"/>
            <w:left w:val="none" w:sz="0" w:space="0" w:color="auto"/>
            <w:bottom w:val="none" w:sz="0" w:space="0" w:color="auto"/>
            <w:right w:val="none" w:sz="0" w:space="0" w:color="auto"/>
          </w:divBdr>
        </w:div>
      </w:divsChild>
    </w:div>
    <w:div w:id="384186543">
      <w:marLeft w:val="0"/>
      <w:marRight w:val="0"/>
      <w:marTop w:val="180"/>
      <w:marBottom w:val="0"/>
      <w:divBdr>
        <w:top w:val="none" w:sz="0" w:space="0" w:color="auto"/>
        <w:left w:val="none" w:sz="0" w:space="0" w:color="auto"/>
        <w:bottom w:val="none" w:sz="0" w:space="0" w:color="auto"/>
        <w:right w:val="none" w:sz="0" w:space="0" w:color="auto"/>
      </w:divBdr>
    </w:div>
    <w:div w:id="384640403">
      <w:marLeft w:val="0"/>
      <w:marRight w:val="0"/>
      <w:marTop w:val="180"/>
      <w:marBottom w:val="180"/>
      <w:divBdr>
        <w:top w:val="none" w:sz="0" w:space="0" w:color="auto"/>
        <w:left w:val="none" w:sz="0" w:space="0" w:color="auto"/>
        <w:bottom w:val="none" w:sz="0" w:space="0" w:color="auto"/>
        <w:right w:val="none" w:sz="0" w:space="0" w:color="auto"/>
      </w:divBdr>
    </w:div>
    <w:div w:id="384646640">
      <w:marLeft w:val="0"/>
      <w:marRight w:val="0"/>
      <w:marTop w:val="180"/>
      <w:marBottom w:val="0"/>
      <w:divBdr>
        <w:top w:val="none" w:sz="0" w:space="0" w:color="auto"/>
        <w:left w:val="none" w:sz="0" w:space="0" w:color="auto"/>
        <w:bottom w:val="none" w:sz="0" w:space="0" w:color="auto"/>
        <w:right w:val="none" w:sz="0" w:space="0" w:color="auto"/>
      </w:divBdr>
    </w:div>
    <w:div w:id="388923069">
      <w:marLeft w:val="0"/>
      <w:marRight w:val="0"/>
      <w:marTop w:val="180"/>
      <w:marBottom w:val="0"/>
      <w:divBdr>
        <w:top w:val="none" w:sz="0" w:space="0" w:color="auto"/>
        <w:left w:val="none" w:sz="0" w:space="0" w:color="auto"/>
        <w:bottom w:val="none" w:sz="0" w:space="0" w:color="auto"/>
        <w:right w:val="none" w:sz="0" w:space="0" w:color="auto"/>
      </w:divBdr>
    </w:div>
    <w:div w:id="391197764">
      <w:marLeft w:val="0"/>
      <w:marRight w:val="0"/>
      <w:marTop w:val="180"/>
      <w:marBottom w:val="0"/>
      <w:divBdr>
        <w:top w:val="none" w:sz="0" w:space="0" w:color="auto"/>
        <w:left w:val="none" w:sz="0" w:space="0" w:color="auto"/>
        <w:bottom w:val="none" w:sz="0" w:space="0" w:color="auto"/>
        <w:right w:val="none" w:sz="0" w:space="0" w:color="auto"/>
      </w:divBdr>
    </w:div>
    <w:div w:id="395669858">
      <w:marLeft w:val="0"/>
      <w:marRight w:val="0"/>
      <w:marTop w:val="120"/>
      <w:marBottom w:val="0"/>
      <w:divBdr>
        <w:top w:val="none" w:sz="0" w:space="0" w:color="auto"/>
        <w:left w:val="none" w:sz="0" w:space="0" w:color="auto"/>
        <w:bottom w:val="none" w:sz="0" w:space="0" w:color="auto"/>
        <w:right w:val="none" w:sz="0" w:space="0" w:color="auto"/>
      </w:divBdr>
      <w:divsChild>
        <w:div w:id="975720645">
          <w:marLeft w:val="0"/>
          <w:marRight w:val="0"/>
          <w:marTop w:val="0"/>
          <w:marBottom w:val="0"/>
          <w:divBdr>
            <w:top w:val="none" w:sz="0" w:space="0" w:color="auto"/>
            <w:left w:val="none" w:sz="0" w:space="0" w:color="auto"/>
            <w:bottom w:val="none" w:sz="0" w:space="0" w:color="auto"/>
            <w:right w:val="none" w:sz="0" w:space="0" w:color="auto"/>
          </w:divBdr>
        </w:div>
        <w:div w:id="1162312034">
          <w:marLeft w:val="0"/>
          <w:marRight w:val="0"/>
          <w:marTop w:val="60"/>
          <w:marBottom w:val="0"/>
          <w:divBdr>
            <w:top w:val="none" w:sz="0" w:space="0" w:color="auto"/>
            <w:left w:val="none" w:sz="0" w:space="0" w:color="auto"/>
            <w:bottom w:val="none" w:sz="0" w:space="0" w:color="auto"/>
            <w:right w:val="none" w:sz="0" w:space="0" w:color="auto"/>
          </w:divBdr>
        </w:div>
        <w:div w:id="1038777998">
          <w:marLeft w:val="0"/>
          <w:marRight w:val="0"/>
          <w:marTop w:val="60"/>
          <w:marBottom w:val="0"/>
          <w:divBdr>
            <w:top w:val="none" w:sz="0" w:space="0" w:color="auto"/>
            <w:left w:val="none" w:sz="0" w:space="0" w:color="auto"/>
            <w:bottom w:val="none" w:sz="0" w:space="0" w:color="auto"/>
            <w:right w:val="none" w:sz="0" w:space="0" w:color="auto"/>
          </w:divBdr>
        </w:div>
      </w:divsChild>
    </w:div>
    <w:div w:id="397246321">
      <w:marLeft w:val="0"/>
      <w:marRight w:val="0"/>
      <w:marTop w:val="180"/>
      <w:marBottom w:val="0"/>
      <w:divBdr>
        <w:top w:val="none" w:sz="0" w:space="0" w:color="auto"/>
        <w:left w:val="none" w:sz="0" w:space="0" w:color="auto"/>
        <w:bottom w:val="none" w:sz="0" w:space="0" w:color="auto"/>
        <w:right w:val="none" w:sz="0" w:space="0" w:color="auto"/>
      </w:divBdr>
    </w:div>
    <w:div w:id="398946980">
      <w:marLeft w:val="0"/>
      <w:marRight w:val="0"/>
      <w:marTop w:val="120"/>
      <w:marBottom w:val="0"/>
      <w:divBdr>
        <w:top w:val="none" w:sz="0" w:space="0" w:color="auto"/>
        <w:left w:val="none" w:sz="0" w:space="0" w:color="auto"/>
        <w:bottom w:val="none" w:sz="0" w:space="0" w:color="auto"/>
        <w:right w:val="none" w:sz="0" w:space="0" w:color="auto"/>
      </w:divBdr>
    </w:div>
    <w:div w:id="399139041">
      <w:marLeft w:val="0"/>
      <w:marRight w:val="0"/>
      <w:marTop w:val="0"/>
      <w:marBottom w:val="0"/>
      <w:divBdr>
        <w:top w:val="none" w:sz="0" w:space="0" w:color="auto"/>
        <w:left w:val="none" w:sz="0" w:space="0" w:color="auto"/>
        <w:bottom w:val="none" w:sz="0" w:space="0" w:color="auto"/>
        <w:right w:val="none" w:sz="0" w:space="0" w:color="auto"/>
      </w:divBdr>
      <w:divsChild>
        <w:div w:id="1531529832">
          <w:marLeft w:val="0"/>
          <w:marRight w:val="0"/>
          <w:marTop w:val="180"/>
          <w:marBottom w:val="180"/>
          <w:divBdr>
            <w:top w:val="none" w:sz="0" w:space="0" w:color="auto"/>
            <w:left w:val="none" w:sz="0" w:space="0" w:color="auto"/>
            <w:bottom w:val="none" w:sz="0" w:space="0" w:color="auto"/>
            <w:right w:val="none" w:sz="0" w:space="0" w:color="auto"/>
          </w:divBdr>
        </w:div>
      </w:divsChild>
    </w:div>
    <w:div w:id="401682491">
      <w:marLeft w:val="0"/>
      <w:marRight w:val="0"/>
      <w:marTop w:val="180"/>
      <w:marBottom w:val="0"/>
      <w:divBdr>
        <w:top w:val="none" w:sz="0" w:space="0" w:color="auto"/>
        <w:left w:val="none" w:sz="0" w:space="0" w:color="auto"/>
        <w:bottom w:val="none" w:sz="0" w:space="0" w:color="auto"/>
        <w:right w:val="none" w:sz="0" w:space="0" w:color="auto"/>
      </w:divBdr>
    </w:div>
    <w:div w:id="401832784">
      <w:marLeft w:val="0"/>
      <w:marRight w:val="0"/>
      <w:marTop w:val="0"/>
      <w:marBottom w:val="0"/>
      <w:divBdr>
        <w:top w:val="none" w:sz="0" w:space="0" w:color="auto"/>
        <w:left w:val="none" w:sz="0" w:space="0" w:color="auto"/>
        <w:bottom w:val="none" w:sz="0" w:space="0" w:color="auto"/>
        <w:right w:val="none" w:sz="0" w:space="0" w:color="auto"/>
      </w:divBdr>
      <w:divsChild>
        <w:div w:id="896865295">
          <w:marLeft w:val="0"/>
          <w:marRight w:val="0"/>
          <w:marTop w:val="0"/>
          <w:marBottom w:val="0"/>
          <w:divBdr>
            <w:top w:val="none" w:sz="0" w:space="0" w:color="auto"/>
            <w:left w:val="none" w:sz="0" w:space="0" w:color="auto"/>
            <w:bottom w:val="none" w:sz="0" w:space="0" w:color="auto"/>
            <w:right w:val="none" w:sz="0" w:space="0" w:color="auto"/>
          </w:divBdr>
          <w:divsChild>
            <w:div w:id="5338151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02410509">
      <w:marLeft w:val="0"/>
      <w:marRight w:val="0"/>
      <w:marTop w:val="180"/>
      <w:marBottom w:val="0"/>
      <w:divBdr>
        <w:top w:val="none" w:sz="0" w:space="0" w:color="auto"/>
        <w:left w:val="none" w:sz="0" w:space="0" w:color="auto"/>
        <w:bottom w:val="none" w:sz="0" w:space="0" w:color="auto"/>
        <w:right w:val="none" w:sz="0" w:space="0" w:color="auto"/>
      </w:divBdr>
    </w:div>
    <w:div w:id="415633535">
      <w:marLeft w:val="0"/>
      <w:marRight w:val="0"/>
      <w:marTop w:val="180"/>
      <w:marBottom w:val="0"/>
      <w:divBdr>
        <w:top w:val="none" w:sz="0" w:space="0" w:color="auto"/>
        <w:left w:val="none" w:sz="0" w:space="0" w:color="auto"/>
        <w:bottom w:val="none" w:sz="0" w:space="0" w:color="auto"/>
        <w:right w:val="none" w:sz="0" w:space="0" w:color="auto"/>
      </w:divBdr>
    </w:div>
    <w:div w:id="419567944">
      <w:marLeft w:val="0"/>
      <w:marRight w:val="0"/>
      <w:marTop w:val="180"/>
      <w:marBottom w:val="0"/>
      <w:divBdr>
        <w:top w:val="none" w:sz="0" w:space="0" w:color="auto"/>
        <w:left w:val="none" w:sz="0" w:space="0" w:color="auto"/>
        <w:bottom w:val="none" w:sz="0" w:space="0" w:color="auto"/>
        <w:right w:val="none" w:sz="0" w:space="0" w:color="auto"/>
      </w:divBdr>
    </w:div>
    <w:div w:id="421147082">
      <w:marLeft w:val="0"/>
      <w:marRight w:val="0"/>
      <w:marTop w:val="60"/>
      <w:marBottom w:val="120"/>
      <w:divBdr>
        <w:top w:val="none" w:sz="0" w:space="0" w:color="auto"/>
        <w:left w:val="none" w:sz="0" w:space="0" w:color="auto"/>
        <w:bottom w:val="none" w:sz="0" w:space="0" w:color="auto"/>
        <w:right w:val="none" w:sz="0" w:space="0" w:color="auto"/>
      </w:divBdr>
    </w:div>
    <w:div w:id="424805704">
      <w:marLeft w:val="0"/>
      <w:marRight w:val="0"/>
      <w:marTop w:val="180"/>
      <w:marBottom w:val="0"/>
      <w:divBdr>
        <w:top w:val="none" w:sz="0" w:space="0" w:color="auto"/>
        <w:left w:val="none" w:sz="0" w:space="0" w:color="auto"/>
        <w:bottom w:val="none" w:sz="0" w:space="0" w:color="auto"/>
        <w:right w:val="none" w:sz="0" w:space="0" w:color="auto"/>
      </w:divBdr>
    </w:div>
    <w:div w:id="425342733">
      <w:marLeft w:val="0"/>
      <w:marRight w:val="0"/>
      <w:marTop w:val="180"/>
      <w:marBottom w:val="0"/>
      <w:divBdr>
        <w:top w:val="none" w:sz="0" w:space="0" w:color="auto"/>
        <w:left w:val="none" w:sz="0" w:space="0" w:color="auto"/>
        <w:bottom w:val="none" w:sz="0" w:space="0" w:color="auto"/>
        <w:right w:val="none" w:sz="0" w:space="0" w:color="auto"/>
      </w:divBdr>
      <w:divsChild>
        <w:div w:id="48311536">
          <w:marLeft w:val="0"/>
          <w:marRight w:val="0"/>
          <w:marTop w:val="0"/>
          <w:marBottom w:val="0"/>
          <w:divBdr>
            <w:top w:val="none" w:sz="0" w:space="0" w:color="auto"/>
            <w:left w:val="none" w:sz="0" w:space="0" w:color="auto"/>
            <w:bottom w:val="none" w:sz="0" w:space="0" w:color="auto"/>
            <w:right w:val="none" w:sz="0" w:space="0" w:color="auto"/>
          </w:divBdr>
        </w:div>
        <w:div w:id="182256769">
          <w:marLeft w:val="0"/>
          <w:marRight w:val="0"/>
          <w:marTop w:val="0"/>
          <w:marBottom w:val="0"/>
          <w:divBdr>
            <w:top w:val="none" w:sz="0" w:space="0" w:color="auto"/>
            <w:left w:val="none" w:sz="0" w:space="0" w:color="auto"/>
            <w:bottom w:val="none" w:sz="0" w:space="0" w:color="auto"/>
            <w:right w:val="none" w:sz="0" w:space="0" w:color="auto"/>
          </w:divBdr>
        </w:div>
        <w:div w:id="1666931559">
          <w:marLeft w:val="0"/>
          <w:marRight w:val="0"/>
          <w:marTop w:val="0"/>
          <w:marBottom w:val="0"/>
          <w:divBdr>
            <w:top w:val="none" w:sz="0" w:space="0" w:color="auto"/>
            <w:left w:val="none" w:sz="0" w:space="0" w:color="auto"/>
            <w:bottom w:val="none" w:sz="0" w:space="0" w:color="auto"/>
            <w:right w:val="none" w:sz="0" w:space="0" w:color="auto"/>
          </w:divBdr>
        </w:div>
        <w:div w:id="721565533">
          <w:marLeft w:val="0"/>
          <w:marRight w:val="0"/>
          <w:marTop w:val="0"/>
          <w:marBottom w:val="0"/>
          <w:divBdr>
            <w:top w:val="none" w:sz="0" w:space="0" w:color="auto"/>
            <w:left w:val="none" w:sz="0" w:space="0" w:color="auto"/>
            <w:bottom w:val="none" w:sz="0" w:space="0" w:color="auto"/>
            <w:right w:val="none" w:sz="0" w:space="0" w:color="auto"/>
          </w:divBdr>
        </w:div>
      </w:divsChild>
    </w:div>
    <w:div w:id="428160262">
      <w:marLeft w:val="0"/>
      <w:marRight w:val="0"/>
      <w:marTop w:val="180"/>
      <w:marBottom w:val="0"/>
      <w:divBdr>
        <w:top w:val="none" w:sz="0" w:space="0" w:color="auto"/>
        <w:left w:val="none" w:sz="0" w:space="0" w:color="auto"/>
        <w:bottom w:val="none" w:sz="0" w:space="0" w:color="auto"/>
        <w:right w:val="none" w:sz="0" w:space="0" w:color="auto"/>
      </w:divBdr>
    </w:div>
    <w:div w:id="432828277">
      <w:marLeft w:val="0"/>
      <w:marRight w:val="0"/>
      <w:marTop w:val="240"/>
      <w:marBottom w:val="180"/>
      <w:divBdr>
        <w:top w:val="none" w:sz="0" w:space="0" w:color="auto"/>
        <w:left w:val="none" w:sz="0" w:space="0" w:color="auto"/>
        <w:bottom w:val="none" w:sz="0" w:space="0" w:color="auto"/>
        <w:right w:val="none" w:sz="0" w:space="0" w:color="auto"/>
      </w:divBdr>
    </w:div>
    <w:div w:id="433481597">
      <w:marLeft w:val="0"/>
      <w:marRight w:val="0"/>
      <w:marTop w:val="0"/>
      <w:marBottom w:val="120"/>
      <w:divBdr>
        <w:top w:val="none" w:sz="0" w:space="0" w:color="auto"/>
        <w:left w:val="none" w:sz="0" w:space="0" w:color="auto"/>
        <w:bottom w:val="none" w:sz="0" w:space="0" w:color="auto"/>
        <w:right w:val="none" w:sz="0" w:space="0" w:color="auto"/>
      </w:divBdr>
    </w:div>
    <w:div w:id="435910942">
      <w:marLeft w:val="0"/>
      <w:marRight w:val="0"/>
      <w:marTop w:val="180"/>
      <w:marBottom w:val="0"/>
      <w:divBdr>
        <w:top w:val="none" w:sz="0" w:space="0" w:color="auto"/>
        <w:left w:val="none" w:sz="0" w:space="0" w:color="auto"/>
        <w:bottom w:val="none" w:sz="0" w:space="0" w:color="auto"/>
        <w:right w:val="none" w:sz="0" w:space="0" w:color="auto"/>
      </w:divBdr>
    </w:div>
    <w:div w:id="439305224">
      <w:marLeft w:val="0"/>
      <w:marRight w:val="0"/>
      <w:marTop w:val="180"/>
      <w:marBottom w:val="0"/>
      <w:divBdr>
        <w:top w:val="none" w:sz="0" w:space="0" w:color="auto"/>
        <w:left w:val="none" w:sz="0" w:space="0" w:color="auto"/>
        <w:bottom w:val="none" w:sz="0" w:space="0" w:color="auto"/>
        <w:right w:val="none" w:sz="0" w:space="0" w:color="auto"/>
      </w:divBdr>
    </w:div>
    <w:div w:id="453403916">
      <w:marLeft w:val="0"/>
      <w:marRight w:val="0"/>
      <w:marTop w:val="120"/>
      <w:marBottom w:val="0"/>
      <w:divBdr>
        <w:top w:val="none" w:sz="0" w:space="0" w:color="auto"/>
        <w:left w:val="none" w:sz="0" w:space="0" w:color="auto"/>
        <w:bottom w:val="none" w:sz="0" w:space="0" w:color="auto"/>
        <w:right w:val="none" w:sz="0" w:space="0" w:color="auto"/>
      </w:divBdr>
    </w:div>
    <w:div w:id="467479968">
      <w:marLeft w:val="0"/>
      <w:marRight w:val="0"/>
      <w:marTop w:val="240"/>
      <w:marBottom w:val="0"/>
      <w:divBdr>
        <w:top w:val="none" w:sz="0" w:space="0" w:color="auto"/>
        <w:left w:val="none" w:sz="0" w:space="0" w:color="auto"/>
        <w:bottom w:val="none" w:sz="0" w:space="0" w:color="auto"/>
        <w:right w:val="none" w:sz="0" w:space="0" w:color="auto"/>
      </w:divBdr>
    </w:div>
    <w:div w:id="467744422">
      <w:marLeft w:val="0"/>
      <w:marRight w:val="0"/>
      <w:marTop w:val="0"/>
      <w:marBottom w:val="0"/>
      <w:divBdr>
        <w:top w:val="none" w:sz="0" w:space="0" w:color="auto"/>
        <w:left w:val="none" w:sz="0" w:space="0" w:color="auto"/>
        <w:bottom w:val="none" w:sz="0" w:space="0" w:color="auto"/>
        <w:right w:val="none" w:sz="0" w:space="0" w:color="auto"/>
      </w:divBdr>
      <w:divsChild>
        <w:div w:id="2087678064">
          <w:marLeft w:val="0"/>
          <w:marRight w:val="0"/>
          <w:marTop w:val="0"/>
          <w:marBottom w:val="0"/>
          <w:divBdr>
            <w:top w:val="none" w:sz="0" w:space="0" w:color="auto"/>
            <w:left w:val="none" w:sz="0" w:space="0" w:color="auto"/>
            <w:bottom w:val="none" w:sz="0" w:space="0" w:color="auto"/>
            <w:right w:val="none" w:sz="0" w:space="0" w:color="auto"/>
          </w:divBdr>
          <w:divsChild>
            <w:div w:id="143381947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67746799">
      <w:marLeft w:val="0"/>
      <w:marRight w:val="0"/>
      <w:marTop w:val="180"/>
      <w:marBottom w:val="0"/>
      <w:divBdr>
        <w:top w:val="none" w:sz="0" w:space="0" w:color="auto"/>
        <w:left w:val="none" w:sz="0" w:space="0" w:color="auto"/>
        <w:bottom w:val="none" w:sz="0" w:space="0" w:color="auto"/>
        <w:right w:val="none" w:sz="0" w:space="0" w:color="auto"/>
      </w:divBdr>
    </w:div>
    <w:div w:id="469057970">
      <w:marLeft w:val="0"/>
      <w:marRight w:val="0"/>
      <w:marTop w:val="130"/>
      <w:marBottom w:val="0"/>
      <w:divBdr>
        <w:top w:val="none" w:sz="0" w:space="0" w:color="auto"/>
        <w:left w:val="none" w:sz="0" w:space="0" w:color="auto"/>
        <w:bottom w:val="none" w:sz="0" w:space="0" w:color="auto"/>
        <w:right w:val="none" w:sz="0" w:space="0" w:color="auto"/>
      </w:divBdr>
    </w:div>
    <w:div w:id="469903820">
      <w:marLeft w:val="0"/>
      <w:marRight w:val="0"/>
      <w:marTop w:val="180"/>
      <w:marBottom w:val="20"/>
      <w:divBdr>
        <w:top w:val="none" w:sz="0" w:space="0" w:color="auto"/>
        <w:left w:val="none" w:sz="0" w:space="0" w:color="auto"/>
        <w:bottom w:val="none" w:sz="0" w:space="0" w:color="auto"/>
        <w:right w:val="none" w:sz="0" w:space="0" w:color="auto"/>
      </w:divBdr>
      <w:divsChild>
        <w:div w:id="130560887">
          <w:marLeft w:val="0"/>
          <w:marRight w:val="0"/>
          <w:marTop w:val="0"/>
          <w:marBottom w:val="0"/>
          <w:divBdr>
            <w:top w:val="none" w:sz="0" w:space="0" w:color="auto"/>
            <w:left w:val="none" w:sz="0" w:space="0" w:color="auto"/>
            <w:bottom w:val="none" w:sz="0" w:space="0" w:color="auto"/>
            <w:right w:val="none" w:sz="0" w:space="0" w:color="auto"/>
          </w:divBdr>
        </w:div>
      </w:divsChild>
    </w:div>
    <w:div w:id="470094802">
      <w:marLeft w:val="0"/>
      <w:marRight w:val="0"/>
      <w:marTop w:val="0"/>
      <w:marBottom w:val="0"/>
      <w:divBdr>
        <w:top w:val="none" w:sz="0" w:space="0" w:color="auto"/>
        <w:left w:val="none" w:sz="0" w:space="0" w:color="auto"/>
        <w:bottom w:val="none" w:sz="0" w:space="0" w:color="auto"/>
        <w:right w:val="none" w:sz="0" w:space="0" w:color="auto"/>
      </w:divBdr>
      <w:divsChild>
        <w:div w:id="882446918">
          <w:marLeft w:val="0"/>
          <w:marRight w:val="0"/>
          <w:marTop w:val="180"/>
          <w:marBottom w:val="180"/>
          <w:divBdr>
            <w:top w:val="none" w:sz="0" w:space="0" w:color="auto"/>
            <w:left w:val="none" w:sz="0" w:space="0" w:color="auto"/>
            <w:bottom w:val="none" w:sz="0" w:space="0" w:color="auto"/>
            <w:right w:val="none" w:sz="0" w:space="0" w:color="auto"/>
          </w:divBdr>
        </w:div>
      </w:divsChild>
    </w:div>
    <w:div w:id="473378878">
      <w:marLeft w:val="0"/>
      <w:marRight w:val="0"/>
      <w:marTop w:val="0"/>
      <w:marBottom w:val="0"/>
      <w:divBdr>
        <w:top w:val="none" w:sz="0" w:space="0" w:color="auto"/>
        <w:left w:val="none" w:sz="0" w:space="0" w:color="auto"/>
        <w:bottom w:val="none" w:sz="0" w:space="0" w:color="auto"/>
        <w:right w:val="none" w:sz="0" w:space="0" w:color="auto"/>
      </w:divBdr>
      <w:divsChild>
        <w:div w:id="2059696871">
          <w:marLeft w:val="0"/>
          <w:marRight w:val="0"/>
          <w:marTop w:val="0"/>
          <w:marBottom w:val="0"/>
          <w:divBdr>
            <w:top w:val="none" w:sz="0" w:space="0" w:color="auto"/>
            <w:left w:val="none" w:sz="0" w:space="0" w:color="auto"/>
            <w:bottom w:val="none" w:sz="0" w:space="0" w:color="auto"/>
            <w:right w:val="none" w:sz="0" w:space="0" w:color="auto"/>
          </w:divBdr>
          <w:divsChild>
            <w:div w:id="192252239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79881898">
      <w:marLeft w:val="0"/>
      <w:marRight w:val="0"/>
      <w:marTop w:val="180"/>
      <w:marBottom w:val="0"/>
      <w:divBdr>
        <w:top w:val="none" w:sz="0" w:space="0" w:color="auto"/>
        <w:left w:val="none" w:sz="0" w:space="0" w:color="auto"/>
        <w:bottom w:val="none" w:sz="0" w:space="0" w:color="auto"/>
        <w:right w:val="none" w:sz="0" w:space="0" w:color="auto"/>
      </w:divBdr>
    </w:div>
    <w:div w:id="479930519">
      <w:marLeft w:val="0"/>
      <w:marRight w:val="0"/>
      <w:marTop w:val="180"/>
      <w:marBottom w:val="0"/>
      <w:divBdr>
        <w:top w:val="none" w:sz="0" w:space="0" w:color="auto"/>
        <w:left w:val="none" w:sz="0" w:space="0" w:color="auto"/>
        <w:bottom w:val="none" w:sz="0" w:space="0" w:color="auto"/>
        <w:right w:val="none" w:sz="0" w:space="0" w:color="auto"/>
      </w:divBdr>
    </w:div>
    <w:div w:id="487795582">
      <w:marLeft w:val="0"/>
      <w:marRight w:val="0"/>
      <w:marTop w:val="180"/>
      <w:marBottom w:val="0"/>
      <w:divBdr>
        <w:top w:val="none" w:sz="0" w:space="0" w:color="auto"/>
        <w:left w:val="none" w:sz="0" w:space="0" w:color="auto"/>
        <w:bottom w:val="none" w:sz="0" w:space="0" w:color="auto"/>
        <w:right w:val="none" w:sz="0" w:space="0" w:color="auto"/>
      </w:divBdr>
    </w:div>
    <w:div w:id="488055907">
      <w:marLeft w:val="0"/>
      <w:marRight w:val="0"/>
      <w:marTop w:val="0"/>
      <w:marBottom w:val="0"/>
      <w:divBdr>
        <w:top w:val="none" w:sz="0" w:space="0" w:color="auto"/>
        <w:left w:val="none" w:sz="0" w:space="0" w:color="auto"/>
        <w:bottom w:val="none" w:sz="0" w:space="0" w:color="auto"/>
        <w:right w:val="none" w:sz="0" w:space="0" w:color="auto"/>
      </w:divBdr>
      <w:divsChild>
        <w:div w:id="2099446001">
          <w:marLeft w:val="0"/>
          <w:marRight w:val="0"/>
          <w:marTop w:val="180"/>
          <w:marBottom w:val="180"/>
          <w:divBdr>
            <w:top w:val="none" w:sz="0" w:space="0" w:color="auto"/>
            <w:left w:val="none" w:sz="0" w:space="0" w:color="auto"/>
            <w:bottom w:val="none" w:sz="0" w:space="0" w:color="auto"/>
            <w:right w:val="none" w:sz="0" w:space="0" w:color="auto"/>
          </w:divBdr>
        </w:div>
      </w:divsChild>
    </w:div>
    <w:div w:id="490290186">
      <w:marLeft w:val="0"/>
      <w:marRight w:val="0"/>
      <w:marTop w:val="180"/>
      <w:marBottom w:val="0"/>
      <w:divBdr>
        <w:top w:val="none" w:sz="0" w:space="0" w:color="auto"/>
        <w:left w:val="none" w:sz="0" w:space="0" w:color="auto"/>
        <w:bottom w:val="none" w:sz="0" w:space="0" w:color="auto"/>
        <w:right w:val="none" w:sz="0" w:space="0" w:color="auto"/>
      </w:divBdr>
    </w:div>
    <w:div w:id="491457734">
      <w:marLeft w:val="0"/>
      <w:marRight w:val="0"/>
      <w:marTop w:val="0"/>
      <w:marBottom w:val="0"/>
      <w:divBdr>
        <w:top w:val="none" w:sz="0" w:space="0" w:color="auto"/>
        <w:left w:val="none" w:sz="0" w:space="0" w:color="auto"/>
        <w:bottom w:val="none" w:sz="0" w:space="0" w:color="auto"/>
        <w:right w:val="none" w:sz="0" w:space="0" w:color="auto"/>
      </w:divBdr>
      <w:divsChild>
        <w:div w:id="959147410">
          <w:marLeft w:val="0"/>
          <w:marRight w:val="0"/>
          <w:marTop w:val="180"/>
          <w:marBottom w:val="180"/>
          <w:divBdr>
            <w:top w:val="none" w:sz="0" w:space="0" w:color="auto"/>
            <w:left w:val="none" w:sz="0" w:space="0" w:color="auto"/>
            <w:bottom w:val="none" w:sz="0" w:space="0" w:color="auto"/>
            <w:right w:val="none" w:sz="0" w:space="0" w:color="auto"/>
          </w:divBdr>
        </w:div>
      </w:divsChild>
    </w:div>
    <w:div w:id="495078963">
      <w:marLeft w:val="0"/>
      <w:marRight w:val="0"/>
      <w:marTop w:val="60"/>
      <w:marBottom w:val="0"/>
      <w:divBdr>
        <w:top w:val="none" w:sz="0" w:space="0" w:color="auto"/>
        <w:left w:val="none" w:sz="0" w:space="0" w:color="auto"/>
        <w:bottom w:val="none" w:sz="0" w:space="0" w:color="auto"/>
        <w:right w:val="none" w:sz="0" w:space="0" w:color="auto"/>
      </w:divBdr>
    </w:div>
    <w:div w:id="495150552">
      <w:marLeft w:val="0"/>
      <w:marRight w:val="0"/>
      <w:marTop w:val="60"/>
      <w:marBottom w:val="60"/>
      <w:divBdr>
        <w:top w:val="none" w:sz="0" w:space="0" w:color="auto"/>
        <w:left w:val="none" w:sz="0" w:space="0" w:color="auto"/>
        <w:bottom w:val="none" w:sz="0" w:space="0" w:color="auto"/>
        <w:right w:val="none" w:sz="0" w:space="0" w:color="auto"/>
      </w:divBdr>
    </w:div>
    <w:div w:id="495263264">
      <w:marLeft w:val="0"/>
      <w:marRight w:val="0"/>
      <w:marTop w:val="180"/>
      <w:marBottom w:val="0"/>
      <w:divBdr>
        <w:top w:val="none" w:sz="0" w:space="0" w:color="auto"/>
        <w:left w:val="none" w:sz="0" w:space="0" w:color="auto"/>
        <w:bottom w:val="none" w:sz="0" w:space="0" w:color="auto"/>
        <w:right w:val="none" w:sz="0" w:space="0" w:color="auto"/>
      </w:divBdr>
    </w:div>
    <w:div w:id="500433615">
      <w:marLeft w:val="0"/>
      <w:marRight w:val="0"/>
      <w:marTop w:val="180"/>
      <w:marBottom w:val="0"/>
      <w:divBdr>
        <w:top w:val="none" w:sz="0" w:space="0" w:color="auto"/>
        <w:left w:val="none" w:sz="0" w:space="0" w:color="auto"/>
        <w:bottom w:val="none" w:sz="0" w:space="0" w:color="auto"/>
        <w:right w:val="none" w:sz="0" w:space="0" w:color="auto"/>
      </w:divBdr>
    </w:div>
    <w:div w:id="502551017">
      <w:marLeft w:val="0"/>
      <w:marRight w:val="0"/>
      <w:marTop w:val="180"/>
      <w:marBottom w:val="0"/>
      <w:divBdr>
        <w:top w:val="none" w:sz="0" w:space="0" w:color="auto"/>
        <w:left w:val="none" w:sz="0" w:space="0" w:color="auto"/>
        <w:bottom w:val="none" w:sz="0" w:space="0" w:color="auto"/>
        <w:right w:val="none" w:sz="0" w:space="0" w:color="auto"/>
      </w:divBdr>
    </w:div>
    <w:div w:id="506869203">
      <w:marLeft w:val="0"/>
      <w:marRight w:val="0"/>
      <w:marTop w:val="0"/>
      <w:marBottom w:val="0"/>
      <w:divBdr>
        <w:top w:val="none" w:sz="0" w:space="0" w:color="auto"/>
        <w:left w:val="none" w:sz="0" w:space="0" w:color="auto"/>
        <w:bottom w:val="none" w:sz="0" w:space="0" w:color="auto"/>
        <w:right w:val="none" w:sz="0" w:space="0" w:color="auto"/>
      </w:divBdr>
    </w:div>
    <w:div w:id="514851056">
      <w:marLeft w:val="0"/>
      <w:marRight w:val="0"/>
      <w:marTop w:val="0"/>
      <w:marBottom w:val="0"/>
      <w:divBdr>
        <w:top w:val="none" w:sz="0" w:space="0" w:color="auto"/>
        <w:left w:val="none" w:sz="0" w:space="0" w:color="auto"/>
        <w:bottom w:val="none" w:sz="0" w:space="0" w:color="auto"/>
        <w:right w:val="none" w:sz="0" w:space="0" w:color="auto"/>
      </w:divBdr>
      <w:divsChild>
        <w:div w:id="2059164506">
          <w:marLeft w:val="0"/>
          <w:marRight w:val="0"/>
          <w:marTop w:val="0"/>
          <w:marBottom w:val="0"/>
          <w:divBdr>
            <w:top w:val="none" w:sz="0" w:space="0" w:color="auto"/>
            <w:left w:val="none" w:sz="0" w:space="0" w:color="auto"/>
            <w:bottom w:val="none" w:sz="0" w:space="0" w:color="auto"/>
            <w:right w:val="none" w:sz="0" w:space="0" w:color="auto"/>
          </w:divBdr>
          <w:divsChild>
            <w:div w:id="12858490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15731455">
      <w:marLeft w:val="0"/>
      <w:marRight w:val="0"/>
      <w:marTop w:val="180"/>
      <w:marBottom w:val="0"/>
      <w:divBdr>
        <w:top w:val="none" w:sz="0" w:space="0" w:color="auto"/>
        <w:left w:val="none" w:sz="0" w:space="0" w:color="auto"/>
        <w:bottom w:val="none" w:sz="0" w:space="0" w:color="auto"/>
        <w:right w:val="none" w:sz="0" w:space="0" w:color="auto"/>
      </w:divBdr>
    </w:div>
    <w:div w:id="518085228">
      <w:marLeft w:val="0"/>
      <w:marRight w:val="0"/>
      <w:marTop w:val="180"/>
      <w:marBottom w:val="0"/>
      <w:divBdr>
        <w:top w:val="none" w:sz="0" w:space="0" w:color="auto"/>
        <w:left w:val="none" w:sz="0" w:space="0" w:color="auto"/>
        <w:bottom w:val="none" w:sz="0" w:space="0" w:color="auto"/>
        <w:right w:val="none" w:sz="0" w:space="0" w:color="auto"/>
      </w:divBdr>
    </w:div>
    <w:div w:id="518936599">
      <w:marLeft w:val="0"/>
      <w:marRight w:val="0"/>
      <w:marTop w:val="60"/>
      <w:marBottom w:val="0"/>
      <w:divBdr>
        <w:top w:val="none" w:sz="0" w:space="0" w:color="auto"/>
        <w:left w:val="none" w:sz="0" w:space="0" w:color="auto"/>
        <w:bottom w:val="none" w:sz="0" w:space="0" w:color="auto"/>
        <w:right w:val="none" w:sz="0" w:space="0" w:color="auto"/>
      </w:divBdr>
    </w:div>
    <w:div w:id="525295771">
      <w:marLeft w:val="0"/>
      <w:marRight w:val="0"/>
      <w:marTop w:val="200"/>
      <w:marBottom w:val="0"/>
      <w:divBdr>
        <w:top w:val="none" w:sz="0" w:space="0" w:color="auto"/>
        <w:left w:val="none" w:sz="0" w:space="0" w:color="auto"/>
        <w:bottom w:val="none" w:sz="0" w:space="0" w:color="auto"/>
        <w:right w:val="none" w:sz="0" w:space="0" w:color="auto"/>
      </w:divBdr>
    </w:div>
    <w:div w:id="543640528">
      <w:marLeft w:val="0"/>
      <w:marRight w:val="0"/>
      <w:marTop w:val="180"/>
      <w:marBottom w:val="0"/>
      <w:divBdr>
        <w:top w:val="none" w:sz="0" w:space="0" w:color="auto"/>
        <w:left w:val="none" w:sz="0" w:space="0" w:color="auto"/>
        <w:bottom w:val="none" w:sz="0" w:space="0" w:color="auto"/>
        <w:right w:val="none" w:sz="0" w:space="0" w:color="auto"/>
      </w:divBdr>
    </w:div>
    <w:div w:id="543955500">
      <w:marLeft w:val="0"/>
      <w:marRight w:val="0"/>
      <w:marTop w:val="240"/>
      <w:marBottom w:val="0"/>
      <w:divBdr>
        <w:top w:val="none" w:sz="0" w:space="0" w:color="auto"/>
        <w:left w:val="none" w:sz="0" w:space="0" w:color="auto"/>
        <w:bottom w:val="none" w:sz="0" w:space="0" w:color="auto"/>
        <w:right w:val="none" w:sz="0" w:space="0" w:color="auto"/>
      </w:divBdr>
    </w:div>
    <w:div w:id="544877358">
      <w:marLeft w:val="0"/>
      <w:marRight w:val="0"/>
      <w:marTop w:val="0"/>
      <w:marBottom w:val="0"/>
      <w:divBdr>
        <w:top w:val="none" w:sz="0" w:space="0" w:color="auto"/>
        <w:left w:val="none" w:sz="0" w:space="0" w:color="auto"/>
        <w:bottom w:val="none" w:sz="0" w:space="0" w:color="auto"/>
        <w:right w:val="none" w:sz="0" w:space="0" w:color="auto"/>
      </w:divBdr>
      <w:divsChild>
        <w:div w:id="518936760">
          <w:marLeft w:val="0"/>
          <w:marRight w:val="0"/>
          <w:marTop w:val="0"/>
          <w:marBottom w:val="0"/>
          <w:divBdr>
            <w:top w:val="none" w:sz="0" w:space="0" w:color="auto"/>
            <w:left w:val="none" w:sz="0" w:space="0" w:color="auto"/>
            <w:bottom w:val="none" w:sz="0" w:space="0" w:color="auto"/>
            <w:right w:val="none" w:sz="0" w:space="0" w:color="auto"/>
          </w:divBdr>
          <w:divsChild>
            <w:div w:id="14425345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45992575">
      <w:marLeft w:val="0"/>
      <w:marRight w:val="0"/>
      <w:marTop w:val="60"/>
      <w:marBottom w:val="0"/>
      <w:divBdr>
        <w:top w:val="none" w:sz="0" w:space="0" w:color="auto"/>
        <w:left w:val="none" w:sz="0" w:space="0" w:color="auto"/>
        <w:bottom w:val="none" w:sz="0" w:space="0" w:color="auto"/>
        <w:right w:val="none" w:sz="0" w:space="0" w:color="auto"/>
      </w:divBdr>
    </w:div>
    <w:div w:id="547034271">
      <w:marLeft w:val="0"/>
      <w:marRight w:val="0"/>
      <w:marTop w:val="180"/>
      <w:marBottom w:val="0"/>
      <w:divBdr>
        <w:top w:val="none" w:sz="0" w:space="0" w:color="auto"/>
        <w:left w:val="none" w:sz="0" w:space="0" w:color="auto"/>
        <w:bottom w:val="none" w:sz="0" w:space="0" w:color="auto"/>
        <w:right w:val="none" w:sz="0" w:space="0" w:color="auto"/>
      </w:divBdr>
    </w:div>
    <w:div w:id="548490488">
      <w:marLeft w:val="0"/>
      <w:marRight w:val="0"/>
      <w:marTop w:val="0"/>
      <w:marBottom w:val="0"/>
      <w:divBdr>
        <w:top w:val="none" w:sz="0" w:space="0" w:color="auto"/>
        <w:left w:val="none" w:sz="0" w:space="0" w:color="auto"/>
        <w:bottom w:val="none" w:sz="0" w:space="0" w:color="auto"/>
        <w:right w:val="none" w:sz="0" w:space="0" w:color="auto"/>
      </w:divBdr>
      <w:divsChild>
        <w:div w:id="1944410379">
          <w:marLeft w:val="0"/>
          <w:marRight w:val="0"/>
          <w:marTop w:val="180"/>
          <w:marBottom w:val="180"/>
          <w:divBdr>
            <w:top w:val="none" w:sz="0" w:space="0" w:color="auto"/>
            <w:left w:val="none" w:sz="0" w:space="0" w:color="auto"/>
            <w:bottom w:val="none" w:sz="0" w:space="0" w:color="auto"/>
            <w:right w:val="none" w:sz="0" w:space="0" w:color="auto"/>
          </w:divBdr>
        </w:div>
      </w:divsChild>
    </w:div>
    <w:div w:id="552280140">
      <w:marLeft w:val="0"/>
      <w:marRight w:val="0"/>
      <w:marTop w:val="180"/>
      <w:marBottom w:val="0"/>
      <w:divBdr>
        <w:top w:val="none" w:sz="0" w:space="0" w:color="auto"/>
        <w:left w:val="none" w:sz="0" w:space="0" w:color="auto"/>
        <w:bottom w:val="none" w:sz="0" w:space="0" w:color="auto"/>
        <w:right w:val="none" w:sz="0" w:space="0" w:color="auto"/>
      </w:divBdr>
    </w:div>
    <w:div w:id="552617280">
      <w:marLeft w:val="0"/>
      <w:marRight w:val="0"/>
      <w:marTop w:val="60"/>
      <w:marBottom w:val="0"/>
      <w:divBdr>
        <w:top w:val="none" w:sz="0" w:space="0" w:color="auto"/>
        <w:left w:val="none" w:sz="0" w:space="0" w:color="auto"/>
        <w:bottom w:val="none" w:sz="0" w:space="0" w:color="auto"/>
        <w:right w:val="none" w:sz="0" w:space="0" w:color="auto"/>
      </w:divBdr>
    </w:div>
    <w:div w:id="556012041">
      <w:marLeft w:val="0"/>
      <w:marRight w:val="0"/>
      <w:marTop w:val="180"/>
      <w:marBottom w:val="0"/>
      <w:divBdr>
        <w:top w:val="none" w:sz="0" w:space="0" w:color="auto"/>
        <w:left w:val="none" w:sz="0" w:space="0" w:color="auto"/>
        <w:bottom w:val="none" w:sz="0" w:space="0" w:color="auto"/>
        <w:right w:val="none" w:sz="0" w:space="0" w:color="auto"/>
      </w:divBdr>
    </w:div>
    <w:div w:id="556358969">
      <w:marLeft w:val="0"/>
      <w:marRight w:val="0"/>
      <w:marTop w:val="180"/>
      <w:marBottom w:val="0"/>
      <w:divBdr>
        <w:top w:val="none" w:sz="0" w:space="0" w:color="auto"/>
        <w:left w:val="none" w:sz="0" w:space="0" w:color="auto"/>
        <w:bottom w:val="none" w:sz="0" w:space="0" w:color="auto"/>
        <w:right w:val="none" w:sz="0" w:space="0" w:color="auto"/>
      </w:divBdr>
    </w:div>
    <w:div w:id="556474005">
      <w:marLeft w:val="0"/>
      <w:marRight w:val="0"/>
      <w:marTop w:val="180"/>
      <w:marBottom w:val="0"/>
      <w:divBdr>
        <w:top w:val="none" w:sz="0" w:space="0" w:color="auto"/>
        <w:left w:val="none" w:sz="0" w:space="0" w:color="auto"/>
        <w:bottom w:val="none" w:sz="0" w:space="0" w:color="auto"/>
        <w:right w:val="none" w:sz="0" w:space="0" w:color="auto"/>
      </w:divBdr>
    </w:div>
    <w:div w:id="560016844">
      <w:marLeft w:val="0"/>
      <w:marRight w:val="0"/>
      <w:marTop w:val="180"/>
      <w:marBottom w:val="0"/>
      <w:divBdr>
        <w:top w:val="none" w:sz="0" w:space="0" w:color="auto"/>
        <w:left w:val="none" w:sz="0" w:space="0" w:color="auto"/>
        <w:bottom w:val="none" w:sz="0" w:space="0" w:color="auto"/>
        <w:right w:val="none" w:sz="0" w:space="0" w:color="auto"/>
      </w:divBdr>
    </w:div>
    <w:div w:id="563486154">
      <w:marLeft w:val="0"/>
      <w:marRight w:val="0"/>
      <w:marTop w:val="120"/>
      <w:marBottom w:val="0"/>
      <w:divBdr>
        <w:top w:val="none" w:sz="0" w:space="0" w:color="auto"/>
        <w:left w:val="none" w:sz="0" w:space="0" w:color="auto"/>
        <w:bottom w:val="none" w:sz="0" w:space="0" w:color="auto"/>
        <w:right w:val="none" w:sz="0" w:space="0" w:color="auto"/>
      </w:divBdr>
    </w:div>
    <w:div w:id="565729639">
      <w:marLeft w:val="0"/>
      <w:marRight w:val="0"/>
      <w:marTop w:val="120"/>
      <w:marBottom w:val="0"/>
      <w:divBdr>
        <w:top w:val="none" w:sz="0" w:space="0" w:color="auto"/>
        <w:left w:val="none" w:sz="0" w:space="0" w:color="auto"/>
        <w:bottom w:val="none" w:sz="0" w:space="0" w:color="auto"/>
        <w:right w:val="none" w:sz="0" w:space="0" w:color="auto"/>
      </w:divBdr>
    </w:div>
    <w:div w:id="573398382">
      <w:marLeft w:val="0"/>
      <w:marRight w:val="0"/>
      <w:marTop w:val="180"/>
      <w:marBottom w:val="0"/>
      <w:divBdr>
        <w:top w:val="none" w:sz="0" w:space="0" w:color="auto"/>
        <w:left w:val="none" w:sz="0" w:space="0" w:color="auto"/>
        <w:bottom w:val="none" w:sz="0" w:space="0" w:color="auto"/>
        <w:right w:val="none" w:sz="0" w:space="0" w:color="auto"/>
      </w:divBdr>
    </w:div>
    <w:div w:id="579826801">
      <w:marLeft w:val="0"/>
      <w:marRight w:val="0"/>
      <w:marTop w:val="140"/>
      <w:marBottom w:val="60"/>
      <w:divBdr>
        <w:top w:val="none" w:sz="0" w:space="0" w:color="auto"/>
        <w:left w:val="none" w:sz="0" w:space="0" w:color="auto"/>
        <w:bottom w:val="none" w:sz="0" w:space="0" w:color="auto"/>
        <w:right w:val="none" w:sz="0" w:space="0" w:color="auto"/>
      </w:divBdr>
    </w:div>
    <w:div w:id="585114623">
      <w:marLeft w:val="0"/>
      <w:marRight w:val="0"/>
      <w:marTop w:val="180"/>
      <w:marBottom w:val="0"/>
      <w:divBdr>
        <w:top w:val="none" w:sz="0" w:space="0" w:color="auto"/>
        <w:left w:val="none" w:sz="0" w:space="0" w:color="auto"/>
        <w:bottom w:val="none" w:sz="0" w:space="0" w:color="auto"/>
        <w:right w:val="none" w:sz="0" w:space="0" w:color="auto"/>
      </w:divBdr>
    </w:div>
    <w:div w:id="589511306">
      <w:marLeft w:val="0"/>
      <w:marRight w:val="0"/>
      <w:marTop w:val="0"/>
      <w:marBottom w:val="0"/>
      <w:divBdr>
        <w:top w:val="none" w:sz="0" w:space="0" w:color="auto"/>
        <w:left w:val="none" w:sz="0" w:space="0" w:color="auto"/>
        <w:bottom w:val="none" w:sz="0" w:space="0" w:color="auto"/>
        <w:right w:val="none" w:sz="0" w:space="0" w:color="auto"/>
      </w:divBdr>
      <w:divsChild>
        <w:div w:id="60521401">
          <w:marLeft w:val="0"/>
          <w:marRight w:val="0"/>
          <w:marTop w:val="0"/>
          <w:marBottom w:val="0"/>
          <w:divBdr>
            <w:top w:val="none" w:sz="0" w:space="0" w:color="auto"/>
            <w:left w:val="none" w:sz="0" w:space="0" w:color="auto"/>
            <w:bottom w:val="none" w:sz="0" w:space="0" w:color="auto"/>
            <w:right w:val="none" w:sz="0" w:space="0" w:color="auto"/>
          </w:divBdr>
          <w:divsChild>
            <w:div w:id="132647484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92665034">
      <w:marLeft w:val="0"/>
      <w:marRight w:val="0"/>
      <w:marTop w:val="180"/>
      <w:marBottom w:val="0"/>
      <w:divBdr>
        <w:top w:val="none" w:sz="0" w:space="0" w:color="auto"/>
        <w:left w:val="none" w:sz="0" w:space="0" w:color="auto"/>
        <w:bottom w:val="none" w:sz="0" w:space="0" w:color="auto"/>
        <w:right w:val="none" w:sz="0" w:space="0" w:color="auto"/>
      </w:divBdr>
    </w:div>
    <w:div w:id="594217786">
      <w:marLeft w:val="0"/>
      <w:marRight w:val="0"/>
      <w:marTop w:val="180"/>
      <w:marBottom w:val="0"/>
      <w:divBdr>
        <w:top w:val="none" w:sz="0" w:space="0" w:color="auto"/>
        <w:left w:val="none" w:sz="0" w:space="0" w:color="auto"/>
        <w:bottom w:val="none" w:sz="0" w:space="0" w:color="auto"/>
        <w:right w:val="none" w:sz="0" w:space="0" w:color="auto"/>
      </w:divBdr>
    </w:div>
    <w:div w:id="596132840">
      <w:marLeft w:val="0"/>
      <w:marRight w:val="0"/>
      <w:marTop w:val="180"/>
      <w:marBottom w:val="0"/>
      <w:divBdr>
        <w:top w:val="none" w:sz="0" w:space="0" w:color="auto"/>
        <w:left w:val="none" w:sz="0" w:space="0" w:color="auto"/>
        <w:bottom w:val="none" w:sz="0" w:space="0" w:color="auto"/>
        <w:right w:val="none" w:sz="0" w:space="0" w:color="auto"/>
      </w:divBdr>
    </w:div>
    <w:div w:id="597057440">
      <w:marLeft w:val="0"/>
      <w:marRight w:val="0"/>
      <w:marTop w:val="0"/>
      <w:marBottom w:val="0"/>
      <w:divBdr>
        <w:top w:val="none" w:sz="0" w:space="0" w:color="auto"/>
        <w:left w:val="none" w:sz="0" w:space="0" w:color="auto"/>
        <w:bottom w:val="none" w:sz="0" w:space="0" w:color="auto"/>
        <w:right w:val="none" w:sz="0" w:space="0" w:color="auto"/>
      </w:divBdr>
      <w:divsChild>
        <w:div w:id="2069692634">
          <w:marLeft w:val="0"/>
          <w:marRight w:val="0"/>
          <w:marTop w:val="180"/>
          <w:marBottom w:val="180"/>
          <w:divBdr>
            <w:top w:val="none" w:sz="0" w:space="0" w:color="auto"/>
            <w:left w:val="none" w:sz="0" w:space="0" w:color="auto"/>
            <w:bottom w:val="none" w:sz="0" w:space="0" w:color="auto"/>
            <w:right w:val="none" w:sz="0" w:space="0" w:color="auto"/>
          </w:divBdr>
        </w:div>
      </w:divsChild>
    </w:div>
    <w:div w:id="608321859">
      <w:marLeft w:val="0"/>
      <w:marRight w:val="0"/>
      <w:marTop w:val="180"/>
      <w:marBottom w:val="20"/>
      <w:divBdr>
        <w:top w:val="none" w:sz="0" w:space="0" w:color="auto"/>
        <w:left w:val="none" w:sz="0" w:space="0" w:color="auto"/>
        <w:bottom w:val="none" w:sz="0" w:space="0" w:color="auto"/>
        <w:right w:val="none" w:sz="0" w:space="0" w:color="auto"/>
      </w:divBdr>
    </w:div>
    <w:div w:id="617369991">
      <w:marLeft w:val="0"/>
      <w:marRight w:val="0"/>
      <w:marTop w:val="120"/>
      <w:marBottom w:val="0"/>
      <w:divBdr>
        <w:top w:val="none" w:sz="0" w:space="0" w:color="auto"/>
        <w:left w:val="none" w:sz="0" w:space="0" w:color="auto"/>
        <w:bottom w:val="none" w:sz="0" w:space="0" w:color="auto"/>
        <w:right w:val="none" w:sz="0" w:space="0" w:color="auto"/>
      </w:divBdr>
    </w:div>
    <w:div w:id="618683908">
      <w:marLeft w:val="0"/>
      <w:marRight w:val="0"/>
      <w:marTop w:val="180"/>
      <w:marBottom w:val="0"/>
      <w:divBdr>
        <w:top w:val="none" w:sz="0" w:space="0" w:color="auto"/>
        <w:left w:val="none" w:sz="0" w:space="0" w:color="auto"/>
        <w:bottom w:val="none" w:sz="0" w:space="0" w:color="auto"/>
        <w:right w:val="none" w:sz="0" w:space="0" w:color="auto"/>
      </w:divBdr>
    </w:div>
    <w:div w:id="623081900">
      <w:marLeft w:val="0"/>
      <w:marRight w:val="0"/>
      <w:marTop w:val="60"/>
      <w:marBottom w:val="0"/>
      <w:divBdr>
        <w:top w:val="none" w:sz="0" w:space="0" w:color="auto"/>
        <w:left w:val="none" w:sz="0" w:space="0" w:color="auto"/>
        <w:bottom w:val="none" w:sz="0" w:space="0" w:color="auto"/>
        <w:right w:val="none" w:sz="0" w:space="0" w:color="auto"/>
      </w:divBdr>
    </w:div>
    <w:div w:id="633028577">
      <w:marLeft w:val="0"/>
      <w:marRight w:val="0"/>
      <w:marTop w:val="180"/>
      <w:marBottom w:val="0"/>
      <w:divBdr>
        <w:top w:val="none" w:sz="0" w:space="0" w:color="auto"/>
        <w:left w:val="none" w:sz="0" w:space="0" w:color="auto"/>
        <w:bottom w:val="none" w:sz="0" w:space="0" w:color="auto"/>
        <w:right w:val="none" w:sz="0" w:space="0" w:color="auto"/>
      </w:divBdr>
    </w:div>
    <w:div w:id="640428956">
      <w:marLeft w:val="0"/>
      <w:marRight w:val="0"/>
      <w:marTop w:val="180"/>
      <w:marBottom w:val="0"/>
      <w:divBdr>
        <w:top w:val="none" w:sz="0" w:space="0" w:color="auto"/>
        <w:left w:val="none" w:sz="0" w:space="0" w:color="auto"/>
        <w:bottom w:val="none" w:sz="0" w:space="0" w:color="auto"/>
        <w:right w:val="none" w:sz="0" w:space="0" w:color="auto"/>
      </w:divBdr>
    </w:div>
    <w:div w:id="643582000">
      <w:marLeft w:val="0"/>
      <w:marRight w:val="0"/>
      <w:marTop w:val="180"/>
      <w:marBottom w:val="0"/>
      <w:divBdr>
        <w:top w:val="none" w:sz="0" w:space="0" w:color="auto"/>
        <w:left w:val="none" w:sz="0" w:space="0" w:color="auto"/>
        <w:bottom w:val="none" w:sz="0" w:space="0" w:color="auto"/>
        <w:right w:val="none" w:sz="0" w:space="0" w:color="auto"/>
      </w:divBdr>
    </w:div>
    <w:div w:id="645626441">
      <w:marLeft w:val="0"/>
      <w:marRight w:val="0"/>
      <w:marTop w:val="180"/>
      <w:marBottom w:val="0"/>
      <w:divBdr>
        <w:top w:val="none" w:sz="0" w:space="0" w:color="auto"/>
        <w:left w:val="none" w:sz="0" w:space="0" w:color="auto"/>
        <w:bottom w:val="none" w:sz="0" w:space="0" w:color="auto"/>
        <w:right w:val="none" w:sz="0" w:space="0" w:color="auto"/>
      </w:divBdr>
    </w:div>
    <w:div w:id="650132922">
      <w:marLeft w:val="0"/>
      <w:marRight w:val="0"/>
      <w:marTop w:val="0"/>
      <w:marBottom w:val="0"/>
      <w:divBdr>
        <w:top w:val="none" w:sz="0" w:space="0" w:color="auto"/>
        <w:left w:val="none" w:sz="0" w:space="0" w:color="auto"/>
        <w:bottom w:val="none" w:sz="0" w:space="0" w:color="auto"/>
        <w:right w:val="none" w:sz="0" w:space="0" w:color="auto"/>
      </w:divBdr>
      <w:divsChild>
        <w:div w:id="187063867">
          <w:marLeft w:val="0"/>
          <w:marRight w:val="0"/>
          <w:marTop w:val="180"/>
          <w:marBottom w:val="180"/>
          <w:divBdr>
            <w:top w:val="none" w:sz="0" w:space="0" w:color="auto"/>
            <w:left w:val="none" w:sz="0" w:space="0" w:color="auto"/>
            <w:bottom w:val="none" w:sz="0" w:space="0" w:color="auto"/>
            <w:right w:val="none" w:sz="0" w:space="0" w:color="auto"/>
          </w:divBdr>
        </w:div>
      </w:divsChild>
    </w:div>
    <w:div w:id="652485791">
      <w:marLeft w:val="0"/>
      <w:marRight w:val="0"/>
      <w:marTop w:val="180"/>
      <w:marBottom w:val="0"/>
      <w:divBdr>
        <w:top w:val="none" w:sz="0" w:space="0" w:color="auto"/>
        <w:left w:val="none" w:sz="0" w:space="0" w:color="auto"/>
        <w:bottom w:val="none" w:sz="0" w:space="0" w:color="auto"/>
        <w:right w:val="none" w:sz="0" w:space="0" w:color="auto"/>
      </w:divBdr>
    </w:div>
    <w:div w:id="654646659">
      <w:marLeft w:val="0"/>
      <w:marRight w:val="0"/>
      <w:marTop w:val="180"/>
      <w:marBottom w:val="0"/>
      <w:divBdr>
        <w:top w:val="none" w:sz="0" w:space="0" w:color="auto"/>
        <w:left w:val="none" w:sz="0" w:space="0" w:color="auto"/>
        <w:bottom w:val="none" w:sz="0" w:space="0" w:color="auto"/>
        <w:right w:val="none" w:sz="0" w:space="0" w:color="auto"/>
      </w:divBdr>
    </w:div>
    <w:div w:id="658652544">
      <w:marLeft w:val="0"/>
      <w:marRight w:val="0"/>
      <w:marTop w:val="120"/>
      <w:marBottom w:val="0"/>
      <w:divBdr>
        <w:top w:val="none" w:sz="0" w:space="0" w:color="auto"/>
        <w:left w:val="none" w:sz="0" w:space="0" w:color="auto"/>
        <w:bottom w:val="none" w:sz="0" w:space="0" w:color="auto"/>
        <w:right w:val="none" w:sz="0" w:space="0" w:color="auto"/>
      </w:divBdr>
    </w:div>
    <w:div w:id="658731766">
      <w:marLeft w:val="0"/>
      <w:marRight w:val="0"/>
      <w:marTop w:val="0"/>
      <w:marBottom w:val="0"/>
      <w:divBdr>
        <w:top w:val="none" w:sz="0" w:space="0" w:color="auto"/>
        <w:left w:val="none" w:sz="0" w:space="0" w:color="auto"/>
        <w:bottom w:val="none" w:sz="0" w:space="0" w:color="auto"/>
        <w:right w:val="none" w:sz="0" w:space="0" w:color="auto"/>
      </w:divBdr>
      <w:divsChild>
        <w:div w:id="1991246542">
          <w:marLeft w:val="0"/>
          <w:marRight w:val="0"/>
          <w:marTop w:val="0"/>
          <w:marBottom w:val="0"/>
          <w:divBdr>
            <w:top w:val="none" w:sz="0" w:space="0" w:color="auto"/>
            <w:left w:val="none" w:sz="0" w:space="0" w:color="auto"/>
            <w:bottom w:val="none" w:sz="0" w:space="0" w:color="auto"/>
            <w:right w:val="none" w:sz="0" w:space="0" w:color="auto"/>
          </w:divBdr>
          <w:divsChild>
            <w:div w:id="10240884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59383204">
      <w:marLeft w:val="0"/>
      <w:marRight w:val="0"/>
      <w:marTop w:val="180"/>
      <w:marBottom w:val="0"/>
      <w:divBdr>
        <w:top w:val="none" w:sz="0" w:space="0" w:color="auto"/>
        <w:left w:val="none" w:sz="0" w:space="0" w:color="auto"/>
        <w:bottom w:val="none" w:sz="0" w:space="0" w:color="auto"/>
        <w:right w:val="none" w:sz="0" w:space="0" w:color="auto"/>
      </w:divBdr>
    </w:div>
    <w:div w:id="659504080">
      <w:marLeft w:val="0"/>
      <w:marRight w:val="0"/>
      <w:marTop w:val="180"/>
      <w:marBottom w:val="60"/>
      <w:divBdr>
        <w:top w:val="none" w:sz="0" w:space="0" w:color="auto"/>
        <w:left w:val="none" w:sz="0" w:space="0" w:color="auto"/>
        <w:bottom w:val="none" w:sz="0" w:space="0" w:color="auto"/>
        <w:right w:val="none" w:sz="0" w:space="0" w:color="auto"/>
      </w:divBdr>
    </w:div>
    <w:div w:id="664362538">
      <w:marLeft w:val="0"/>
      <w:marRight w:val="0"/>
      <w:marTop w:val="180"/>
      <w:marBottom w:val="0"/>
      <w:divBdr>
        <w:top w:val="none" w:sz="0" w:space="0" w:color="auto"/>
        <w:left w:val="none" w:sz="0" w:space="0" w:color="auto"/>
        <w:bottom w:val="none" w:sz="0" w:space="0" w:color="auto"/>
        <w:right w:val="none" w:sz="0" w:space="0" w:color="auto"/>
      </w:divBdr>
    </w:div>
    <w:div w:id="664940294">
      <w:marLeft w:val="0"/>
      <w:marRight w:val="0"/>
      <w:marTop w:val="120"/>
      <w:marBottom w:val="0"/>
      <w:divBdr>
        <w:top w:val="none" w:sz="0" w:space="0" w:color="auto"/>
        <w:left w:val="none" w:sz="0" w:space="0" w:color="auto"/>
        <w:bottom w:val="none" w:sz="0" w:space="0" w:color="auto"/>
        <w:right w:val="none" w:sz="0" w:space="0" w:color="auto"/>
      </w:divBdr>
    </w:div>
    <w:div w:id="665475136">
      <w:marLeft w:val="0"/>
      <w:marRight w:val="0"/>
      <w:marTop w:val="120"/>
      <w:marBottom w:val="120"/>
      <w:divBdr>
        <w:top w:val="none" w:sz="0" w:space="0" w:color="auto"/>
        <w:left w:val="none" w:sz="0" w:space="0" w:color="auto"/>
        <w:bottom w:val="none" w:sz="0" w:space="0" w:color="auto"/>
        <w:right w:val="none" w:sz="0" w:space="0" w:color="auto"/>
      </w:divBdr>
    </w:div>
    <w:div w:id="666983583">
      <w:marLeft w:val="0"/>
      <w:marRight w:val="0"/>
      <w:marTop w:val="180"/>
      <w:marBottom w:val="0"/>
      <w:divBdr>
        <w:top w:val="none" w:sz="0" w:space="0" w:color="auto"/>
        <w:left w:val="none" w:sz="0" w:space="0" w:color="auto"/>
        <w:bottom w:val="none" w:sz="0" w:space="0" w:color="auto"/>
        <w:right w:val="none" w:sz="0" w:space="0" w:color="auto"/>
      </w:divBdr>
    </w:div>
    <w:div w:id="670646910">
      <w:marLeft w:val="0"/>
      <w:marRight w:val="0"/>
      <w:marTop w:val="120"/>
      <w:marBottom w:val="120"/>
      <w:divBdr>
        <w:top w:val="none" w:sz="0" w:space="0" w:color="auto"/>
        <w:left w:val="none" w:sz="0" w:space="0" w:color="auto"/>
        <w:bottom w:val="none" w:sz="0" w:space="0" w:color="auto"/>
        <w:right w:val="none" w:sz="0" w:space="0" w:color="auto"/>
      </w:divBdr>
      <w:divsChild>
        <w:div w:id="14885399">
          <w:marLeft w:val="0"/>
          <w:marRight w:val="0"/>
          <w:marTop w:val="0"/>
          <w:marBottom w:val="0"/>
          <w:divBdr>
            <w:top w:val="none" w:sz="0" w:space="0" w:color="auto"/>
            <w:left w:val="none" w:sz="0" w:space="0" w:color="auto"/>
            <w:bottom w:val="none" w:sz="0" w:space="0" w:color="auto"/>
            <w:right w:val="none" w:sz="0" w:space="0" w:color="auto"/>
          </w:divBdr>
        </w:div>
        <w:div w:id="1335261345">
          <w:marLeft w:val="0"/>
          <w:marRight w:val="0"/>
          <w:marTop w:val="0"/>
          <w:marBottom w:val="0"/>
          <w:divBdr>
            <w:top w:val="none" w:sz="0" w:space="0" w:color="auto"/>
            <w:left w:val="none" w:sz="0" w:space="0" w:color="auto"/>
            <w:bottom w:val="none" w:sz="0" w:space="0" w:color="auto"/>
            <w:right w:val="none" w:sz="0" w:space="0" w:color="auto"/>
          </w:divBdr>
        </w:div>
        <w:div w:id="1555194903">
          <w:marLeft w:val="0"/>
          <w:marRight w:val="0"/>
          <w:marTop w:val="0"/>
          <w:marBottom w:val="0"/>
          <w:divBdr>
            <w:top w:val="none" w:sz="0" w:space="0" w:color="auto"/>
            <w:left w:val="none" w:sz="0" w:space="0" w:color="auto"/>
            <w:bottom w:val="none" w:sz="0" w:space="0" w:color="auto"/>
            <w:right w:val="none" w:sz="0" w:space="0" w:color="auto"/>
          </w:divBdr>
        </w:div>
        <w:div w:id="2006325504">
          <w:marLeft w:val="0"/>
          <w:marRight w:val="0"/>
          <w:marTop w:val="0"/>
          <w:marBottom w:val="0"/>
          <w:divBdr>
            <w:top w:val="none" w:sz="0" w:space="0" w:color="auto"/>
            <w:left w:val="none" w:sz="0" w:space="0" w:color="auto"/>
            <w:bottom w:val="none" w:sz="0" w:space="0" w:color="auto"/>
            <w:right w:val="none" w:sz="0" w:space="0" w:color="auto"/>
          </w:divBdr>
        </w:div>
      </w:divsChild>
    </w:div>
    <w:div w:id="670835096">
      <w:marLeft w:val="0"/>
      <w:marRight w:val="0"/>
      <w:marTop w:val="180"/>
      <w:marBottom w:val="0"/>
      <w:divBdr>
        <w:top w:val="none" w:sz="0" w:space="0" w:color="auto"/>
        <w:left w:val="none" w:sz="0" w:space="0" w:color="auto"/>
        <w:bottom w:val="none" w:sz="0" w:space="0" w:color="auto"/>
        <w:right w:val="none" w:sz="0" w:space="0" w:color="auto"/>
      </w:divBdr>
    </w:div>
    <w:div w:id="671762780">
      <w:marLeft w:val="0"/>
      <w:marRight w:val="0"/>
      <w:marTop w:val="180"/>
      <w:marBottom w:val="0"/>
      <w:divBdr>
        <w:top w:val="none" w:sz="0" w:space="0" w:color="auto"/>
        <w:left w:val="none" w:sz="0" w:space="0" w:color="auto"/>
        <w:bottom w:val="none" w:sz="0" w:space="0" w:color="auto"/>
        <w:right w:val="none" w:sz="0" w:space="0" w:color="auto"/>
      </w:divBdr>
    </w:div>
    <w:div w:id="672031367">
      <w:marLeft w:val="0"/>
      <w:marRight w:val="0"/>
      <w:marTop w:val="180"/>
      <w:marBottom w:val="0"/>
      <w:divBdr>
        <w:top w:val="none" w:sz="0" w:space="0" w:color="auto"/>
        <w:left w:val="none" w:sz="0" w:space="0" w:color="auto"/>
        <w:bottom w:val="none" w:sz="0" w:space="0" w:color="auto"/>
        <w:right w:val="none" w:sz="0" w:space="0" w:color="auto"/>
      </w:divBdr>
    </w:div>
    <w:div w:id="672103885">
      <w:marLeft w:val="0"/>
      <w:marRight w:val="0"/>
      <w:marTop w:val="60"/>
      <w:marBottom w:val="120"/>
      <w:divBdr>
        <w:top w:val="none" w:sz="0" w:space="0" w:color="auto"/>
        <w:left w:val="none" w:sz="0" w:space="0" w:color="auto"/>
        <w:bottom w:val="none" w:sz="0" w:space="0" w:color="auto"/>
        <w:right w:val="none" w:sz="0" w:space="0" w:color="auto"/>
      </w:divBdr>
    </w:div>
    <w:div w:id="674914794">
      <w:marLeft w:val="0"/>
      <w:marRight w:val="0"/>
      <w:marTop w:val="180"/>
      <w:marBottom w:val="0"/>
      <w:divBdr>
        <w:top w:val="none" w:sz="0" w:space="0" w:color="auto"/>
        <w:left w:val="none" w:sz="0" w:space="0" w:color="auto"/>
        <w:bottom w:val="none" w:sz="0" w:space="0" w:color="auto"/>
        <w:right w:val="none" w:sz="0" w:space="0" w:color="auto"/>
      </w:divBdr>
    </w:div>
    <w:div w:id="677535609">
      <w:marLeft w:val="0"/>
      <w:marRight w:val="0"/>
      <w:marTop w:val="240"/>
      <w:marBottom w:val="0"/>
      <w:divBdr>
        <w:top w:val="none" w:sz="0" w:space="0" w:color="auto"/>
        <w:left w:val="none" w:sz="0" w:space="0" w:color="auto"/>
        <w:bottom w:val="none" w:sz="0" w:space="0" w:color="auto"/>
        <w:right w:val="none" w:sz="0" w:space="0" w:color="auto"/>
      </w:divBdr>
    </w:div>
    <w:div w:id="680864086">
      <w:marLeft w:val="0"/>
      <w:marRight w:val="0"/>
      <w:marTop w:val="0"/>
      <w:marBottom w:val="0"/>
      <w:divBdr>
        <w:top w:val="none" w:sz="0" w:space="0" w:color="auto"/>
        <w:left w:val="none" w:sz="0" w:space="0" w:color="auto"/>
        <w:bottom w:val="none" w:sz="0" w:space="0" w:color="auto"/>
        <w:right w:val="none" w:sz="0" w:space="0" w:color="auto"/>
      </w:divBdr>
      <w:divsChild>
        <w:div w:id="1184397331">
          <w:marLeft w:val="0"/>
          <w:marRight w:val="0"/>
          <w:marTop w:val="0"/>
          <w:marBottom w:val="0"/>
          <w:divBdr>
            <w:top w:val="none" w:sz="0" w:space="0" w:color="auto"/>
            <w:left w:val="none" w:sz="0" w:space="0" w:color="auto"/>
            <w:bottom w:val="none" w:sz="0" w:space="0" w:color="auto"/>
            <w:right w:val="none" w:sz="0" w:space="0" w:color="auto"/>
          </w:divBdr>
          <w:divsChild>
            <w:div w:id="143932522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81013585">
      <w:marLeft w:val="0"/>
      <w:marRight w:val="0"/>
      <w:marTop w:val="60"/>
      <w:marBottom w:val="0"/>
      <w:divBdr>
        <w:top w:val="none" w:sz="0" w:space="0" w:color="auto"/>
        <w:left w:val="none" w:sz="0" w:space="0" w:color="auto"/>
        <w:bottom w:val="none" w:sz="0" w:space="0" w:color="auto"/>
        <w:right w:val="none" w:sz="0" w:space="0" w:color="auto"/>
      </w:divBdr>
    </w:div>
    <w:div w:id="682165065">
      <w:marLeft w:val="0"/>
      <w:marRight w:val="0"/>
      <w:marTop w:val="240"/>
      <w:marBottom w:val="0"/>
      <w:divBdr>
        <w:top w:val="none" w:sz="0" w:space="0" w:color="auto"/>
        <w:left w:val="none" w:sz="0" w:space="0" w:color="auto"/>
        <w:bottom w:val="none" w:sz="0" w:space="0" w:color="auto"/>
        <w:right w:val="none" w:sz="0" w:space="0" w:color="auto"/>
      </w:divBdr>
    </w:div>
    <w:div w:id="684941785">
      <w:marLeft w:val="0"/>
      <w:marRight w:val="0"/>
      <w:marTop w:val="180"/>
      <w:marBottom w:val="0"/>
      <w:divBdr>
        <w:top w:val="none" w:sz="0" w:space="0" w:color="auto"/>
        <w:left w:val="none" w:sz="0" w:space="0" w:color="auto"/>
        <w:bottom w:val="none" w:sz="0" w:space="0" w:color="auto"/>
        <w:right w:val="none" w:sz="0" w:space="0" w:color="auto"/>
      </w:divBdr>
    </w:div>
    <w:div w:id="685789915">
      <w:marLeft w:val="0"/>
      <w:marRight w:val="0"/>
      <w:marTop w:val="180"/>
      <w:marBottom w:val="0"/>
      <w:divBdr>
        <w:top w:val="none" w:sz="0" w:space="0" w:color="auto"/>
        <w:left w:val="none" w:sz="0" w:space="0" w:color="auto"/>
        <w:bottom w:val="none" w:sz="0" w:space="0" w:color="auto"/>
        <w:right w:val="none" w:sz="0" w:space="0" w:color="auto"/>
      </w:divBdr>
    </w:div>
    <w:div w:id="690567851">
      <w:marLeft w:val="0"/>
      <w:marRight w:val="0"/>
      <w:marTop w:val="240"/>
      <w:marBottom w:val="0"/>
      <w:divBdr>
        <w:top w:val="none" w:sz="0" w:space="0" w:color="auto"/>
        <w:left w:val="none" w:sz="0" w:space="0" w:color="auto"/>
        <w:bottom w:val="none" w:sz="0" w:space="0" w:color="auto"/>
        <w:right w:val="none" w:sz="0" w:space="0" w:color="auto"/>
      </w:divBdr>
    </w:div>
    <w:div w:id="692194650">
      <w:marLeft w:val="0"/>
      <w:marRight w:val="0"/>
      <w:marTop w:val="180"/>
      <w:marBottom w:val="0"/>
      <w:divBdr>
        <w:top w:val="none" w:sz="0" w:space="0" w:color="auto"/>
        <w:left w:val="none" w:sz="0" w:space="0" w:color="auto"/>
        <w:bottom w:val="none" w:sz="0" w:space="0" w:color="auto"/>
        <w:right w:val="none" w:sz="0" w:space="0" w:color="auto"/>
      </w:divBdr>
    </w:div>
    <w:div w:id="694313446">
      <w:marLeft w:val="0"/>
      <w:marRight w:val="0"/>
      <w:marTop w:val="180"/>
      <w:marBottom w:val="0"/>
      <w:divBdr>
        <w:top w:val="none" w:sz="0" w:space="0" w:color="auto"/>
        <w:left w:val="none" w:sz="0" w:space="0" w:color="auto"/>
        <w:bottom w:val="none" w:sz="0" w:space="0" w:color="auto"/>
        <w:right w:val="none" w:sz="0" w:space="0" w:color="auto"/>
      </w:divBdr>
    </w:div>
    <w:div w:id="699553670">
      <w:marLeft w:val="0"/>
      <w:marRight w:val="0"/>
      <w:marTop w:val="180"/>
      <w:marBottom w:val="0"/>
      <w:divBdr>
        <w:top w:val="none" w:sz="0" w:space="0" w:color="auto"/>
        <w:left w:val="none" w:sz="0" w:space="0" w:color="auto"/>
        <w:bottom w:val="none" w:sz="0" w:space="0" w:color="auto"/>
        <w:right w:val="none" w:sz="0" w:space="0" w:color="auto"/>
      </w:divBdr>
    </w:div>
    <w:div w:id="702828473">
      <w:marLeft w:val="0"/>
      <w:marRight w:val="0"/>
      <w:marTop w:val="180"/>
      <w:marBottom w:val="0"/>
      <w:divBdr>
        <w:top w:val="none" w:sz="0" w:space="0" w:color="auto"/>
        <w:left w:val="none" w:sz="0" w:space="0" w:color="auto"/>
        <w:bottom w:val="none" w:sz="0" w:space="0" w:color="auto"/>
        <w:right w:val="none" w:sz="0" w:space="0" w:color="auto"/>
      </w:divBdr>
    </w:div>
    <w:div w:id="703098952">
      <w:marLeft w:val="0"/>
      <w:marRight w:val="0"/>
      <w:marTop w:val="120"/>
      <w:marBottom w:val="20"/>
      <w:divBdr>
        <w:top w:val="none" w:sz="0" w:space="0" w:color="auto"/>
        <w:left w:val="none" w:sz="0" w:space="0" w:color="auto"/>
        <w:bottom w:val="none" w:sz="0" w:space="0" w:color="auto"/>
        <w:right w:val="none" w:sz="0" w:space="0" w:color="auto"/>
      </w:divBdr>
    </w:div>
    <w:div w:id="707099681">
      <w:marLeft w:val="0"/>
      <w:marRight w:val="0"/>
      <w:marTop w:val="180"/>
      <w:marBottom w:val="0"/>
      <w:divBdr>
        <w:top w:val="none" w:sz="0" w:space="0" w:color="auto"/>
        <w:left w:val="none" w:sz="0" w:space="0" w:color="auto"/>
        <w:bottom w:val="none" w:sz="0" w:space="0" w:color="auto"/>
        <w:right w:val="none" w:sz="0" w:space="0" w:color="auto"/>
      </w:divBdr>
    </w:div>
    <w:div w:id="708383223">
      <w:marLeft w:val="0"/>
      <w:marRight w:val="0"/>
      <w:marTop w:val="140"/>
      <w:marBottom w:val="0"/>
      <w:divBdr>
        <w:top w:val="none" w:sz="0" w:space="0" w:color="auto"/>
        <w:left w:val="none" w:sz="0" w:space="0" w:color="auto"/>
        <w:bottom w:val="none" w:sz="0" w:space="0" w:color="auto"/>
        <w:right w:val="none" w:sz="0" w:space="0" w:color="auto"/>
      </w:divBdr>
    </w:div>
    <w:div w:id="713700764">
      <w:marLeft w:val="0"/>
      <w:marRight w:val="0"/>
      <w:marTop w:val="0"/>
      <w:marBottom w:val="0"/>
      <w:divBdr>
        <w:top w:val="none" w:sz="0" w:space="0" w:color="auto"/>
        <w:left w:val="none" w:sz="0" w:space="0" w:color="auto"/>
        <w:bottom w:val="none" w:sz="0" w:space="0" w:color="auto"/>
        <w:right w:val="none" w:sz="0" w:space="0" w:color="auto"/>
      </w:divBdr>
      <w:divsChild>
        <w:div w:id="1133600469">
          <w:marLeft w:val="0"/>
          <w:marRight w:val="0"/>
          <w:marTop w:val="180"/>
          <w:marBottom w:val="180"/>
          <w:divBdr>
            <w:top w:val="none" w:sz="0" w:space="0" w:color="auto"/>
            <w:left w:val="none" w:sz="0" w:space="0" w:color="auto"/>
            <w:bottom w:val="none" w:sz="0" w:space="0" w:color="auto"/>
            <w:right w:val="none" w:sz="0" w:space="0" w:color="auto"/>
          </w:divBdr>
        </w:div>
      </w:divsChild>
    </w:div>
    <w:div w:id="717632458">
      <w:marLeft w:val="0"/>
      <w:marRight w:val="0"/>
      <w:marTop w:val="180"/>
      <w:marBottom w:val="0"/>
      <w:divBdr>
        <w:top w:val="none" w:sz="0" w:space="0" w:color="auto"/>
        <w:left w:val="none" w:sz="0" w:space="0" w:color="auto"/>
        <w:bottom w:val="none" w:sz="0" w:space="0" w:color="auto"/>
        <w:right w:val="none" w:sz="0" w:space="0" w:color="auto"/>
      </w:divBdr>
    </w:div>
    <w:div w:id="726153080">
      <w:marLeft w:val="0"/>
      <w:marRight w:val="0"/>
      <w:marTop w:val="130"/>
      <w:marBottom w:val="120"/>
      <w:divBdr>
        <w:top w:val="none" w:sz="0" w:space="0" w:color="auto"/>
        <w:left w:val="none" w:sz="0" w:space="0" w:color="auto"/>
        <w:bottom w:val="none" w:sz="0" w:space="0" w:color="auto"/>
        <w:right w:val="none" w:sz="0" w:space="0" w:color="auto"/>
      </w:divBdr>
    </w:div>
    <w:div w:id="726684202">
      <w:marLeft w:val="0"/>
      <w:marRight w:val="0"/>
      <w:marTop w:val="180"/>
      <w:marBottom w:val="0"/>
      <w:divBdr>
        <w:top w:val="none" w:sz="0" w:space="0" w:color="auto"/>
        <w:left w:val="none" w:sz="0" w:space="0" w:color="auto"/>
        <w:bottom w:val="none" w:sz="0" w:space="0" w:color="auto"/>
        <w:right w:val="none" w:sz="0" w:space="0" w:color="auto"/>
      </w:divBdr>
    </w:div>
    <w:div w:id="737704256">
      <w:marLeft w:val="0"/>
      <w:marRight w:val="0"/>
      <w:marTop w:val="0"/>
      <w:marBottom w:val="0"/>
      <w:divBdr>
        <w:top w:val="none" w:sz="0" w:space="0" w:color="auto"/>
        <w:left w:val="none" w:sz="0" w:space="0" w:color="auto"/>
        <w:bottom w:val="none" w:sz="0" w:space="0" w:color="auto"/>
        <w:right w:val="none" w:sz="0" w:space="0" w:color="auto"/>
      </w:divBdr>
      <w:divsChild>
        <w:div w:id="963851419">
          <w:marLeft w:val="0"/>
          <w:marRight w:val="0"/>
          <w:marTop w:val="180"/>
          <w:marBottom w:val="180"/>
          <w:divBdr>
            <w:top w:val="none" w:sz="0" w:space="0" w:color="auto"/>
            <w:left w:val="none" w:sz="0" w:space="0" w:color="auto"/>
            <w:bottom w:val="none" w:sz="0" w:space="0" w:color="auto"/>
            <w:right w:val="none" w:sz="0" w:space="0" w:color="auto"/>
          </w:divBdr>
        </w:div>
      </w:divsChild>
    </w:div>
    <w:div w:id="739601736">
      <w:marLeft w:val="0"/>
      <w:marRight w:val="0"/>
      <w:marTop w:val="180"/>
      <w:marBottom w:val="0"/>
      <w:divBdr>
        <w:top w:val="none" w:sz="0" w:space="0" w:color="auto"/>
        <w:left w:val="none" w:sz="0" w:space="0" w:color="auto"/>
        <w:bottom w:val="none" w:sz="0" w:space="0" w:color="auto"/>
        <w:right w:val="none" w:sz="0" w:space="0" w:color="auto"/>
      </w:divBdr>
    </w:div>
    <w:div w:id="745224410">
      <w:marLeft w:val="0"/>
      <w:marRight w:val="0"/>
      <w:marTop w:val="180"/>
      <w:marBottom w:val="0"/>
      <w:divBdr>
        <w:top w:val="none" w:sz="0" w:space="0" w:color="auto"/>
        <w:left w:val="none" w:sz="0" w:space="0" w:color="auto"/>
        <w:bottom w:val="none" w:sz="0" w:space="0" w:color="auto"/>
        <w:right w:val="none" w:sz="0" w:space="0" w:color="auto"/>
      </w:divBdr>
    </w:div>
    <w:div w:id="756287369">
      <w:marLeft w:val="0"/>
      <w:marRight w:val="0"/>
      <w:marTop w:val="120"/>
      <w:marBottom w:val="0"/>
      <w:divBdr>
        <w:top w:val="none" w:sz="0" w:space="0" w:color="auto"/>
        <w:left w:val="none" w:sz="0" w:space="0" w:color="auto"/>
        <w:bottom w:val="none" w:sz="0" w:space="0" w:color="auto"/>
        <w:right w:val="none" w:sz="0" w:space="0" w:color="auto"/>
      </w:divBdr>
    </w:div>
    <w:div w:id="756555021">
      <w:marLeft w:val="0"/>
      <w:marRight w:val="0"/>
      <w:marTop w:val="180"/>
      <w:marBottom w:val="0"/>
      <w:divBdr>
        <w:top w:val="none" w:sz="0" w:space="0" w:color="auto"/>
        <w:left w:val="none" w:sz="0" w:space="0" w:color="auto"/>
        <w:bottom w:val="none" w:sz="0" w:space="0" w:color="auto"/>
        <w:right w:val="none" w:sz="0" w:space="0" w:color="auto"/>
      </w:divBdr>
    </w:div>
    <w:div w:id="758211750">
      <w:marLeft w:val="0"/>
      <w:marRight w:val="0"/>
      <w:marTop w:val="120"/>
      <w:marBottom w:val="0"/>
      <w:divBdr>
        <w:top w:val="none" w:sz="0" w:space="0" w:color="auto"/>
        <w:left w:val="none" w:sz="0" w:space="0" w:color="auto"/>
        <w:bottom w:val="none" w:sz="0" w:space="0" w:color="auto"/>
        <w:right w:val="none" w:sz="0" w:space="0" w:color="auto"/>
      </w:divBdr>
    </w:div>
    <w:div w:id="761268809">
      <w:marLeft w:val="0"/>
      <w:marRight w:val="0"/>
      <w:marTop w:val="140"/>
      <w:marBottom w:val="0"/>
      <w:divBdr>
        <w:top w:val="none" w:sz="0" w:space="0" w:color="auto"/>
        <w:left w:val="none" w:sz="0" w:space="0" w:color="auto"/>
        <w:bottom w:val="none" w:sz="0" w:space="0" w:color="auto"/>
        <w:right w:val="none" w:sz="0" w:space="0" w:color="auto"/>
      </w:divBdr>
    </w:div>
    <w:div w:id="762605788">
      <w:marLeft w:val="0"/>
      <w:marRight w:val="0"/>
      <w:marTop w:val="240"/>
      <w:marBottom w:val="180"/>
      <w:divBdr>
        <w:top w:val="none" w:sz="0" w:space="0" w:color="auto"/>
        <w:left w:val="none" w:sz="0" w:space="0" w:color="auto"/>
        <w:bottom w:val="none" w:sz="0" w:space="0" w:color="auto"/>
        <w:right w:val="none" w:sz="0" w:space="0" w:color="auto"/>
      </w:divBdr>
    </w:div>
    <w:div w:id="763502275">
      <w:marLeft w:val="0"/>
      <w:marRight w:val="0"/>
      <w:marTop w:val="180"/>
      <w:marBottom w:val="0"/>
      <w:divBdr>
        <w:top w:val="none" w:sz="0" w:space="0" w:color="auto"/>
        <w:left w:val="none" w:sz="0" w:space="0" w:color="auto"/>
        <w:bottom w:val="none" w:sz="0" w:space="0" w:color="auto"/>
        <w:right w:val="none" w:sz="0" w:space="0" w:color="auto"/>
      </w:divBdr>
    </w:div>
    <w:div w:id="764888904">
      <w:marLeft w:val="0"/>
      <w:marRight w:val="0"/>
      <w:marTop w:val="0"/>
      <w:marBottom w:val="0"/>
      <w:divBdr>
        <w:top w:val="none" w:sz="0" w:space="0" w:color="auto"/>
        <w:left w:val="none" w:sz="0" w:space="0" w:color="auto"/>
        <w:bottom w:val="none" w:sz="0" w:space="0" w:color="auto"/>
        <w:right w:val="none" w:sz="0" w:space="0" w:color="auto"/>
      </w:divBdr>
      <w:divsChild>
        <w:div w:id="1584534497">
          <w:marLeft w:val="0"/>
          <w:marRight w:val="0"/>
          <w:marTop w:val="0"/>
          <w:marBottom w:val="0"/>
          <w:divBdr>
            <w:top w:val="none" w:sz="0" w:space="0" w:color="auto"/>
            <w:left w:val="none" w:sz="0" w:space="0" w:color="auto"/>
            <w:bottom w:val="none" w:sz="0" w:space="0" w:color="auto"/>
            <w:right w:val="none" w:sz="0" w:space="0" w:color="auto"/>
          </w:divBdr>
          <w:divsChild>
            <w:div w:id="2810329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67970820">
      <w:marLeft w:val="0"/>
      <w:marRight w:val="0"/>
      <w:marTop w:val="0"/>
      <w:marBottom w:val="0"/>
      <w:divBdr>
        <w:top w:val="none" w:sz="0" w:space="0" w:color="auto"/>
        <w:left w:val="none" w:sz="0" w:space="0" w:color="auto"/>
        <w:bottom w:val="none" w:sz="0" w:space="0" w:color="auto"/>
        <w:right w:val="none" w:sz="0" w:space="0" w:color="auto"/>
      </w:divBdr>
      <w:divsChild>
        <w:div w:id="457651688">
          <w:marLeft w:val="0"/>
          <w:marRight w:val="0"/>
          <w:marTop w:val="0"/>
          <w:marBottom w:val="0"/>
          <w:divBdr>
            <w:top w:val="none" w:sz="0" w:space="0" w:color="auto"/>
            <w:left w:val="none" w:sz="0" w:space="0" w:color="auto"/>
            <w:bottom w:val="none" w:sz="0" w:space="0" w:color="auto"/>
            <w:right w:val="none" w:sz="0" w:space="0" w:color="auto"/>
          </w:divBdr>
          <w:divsChild>
            <w:div w:id="40037190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68354130">
      <w:marLeft w:val="0"/>
      <w:marRight w:val="0"/>
      <w:marTop w:val="180"/>
      <w:marBottom w:val="0"/>
      <w:divBdr>
        <w:top w:val="none" w:sz="0" w:space="0" w:color="auto"/>
        <w:left w:val="none" w:sz="0" w:space="0" w:color="auto"/>
        <w:bottom w:val="none" w:sz="0" w:space="0" w:color="auto"/>
        <w:right w:val="none" w:sz="0" w:space="0" w:color="auto"/>
      </w:divBdr>
    </w:div>
    <w:div w:id="769199280">
      <w:marLeft w:val="0"/>
      <w:marRight w:val="0"/>
      <w:marTop w:val="180"/>
      <w:marBottom w:val="0"/>
      <w:divBdr>
        <w:top w:val="none" w:sz="0" w:space="0" w:color="auto"/>
        <w:left w:val="none" w:sz="0" w:space="0" w:color="auto"/>
        <w:bottom w:val="none" w:sz="0" w:space="0" w:color="auto"/>
        <w:right w:val="none" w:sz="0" w:space="0" w:color="auto"/>
      </w:divBdr>
    </w:div>
    <w:div w:id="773743905">
      <w:marLeft w:val="0"/>
      <w:marRight w:val="0"/>
      <w:marTop w:val="180"/>
      <w:marBottom w:val="0"/>
      <w:divBdr>
        <w:top w:val="none" w:sz="0" w:space="0" w:color="auto"/>
        <w:left w:val="none" w:sz="0" w:space="0" w:color="auto"/>
        <w:bottom w:val="none" w:sz="0" w:space="0" w:color="auto"/>
        <w:right w:val="none" w:sz="0" w:space="0" w:color="auto"/>
      </w:divBdr>
    </w:div>
    <w:div w:id="776097912">
      <w:marLeft w:val="0"/>
      <w:marRight w:val="0"/>
      <w:marTop w:val="180"/>
      <w:marBottom w:val="0"/>
      <w:divBdr>
        <w:top w:val="none" w:sz="0" w:space="0" w:color="auto"/>
        <w:left w:val="none" w:sz="0" w:space="0" w:color="auto"/>
        <w:bottom w:val="none" w:sz="0" w:space="0" w:color="auto"/>
        <w:right w:val="none" w:sz="0" w:space="0" w:color="auto"/>
      </w:divBdr>
    </w:div>
    <w:div w:id="781345648">
      <w:marLeft w:val="0"/>
      <w:marRight w:val="0"/>
      <w:marTop w:val="120"/>
      <w:marBottom w:val="0"/>
      <w:divBdr>
        <w:top w:val="none" w:sz="0" w:space="0" w:color="auto"/>
        <w:left w:val="none" w:sz="0" w:space="0" w:color="auto"/>
        <w:bottom w:val="none" w:sz="0" w:space="0" w:color="auto"/>
        <w:right w:val="none" w:sz="0" w:space="0" w:color="auto"/>
      </w:divBdr>
    </w:div>
    <w:div w:id="783038923">
      <w:marLeft w:val="0"/>
      <w:marRight w:val="0"/>
      <w:marTop w:val="180"/>
      <w:marBottom w:val="0"/>
      <w:divBdr>
        <w:top w:val="none" w:sz="0" w:space="0" w:color="auto"/>
        <w:left w:val="none" w:sz="0" w:space="0" w:color="auto"/>
        <w:bottom w:val="none" w:sz="0" w:space="0" w:color="auto"/>
        <w:right w:val="none" w:sz="0" w:space="0" w:color="auto"/>
      </w:divBdr>
    </w:div>
    <w:div w:id="783811790">
      <w:marLeft w:val="0"/>
      <w:marRight w:val="0"/>
      <w:marTop w:val="240"/>
      <w:marBottom w:val="0"/>
      <w:divBdr>
        <w:top w:val="none" w:sz="0" w:space="0" w:color="auto"/>
        <w:left w:val="none" w:sz="0" w:space="0" w:color="auto"/>
        <w:bottom w:val="none" w:sz="0" w:space="0" w:color="auto"/>
        <w:right w:val="none" w:sz="0" w:space="0" w:color="auto"/>
      </w:divBdr>
    </w:div>
    <w:div w:id="786582702">
      <w:marLeft w:val="0"/>
      <w:marRight w:val="0"/>
      <w:marTop w:val="120"/>
      <w:marBottom w:val="120"/>
      <w:divBdr>
        <w:top w:val="none" w:sz="0" w:space="0" w:color="auto"/>
        <w:left w:val="none" w:sz="0" w:space="0" w:color="auto"/>
        <w:bottom w:val="none" w:sz="0" w:space="0" w:color="auto"/>
        <w:right w:val="none" w:sz="0" w:space="0" w:color="auto"/>
      </w:divBdr>
    </w:div>
    <w:div w:id="797142535">
      <w:marLeft w:val="0"/>
      <w:marRight w:val="0"/>
      <w:marTop w:val="180"/>
      <w:marBottom w:val="0"/>
      <w:divBdr>
        <w:top w:val="none" w:sz="0" w:space="0" w:color="auto"/>
        <w:left w:val="none" w:sz="0" w:space="0" w:color="auto"/>
        <w:bottom w:val="none" w:sz="0" w:space="0" w:color="auto"/>
        <w:right w:val="none" w:sz="0" w:space="0" w:color="auto"/>
      </w:divBdr>
    </w:div>
    <w:div w:id="801457583">
      <w:marLeft w:val="0"/>
      <w:marRight w:val="0"/>
      <w:marTop w:val="0"/>
      <w:marBottom w:val="0"/>
      <w:divBdr>
        <w:top w:val="none" w:sz="0" w:space="0" w:color="auto"/>
        <w:left w:val="none" w:sz="0" w:space="0" w:color="auto"/>
        <w:bottom w:val="none" w:sz="0" w:space="0" w:color="auto"/>
        <w:right w:val="none" w:sz="0" w:space="0" w:color="auto"/>
      </w:divBdr>
      <w:divsChild>
        <w:div w:id="1127353756">
          <w:marLeft w:val="0"/>
          <w:marRight w:val="0"/>
          <w:marTop w:val="0"/>
          <w:marBottom w:val="0"/>
          <w:divBdr>
            <w:top w:val="none" w:sz="0" w:space="0" w:color="auto"/>
            <w:left w:val="none" w:sz="0" w:space="0" w:color="auto"/>
            <w:bottom w:val="none" w:sz="0" w:space="0" w:color="auto"/>
            <w:right w:val="none" w:sz="0" w:space="0" w:color="auto"/>
          </w:divBdr>
          <w:divsChild>
            <w:div w:id="7116613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01923205">
      <w:marLeft w:val="0"/>
      <w:marRight w:val="0"/>
      <w:marTop w:val="120"/>
      <w:marBottom w:val="20"/>
      <w:divBdr>
        <w:top w:val="none" w:sz="0" w:space="0" w:color="auto"/>
        <w:left w:val="none" w:sz="0" w:space="0" w:color="auto"/>
        <w:bottom w:val="none" w:sz="0" w:space="0" w:color="auto"/>
        <w:right w:val="none" w:sz="0" w:space="0" w:color="auto"/>
      </w:divBdr>
    </w:div>
    <w:div w:id="805896975">
      <w:marLeft w:val="0"/>
      <w:marRight w:val="0"/>
      <w:marTop w:val="180"/>
      <w:marBottom w:val="0"/>
      <w:divBdr>
        <w:top w:val="none" w:sz="0" w:space="0" w:color="auto"/>
        <w:left w:val="none" w:sz="0" w:space="0" w:color="auto"/>
        <w:bottom w:val="none" w:sz="0" w:space="0" w:color="auto"/>
        <w:right w:val="none" w:sz="0" w:space="0" w:color="auto"/>
      </w:divBdr>
    </w:div>
    <w:div w:id="806554202">
      <w:marLeft w:val="0"/>
      <w:marRight w:val="0"/>
      <w:marTop w:val="180"/>
      <w:marBottom w:val="20"/>
      <w:divBdr>
        <w:top w:val="none" w:sz="0" w:space="0" w:color="auto"/>
        <w:left w:val="none" w:sz="0" w:space="0" w:color="auto"/>
        <w:bottom w:val="none" w:sz="0" w:space="0" w:color="auto"/>
        <w:right w:val="none" w:sz="0" w:space="0" w:color="auto"/>
      </w:divBdr>
    </w:div>
    <w:div w:id="810051213">
      <w:marLeft w:val="0"/>
      <w:marRight w:val="0"/>
      <w:marTop w:val="180"/>
      <w:marBottom w:val="0"/>
      <w:divBdr>
        <w:top w:val="none" w:sz="0" w:space="0" w:color="auto"/>
        <w:left w:val="none" w:sz="0" w:space="0" w:color="auto"/>
        <w:bottom w:val="none" w:sz="0" w:space="0" w:color="auto"/>
        <w:right w:val="none" w:sz="0" w:space="0" w:color="auto"/>
      </w:divBdr>
    </w:div>
    <w:div w:id="811796035">
      <w:marLeft w:val="0"/>
      <w:marRight w:val="0"/>
      <w:marTop w:val="180"/>
      <w:marBottom w:val="0"/>
      <w:divBdr>
        <w:top w:val="none" w:sz="0" w:space="0" w:color="auto"/>
        <w:left w:val="none" w:sz="0" w:space="0" w:color="auto"/>
        <w:bottom w:val="none" w:sz="0" w:space="0" w:color="auto"/>
        <w:right w:val="none" w:sz="0" w:space="0" w:color="auto"/>
      </w:divBdr>
    </w:div>
    <w:div w:id="814176840">
      <w:marLeft w:val="0"/>
      <w:marRight w:val="0"/>
      <w:marTop w:val="180"/>
      <w:marBottom w:val="0"/>
      <w:divBdr>
        <w:top w:val="none" w:sz="0" w:space="0" w:color="auto"/>
        <w:left w:val="none" w:sz="0" w:space="0" w:color="auto"/>
        <w:bottom w:val="none" w:sz="0" w:space="0" w:color="auto"/>
        <w:right w:val="none" w:sz="0" w:space="0" w:color="auto"/>
      </w:divBdr>
    </w:div>
    <w:div w:id="822769533">
      <w:marLeft w:val="0"/>
      <w:marRight w:val="0"/>
      <w:marTop w:val="180"/>
      <w:marBottom w:val="0"/>
      <w:divBdr>
        <w:top w:val="none" w:sz="0" w:space="0" w:color="auto"/>
        <w:left w:val="none" w:sz="0" w:space="0" w:color="auto"/>
        <w:bottom w:val="none" w:sz="0" w:space="0" w:color="auto"/>
        <w:right w:val="none" w:sz="0" w:space="0" w:color="auto"/>
      </w:divBdr>
    </w:div>
    <w:div w:id="829710556">
      <w:marLeft w:val="0"/>
      <w:marRight w:val="0"/>
      <w:marTop w:val="180"/>
      <w:marBottom w:val="0"/>
      <w:divBdr>
        <w:top w:val="none" w:sz="0" w:space="0" w:color="auto"/>
        <w:left w:val="none" w:sz="0" w:space="0" w:color="auto"/>
        <w:bottom w:val="none" w:sz="0" w:space="0" w:color="auto"/>
        <w:right w:val="none" w:sz="0" w:space="0" w:color="auto"/>
      </w:divBdr>
    </w:div>
    <w:div w:id="840781383">
      <w:marLeft w:val="0"/>
      <w:marRight w:val="0"/>
      <w:marTop w:val="0"/>
      <w:marBottom w:val="0"/>
      <w:divBdr>
        <w:top w:val="none" w:sz="0" w:space="0" w:color="auto"/>
        <w:left w:val="none" w:sz="0" w:space="0" w:color="auto"/>
        <w:bottom w:val="none" w:sz="0" w:space="0" w:color="auto"/>
        <w:right w:val="none" w:sz="0" w:space="0" w:color="auto"/>
      </w:divBdr>
      <w:divsChild>
        <w:div w:id="688527503">
          <w:marLeft w:val="0"/>
          <w:marRight w:val="0"/>
          <w:marTop w:val="180"/>
          <w:marBottom w:val="180"/>
          <w:divBdr>
            <w:top w:val="none" w:sz="0" w:space="0" w:color="auto"/>
            <w:left w:val="none" w:sz="0" w:space="0" w:color="auto"/>
            <w:bottom w:val="none" w:sz="0" w:space="0" w:color="auto"/>
            <w:right w:val="none" w:sz="0" w:space="0" w:color="auto"/>
          </w:divBdr>
        </w:div>
      </w:divsChild>
    </w:div>
    <w:div w:id="857695217">
      <w:marLeft w:val="0"/>
      <w:marRight w:val="0"/>
      <w:marTop w:val="0"/>
      <w:marBottom w:val="0"/>
      <w:divBdr>
        <w:top w:val="none" w:sz="0" w:space="0" w:color="auto"/>
        <w:left w:val="none" w:sz="0" w:space="0" w:color="auto"/>
        <w:bottom w:val="none" w:sz="0" w:space="0" w:color="auto"/>
        <w:right w:val="none" w:sz="0" w:space="0" w:color="auto"/>
      </w:divBdr>
      <w:divsChild>
        <w:div w:id="2002342362">
          <w:marLeft w:val="0"/>
          <w:marRight w:val="0"/>
          <w:marTop w:val="180"/>
          <w:marBottom w:val="180"/>
          <w:divBdr>
            <w:top w:val="none" w:sz="0" w:space="0" w:color="auto"/>
            <w:left w:val="none" w:sz="0" w:space="0" w:color="auto"/>
            <w:bottom w:val="none" w:sz="0" w:space="0" w:color="auto"/>
            <w:right w:val="none" w:sz="0" w:space="0" w:color="auto"/>
          </w:divBdr>
        </w:div>
      </w:divsChild>
    </w:div>
    <w:div w:id="859860463">
      <w:marLeft w:val="0"/>
      <w:marRight w:val="0"/>
      <w:marTop w:val="180"/>
      <w:marBottom w:val="0"/>
      <w:divBdr>
        <w:top w:val="none" w:sz="0" w:space="0" w:color="auto"/>
        <w:left w:val="none" w:sz="0" w:space="0" w:color="auto"/>
        <w:bottom w:val="none" w:sz="0" w:space="0" w:color="auto"/>
        <w:right w:val="none" w:sz="0" w:space="0" w:color="auto"/>
      </w:divBdr>
    </w:div>
    <w:div w:id="859900000">
      <w:marLeft w:val="0"/>
      <w:marRight w:val="0"/>
      <w:marTop w:val="180"/>
      <w:marBottom w:val="0"/>
      <w:divBdr>
        <w:top w:val="none" w:sz="0" w:space="0" w:color="auto"/>
        <w:left w:val="none" w:sz="0" w:space="0" w:color="auto"/>
        <w:bottom w:val="none" w:sz="0" w:space="0" w:color="auto"/>
        <w:right w:val="none" w:sz="0" w:space="0" w:color="auto"/>
      </w:divBdr>
    </w:div>
    <w:div w:id="861476225">
      <w:marLeft w:val="0"/>
      <w:marRight w:val="0"/>
      <w:marTop w:val="180"/>
      <w:marBottom w:val="0"/>
      <w:divBdr>
        <w:top w:val="none" w:sz="0" w:space="0" w:color="auto"/>
        <w:left w:val="none" w:sz="0" w:space="0" w:color="auto"/>
        <w:bottom w:val="none" w:sz="0" w:space="0" w:color="auto"/>
        <w:right w:val="none" w:sz="0" w:space="0" w:color="auto"/>
      </w:divBdr>
    </w:div>
    <w:div w:id="863445363">
      <w:marLeft w:val="0"/>
      <w:marRight w:val="0"/>
      <w:marTop w:val="180"/>
      <w:marBottom w:val="0"/>
      <w:divBdr>
        <w:top w:val="none" w:sz="0" w:space="0" w:color="auto"/>
        <w:left w:val="none" w:sz="0" w:space="0" w:color="auto"/>
        <w:bottom w:val="none" w:sz="0" w:space="0" w:color="auto"/>
        <w:right w:val="none" w:sz="0" w:space="0" w:color="auto"/>
      </w:divBdr>
    </w:div>
    <w:div w:id="865605494">
      <w:marLeft w:val="0"/>
      <w:marRight w:val="0"/>
      <w:marTop w:val="180"/>
      <w:marBottom w:val="0"/>
      <w:divBdr>
        <w:top w:val="none" w:sz="0" w:space="0" w:color="auto"/>
        <w:left w:val="none" w:sz="0" w:space="0" w:color="auto"/>
        <w:bottom w:val="none" w:sz="0" w:space="0" w:color="auto"/>
        <w:right w:val="none" w:sz="0" w:space="0" w:color="auto"/>
      </w:divBdr>
    </w:div>
    <w:div w:id="867447094">
      <w:marLeft w:val="0"/>
      <w:marRight w:val="0"/>
      <w:marTop w:val="200"/>
      <w:marBottom w:val="0"/>
      <w:divBdr>
        <w:top w:val="none" w:sz="0" w:space="0" w:color="auto"/>
        <w:left w:val="none" w:sz="0" w:space="0" w:color="auto"/>
        <w:bottom w:val="none" w:sz="0" w:space="0" w:color="auto"/>
        <w:right w:val="none" w:sz="0" w:space="0" w:color="auto"/>
      </w:divBdr>
    </w:div>
    <w:div w:id="868177595">
      <w:marLeft w:val="0"/>
      <w:marRight w:val="0"/>
      <w:marTop w:val="60"/>
      <w:marBottom w:val="0"/>
      <w:divBdr>
        <w:top w:val="none" w:sz="0" w:space="0" w:color="auto"/>
        <w:left w:val="none" w:sz="0" w:space="0" w:color="auto"/>
        <w:bottom w:val="none" w:sz="0" w:space="0" w:color="auto"/>
        <w:right w:val="none" w:sz="0" w:space="0" w:color="auto"/>
      </w:divBdr>
    </w:div>
    <w:div w:id="870456259">
      <w:marLeft w:val="0"/>
      <w:marRight w:val="0"/>
      <w:marTop w:val="180"/>
      <w:marBottom w:val="0"/>
      <w:divBdr>
        <w:top w:val="none" w:sz="0" w:space="0" w:color="auto"/>
        <w:left w:val="none" w:sz="0" w:space="0" w:color="auto"/>
        <w:bottom w:val="none" w:sz="0" w:space="0" w:color="auto"/>
        <w:right w:val="none" w:sz="0" w:space="0" w:color="auto"/>
      </w:divBdr>
    </w:div>
    <w:div w:id="873078827">
      <w:marLeft w:val="0"/>
      <w:marRight w:val="0"/>
      <w:marTop w:val="0"/>
      <w:marBottom w:val="0"/>
      <w:divBdr>
        <w:top w:val="none" w:sz="0" w:space="0" w:color="auto"/>
        <w:left w:val="none" w:sz="0" w:space="0" w:color="auto"/>
        <w:bottom w:val="none" w:sz="0" w:space="0" w:color="auto"/>
        <w:right w:val="none" w:sz="0" w:space="0" w:color="auto"/>
      </w:divBdr>
      <w:divsChild>
        <w:div w:id="1646356498">
          <w:marLeft w:val="0"/>
          <w:marRight w:val="0"/>
          <w:marTop w:val="0"/>
          <w:marBottom w:val="0"/>
          <w:divBdr>
            <w:top w:val="none" w:sz="0" w:space="0" w:color="auto"/>
            <w:left w:val="none" w:sz="0" w:space="0" w:color="auto"/>
            <w:bottom w:val="none" w:sz="0" w:space="0" w:color="auto"/>
            <w:right w:val="none" w:sz="0" w:space="0" w:color="auto"/>
          </w:divBdr>
          <w:divsChild>
            <w:div w:id="10893304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74345149">
      <w:marLeft w:val="0"/>
      <w:marRight w:val="0"/>
      <w:marTop w:val="180"/>
      <w:marBottom w:val="0"/>
      <w:divBdr>
        <w:top w:val="none" w:sz="0" w:space="0" w:color="auto"/>
        <w:left w:val="none" w:sz="0" w:space="0" w:color="auto"/>
        <w:bottom w:val="none" w:sz="0" w:space="0" w:color="auto"/>
        <w:right w:val="none" w:sz="0" w:space="0" w:color="auto"/>
      </w:divBdr>
    </w:div>
    <w:div w:id="879590970">
      <w:marLeft w:val="0"/>
      <w:marRight w:val="0"/>
      <w:marTop w:val="240"/>
      <w:marBottom w:val="0"/>
      <w:divBdr>
        <w:top w:val="none" w:sz="0" w:space="0" w:color="auto"/>
        <w:left w:val="none" w:sz="0" w:space="0" w:color="auto"/>
        <w:bottom w:val="none" w:sz="0" w:space="0" w:color="auto"/>
        <w:right w:val="none" w:sz="0" w:space="0" w:color="auto"/>
      </w:divBdr>
    </w:div>
    <w:div w:id="888342434">
      <w:marLeft w:val="0"/>
      <w:marRight w:val="0"/>
      <w:marTop w:val="160"/>
      <w:marBottom w:val="0"/>
      <w:divBdr>
        <w:top w:val="none" w:sz="0" w:space="0" w:color="auto"/>
        <w:left w:val="none" w:sz="0" w:space="0" w:color="auto"/>
        <w:bottom w:val="none" w:sz="0" w:space="0" w:color="auto"/>
        <w:right w:val="none" w:sz="0" w:space="0" w:color="auto"/>
      </w:divBdr>
    </w:div>
    <w:div w:id="889880159">
      <w:marLeft w:val="0"/>
      <w:marRight w:val="0"/>
      <w:marTop w:val="120"/>
      <w:marBottom w:val="0"/>
      <w:divBdr>
        <w:top w:val="none" w:sz="0" w:space="0" w:color="auto"/>
        <w:left w:val="none" w:sz="0" w:space="0" w:color="auto"/>
        <w:bottom w:val="none" w:sz="0" w:space="0" w:color="auto"/>
        <w:right w:val="none" w:sz="0" w:space="0" w:color="auto"/>
      </w:divBdr>
    </w:div>
    <w:div w:id="890262475">
      <w:marLeft w:val="0"/>
      <w:marRight w:val="0"/>
      <w:marTop w:val="60"/>
      <w:marBottom w:val="0"/>
      <w:divBdr>
        <w:top w:val="none" w:sz="0" w:space="0" w:color="auto"/>
        <w:left w:val="none" w:sz="0" w:space="0" w:color="auto"/>
        <w:bottom w:val="none" w:sz="0" w:space="0" w:color="auto"/>
        <w:right w:val="none" w:sz="0" w:space="0" w:color="auto"/>
      </w:divBdr>
    </w:div>
    <w:div w:id="896012378">
      <w:marLeft w:val="0"/>
      <w:marRight w:val="0"/>
      <w:marTop w:val="0"/>
      <w:marBottom w:val="0"/>
      <w:divBdr>
        <w:top w:val="none" w:sz="0" w:space="0" w:color="auto"/>
        <w:left w:val="none" w:sz="0" w:space="0" w:color="auto"/>
        <w:bottom w:val="none" w:sz="0" w:space="0" w:color="auto"/>
        <w:right w:val="none" w:sz="0" w:space="0" w:color="auto"/>
      </w:divBdr>
      <w:divsChild>
        <w:div w:id="1535801430">
          <w:marLeft w:val="0"/>
          <w:marRight w:val="0"/>
          <w:marTop w:val="180"/>
          <w:marBottom w:val="180"/>
          <w:divBdr>
            <w:top w:val="none" w:sz="0" w:space="0" w:color="auto"/>
            <w:left w:val="none" w:sz="0" w:space="0" w:color="auto"/>
            <w:bottom w:val="none" w:sz="0" w:space="0" w:color="auto"/>
            <w:right w:val="none" w:sz="0" w:space="0" w:color="auto"/>
          </w:divBdr>
        </w:div>
      </w:divsChild>
    </w:div>
    <w:div w:id="900139410">
      <w:marLeft w:val="0"/>
      <w:marRight w:val="0"/>
      <w:marTop w:val="0"/>
      <w:marBottom w:val="0"/>
      <w:divBdr>
        <w:top w:val="none" w:sz="0" w:space="0" w:color="auto"/>
        <w:left w:val="none" w:sz="0" w:space="0" w:color="auto"/>
        <w:bottom w:val="none" w:sz="0" w:space="0" w:color="auto"/>
        <w:right w:val="none" w:sz="0" w:space="0" w:color="auto"/>
      </w:divBdr>
      <w:divsChild>
        <w:div w:id="1455828633">
          <w:marLeft w:val="0"/>
          <w:marRight w:val="0"/>
          <w:marTop w:val="180"/>
          <w:marBottom w:val="180"/>
          <w:divBdr>
            <w:top w:val="none" w:sz="0" w:space="0" w:color="auto"/>
            <w:left w:val="none" w:sz="0" w:space="0" w:color="auto"/>
            <w:bottom w:val="none" w:sz="0" w:space="0" w:color="auto"/>
            <w:right w:val="none" w:sz="0" w:space="0" w:color="auto"/>
          </w:divBdr>
        </w:div>
      </w:divsChild>
    </w:div>
    <w:div w:id="906838913">
      <w:marLeft w:val="0"/>
      <w:marRight w:val="0"/>
      <w:marTop w:val="180"/>
      <w:marBottom w:val="0"/>
      <w:divBdr>
        <w:top w:val="none" w:sz="0" w:space="0" w:color="auto"/>
        <w:left w:val="none" w:sz="0" w:space="0" w:color="auto"/>
        <w:bottom w:val="none" w:sz="0" w:space="0" w:color="auto"/>
        <w:right w:val="none" w:sz="0" w:space="0" w:color="auto"/>
      </w:divBdr>
    </w:div>
    <w:div w:id="908616763">
      <w:marLeft w:val="0"/>
      <w:marRight w:val="0"/>
      <w:marTop w:val="180"/>
      <w:marBottom w:val="0"/>
      <w:divBdr>
        <w:top w:val="none" w:sz="0" w:space="0" w:color="auto"/>
        <w:left w:val="none" w:sz="0" w:space="0" w:color="auto"/>
        <w:bottom w:val="none" w:sz="0" w:space="0" w:color="auto"/>
        <w:right w:val="none" w:sz="0" w:space="0" w:color="auto"/>
      </w:divBdr>
    </w:div>
    <w:div w:id="909383664">
      <w:marLeft w:val="0"/>
      <w:marRight w:val="0"/>
      <w:marTop w:val="180"/>
      <w:marBottom w:val="0"/>
      <w:divBdr>
        <w:top w:val="none" w:sz="0" w:space="0" w:color="auto"/>
        <w:left w:val="none" w:sz="0" w:space="0" w:color="auto"/>
        <w:bottom w:val="none" w:sz="0" w:space="0" w:color="auto"/>
        <w:right w:val="none" w:sz="0" w:space="0" w:color="auto"/>
      </w:divBdr>
    </w:div>
    <w:div w:id="909508788">
      <w:marLeft w:val="0"/>
      <w:marRight w:val="0"/>
      <w:marTop w:val="180"/>
      <w:marBottom w:val="0"/>
      <w:divBdr>
        <w:top w:val="none" w:sz="0" w:space="0" w:color="auto"/>
        <w:left w:val="none" w:sz="0" w:space="0" w:color="auto"/>
        <w:bottom w:val="none" w:sz="0" w:space="0" w:color="auto"/>
        <w:right w:val="none" w:sz="0" w:space="0" w:color="auto"/>
      </w:divBdr>
    </w:div>
    <w:div w:id="920677030">
      <w:marLeft w:val="0"/>
      <w:marRight w:val="0"/>
      <w:marTop w:val="120"/>
      <w:marBottom w:val="0"/>
      <w:divBdr>
        <w:top w:val="none" w:sz="0" w:space="0" w:color="auto"/>
        <w:left w:val="none" w:sz="0" w:space="0" w:color="auto"/>
        <w:bottom w:val="none" w:sz="0" w:space="0" w:color="auto"/>
        <w:right w:val="none" w:sz="0" w:space="0" w:color="auto"/>
      </w:divBdr>
    </w:div>
    <w:div w:id="931166739">
      <w:marLeft w:val="0"/>
      <w:marRight w:val="0"/>
      <w:marTop w:val="60"/>
      <w:marBottom w:val="120"/>
      <w:divBdr>
        <w:top w:val="none" w:sz="0" w:space="0" w:color="auto"/>
        <w:left w:val="none" w:sz="0" w:space="0" w:color="auto"/>
        <w:bottom w:val="none" w:sz="0" w:space="0" w:color="auto"/>
        <w:right w:val="none" w:sz="0" w:space="0" w:color="auto"/>
      </w:divBdr>
    </w:div>
    <w:div w:id="938610017">
      <w:marLeft w:val="0"/>
      <w:marRight w:val="0"/>
      <w:marTop w:val="180"/>
      <w:marBottom w:val="0"/>
      <w:divBdr>
        <w:top w:val="none" w:sz="0" w:space="0" w:color="auto"/>
        <w:left w:val="none" w:sz="0" w:space="0" w:color="auto"/>
        <w:bottom w:val="none" w:sz="0" w:space="0" w:color="auto"/>
        <w:right w:val="none" w:sz="0" w:space="0" w:color="auto"/>
      </w:divBdr>
    </w:div>
    <w:div w:id="942497675">
      <w:marLeft w:val="0"/>
      <w:marRight w:val="0"/>
      <w:marTop w:val="180"/>
      <w:marBottom w:val="0"/>
      <w:divBdr>
        <w:top w:val="none" w:sz="0" w:space="0" w:color="auto"/>
        <w:left w:val="none" w:sz="0" w:space="0" w:color="auto"/>
        <w:bottom w:val="none" w:sz="0" w:space="0" w:color="auto"/>
        <w:right w:val="none" w:sz="0" w:space="0" w:color="auto"/>
      </w:divBdr>
    </w:div>
    <w:div w:id="946959343">
      <w:marLeft w:val="0"/>
      <w:marRight w:val="0"/>
      <w:marTop w:val="0"/>
      <w:marBottom w:val="0"/>
      <w:divBdr>
        <w:top w:val="none" w:sz="0" w:space="0" w:color="auto"/>
        <w:left w:val="none" w:sz="0" w:space="0" w:color="auto"/>
        <w:bottom w:val="none" w:sz="0" w:space="0" w:color="auto"/>
        <w:right w:val="none" w:sz="0" w:space="0" w:color="auto"/>
      </w:divBdr>
      <w:divsChild>
        <w:div w:id="212430901">
          <w:marLeft w:val="0"/>
          <w:marRight w:val="0"/>
          <w:marTop w:val="180"/>
          <w:marBottom w:val="180"/>
          <w:divBdr>
            <w:top w:val="none" w:sz="0" w:space="0" w:color="auto"/>
            <w:left w:val="none" w:sz="0" w:space="0" w:color="auto"/>
            <w:bottom w:val="none" w:sz="0" w:space="0" w:color="auto"/>
            <w:right w:val="none" w:sz="0" w:space="0" w:color="auto"/>
          </w:divBdr>
        </w:div>
      </w:divsChild>
    </w:div>
    <w:div w:id="952321871">
      <w:marLeft w:val="0"/>
      <w:marRight w:val="0"/>
      <w:marTop w:val="180"/>
      <w:marBottom w:val="0"/>
      <w:divBdr>
        <w:top w:val="none" w:sz="0" w:space="0" w:color="auto"/>
        <w:left w:val="none" w:sz="0" w:space="0" w:color="auto"/>
        <w:bottom w:val="none" w:sz="0" w:space="0" w:color="auto"/>
        <w:right w:val="none" w:sz="0" w:space="0" w:color="auto"/>
      </w:divBdr>
    </w:div>
    <w:div w:id="953288625">
      <w:marLeft w:val="0"/>
      <w:marRight w:val="0"/>
      <w:marTop w:val="0"/>
      <w:marBottom w:val="0"/>
      <w:divBdr>
        <w:top w:val="none" w:sz="0" w:space="0" w:color="auto"/>
        <w:left w:val="none" w:sz="0" w:space="0" w:color="auto"/>
        <w:bottom w:val="none" w:sz="0" w:space="0" w:color="auto"/>
        <w:right w:val="none" w:sz="0" w:space="0" w:color="auto"/>
      </w:divBdr>
      <w:divsChild>
        <w:div w:id="160854933">
          <w:marLeft w:val="0"/>
          <w:marRight w:val="0"/>
          <w:marTop w:val="0"/>
          <w:marBottom w:val="0"/>
          <w:divBdr>
            <w:top w:val="none" w:sz="0" w:space="0" w:color="auto"/>
            <w:left w:val="none" w:sz="0" w:space="0" w:color="auto"/>
            <w:bottom w:val="none" w:sz="0" w:space="0" w:color="auto"/>
            <w:right w:val="none" w:sz="0" w:space="0" w:color="auto"/>
          </w:divBdr>
          <w:divsChild>
            <w:div w:id="92349107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54756711">
      <w:marLeft w:val="0"/>
      <w:marRight w:val="0"/>
      <w:marTop w:val="120"/>
      <w:marBottom w:val="20"/>
      <w:divBdr>
        <w:top w:val="none" w:sz="0" w:space="0" w:color="auto"/>
        <w:left w:val="none" w:sz="0" w:space="0" w:color="auto"/>
        <w:bottom w:val="none" w:sz="0" w:space="0" w:color="auto"/>
        <w:right w:val="none" w:sz="0" w:space="0" w:color="auto"/>
      </w:divBdr>
    </w:div>
    <w:div w:id="962660052">
      <w:marLeft w:val="0"/>
      <w:marRight w:val="0"/>
      <w:marTop w:val="0"/>
      <w:marBottom w:val="60"/>
      <w:divBdr>
        <w:top w:val="none" w:sz="0" w:space="0" w:color="auto"/>
        <w:left w:val="none" w:sz="0" w:space="0" w:color="auto"/>
        <w:bottom w:val="none" w:sz="0" w:space="0" w:color="auto"/>
        <w:right w:val="none" w:sz="0" w:space="0" w:color="auto"/>
      </w:divBdr>
    </w:div>
    <w:div w:id="962812460">
      <w:marLeft w:val="0"/>
      <w:marRight w:val="0"/>
      <w:marTop w:val="60"/>
      <w:marBottom w:val="0"/>
      <w:divBdr>
        <w:top w:val="none" w:sz="0" w:space="0" w:color="auto"/>
        <w:left w:val="none" w:sz="0" w:space="0" w:color="auto"/>
        <w:bottom w:val="none" w:sz="0" w:space="0" w:color="auto"/>
        <w:right w:val="none" w:sz="0" w:space="0" w:color="auto"/>
      </w:divBdr>
    </w:div>
    <w:div w:id="967932232">
      <w:marLeft w:val="0"/>
      <w:marRight w:val="0"/>
      <w:marTop w:val="180"/>
      <w:marBottom w:val="0"/>
      <w:divBdr>
        <w:top w:val="none" w:sz="0" w:space="0" w:color="auto"/>
        <w:left w:val="none" w:sz="0" w:space="0" w:color="auto"/>
        <w:bottom w:val="none" w:sz="0" w:space="0" w:color="auto"/>
        <w:right w:val="none" w:sz="0" w:space="0" w:color="auto"/>
      </w:divBdr>
    </w:div>
    <w:div w:id="973563002">
      <w:marLeft w:val="0"/>
      <w:marRight w:val="0"/>
      <w:marTop w:val="180"/>
      <w:marBottom w:val="0"/>
      <w:divBdr>
        <w:top w:val="none" w:sz="0" w:space="0" w:color="auto"/>
        <w:left w:val="none" w:sz="0" w:space="0" w:color="auto"/>
        <w:bottom w:val="none" w:sz="0" w:space="0" w:color="auto"/>
        <w:right w:val="none" w:sz="0" w:space="0" w:color="auto"/>
      </w:divBdr>
    </w:div>
    <w:div w:id="975569096">
      <w:marLeft w:val="0"/>
      <w:marRight w:val="0"/>
      <w:marTop w:val="60"/>
      <w:marBottom w:val="20"/>
      <w:divBdr>
        <w:top w:val="none" w:sz="0" w:space="0" w:color="auto"/>
        <w:left w:val="none" w:sz="0" w:space="0" w:color="auto"/>
        <w:bottom w:val="none" w:sz="0" w:space="0" w:color="auto"/>
        <w:right w:val="none" w:sz="0" w:space="0" w:color="auto"/>
      </w:divBdr>
    </w:div>
    <w:div w:id="978191693">
      <w:marLeft w:val="0"/>
      <w:marRight w:val="0"/>
      <w:marTop w:val="180"/>
      <w:marBottom w:val="0"/>
      <w:divBdr>
        <w:top w:val="none" w:sz="0" w:space="0" w:color="auto"/>
        <w:left w:val="none" w:sz="0" w:space="0" w:color="auto"/>
        <w:bottom w:val="none" w:sz="0" w:space="0" w:color="auto"/>
        <w:right w:val="none" w:sz="0" w:space="0" w:color="auto"/>
      </w:divBdr>
    </w:div>
    <w:div w:id="982999298">
      <w:marLeft w:val="0"/>
      <w:marRight w:val="0"/>
      <w:marTop w:val="180"/>
      <w:marBottom w:val="0"/>
      <w:divBdr>
        <w:top w:val="none" w:sz="0" w:space="0" w:color="auto"/>
        <w:left w:val="none" w:sz="0" w:space="0" w:color="auto"/>
        <w:bottom w:val="none" w:sz="0" w:space="0" w:color="auto"/>
        <w:right w:val="none" w:sz="0" w:space="0" w:color="auto"/>
      </w:divBdr>
    </w:div>
    <w:div w:id="987903905">
      <w:marLeft w:val="0"/>
      <w:marRight w:val="0"/>
      <w:marTop w:val="180"/>
      <w:marBottom w:val="0"/>
      <w:divBdr>
        <w:top w:val="none" w:sz="0" w:space="0" w:color="auto"/>
        <w:left w:val="none" w:sz="0" w:space="0" w:color="auto"/>
        <w:bottom w:val="none" w:sz="0" w:space="0" w:color="auto"/>
        <w:right w:val="none" w:sz="0" w:space="0" w:color="auto"/>
      </w:divBdr>
    </w:div>
    <w:div w:id="990445618">
      <w:marLeft w:val="0"/>
      <w:marRight w:val="0"/>
      <w:marTop w:val="180"/>
      <w:marBottom w:val="0"/>
      <w:divBdr>
        <w:top w:val="none" w:sz="0" w:space="0" w:color="auto"/>
        <w:left w:val="none" w:sz="0" w:space="0" w:color="auto"/>
        <w:bottom w:val="none" w:sz="0" w:space="0" w:color="auto"/>
        <w:right w:val="none" w:sz="0" w:space="0" w:color="auto"/>
      </w:divBdr>
    </w:div>
    <w:div w:id="996418747">
      <w:marLeft w:val="0"/>
      <w:marRight w:val="0"/>
      <w:marTop w:val="240"/>
      <w:marBottom w:val="0"/>
      <w:divBdr>
        <w:top w:val="none" w:sz="0" w:space="0" w:color="auto"/>
        <w:left w:val="none" w:sz="0" w:space="0" w:color="auto"/>
        <w:bottom w:val="none" w:sz="0" w:space="0" w:color="auto"/>
        <w:right w:val="none" w:sz="0" w:space="0" w:color="auto"/>
      </w:divBdr>
    </w:div>
    <w:div w:id="997611469">
      <w:marLeft w:val="0"/>
      <w:marRight w:val="0"/>
      <w:marTop w:val="0"/>
      <w:marBottom w:val="0"/>
      <w:divBdr>
        <w:top w:val="none" w:sz="0" w:space="0" w:color="auto"/>
        <w:left w:val="none" w:sz="0" w:space="0" w:color="auto"/>
        <w:bottom w:val="none" w:sz="0" w:space="0" w:color="auto"/>
        <w:right w:val="none" w:sz="0" w:space="0" w:color="auto"/>
      </w:divBdr>
      <w:divsChild>
        <w:div w:id="1760520297">
          <w:marLeft w:val="0"/>
          <w:marRight w:val="0"/>
          <w:marTop w:val="180"/>
          <w:marBottom w:val="180"/>
          <w:divBdr>
            <w:top w:val="none" w:sz="0" w:space="0" w:color="auto"/>
            <w:left w:val="none" w:sz="0" w:space="0" w:color="auto"/>
            <w:bottom w:val="none" w:sz="0" w:space="0" w:color="auto"/>
            <w:right w:val="none" w:sz="0" w:space="0" w:color="auto"/>
          </w:divBdr>
        </w:div>
      </w:divsChild>
    </w:div>
    <w:div w:id="1002463855">
      <w:marLeft w:val="0"/>
      <w:marRight w:val="0"/>
      <w:marTop w:val="180"/>
      <w:marBottom w:val="0"/>
      <w:divBdr>
        <w:top w:val="none" w:sz="0" w:space="0" w:color="auto"/>
        <w:left w:val="none" w:sz="0" w:space="0" w:color="auto"/>
        <w:bottom w:val="none" w:sz="0" w:space="0" w:color="auto"/>
        <w:right w:val="none" w:sz="0" w:space="0" w:color="auto"/>
      </w:divBdr>
    </w:div>
    <w:div w:id="1007100748">
      <w:marLeft w:val="0"/>
      <w:marRight w:val="0"/>
      <w:marTop w:val="120"/>
      <w:marBottom w:val="120"/>
      <w:divBdr>
        <w:top w:val="none" w:sz="0" w:space="0" w:color="auto"/>
        <w:left w:val="none" w:sz="0" w:space="0" w:color="auto"/>
        <w:bottom w:val="none" w:sz="0" w:space="0" w:color="auto"/>
        <w:right w:val="none" w:sz="0" w:space="0" w:color="auto"/>
      </w:divBdr>
    </w:div>
    <w:div w:id="1014918213">
      <w:marLeft w:val="0"/>
      <w:marRight w:val="0"/>
      <w:marTop w:val="180"/>
      <w:marBottom w:val="0"/>
      <w:divBdr>
        <w:top w:val="none" w:sz="0" w:space="0" w:color="auto"/>
        <w:left w:val="none" w:sz="0" w:space="0" w:color="auto"/>
        <w:bottom w:val="none" w:sz="0" w:space="0" w:color="auto"/>
        <w:right w:val="none" w:sz="0" w:space="0" w:color="auto"/>
      </w:divBdr>
    </w:div>
    <w:div w:id="1016082620">
      <w:marLeft w:val="0"/>
      <w:marRight w:val="0"/>
      <w:marTop w:val="180"/>
      <w:marBottom w:val="0"/>
      <w:divBdr>
        <w:top w:val="none" w:sz="0" w:space="0" w:color="auto"/>
        <w:left w:val="none" w:sz="0" w:space="0" w:color="auto"/>
        <w:bottom w:val="none" w:sz="0" w:space="0" w:color="auto"/>
        <w:right w:val="none" w:sz="0" w:space="0" w:color="auto"/>
      </w:divBdr>
    </w:div>
    <w:div w:id="1025909665">
      <w:marLeft w:val="0"/>
      <w:marRight w:val="0"/>
      <w:marTop w:val="0"/>
      <w:marBottom w:val="0"/>
      <w:divBdr>
        <w:top w:val="none" w:sz="0" w:space="0" w:color="auto"/>
        <w:left w:val="none" w:sz="0" w:space="0" w:color="auto"/>
        <w:bottom w:val="none" w:sz="0" w:space="0" w:color="auto"/>
        <w:right w:val="none" w:sz="0" w:space="0" w:color="auto"/>
      </w:divBdr>
      <w:divsChild>
        <w:div w:id="1367830150">
          <w:marLeft w:val="0"/>
          <w:marRight w:val="0"/>
          <w:marTop w:val="180"/>
          <w:marBottom w:val="180"/>
          <w:divBdr>
            <w:top w:val="none" w:sz="0" w:space="0" w:color="auto"/>
            <w:left w:val="none" w:sz="0" w:space="0" w:color="auto"/>
            <w:bottom w:val="none" w:sz="0" w:space="0" w:color="auto"/>
            <w:right w:val="none" w:sz="0" w:space="0" w:color="auto"/>
          </w:divBdr>
        </w:div>
      </w:divsChild>
    </w:div>
    <w:div w:id="1031952910">
      <w:marLeft w:val="0"/>
      <w:marRight w:val="0"/>
      <w:marTop w:val="180"/>
      <w:marBottom w:val="0"/>
      <w:divBdr>
        <w:top w:val="none" w:sz="0" w:space="0" w:color="auto"/>
        <w:left w:val="none" w:sz="0" w:space="0" w:color="auto"/>
        <w:bottom w:val="none" w:sz="0" w:space="0" w:color="auto"/>
        <w:right w:val="none" w:sz="0" w:space="0" w:color="auto"/>
      </w:divBdr>
    </w:div>
    <w:div w:id="1037971503">
      <w:marLeft w:val="0"/>
      <w:marRight w:val="0"/>
      <w:marTop w:val="0"/>
      <w:marBottom w:val="0"/>
      <w:divBdr>
        <w:top w:val="none" w:sz="0" w:space="0" w:color="auto"/>
        <w:left w:val="none" w:sz="0" w:space="0" w:color="auto"/>
        <w:bottom w:val="none" w:sz="0" w:space="0" w:color="auto"/>
        <w:right w:val="none" w:sz="0" w:space="0" w:color="auto"/>
      </w:divBdr>
      <w:divsChild>
        <w:div w:id="37164799">
          <w:marLeft w:val="0"/>
          <w:marRight w:val="0"/>
          <w:marTop w:val="0"/>
          <w:marBottom w:val="0"/>
          <w:divBdr>
            <w:top w:val="none" w:sz="0" w:space="0" w:color="auto"/>
            <w:left w:val="none" w:sz="0" w:space="0" w:color="auto"/>
            <w:bottom w:val="none" w:sz="0" w:space="0" w:color="auto"/>
            <w:right w:val="none" w:sz="0" w:space="0" w:color="auto"/>
          </w:divBdr>
          <w:divsChild>
            <w:div w:id="6555756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39011305">
      <w:marLeft w:val="0"/>
      <w:marRight w:val="0"/>
      <w:marTop w:val="60"/>
      <w:marBottom w:val="0"/>
      <w:divBdr>
        <w:top w:val="none" w:sz="0" w:space="0" w:color="auto"/>
        <w:left w:val="none" w:sz="0" w:space="0" w:color="auto"/>
        <w:bottom w:val="none" w:sz="0" w:space="0" w:color="auto"/>
        <w:right w:val="none" w:sz="0" w:space="0" w:color="auto"/>
      </w:divBdr>
    </w:div>
    <w:div w:id="1048800536">
      <w:marLeft w:val="0"/>
      <w:marRight w:val="0"/>
      <w:marTop w:val="180"/>
      <w:marBottom w:val="0"/>
      <w:divBdr>
        <w:top w:val="none" w:sz="0" w:space="0" w:color="auto"/>
        <w:left w:val="none" w:sz="0" w:space="0" w:color="auto"/>
        <w:bottom w:val="none" w:sz="0" w:space="0" w:color="auto"/>
        <w:right w:val="none" w:sz="0" w:space="0" w:color="auto"/>
      </w:divBdr>
    </w:div>
    <w:div w:id="1049692250">
      <w:marLeft w:val="0"/>
      <w:marRight w:val="0"/>
      <w:marTop w:val="180"/>
      <w:marBottom w:val="0"/>
      <w:divBdr>
        <w:top w:val="none" w:sz="0" w:space="0" w:color="auto"/>
        <w:left w:val="none" w:sz="0" w:space="0" w:color="auto"/>
        <w:bottom w:val="none" w:sz="0" w:space="0" w:color="auto"/>
        <w:right w:val="none" w:sz="0" w:space="0" w:color="auto"/>
      </w:divBdr>
    </w:div>
    <w:div w:id="1051344899">
      <w:marLeft w:val="0"/>
      <w:marRight w:val="0"/>
      <w:marTop w:val="180"/>
      <w:marBottom w:val="0"/>
      <w:divBdr>
        <w:top w:val="none" w:sz="0" w:space="0" w:color="auto"/>
        <w:left w:val="none" w:sz="0" w:space="0" w:color="auto"/>
        <w:bottom w:val="none" w:sz="0" w:space="0" w:color="auto"/>
        <w:right w:val="none" w:sz="0" w:space="0" w:color="auto"/>
      </w:divBdr>
    </w:div>
    <w:div w:id="1051808086">
      <w:marLeft w:val="0"/>
      <w:marRight w:val="0"/>
      <w:marTop w:val="180"/>
      <w:marBottom w:val="0"/>
      <w:divBdr>
        <w:top w:val="none" w:sz="0" w:space="0" w:color="auto"/>
        <w:left w:val="none" w:sz="0" w:space="0" w:color="auto"/>
        <w:bottom w:val="none" w:sz="0" w:space="0" w:color="auto"/>
        <w:right w:val="none" w:sz="0" w:space="0" w:color="auto"/>
      </w:divBdr>
    </w:div>
    <w:div w:id="1052462443">
      <w:marLeft w:val="0"/>
      <w:marRight w:val="0"/>
      <w:marTop w:val="180"/>
      <w:marBottom w:val="0"/>
      <w:divBdr>
        <w:top w:val="none" w:sz="0" w:space="0" w:color="auto"/>
        <w:left w:val="none" w:sz="0" w:space="0" w:color="auto"/>
        <w:bottom w:val="none" w:sz="0" w:space="0" w:color="auto"/>
        <w:right w:val="none" w:sz="0" w:space="0" w:color="auto"/>
      </w:divBdr>
    </w:div>
    <w:div w:id="1057820599">
      <w:marLeft w:val="0"/>
      <w:marRight w:val="0"/>
      <w:marTop w:val="180"/>
      <w:marBottom w:val="0"/>
      <w:divBdr>
        <w:top w:val="none" w:sz="0" w:space="0" w:color="auto"/>
        <w:left w:val="none" w:sz="0" w:space="0" w:color="auto"/>
        <w:bottom w:val="none" w:sz="0" w:space="0" w:color="auto"/>
        <w:right w:val="none" w:sz="0" w:space="0" w:color="auto"/>
      </w:divBdr>
    </w:div>
    <w:div w:id="1061518948">
      <w:marLeft w:val="0"/>
      <w:marRight w:val="0"/>
      <w:marTop w:val="0"/>
      <w:marBottom w:val="0"/>
      <w:divBdr>
        <w:top w:val="none" w:sz="0" w:space="0" w:color="auto"/>
        <w:left w:val="none" w:sz="0" w:space="0" w:color="auto"/>
        <w:bottom w:val="none" w:sz="0" w:space="0" w:color="auto"/>
        <w:right w:val="none" w:sz="0" w:space="0" w:color="auto"/>
      </w:divBdr>
      <w:divsChild>
        <w:div w:id="130101533">
          <w:marLeft w:val="0"/>
          <w:marRight w:val="0"/>
          <w:marTop w:val="180"/>
          <w:marBottom w:val="180"/>
          <w:divBdr>
            <w:top w:val="none" w:sz="0" w:space="0" w:color="auto"/>
            <w:left w:val="none" w:sz="0" w:space="0" w:color="auto"/>
            <w:bottom w:val="none" w:sz="0" w:space="0" w:color="auto"/>
            <w:right w:val="none" w:sz="0" w:space="0" w:color="auto"/>
          </w:divBdr>
        </w:div>
      </w:divsChild>
    </w:div>
    <w:div w:id="1062601285">
      <w:marLeft w:val="0"/>
      <w:marRight w:val="0"/>
      <w:marTop w:val="180"/>
      <w:marBottom w:val="0"/>
      <w:divBdr>
        <w:top w:val="none" w:sz="0" w:space="0" w:color="auto"/>
        <w:left w:val="none" w:sz="0" w:space="0" w:color="auto"/>
        <w:bottom w:val="none" w:sz="0" w:space="0" w:color="auto"/>
        <w:right w:val="none" w:sz="0" w:space="0" w:color="auto"/>
      </w:divBdr>
    </w:div>
    <w:div w:id="1065108508">
      <w:marLeft w:val="0"/>
      <w:marRight w:val="0"/>
      <w:marTop w:val="180"/>
      <w:marBottom w:val="0"/>
      <w:divBdr>
        <w:top w:val="none" w:sz="0" w:space="0" w:color="auto"/>
        <w:left w:val="none" w:sz="0" w:space="0" w:color="auto"/>
        <w:bottom w:val="none" w:sz="0" w:space="0" w:color="auto"/>
        <w:right w:val="none" w:sz="0" w:space="0" w:color="auto"/>
      </w:divBdr>
    </w:div>
    <w:div w:id="1067265365">
      <w:marLeft w:val="0"/>
      <w:marRight w:val="0"/>
      <w:marTop w:val="180"/>
      <w:marBottom w:val="20"/>
      <w:divBdr>
        <w:top w:val="none" w:sz="0" w:space="0" w:color="auto"/>
        <w:left w:val="none" w:sz="0" w:space="0" w:color="auto"/>
        <w:bottom w:val="none" w:sz="0" w:space="0" w:color="auto"/>
        <w:right w:val="none" w:sz="0" w:space="0" w:color="auto"/>
      </w:divBdr>
    </w:div>
    <w:div w:id="1067608882">
      <w:marLeft w:val="0"/>
      <w:marRight w:val="0"/>
      <w:marTop w:val="180"/>
      <w:marBottom w:val="0"/>
      <w:divBdr>
        <w:top w:val="none" w:sz="0" w:space="0" w:color="auto"/>
        <w:left w:val="none" w:sz="0" w:space="0" w:color="auto"/>
        <w:bottom w:val="none" w:sz="0" w:space="0" w:color="auto"/>
        <w:right w:val="none" w:sz="0" w:space="0" w:color="auto"/>
      </w:divBdr>
    </w:div>
    <w:div w:id="1071343624">
      <w:marLeft w:val="0"/>
      <w:marRight w:val="0"/>
      <w:marTop w:val="180"/>
      <w:marBottom w:val="0"/>
      <w:divBdr>
        <w:top w:val="none" w:sz="0" w:space="0" w:color="auto"/>
        <w:left w:val="none" w:sz="0" w:space="0" w:color="auto"/>
        <w:bottom w:val="none" w:sz="0" w:space="0" w:color="auto"/>
        <w:right w:val="none" w:sz="0" w:space="0" w:color="auto"/>
      </w:divBdr>
    </w:div>
    <w:div w:id="1072628649">
      <w:marLeft w:val="0"/>
      <w:marRight w:val="0"/>
      <w:marTop w:val="160"/>
      <w:marBottom w:val="20"/>
      <w:divBdr>
        <w:top w:val="none" w:sz="0" w:space="0" w:color="auto"/>
        <w:left w:val="none" w:sz="0" w:space="0" w:color="auto"/>
        <w:bottom w:val="none" w:sz="0" w:space="0" w:color="auto"/>
        <w:right w:val="none" w:sz="0" w:space="0" w:color="auto"/>
      </w:divBdr>
    </w:div>
    <w:div w:id="1075398325">
      <w:marLeft w:val="0"/>
      <w:marRight w:val="0"/>
      <w:marTop w:val="180"/>
      <w:marBottom w:val="0"/>
      <w:divBdr>
        <w:top w:val="none" w:sz="0" w:space="0" w:color="auto"/>
        <w:left w:val="none" w:sz="0" w:space="0" w:color="auto"/>
        <w:bottom w:val="none" w:sz="0" w:space="0" w:color="auto"/>
        <w:right w:val="none" w:sz="0" w:space="0" w:color="auto"/>
      </w:divBdr>
    </w:div>
    <w:div w:id="1082290838">
      <w:marLeft w:val="0"/>
      <w:marRight w:val="0"/>
      <w:marTop w:val="120"/>
      <w:marBottom w:val="0"/>
      <w:divBdr>
        <w:top w:val="none" w:sz="0" w:space="0" w:color="auto"/>
        <w:left w:val="none" w:sz="0" w:space="0" w:color="auto"/>
        <w:bottom w:val="none" w:sz="0" w:space="0" w:color="auto"/>
        <w:right w:val="none" w:sz="0" w:space="0" w:color="auto"/>
      </w:divBdr>
    </w:div>
    <w:div w:id="1087652981">
      <w:marLeft w:val="0"/>
      <w:marRight w:val="0"/>
      <w:marTop w:val="180"/>
      <w:marBottom w:val="60"/>
      <w:divBdr>
        <w:top w:val="none" w:sz="0" w:space="0" w:color="auto"/>
        <w:left w:val="none" w:sz="0" w:space="0" w:color="auto"/>
        <w:bottom w:val="none" w:sz="0" w:space="0" w:color="auto"/>
        <w:right w:val="none" w:sz="0" w:space="0" w:color="auto"/>
      </w:divBdr>
    </w:div>
    <w:div w:id="1096053608">
      <w:marLeft w:val="0"/>
      <w:marRight w:val="0"/>
      <w:marTop w:val="180"/>
      <w:marBottom w:val="0"/>
      <w:divBdr>
        <w:top w:val="none" w:sz="0" w:space="0" w:color="auto"/>
        <w:left w:val="none" w:sz="0" w:space="0" w:color="auto"/>
        <w:bottom w:val="none" w:sz="0" w:space="0" w:color="auto"/>
        <w:right w:val="none" w:sz="0" w:space="0" w:color="auto"/>
      </w:divBdr>
    </w:div>
    <w:div w:id="1096175915">
      <w:marLeft w:val="0"/>
      <w:marRight w:val="0"/>
      <w:marTop w:val="240"/>
      <w:marBottom w:val="0"/>
      <w:divBdr>
        <w:top w:val="none" w:sz="0" w:space="0" w:color="auto"/>
        <w:left w:val="none" w:sz="0" w:space="0" w:color="auto"/>
        <w:bottom w:val="none" w:sz="0" w:space="0" w:color="auto"/>
        <w:right w:val="none" w:sz="0" w:space="0" w:color="auto"/>
      </w:divBdr>
    </w:div>
    <w:div w:id="1099789940">
      <w:marLeft w:val="0"/>
      <w:marRight w:val="0"/>
      <w:marTop w:val="180"/>
      <w:marBottom w:val="0"/>
      <w:divBdr>
        <w:top w:val="none" w:sz="0" w:space="0" w:color="auto"/>
        <w:left w:val="none" w:sz="0" w:space="0" w:color="auto"/>
        <w:bottom w:val="none" w:sz="0" w:space="0" w:color="auto"/>
        <w:right w:val="none" w:sz="0" w:space="0" w:color="auto"/>
      </w:divBdr>
    </w:div>
    <w:div w:id="1103259167">
      <w:marLeft w:val="0"/>
      <w:marRight w:val="0"/>
      <w:marTop w:val="180"/>
      <w:marBottom w:val="0"/>
      <w:divBdr>
        <w:top w:val="none" w:sz="0" w:space="0" w:color="auto"/>
        <w:left w:val="none" w:sz="0" w:space="0" w:color="auto"/>
        <w:bottom w:val="none" w:sz="0" w:space="0" w:color="auto"/>
        <w:right w:val="none" w:sz="0" w:space="0" w:color="auto"/>
      </w:divBdr>
    </w:div>
    <w:div w:id="1107430028">
      <w:marLeft w:val="0"/>
      <w:marRight w:val="0"/>
      <w:marTop w:val="180"/>
      <w:marBottom w:val="0"/>
      <w:divBdr>
        <w:top w:val="none" w:sz="0" w:space="0" w:color="auto"/>
        <w:left w:val="none" w:sz="0" w:space="0" w:color="auto"/>
        <w:bottom w:val="none" w:sz="0" w:space="0" w:color="auto"/>
        <w:right w:val="none" w:sz="0" w:space="0" w:color="auto"/>
      </w:divBdr>
    </w:div>
    <w:div w:id="1108620254">
      <w:marLeft w:val="0"/>
      <w:marRight w:val="0"/>
      <w:marTop w:val="240"/>
      <w:marBottom w:val="0"/>
      <w:divBdr>
        <w:top w:val="none" w:sz="0" w:space="0" w:color="auto"/>
        <w:left w:val="none" w:sz="0" w:space="0" w:color="auto"/>
        <w:bottom w:val="none" w:sz="0" w:space="0" w:color="auto"/>
        <w:right w:val="none" w:sz="0" w:space="0" w:color="auto"/>
      </w:divBdr>
    </w:div>
    <w:div w:id="1114330447">
      <w:marLeft w:val="0"/>
      <w:marRight w:val="0"/>
      <w:marTop w:val="180"/>
      <w:marBottom w:val="0"/>
      <w:divBdr>
        <w:top w:val="none" w:sz="0" w:space="0" w:color="auto"/>
        <w:left w:val="none" w:sz="0" w:space="0" w:color="auto"/>
        <w:bottom w:val="none" w:sz="0" w:space="0" w:color="auto"/>
        <w:right w:val="none" w:sz="0" w:space="0" w:color="auto"/>
      </w:divBdr>
    </w:div>
    <w:div w:id="1118375617">
      <w:marLeft w:val="0"/>
      <w:marRight w:val="0"/>
      <w:marTop w:val="0"/>
      <w:marBottom w:val="0"/>
      <w:divBdr>
        <w:top w:val="none" w:sz="0" w:space="0" w:color="auto"/>
        <w:left w:val="none" w:sz="0" w:space="0" w:color="auto"/>
        <w:bottom w:val="none" w:sz="0" w:space="0" w:color="auto"/>
        <w:right w:val="none" w:sz="0" w:space="0" w:color="auto"/>
      </w:divBdr>
      <w:divsChild>
        <w:div w:id="943267253">
          <w:marLeft w:val="0"/>
          <w:marRight w:val="0"/>
          <w:marTop w:val="0"/>
          <w:marBottom w:val="0"/>
          <w:divBdr>
            <w:top w:val="none" w:sz="0" w:space="0" w:color="auto"/>
            <w:left w:val="none" w:sz="0" w:space="0" w:color="auto"/>
            <w:bottom w:val="none" w:sz="0" w:space="0" w:color="auto"/>
            <w:right w:val="none" w:sz="0" w:space="0" w:color="auto"/>
          </w:divBdr>
          <w:divsChild>
            <w:div w:id="14115375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18833075">
      <w:marLeft w:val="0"/>
      <w:marRight w:val="0"/>
      <w:marTop w:val="0"/>
      <w:marBottom w:val="0"/>
      <w:divBdr>
        <w:top w:val="none" w:sz="0" w:space="0" w:color="auto"/>
        <w:left w:val="none" w:sz="0" w:space="0" w:color="auto"/>
        <w:bottom w:val="none" w:sz="0" w:space="0" w:color="auto"/>
        <w:right w:val="none" w:sz="0" w:space="0" w:color="auto"/>
      </w:divBdr>
      <w:divsChild>
        <w:div w:id="1260026460">
          <w:marLeft w:val="0"/>
          <w:marRight w:val="0"/>
          <w:marTop w:val="0"/>
          <w:marBottom w:val="0"/>
          <w:divBdr>
            <w:top w:val="none" w:sz="0" w:space="0" w:color="auto"/>
            <w:left w:val="none" w:sz="0" w:space="0" w:color="auto"/>
            <w:bottom w:val="none" w:sz="0" w:space="0" w:color="auto"/>
            <w:right w:val="none" w:sz="0" w:space="0" w:color="auto"/>
          </w:divBdr>
          <w:divsChild>
            <w:div w:id="148963708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24618825">
      <w:marLeft w:val="0"/>
      <w:marRight w:val="0"/>
      <w:marTop w:val="180"/>
      <w:marBottom w:val="0"/>
      <w:divBdr>
        <w:top w:val="none" w:sz="0" w:space="0" w:color="auto"/>
        <w:left w:val="none" w:sz="0" w:space="0" w:color="auto"/>
        <w:bottom w:val="none" w:sz="0" w:space="0" w:color="auto"/>
        <w:right w:val="none" w:sz="0" w:space="0" w:color="auto"/>
      </w:divBdr>
    </w:div>
    <w:div w:id="1135679878">
      <w:marLeft w:val="0"/>
      <w:marRight w:val="0"/>
      <w:marTop w:val="180"/>
      <w:marBottom w:val="0"/>
      <w:divBdr>
        <w:top w:val="none" w:sz="0" w:space="0" w:color="auto"/>
        <w:left w:val="none" w:sz="0" w:space="0" w:color="auto"/>
        <w:bottom w:val="none" w:sz="0" w:space="0" w:color="auto"/>
        <w:right w:val="none" w:sz="0" w:space="0" w:color="auto"/>
      </w:divBdr>
    </w:div>
    <w:div w:id="1151487449">
      <w:marLeft w:val="0"/>
      <w:marRight w:val="0"/>
      <w:marTop w:val="240"/>
      <w:marBottom w:val="0"/>
      <w:divBdr>
        <w:top w:val="none" w:sz="0" w:space="0" w:color="auto"/>
        <w:left w:val="none" w:sz="0" w:space="0" w:color="auto"/>
        <w:bottom w:val="none" w:sz="0" w:space="0" w:color="auto"/>
        <w:right w:val="none" w:sz="0" w:space="0" w:color="auto"/>
      </w:divBdr>
    </w:div>
    <w:div w:id="1156609707">
      <w:marLeft w:val="0"/>
      <w:marRight w:val="0"/>
      <w:marTop w:val="180"/>
      <w:marBottom w:val="0"/>
      <w:divBdr>
        <w:top w:val="none" w:sz="0" w:space="0" w:color="auto"/>
        <w:left w:val="none" w:sz="0" w:space="0" w:color="auto"/>
        <w:bottom w:val="none" w:sz="0" w:space="0" w:color="auto"/>
        <w:right w:val="none" w:sz="0" w:space="0" w:color="auto"/>
      </w:divBdr>
    </w:div>
    <w:div w:id="1156804926">
      <w:marLeft w:val="0"/>
      <w:marRight w:val="0"/>
      <w:marTop w:val="180"/>
      <w:marBottom w:val="0"/>
      <w:divBdr>
        <w:top w:val="none" w:sz="0" w:space="0" w:color="auto"/>
        <w:left w:val="none" w:sz="0" w:space="0" w:color="auto"/>
        <w:bottom w:val="none" w:sz="0" w:space="0" w:color="auto"/>
        <w:right w:val="none" w:sz="0" w:space="0" w:color="auto"/>
      </w:divBdr>
    </w:div>
    <w:div w:id="1159152455">
      <w:marLeft w:val="0"/>
      <w:marRight w:val="0"/>
      <w:marTop w:val="60"/>
      <w:marBottom w:val="0"/>
      <w:divBdr>
        <w:top w:val="none" w:sz="0" w:space="0" w:color="auto"/>
        <w:left w:val="none" w:sz="0" w:space="0" w:color="auto"/>
        <w:bottom w:val="none" w:sz="0" w:space="0" w:color="auto"/>
        <w:right w:val="none" w:sz="0" w:space="0" w:color="auto"/>
      </w:divBdr>
    </w:div>
    <w:div w:id="1162622220">
      <w:marLeft w:val="0"/>
      <w:marRight w:val="0"/>
      <w:marTop w:val="180"/>
      <w:marBottom w:val="0"/>
      <w:divBdr>
        <w:top w:val="none" w:sz="0" w:space="0" w:color="auto"/>
        <w:left w:val="none" w:sz="0" w:space="0" w:color="auto"/>
        <w:bottom w:val="none" w:sz="0" w:space="0" w:color="auto"/>
        <w:right w:val="none" w:sz="0" w:space="0" w:color="auto"/>
      </w:divBdr>
    </w:div>
    <w:div w:id="1163155606">
      <w:marLeft w:val="0"/>
      <w:marRight w:val="0"/>
      <w:marTop w:val="0"/>
      <w:marBottom w:val="0"/>
      <w:divBdr>
        <w:top w:val="none" w:sz="0" w:space="0" w:color="auto"/>
        <w:left w:val="none" w:sz="0" w:space="0" w:color="auto"/>
        <w:bottom w:val="none" w:sz="0" w:space="0" w:color="auto"/>
        <w:right w:val="none" w:sz="0" w:space="0" w:color="auto"/>
      </w:divBdr>
      <w:divsChild>
        <w:div w:id="1908950246">
          <w:marLeft w:val="0"/>
          <w:marRight w:val="0"/>
          <w:marTop w:val="0"/>
          <w:marBottom w:val="0"/>
          <w:divBdr>
            <w:top w:val="none" w:sz="0" w:space="0" w:color="auto"/>
            <w:left w:val="none" w:sz="0" w:space="0" w:color="auto"/>
            <w:bottom w:val="none" w:sz="0" w:space="0" w:color="auto"/>
            <w:right w:val="none" w:sz="0" w:space="0" w:color="auto"/>
          </w:divBdr>
          <w:divsChild>
            <w:div w:id="75886654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74340094">
      <w:marLeft w:val="0"/>
      <w:marRight w:val="0"/>
      <w:marTop w:val="0"/>
      <w:marBottom w:val="0"/>
      <w:divBdr>
        <w:top w:val="none" w:sz="0" w:space="0" w:color="auto"/>
        <w:left w:val="none" w:sz="0" w:space="0" w:color="auto"/>
        <w:bottom w:val="none" w:sz="0" w:space="0" w:color="auto"/>
        <w:right w:val="none" w:sz="0" w:space="0" w:color="auto"/>
      </w:divBdr>
      <w:divsChild>
        <w:div w:id="1497497728">
          <w:marLeft w:val="0"/>
          <w:marRight w:val="0"/>
          <w:marTop w:val="0"/>
          <w:marBottom w:val="0"/>
          <w:divBdr>
            <w:top w:val="none" w:sz="0" w:space="0" w:color="auto"/>
            <w:left w:val="none" w:sz="0" w:space="0" w:color="auto"/>
            <w:bottom w:val="none" w:sz="0" w:space="0" w:color="auto"/>
            <w:right w:val="none" w:sz="0" w:space="0" w:color="auto"/>
          </w:divBdr>
          <w:divsChild>
            <w:div w:id="107049394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76964133">
      <w:marLeft w:val="0"/>
      <w:marRight w:val="0"/>
      <w:marTop w:val="180"/>
      <w:marBottom w:val="0"/>
      <w:divBdr>
        <w:top w:val="none" w:sz="0" w:space="0" w:color="auto"/>
        <w:left w:val="none" w:sz="0" w:space="0" w:color="auto"/>
        <w:bottom w:val="none" w:sz="0" w:space="0" w:color="auto"/>
        <w:right w:val="none" w:sz="0" w:space="0" w:color="auto"/>
      </w:divBdr>
    </w:div>
    <w:div w:id="1180126163">
      <w:marLeft w:val="0"/>
      <w:marRight w:val="0"/>
      <w:marTop w:val="60"/>
      <w:marBottom w:val="20"/>
      <w:divBdr>
        <w:top w:val="none" w:sz="0" w:space="0" w:color="auto"/>
        <w:left w:val="none" w:sz="0" w:space="0" w:color="auto"/>
        <w:bottom w:val="none" w:sz="0" w:space="0" w:color="auto"/>
        <w:right w:val="none" w:sz="0" w:space="0" w:color="auto"/>
      </w:divBdr>
    </w:div>
    <w:div w:id="1183586690">
      <w:marLeft w:val="0"/>
      <w:marRight w:val="0"/>
      <w:marTop w:val="0"/>
      <w:marBottom w:val="0"/>
      <w:divBdr>
        <w:top w:val="none" w:sz="0" w:space="0" w:color="auto"/>
        <w:left w:val="none" w:sz="0" w:space="0" w:color="auto"/>
        <w:bottom w:val="none" w:sz="0" w:space="0" w:color="auto"/>
        <w:right w:val="none" w:sz="0" w:space="0" w:color="auto"/>
      </w:divBdr>
      <w:divsChild>
        <w:div w:id="696007282">
          <w:marLeft w:val="0"/>
          <w:marRight w:val="0"/>
          <w:marTop w:val="180"/>
          <w:marBottom w:val="0"/>
          <w:divBdr>
            <w:top w:val="none" w:sz="0" w:space="0" w:color="auto"/>
            <w:left w:val="none" w:sz="0" w:space="0" w:color="auto"/>
            <w:bottom w:val="none" w:sz="0" w:space="0" w:color="auto"/>
            <w:right w:val="none" w:sz="0" w:space="0" w:color="auto"/>
          </w:divBdr>
        </w:div>
      </w:divsChild>
    </w:div>
    <w:div w:id="1184633617">
      <w:marLeft w:val="0"/>
      <w:marRight w:val="0"/>
      <w:marTop w:val="60"/>
      <w:marBottom w:val="0"/>
      <w:divBdr>
        <w:top w:val="none" w:sz="0" w:space="0" w:color="auto"/>
        <w:left w:val="none" w:sz="0" w:space="0" w:color="auto"/>
        <w:bottom w:val="none" w:sz="0" w:space="0" w:color="auto"/>
        <w:right w:val="none" w:sz="0" w:space="0" w:color="auto"/>
      </w:divBdr>
    </w:div>
    <w:div w:id="1188371825">
      <w:marLeft w:val="0"/>
      <w:marRight w:val="0"/>
      <w:marTop w:val="240"/>
      <w:marBottom w:val="0"/>
      <w:divBdr>
        <w:top w:val="none" w:sz="0" w:space="0" w:color="auto"/>
        <w:left w:val="none" w:sz="0" w:space="0" w:color="auto"/>
        <w:bottom w:val="none" w:sz="0" w:space="0" w:color="auto"/>
        <w:right w:val="none" w:sz="0" w:space="0" w:color="auto"/>
      </w:divBdr>
    </w:div>
    <w:div w:id="1190141326">
      <w:marLeft w:val="0"/>
      <w:marRight w:val="0"/>
      <w:marTop w:val="0"/>
      <w:marBottom w:val="0"/>
      <w:divBdr>
        <w:top w:val="none" w:sz="0" w:space="0" w:color="auto"/>
        <w:left w:val="none" w:sz="0" w:space="0" w:color="auto"/>
        <w:bottom w:val="none" w:sz="0" w:space="0" w:color="auto"/>
        <w:right w:val="none" w:sz="0" w:space="0" w:color="auto"/>
      </w:divBdr>
      <w:divsChild>
        <w:div w:id="1666932551">
          <w:marLeft w:val="0"/>
          <w:marRight w:val="0"/>
          <w:marTop w:val="180"/>
          <w:marBottom w:val="180"/>
          <w:divBdr>
            <w:top w:val="none" w:sz="0" w:space="0" w:color="auto"/>
            <w:left w:val="none" w:sz="0" w:space="0" w:color="auto"/>
            <w:bottom w:val="none" w:sz="0" w:space="0" w:color="auto"/>
            <w:right w:val="none" w:sz="0" w:space="0" w:color="auto"/>
          </w:divBdr>
        </w:div>
      </w:divsChild>
    </w:div>
    <w:div w:id="1191147311">
      <w:marLeft w:val="0"/>
      <w:marRight w:val="0"/>
      <w:marTop w:val="180"/>
      <w:marBottom w:val="0"/>
      <w:divBdr>
        <w:top w:val="none" w:sz="0" w:space="0" w:color="auto"/>
        <w:left w:val="none" w:sz="0" w:space="0" w:color="auto"/>
        <w:bottom w:val="none" w:sz="0" w:space="0" w:color="auto"/>
        <w:right w:val="none" w:sz="0" w:space="0" w:color="auto"/>
      </w:divBdr>
    </w:div>
    <w:div w:id="1191869451">
      <w:marLeft w:val="0"/>
      <w:marRight w:val="0"/>
      <w:marTop w:val="180"/>
      <w:marBottom w:val="0"/>
      <w:divBdr>
        <w:top w:val="none" w:sz="0" w:space="0" w:color="auto"/>
        <w:left w:val="none" w:sz="0" w:space="0" w:color="auto"/>
        <w:bottom w:val="none" w:sz="0" w:space="0" w:color="auto"/>
        <w:right w:val="none" w:sz="0" w:space="0" w:color="auto"/>
      </w:divBdr>
    </w:div>
    <w:div w:id="1193153004">
      <w:marLeft w:val="0"/>
      <w:marRight w:val="0"/>
      <w:marTop w:val="60"/>
      <w:marBottom w:val="0"/>
      <w:divBdr>
        <w:top w:val="none" w:sz="0" w:space="0" w:color="auto"/>
        <w:left w:val="none" w:sz="0" w:space="0" w:color="auto"/>
        <w:bottom w:val="none" w:sz="0" w:space="0" w:color="auto"/>
        <w:right w:val="none" w:sz="0" w:space="0" w:color="auto"/>
      </w:divBdr>
    </w:div>
    <w:div w:id="1194656261">
      <w:marLeft w:val="0"/>
      <w:marRight w:val="0"/>
      <w:marTop w:val="180"/>
      <w:marBottom w:val="0"/>
      <w:divBdr>
        <w:top w:val="none" w:sz="0" w:space="0" w:color="auto"/>
        <w:left w:val="none" w:sz="0" w:space="0" w:color="auto"/>
        <w:bottom w:val="none" w:sz="0" w:space="0" w:color="auto"/>
        <w:right w:val="none" w:sz="0" w:space="0" w:color="auto"/>
      </w:divBdr>
    </w:div>
    <w:div w:id="1196046445">
      <w:marLeft w:val="0"/>
      <w:marRight w:val="0"/>
      <w:marTop w:val="240"/>
      <w:marBottom w:val="0"/>
      <w:divBdr>
        <w:top w:val="none" w:sz="0" w:space="0" w:color="auto"/>
        <w:left w:val="none" w:sz="0" w:space="0" w:color="auto"/>
        <w:bottom w:val="none" w:sz="0" w:space="0" w:color="auto"/>
        <w:right w:val="none" w:sz="0" w:space="0" w:color="auto"/>
      </w:divBdr>
    </w:div>
    <w:div w:id="1197891981">
      <w:marLeft w:val="0"/>
      <w:marRight w:val="0"/>
      <w:marTop w:val="0"/>
      <w:marBottom w:val="0"/>
      <w:divBdr>
        <w:top w:val="none" w:sz="0" w:space="0" w:color="auto"/>
        <w:left w:val="none" w:sz="0" w:space="0" w:color="auto"/>
        <w:bottom w:val="none" w:sz="0" w:space="0" w:color="auto"/>
        <w:right w:val="none" w:sz="0" w:space="0" w:color="auto"/>
      </w:divBdr>
      <w:divsChild>
        <w:div w:id="1585609088">
          <w:marLeft w:val="0"/>
          <w:marRight w:val="0"/>
          <w:marTop w:val="0"/>
          <w:marBottom w:val="0"/>
          <w:divBdr>
            <w:top w:val="none" w:sz="0" w:space="0" w:color="auto"/>
            <w:left w:val="none" w:sz="0" w:space="0" w:color="auto"/>
            <w:bottom w:val="none" w:sz="0" w:space="0" w:color="auto"/>
            <w:right w:val="none" w:sz="0" w:space="0" w:color="auto"/>
          </w:divBdr>
          <w:divsChild>
            <w:div w:id="199290844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06140805">
      <w:marLeft w:val="0"/>
      <w:marRight w:val="0"/>
      <w:marTop w:val="0"/>
      <w:marBottom w:val="0"/>
      <w:divBdr>
        <w:top w:val="none" w:sz="0" w:space="0" w:color="auto"/>
        <w:left w:val="none" w:sz="0" w:space="0" w:color="auto"/>
        <w:bottom w:val="none" w:sz="0" w:space="0" w:color="auto"/>
        <w:right w:val="none" w:sz="0" w:space="0" w:color="auto"/>
      </w:divBdr>
    </w:div>
    <w:div w:id="1209487063">
      <w:marLeft w:val="0"/>
      <w:marRight w:val="0"/>
      <w:marTop w:val="180"/>
      <w:marBottom w:val="0"/>
      <w:divBdr>
        <w:top w:val="none" w:sz="0" w:space="0" w:color="auto"/>
        <w:left w:val="none" w:sz="0" w:space="0" w:color="auto"/>
        <w:bottom w:val="none" w:sz="0" w:space="0" w:color="auto"/>
        <w:right w:val="none" w:sz="0" w:space="0" w:color="auto"/>
      </w:divBdr>
    </w:div>
    <w:div w:id="1220097210">
      <w:marLeft w:val="0"/>
      <w:marRight w:val="0"/>
      <w:marTop w:val="180"/>
      <w:marBottom w:val="0"/>
      <w:divBdr>
        <w:top w:val="none" w:sz="0" w:space="0" w:color="auto"/>
        <w:left w:val="none" w:sz="0" w:space="0" w:color="auto"/>
        <w:bottom w:val="none" w:sz="0" w:space="0" w:color="auto"/>
        <w:right w:val="none" w:sz="0" w:space="0" w:color="auto"/>
      </w:divBdr>
    </w:div>
    <w:div w:id="1224098433">
      <w:marLeft w:val="0"/>
      <w:marRight w:val="0"/>
      <w:marTop w:val="120"/>
      <w:marBottom w:val="0"/>
      <w:divBdr>
        <w:top w:val="none" w:sz="0" w:space="0" w:color="auto"/>
        <w:left w:val="none" w:sz="0" w:space="0" w:color="auto"/>
        <w:bottom w:val="none" w:sz="0" w:space="0" w:color="auto"/>
        <w:right w:val="none" w:sz="0" w:space="0" w:color="auto"/>
      </w:divBdr>
    </w:div>
    <w:div w:id="1227062764">
      <w:marLeft w:val="0"/>
      <w:marRight w:val="0"/>
      <w:marTop w:val="180"/>
      <w:marBottom w:val="0"/>
      <w:divBdr>
        <w:top w:val="none" w:sz="0" w:space="0" w:color="auto"/>
        <w:left w:val="none" w:sz="0" w:space="0" w:color="auto"/>
        <w:bottom w:val="none" w:sz="0" w:space="0" w:color="auto"/>
        <w:right w:val="none" w:sz="0" w:space="0" w:color="auto"/>
      </w:divBdr>
    </w:div>
    <w:div w:id="1230463372">
      <w:marLeft w:val="0"/>
      <w:marRight w:val="0"/>
      <w:marTop w:val="180"/>
      <w:marBottom w:val="0"/>
      <w:divBdr>
        <w:top w:val="none" w:sz="0" w:space="0" w:color="auto"/>
        <w:left w:val="none" w:sz="0" w:space="0" w:color="auto"/>
        <w:bottom w:val="none" w:sz="0" w:space="0" w:color="auto"/>
        <w:right w:val="none" w:sz="0" w:space="0" w:color="auto"/>
      </w:divBdr>
    </w:div>
    <w:div w:id="1234662822">
      <w:marLeft w:val="0"/>
      <w:marRight w:val="0"/>
      <w:marTop w:val="180"/>
      <w:marBottom w:val="0"/>
      <w:divBdr>
        <w:top w:val="none" w:sz="0" w:space="0" w:color="auto"/>
        <w:left w:val="none" w:sz="0" w:space="0" w:color="auto"/>
        <w:bottom w:val="none" w:sz="0" w:space="0" w:color="auto"/>
        <w:right w:val="none" w:sz="0" w:space="0" w:color="auto"/>
      </w:divBdr>
    </w:div>
    <w:div w:id="1237469665">
      <w:marLeft w:val="0"/>
      <w:marRight w:val="0"/>
      <w:marTop w:val="180"/>
      <w:marBottom w:val="0"/>
      <w:divBdr>
        <w:top w:val="none" w:sz="0" w:space="0" w:color="auto"/>
        <w:left w:val="none" w:sz="0" w:space="0" w:color="auto"/>
        <w:bottom w:val="none" w:sz="0" w:space="0" w:color="auto"/>
        <w:right w:val="none" w:sz="0" w:space="0" w:color="auto"/>
      </w:divBdr>
    </w:div>
    <w:div w:id="1240210864">
      <w:marLeft w:val="0"/>
      <w:marRight w:val="0"/>
      <w:marTop w:val="0"/>
      <w:marBottom w:val="0"/>
      <w:divBdr>
        <w:top w:val="none" w:sz="0" w:space="0" w:color="auto"/>
        <w:left w:val="none" w:sz="0" w:space="0" w:color="auto"/>
        <w:bottom w:val="none" w:sz="0" w:space="0" w:color="auto"/>
        <w:right w:val="none" w:sz="0" w:space="0" w:color="auto"/>
      </w:divBdr>
      <w:divsChild>
        <w:div w:id="1294822616">
          <w:marLeft w:val="0"/>
          <w:marRight w:val="0"/>
          <w:marTop w:val="0"/>
          <w:marBottom w:val="0"/>
          <w:divBdr>
            <w:top w:val="none" w:sz="0" w:space="0" w:color="auto"/>
            <w:left w:val="none" w:sz="0" w:space="0" w:color="auto"/>
            <w:bottom w:val="none" w:sz="0" w:space="0" w:color="auto"/>
            <w:right w:val="none" w:sz="0" w:space="0" w:color="auto"/>
          </w:divBdr>
          <w:divsChild>
            <w:div w:id="194642761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42645162">
      <w:marLeft w:val="0"/>
      <w:marRight w:val="0"/>
      <w:marTop w:val="180"/>
      <w:marBottom w:val="120"/>
      <w:divBdr>
        <w:top w:val="none" w:sz="0" w:space="0" w:color="auto"/>
        <w:left w:val="none" w:sz="0" w:space="0" w:color="auto"/>
        <w:bottom w:val="none" w:sz="0" w:space="0" w:color="auto"/>
        <w:right w:val="none" w:sz="0" w:space="0" w:color="auto"/>
      </w:divBdr>
    </w:div>
    <w:div w:id="1244098837">
      <w:marLeft w:val="0"/>
      <w:marRight w:val="0"/>
      <w:marTop w:val="180"/>
      <w:marBottom w:val="0"/>
      <w:divBdr>
        <w:top w:val="none" w:sz="0" w:space="0" w:color="auto"/>
        <w:left w:val="none" w:sz="0" w:space="0" w:color="auto"/>
        <w:bottom w:val="none" w:sz="0" w:space="0" w:color="auto"/>
        <w:right w:val="none" w:sz="0" w:space="0" w:color="auto"/>
      </w:divBdr>
    </w:div>
    <w:div w:id="1246383499">
      <w:marLeft w:val="0"/>
      <w:marRight w:val="0"/>
      <w:marTop w:val="140"/>
      <w:marBottom w:val="180"/>
      <w:divBdr>
        <w:top w:val="none" w:sz="0" w:space="0" w:color="auto"/>
        <w:left w:val="none" w:sz="0" w:space="0" w:color="auto"/>
        <w:bottom w:val="none" w:sz="0" w:space="0" w:color="auto"/>
        <w:right w:val="none" w:sz="0" w:space="0" w:color="auto"/>
      </w:divBdr>
    </w:div>
    <w:div w:id="1248153488">
      <w:marLeft w:val="0"/>
      <w:marRight w:val="0"/>
      <w:marTop w:val="180"/>
      <w:marBottom w:val="0"/>
      <w:divBdr>
        <w:top w:val="none" w:sz="0" w:space="0" w:color="auto"/>
        <w:left w:val="none" w:sz="0" w:space="0" w:color="auto"/>
        <w:bottom w:val="none" w:sz="0" w:space="0" w:color="auto"/>
        <w:right w:val="none" w:sz="0" w:space="0" w:color="auto"/>
      </w:divBdr>
    </w:div>
    <w:div w:id="1251160541">
      <w:marLeft w:val="0"/>
      <w:marRight w:val="0"/>
      <w:marTop w:val="120"/>
      <w:marBottom w:val="20"/>
      <w:divBdr>
        <w:top w:val="none" w:sz="0" w:space="0" w:color="auto"/>
        <w:left w:val="none" w:sz="0" w:space="0" w:color="auto"/>
        <w:bottom w:val="none" w:sz="0" w:space="0" w:color="auto"/>
        <w:right w:val="none" w:sz="0" w:space="0" w:color="auto"/>
      </w:divBdr>
    </w:div>
    <w:div w:id="1254049882">
      <w:marLeft w:val="0"/>
      <w:marRight w:val="0"/>
      <w:marTop w:val="0"/>
      <w:marBottom w:val="0"/>
      <w:divBdr>
        <w:top w:val="none" w:sz="0" w:space="0" w:color="auto"/>
        <w:left w:val="none" w:sz="0" w:space="0" w:color="auto"/>
        <w:bottom w:val="none" w:sz="0" w:space="0" w:color="auto"/>
        <w:right w:val="none" w:sz="0" w:space="0" w:color="auto"/>
      </w:divBdr>
      <w:divsChild>
        <w:div w:id="2032877651">
          <w:marLeft w:val="0"/>
          <w:marRight w:val="0"/>
          <w:marTop w:val="0"/>
          <w:marBottom w:val="0"/>
          <w:divBdr>
            <w:top w:val="none" w:sz="0" w:space="0" w:color="auto"/>
            <w:left w:val="none" w:sz="0" w:space="0" w:color="auto"/>
            <w:bottom w:val="none" w:sz="0" w:space="0" w:color="auto"/>
            <w:right w:val="none" w:sz="0" w:space="0" w:color="auto"/>
          </w:divBdr>
          <w:divsChild>
            <w:div w:id="79135981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54125307">
      <w:marLeft w:val="0"/>
      <w:marRight w:val="0"/>
      <w:marTop w:val="240"/>
      <w:marBottom w:val="0"/>
      <w:divBdr>
        <w:top w:val="none" w:sz="0" w:space="0" w:color="auto"/>
        <w:left w:val="none" w:sz="0" w:space="0" w:color="auto"/>
        <w:bottom w:val="none" w:sz="0" w:space="0" w:color="auto"/>
        <w:right w:val="none" w:sz="0" w:space="0" w:color="auto"/>
      </w:divBdr>
    </w:div>
    <w:div w:id="1260680919">
      <w:marLeft w:val="0"/>
      <w:marRight w:val="0"/>
      <w:marTop w:val="180"/>
      <w:marBottom w:val="0"/>
      <w:divBdr>
        <w:top w:val="none" w:sz="0" w:space="0" w:color="auto"/>
        <w:left w:val="none" w:sz="0" w:space="0" w:color="auto"/>
        <w:bottom w:val="none" w:sz="0" w:space="0" w:color="auto"/>
        <w:right w:val="none" w:sz="0" w:space="0" w:color="auto"/>
      </w:divBdr>
    </w:div>
    <w:div w:id="1262760333">
      <w:marLeft w:val="0"/>
      <w:marRight w:val="0"/>
      <w:marTop w:val="180"/>
      <w:marBottom w:val="0"/>
      <w:divBdr>
        <w:top w:val="none" w:sz="0" w:space="0" w:color="auto"/>
        <w:left w:val="none" w:sz="0" w:space="0" w:color="auto"/>
        <w:bottom w:val="none" w:sz="0" w:space="0" w:color="auto"/>
        <w:right w:val="none" w:sz="0" w:space="0" w:color="auto"/>
      </w:divBdr>
    </w:div>
    <w:div w:id="1273127419">
      <w:marLeft w:val="0"/>
      <w:marRight w:val="0"/>
      <w:marTop w:val="60"/>
      <w:marBottom w:val="20"/>
      <w:divBdr>
        <w:top w:val="none" w:sz="0" w:space="0" w:color="auto"/>
        <w:left w:val="none" w:sz="0" w:space="0" w:color="auto"/>
        <w:bottom w:val="none" w:sz="0" w:space="0" w:color="auto"/>
        <w:right w:val="none" w:sz="0" w:space="0" w:color="auto"/>
      </w:divBdr>
    </w:div>
    <w:div w:id="1277560757">
      <w:marLeft w:val="0"/>
      <w:marRight w:val="0"/>
      <w:marTop w:val="180"/>
      <w:marBottom w:val="0"/>
      <w:divBdr>
        <w:top w:val="none" w:sz="0" w:space="0" w:color="auto"/>
        <w:left w:val="none" w:sz="0" w:space="0" w:color="auto"/>
        <w:bottom w:val="none" w:sz="0" w:space="0" w:color="auto"/>
        <w:right w:val="none" w:sz="0" w:space="0" w:color="auto"/>
      </w:divBdr>
    </w:div>
    <w:div w:id="1280988233">
      <w:marLeft w:val="0"/>
      <w:marRight w:val="0"/>
      <w:marTop w:val="60"/>
      <w:marBottom w:val="20"/>
      <w:divBdr>
        <w:top w:val="none" w:sz="0" w:space="0" w:color="auto"/>
        <w:left w:val="none" w:sz="0" w:space="0" w:color="auto"/>
        <w:bottom w:val="none" w:sz="0" w:space="0" w:color="auto"/>
        <w:right w:val="none" w:sz="0" w:space="0" w:color="auto"/>
      </w:divBdr>
      <w:divsChild>
        <w:div w:id="964963452">
          <w:marLeft w:val="0"/>
          <w:marRight w:val="0"/>
          <w:marTop w:val="0"/>
          <w:marBottom w:val="0"/>
          <w:divBdr>
            <w:top w:val="none" w:sz="0" w:space="0" w:color="auto"/>
            <w:left w:val="none" w:sz="0" w:space="0" w:color="auto"/>
            <w:bottom w:val="none" w:sz="0" w:space="0" w:color="auto"/>
            <w:right w:val="none" w:sz="0" w:space="0" w:color="auto"/>
          </w:divBdr>
        </w:div>
        <w:div w:id="722100057">
          <w:marLeft w:val="0"/>
          <w:marRight w:val="0"/>
          <w:marTop w:val="0"/>
          <w:marBottom w:val="0"/>
          <w:divBdr>
            <w:top w:val="none" w:sz="0" w:space="0" w:color="auto"/>
            <w:left w:val="none" w:sz="0" w:space="0" w:color="auto"/>
            <w:bottom w:val="none" w:sz="0" w:space="0" w:color="auto"/>
            <w:right w:val="none" w:sz="0" w:space="0" w:color="auto"/>
          </w:divBdr>
        </w:div>
        <w:div w:id="1977055880">
          <w:marLeft w:val="0"/>
          <w:marRight w:val="0"/>
          <w:marTop w:val="0"/>
          <w:marBottom w:val="0"/>
          <w:divBdr>
            <w:top w:val="none" w:sz="0" w:space="0" w:color="auto"/>
            <w:left w:val="none" w:sz="0" w:space="0" w:color="auto"/>
            <w:bottom w:val="none" w:sz="0" w:space="0" w:color="auto"/>
            <w:right w:val="none" w:sz="0" w:space="0" w:color="auto"/>
          </w:divBdr>
        </w:div>
        <w:div w:id="1454638298">
          <w:marLeft w:val="0"/>
          <w:marRight w:val="0"/>
          <w:marTop w:val="0"/>
          <w:marBottom w:val="0"/>
          <w:divBdr>
            <w:top w:val="none" w:sz="0" w:space="0" w:color="auto"/>
            <w:left w:val="none" w:sz="0" w:space="0" w:color="auto"/>
            <w:bottom w:val="none" w:sz="0" w:space="0" w:color="auto"/>
            <w:right w:val="none" w:sz="0" w:space="0" w:color="auto"/>
          </w:divBdr>
        </w:div>
        <w:div w:id="667710440">
          <w:marLeft w:val="0"/>
          <w:marRight w:val="0"/>
          <w:marTop w:val="0"/>
          <w:marBottom w:val="0"/>
          <w:divBdr>
            <w:top w:val="none" w:sz="0" w:space="0" w:color="auto"/>
            <w:left w:val="none" w:sz="0" w:space="0" w:color="auto"/>
            <w:bottom w:val="none" w:sz="0" w:space="0" w:color="auto"/>
            <w:right w:val="none" w:sz="0" w:space="0" w:color="auto"/>
          </w:divBdr>
        </w:div>
      </w:divsChild>
    </w:div>
    <w:div w:id="1289355716">
      <w:marLeft w:val="0"/>
      <w:marRight w:val="0"/>
      <w:marTop w:val="120"/>
      <w:marBottom w:val="120"/>
      <w:divBdr>
        <w:top w:val="none" w:sz="0" w:space="0" w:color="auto"/>
        <w:left w:val="none" w:sz="0" w:space="0" w:color="auto"/>
        <w:bottom w:val="none" w:sz="0" w:space="0" w:color="auto"/>
        <w:right w:val="none" w:sz="0" w:space="0" w:color="auto"/>
      </w:divBdr>
    </w:div>
    <w:div w:id="1289429893">
      <w:marLeft w:val="0"/>
      <w:marRight w:val="0"/>
      <w:marTop w:val="180"/>
      <w:marBottom w:val="0"/>
      <w:divBdr>
        <w:top w:val="none" w:sz="0" w:space="0" w:color="auto"/>
        <w:left w:val="none" w:sz="0" w:space="0" w:color="auto"/>
        <w:bottom w:val="none" w:sz="0" w:space="0" w:color="auto"/>
        <w:right w:val="none" w:sz="0" w:space="0" w:color="auto"/>
      </w:divBdr>
    </w:div>
    <w:div w:id="1302930561">
      <w:marLeft w:val="0"/>
      <w:marRight w:val="0"/>
      <w:marTop w:val="0"/>
      <w:marBottom w:val="0"/>
      <w:divBdr>
        <w:top w:val="none" w:sz="0" w:space="0" w:color="auto"/>
        <w:left w:val="none" w:sz="0" w:space="0" w:color="auto"/>
        <w:bottom w:val="none" w:sz="0" w:space="0" w:color="auto"/>
        <w:right w:val="none" w:sz="0" w:space="0" w:color="auto"/>
      </w:divBdr>
    </w:div>
    <w:div w:id="1304118418">
      <w:marLeft w:val="0"/>
      <w:marRight w:val="0"/>
      <w:marTop w:val="180"/>
      <w:marBottom w:val="0"/>
      <w:divBdr>
        <w:top w:val="none" w:sz="0" w:space="0" w:color="auto"/>
        <w:left w:val="none" w:sz="0" w:space="0" w:color="auto"/>
        <w:bottom w:val="none" w:sz="0" w:space="0" w:color="auto"/>
        <w:right w:val="none" w:sz="0" w:space="0" w:color="auto"/>
      </w:divBdr>
    </w:div>
    <w:div w:id="1305430483">
      <w:marLeft w:val="0"/>
      <w:marRight w:val="0"/>
      <w:marTop w:val="60"/>
      <w:marBottom w:val="120"/>
      <w:divBdr>
        <w:top w:val="none" w:sz="0" w:space="0" w:color="auto"/>
        <w:left w:val="none" w:sz="0" w:space="0" w:color="auto"/>
        <w:bottom w:val="none" w:sz="0" w:space="0" w:color="auto"/>
        <w:right w:val="none" w:sz="0" w:space="0" w:color="auto"/>
      </w:divBdr>
    </w:div>
    <w:div w:id="1312128749">
      <w:marLeft w:val="0"/>
      <w:marRight w:val="0"/>
      <w:marTop w:val="180"/>
      <w:marBottom w:val="0"/>
      <w:divBdr>
        <w:top w:val="none" w:sz="0" w:space="0" w:color="auto"/>
        <w:left w:val="none" w:sz="0" w:space="0" w:color="auto"/>
        <w:bottom w:val="none" w:sz="0" w:space="0" w:color="auto"/>
        <w:right w:val="none" w:sz="0" w:space="0" w:color="auto"/>
      </w:divBdr>
    </w:div>
    <w:div w:id="1318804580">
      <w:marLeft w:val="0"/>
      <w:marRight w:val="0"/>
      <w:marTop w:val="120"/>
      <w:marBottom w:val="180"/>
      <w:divBdr>
        <w:top w:val="none" w:sz="0" w:space="0" w:color="auto"/>
        <w:left w:val="none" w:sz="0" w:space="0" w:color="auto"/>
        <w:bottom w:val="none" w:sz="0" w:space="0" w:color="auto"/>
        <w:right w:val="none" w:sz="0" w:space="0" w:color="auto"/>
      </w:divBdr>
    </w:div>
    <w:div w:id="1319387373">
      <w:marLeft w:val="0"/>
      <w:marRight w:val="0"/>
      <w:marTop w:val="180"/>
      <w:marBottom w:val="0"/>
      <w:divBdr>
        <w:top w:val="none" w:sz="0" w:space="0" w:color="auto"/>
        <w:left w:val="none" w:sz="0" w:space="0" w:color="auto"/>
        <w:bottom w:val="none" w:sz="0" w:space="0" w:color="auto"/>
        <w:right w:val="none" w:sz="0" w:space="0" w:color="auto"/>
      </w:divBdr>
    </w:div>
    <w:div w:id="1321616921">
      <w:marLeft w:val="0"/>
      <w:marRight w:val="0"/>
      <w:marTop w:val="0"/>
      <w:marBottom w:val="0"/>
      <w:divBdr>
        <w:top w:val="none" w:sz="0" w:space="0" w:color="auto"/>
        <w:left w:val="none" w:sz="0" w:space="0" w:color="auto"/>
        <w:bottom w:val="none" w:sz="0" w:space="0" w:color="auto"/>
        <w:right w:val="none" w:sz="0" w:space="0" w:color="auto"/>
      </w:divBdr>
      <w:divsChild>
        <w:div w:id="283729912">
          <w:marLeft w:val="0"/>
          <w:marRight w:val="0"/>
          <w:marTop w:val="180"/>
          <w:marBottom w:val="180"/>
          <w:divBdr>
            <w:top w:val="none" w:sz="0" w:space="0" w:color="auto"/>
            <w:left w:val="none" w:sz="0" w:space="0" w:color="auto"/>
            <w:bottom w:val="none" w:sz="0" w:space="0" w:color="auto"/>
            <w:right w:val="none" w:sz="0" w:space="0" w:color="auto"/>
          </w:divBdr>
        </w:div>
      </w:divsChild>
    </w:div>
    <w:div w:id="1332026020">
      <w:marLeft w:val="0"/>
      <w:marRight w:val="0"/>
      <w:marTop w:val="160"/>
      <w:marBottom w:val="0"/>
      <w:divBdr>
        <w:top w:val="none" w:sz="0" w:space="0" w:color="auto"/>
        <w:left w:val="none" w:sz="0" w:space="0" w:color="auto"/>
        <w:bottom w:val="none" w:sz="0" w:space="0" w:color="auto"/>
        <w:right w:val="none" w:sz="0" w:space="0" w:color="auto"/>
      </w:divBdr>
    </w:div>
    <w:div w:id="1335037530">
      <w:marLeft w:val="0"/>
      <w:marRight w:val="0"/>
      <w:marTop w:val="180"/>
      <w:marBottom w:val="0"/>
      <w:divBdr>
        <w:top w:val="none" w:sz="0" w:space="0" w:color="auto"/>
        <w:left w:val="none" w:sz="0" w:space="0" w:color="auto"/>
        <w:bottom w:val="none" w:sz="0" w:space="0" w:color="auto"/>
        <w:right w:val="none" w:sz="0" w:space="0" w:color="auto"/>
      </w:divBdr>
    </w:div>
    <w:div w:id="1336494812">
      <w:marLeft w:val="0"/>
      <w:marRight w:val="0"/>
      <w:marTop w:val="180"/>
      <w:marBottom w:val="0"/>
      <w:divBdr>
        <w:top w:val="none" w:sz="0" w:space="0" w:color="auto"/>
        <w:left w:val="none" w:sz="0" w:space="0" w:color="auto"/>
        <w:bottom w:val="none" w:sz="0" w:space="0" w:color="auto"/>
        <w:right w:val="none" w:sz="0" w:space="0" w:color="auto"/>
      </w:divBdr>
    </w:div>
    <w:div w:id="1339190966">
      <w:marLeft w:val="0"/>
      <w:marRight w:val="0"/>
      <w:marTop w:val="180"/>
      <w:marBottom w:val="60"/>
      <w:divBdr>
        <w:top w:val="none" w:sz="0" w:space="0" w:color="auto"/>
        <w:left w:val="none" w:sz="0" w:space="0" w:color="auto"/>
        <w:bottom w:val="none" w:sz="0" w:space="0" w:color="auto"/>
        <w:right w:val="none" w:sz="0" w:space="0" w:color="auto"/>
      </w:divBdr>
    </w:div>
    <w:div w:id="1339582225">
      <w:marLeft w:val="0"/>
      <w:marRight w:val="0"/>
      <w:marTop w:val="0"/>
      <w:marBottom w:val="0"/>
      <w:divBdr>
        <w:top w:val="none" w:sz="0" w:space="0" w:color="auto"/>
        <w:left w:val="none" w:sz="0" w:space="0" w:color="auto"/>
        <w:bottom w:val="none" w:sz="0" w:space="0" w:color="auto"/>
        <w:right w:val="none" w:sz="0" w:space="0" w:color="auto"/>
      </w:divBdr>
    </w:div>
    <w:div w:id="1344287132">
      <w:marLeft w:val="0"/>
      <w:marRight w:val="0"/>
      <w:marTop w:val="180"/>
      <w:marBottom w:val="0"/>
      <w:divBdr>
        <w:top w:val="none" w:sz="0" w:space="0" w:color="auto"/>
        <w:left w:val="none" w:sz="0" w:space="0" w:color="auto"/>
        <w:bottom w:val="none" w:sz="0" w:space="0" w:color="auto"/>
        <w:right w:val="none" w:sz="0" w:space="0" w:color="auto"/>
      </w:divBdr>
    </w:div>
    <w:div w:id="1346788109">
      <w:marLeft w:val="0"/>
      <w:marRight w:val="0"/>
      <w:marTop w:val="180"/>
      <w:marBottom w:val="0"/>
      <w:divBdr>
        <w:top w:val="none" w:sz="0" w:space="0" w:color="auto"/>
        <w:left w:val="none" w:sz="0" w:space="0" w:color="auto"/>
        <w:bottom w:val="none" w:sz="0" w:space="0" w:color="auto"/>
        <w:right w:val="none" w:sz="0" w:space="0" w:color="auto"/>
      </w:divBdr>
    </w:div>
    <w:div w:id="1349135741">
      <w:marLeft w:val="0"/>
      <w:marRight w:val="0"/>
      <w:marTop w:val="180"/>
      <w:marBottom w:val="0"/>
      <w:divBdr>
        <w:top w:val="none" w:sz="0" w:space="0" w:color="auto"/>
        <w:left w:val="none" w:sz="0" w:space="0" w:color="auto"/>
        <w:bottom w:val="none" w:sz="0" w:space="0" w:color="auto"/>
        <w:right w:val="none" w:sz="0" w:space="0" w:color="auto"/>
      </w:divBdr>
    </w:div>
    <w:div w:id="1350840585">
      <w:marLeft w:val="0"/>
      <w:marRight w:val="0"/>
      <w:marTop w:val="120"/>
      <w:marBottom w:val="20"/>
      <w:divBdr>
        <w:top w:val="none" w:sz="0" w:space="0" w:color="auto"/>
        <w:left w:val="none" w:sz="0" w:space="0" w:color="auto"/>
        <w:bottom w:val="none" w:sz="0" w:space="0" w:color="auto"/>
        <w:right w:val="none" w:sz="0" w:space="0" w:color="auto"/>
      </w:divBdr>
      <w:divsChild>
        <w:div w:id="1524974166">
          <w:marLeft w:val="0"/>
          <w:marRight w:val="0"/>
          <w:marTop w:val="0"/>
          <w:marBottom w:val="0"/>
          <w:divBdr>
            <w:top w:val="none" w:sz="0" w:space="0" w:color="auto"/>
            <w:left w:val="none" w:sz="0" w:space="0" w:color="auto"/>
            <w:bottom w:val="none" w:sz="0" w:space="0" w:color="auto"/>
            <w:right w:val="none" w:sz="0" w:space="0" w:color="auto"/>
          </w:divBdr>
        </w:div>
        <w:div w:id="1825662135">
          <w:marLeft w:val="0"/>
          <w:marRight w:val="0"/>
          <w:marTop w:val="0"/>
          <w:marBottom w:val="0"/>
          <w:divBdr>
            <w:top w:val="none" w:sz="0" w:space="0" w:color="auto"/>
            <w:left w:val="none" w:sz="0" w:space="0" w:color="auto"/>
            <w:bottom w:val="none" w:sz="0" w:space="0" w:color="auto"/>
            <w:right w:val="none" w:sz="0" w:space="0" w:color="auto"/>
          </w:divBdr>
        </w:div>
        <w:div w:id="1953511058">
          <w:marLeft w:val="0"/>
          <w:marRight w:val="0"/>
          <w:marTop w:val="0"/>
          <w:marBottom w:val="0"/>
          <w:divBdr>
            <w:top w:val="none" w:sz="0" w:space="0" w:color="auto"/>
            <w:left w:val="none" w:sz="0" w:space="0" w:color="auto"/>
            <w:bottom w:val="none" w:sz="0" w:space="0" w:color="auto"/>
            <w:right w:val="none" w:sz="0" w:space="0" w:color="auto"/>
          </w:divBdr>
        </w:div>
      </w:divsChild>
    </w:div>
    <w:div w:id="1353143359">
      <w:marLeft w:val="0"/>
      <w:marRight w:val="0"/>
      <w:marTop w:val="60"/>
      <w:marBottom w:val="120"/>
      <w:divBdr>
        <w:top w:val="none" w:sz="0" w:space="0" w:color="auto"/>
        <w:left w:val="none" w:sz="0" w:space="0" w:color="auto"/>
        <w:bottom w:val="none" w:sz="0" w:space="0" w:color="auto"/>
        <w:right w:val="none" w:sz="0" w:space="0" w:color="auto"/>
      </w:divBdr>
    </w:div>
    <w:div w:id="1359042491">
      <w:marLeft w:val="0"/>
      <w:marRight w:val="0"/>
      <w:marTop w:val="180"/>
      <w:marBottom w:val="0"/>
      <w:divBdr>
        <w:top w:val="none" w:sz="0" w:space="0" w:color="auto"/>
        <w:left w:val="none" w:sz="0" w:space="0" w:color="auto"/>
        <w:bottom w:val="none" w:sz="0" w:space="0" w:color="auto"/>
        <w:right w:val="none" w:sz="0" w:space="0" w:color="auto"/>
      </w:divBdr>
    </w:div>
    <w:div w:id="1367828896">
      <w:marLeft w:val="0"/>
      <w:marRight w:val="0"/>
      <w:marTop w:val="0"/>
      <w:marBottom w:val="0"/>
      <w:divBdr>
        <w:top w:val="none" w:sz="0" w:space="0" w:color="auto"/>
        <w:left w:val="none" w:sz="0" w:space="0" w:color="auto"/>
        <w:bottom w:val="none" w:sz="0" w:space="0" w:color="auto"/>
        <w:right w:val="none" w:sz="0" w:space="0" w:color="auto"/>
      </w:divBdr>
    </w:div>
    <w:div w:id="1369447372">
      <w:marLeft w:val="0"/>
      <w:marRight w:val="0"/>
      <w:marTop w:val="180"/>
      <w:marBottom w:val="0"/>
      <w:divBdr>
        <w:top w:val="none" w:sz="0" w:space="0" w:color="auto"/>
        <w:left w:val="none" w:sz="0" w:space="0" w:color="auto"/>
        <w:bottom w:val="none" w:sz="0" w:space="0" w:color="auto"/>
        <w:right w:val="none" w:sz="0" w:space="0" w:color="auto"/>
      </w:divBdr>
      <w:divsChild>
        <w:div w:id="542062329">
          <w:marLeft w:val="0"/>
          <w:marRight w:val="0"/>
          <w:marTop w:val="0"/>
          <w:marBottom w:val="0"/>
          <w:divBdr>
            <w:top w:val="none" w:sz="0" w:space="0" w:color="auto"/>
            <w:left w:val="none" w:sz="0" w:space="0" w:color="auto"/>
            <w:bottom w:val="none" w:sz="0" w:space="0" w:color="auto"/>
            <w:right w:val="none" w:sz="0" w:space="0" w:color="auto"/>
          </w:divBdr>
        </w:div>
      </w:divsChild>
    </w:div>
    <w:div w:id="1372413953">
      <w:marLeft w:val="0"/>
      <w:marRight w:val="0"/>
      <w:marTop w:val="180"/>
      <w:marBottom w:val="0"/>
      <w:divBdr>
        <w:top w:val="none" w:sz="0" w:space="0" w:color="auto"/>
        <w:left w:val="none" w:sz="0" w:space="0" w:color="auto"/>
        <w:bottom w:val="none" w:sz="0" w:space="0" w:color="auto"/>
        <w:right w:val="none" w:sz="0" w:space="0" w:color="auto"/>
      </w:divBdr>
      <w:divsChild>
        <w:div w:id="1196886317">
          <w:marLeft w:val="0"/>
          <w:marRight w:val="0"/>
          <w:marTop w:val="120"/>
          <w:marBottom w:val="120"/>
          <w:divBdr>
            <w:top w:val="none" w:sz="0" w:space="0" w:color="auto"/>
            <w:left w:val="none" w:sz="0" w:space="0" w:color="auto"/>
            <w:bottom w:val="none" w:sz="0" w:space="0" w:color="auto"/>
            <w:right w:val="none" w:sz="0" w:space="0" w:color="auto"/>
          </w:divBdr>
        </w:div>
        <w:div w:id="329604929">
          <w:marLeft w:val="0"/>
          <w:marRight w:val="0"/>
          <w:marTop w:val="120"/>
          <w:marBottom w:val="120"/>
          <w:divBdr>
            <w:top w:val="none" w:sz="0" w:space="0" w:color="auto"/>
            <w:left w:val="none" w:sz="0" w:space="0" w:color="auto"/>
            <w:bottom w:val="none" w:sz="0" w:space="0" w:color="auto"/>
            <w:right w:val="none" w:sz="0" w:space="0" w:color="auto"/>
          </w:divBdr>
        </w:div>
        <w:div w:id="1580601305">
          <w:marLeft w:val="0"/>
          <w:marRight w:val="0"/>
          <w:marTop w:val="120"/>
          <w:marBottom w:val="120"/>
          <w:divBdr>
            <w:top w:val="none" w:sz="0" w:space="0" w:color="auto"/>
            <w:left w:val="none" w:sz="0" w:space="0" w:color="auto"/>
            <w:bottom w:val="none" w:sz="0" w:space="0" w:color="auto"/>
            <w:right w:val="none" w:sz="0" w:space="0" w:color="auto"/>
          </w:divBdr>
        </w:div>
        <w:div w:id="256523395">
          <w:marLeft w:val="0"/>
          <w:marRight w:val="0"/>
          <w:marTop w:val="120"/>
          <w:marBottom w:val="120"/>
          <w:divBdr>
            <w:top w:val="none" w:sz="0" w:space="0" w:color="auto"/>
            <w:left w:val="none" w:sz="0" w:space="0" w:color="auto"/>
            <w:bottom w:val="none" w:sz="0" w:space="0" w:color="auto"/>
            <w:right w:val="none" w:sz="0" w:space="0" w:color="auto"/>
          </w:divBdr>
        </w:div>
        <w:div w:id="365526558">
          <w:marLeft w:val="0"/>
          <w:marRight w:val="0"/>
          <w:marTop w:val="120"/>
          <w:marBottom w:val="120"/>
          <w:divBdr>
            <w:top w:val="none" w:sz="0" w:space="0" w:color="auto"/>
            <w:left w:val="none" w:sz="0" w:space="0" w:color="auto"/>
            <w:bottom w:val="none" w:sz="0" w:space="0" w:color="auto"/>
            <w:right w:val="none" w:sz="0" w:space="0" w:color="auto"/>
          </w:divBdr>
        </w:div>
        <w:div w:id="2051686222">
          <w:marLeft w:val="0"/>
          <w:marRight w:val="0"/>
          <w:marTop w:val="120"/>
          <w:marBottom w:val="120"/>
          <w:divBdr>
            <w:top w:val="none" w:sz="0" w:space="0" w:color="auto"/>
            <w:left w:val="none" w:sz="0" w:space="0" w:color="auto"/>
            <w:bottom w:val="none" w:sz="0" w:space="0" w:color="auto"/>
            <w:right w:val="none" w:sz="0" w:space="0" w:color="auto"/>
          </w:divBdr>
        </w:div>
        <w:div w:id="733356041">
          <w:marLeft w:val="0"/>
          <w:marRight w:val="0"/>
          <w:marTop w:val="120"/>
          <w:marBottom w:val="120"/>
          <w:divBdr>
            <w:top w:val="none" w:sz="0" w:space="0" w:color="auto"/>
            <w:left w:val="none" w:sz="0" w:space="0" w:color="auto"/>
            <w:bottom w:val="none" w:sz="0" w:space="0" w:color="auto"/>
            <w:right w:val="none" w:sz="0" w:space="0" w:color="auto"/>
          </w:divBdr>
        </w:div>
        <w:div w:id="10109045">
          <w:marLeft w:val="0"/>
          <w:marRight w:val="0"/>
          <w:marTop w:val="120"/>
          <w:marBottom w:val="120"/>
          <w:divBdr>
            <w:top w:val="none" w:sz="0" w:space="0" w:color="auto"/>
            <w:left w:val="none" w:sz="0" w:space="0" w:color="auto"/>
            <w:bottom w:val="none" w:sz="0" w:space="0" w:color="auto"/>
            <w:right w:val="none" w:sz="0" w:space="0" w:color="auto"/>
          </w:divBdr>
        </w:div>
        <w:div w:id="1928685078">
          <w:marLeft w:val="0"/>
          <w:marRight w:val="0"/>
          <w:marTop w:val="120"/>
          <w:marBottom w:val="120"/>
          <w:divBdr>
            <w:top w:val="none" w:sz="0" w:space="0" w:color="auto"/>
            <w:left w:val="none" w:sz="0" w:space="0" w:color="auto"/>
            <w:bottom w:val="none" w:sz="0" w:space="0" w:color="auto"/>
            <w:right w:val="none" w:sz="0" w:space="0" w:color="auto"/>
          </w:divBdr>
        </w:div>
      </w:divsChild>
    </w:div>
    <w:div w:id="1372418080">
      <w:marLeft w:val="0"/>
      <w:marRight w:val="0"/>
      <w:marTop w:val="180"/>
      <w:marBottom w:val="0"/>
      <w:divBdr>
        <w:top w:val="none" w:sz="0" w:space="0" w:color="auto"/>
        <w:left w:val="none" w:sz="0" w:space="0" w:color="auto"/>
        <w:bottom w:val="none" w:sz="0" w:space="0" w:color="auto"/>
        <w:right w:val="none" w:sz="0" w:space="0" w:color="auto"/>
      </w:divBdr>
    </w:div>
    <w:div w:id="1377239408">
      <w:marLeft w:val="0"/>
      <w:marRight w:val="0"/>
      <w:marTop w:val="0"/>
      <w:marBottom w:val="0"/>
      <w:divBdr>
        <w:top w:val="none" w:sz="0" w:space="0" w:color="auto"/>
        <w:left w:val="none" w:sz="0" w:space="0" w:color="auto"/>
        <w:bottom w:val="none" w:sz="0" w:space="0" w:color="auto"/>
        <w:right w:val="none" w:sz="0" w:space="0" w:color="auto"/>
      </w:divBdr>
      <w:divsChild>
        <w:div w:id="464006583">
          <w:marLeft w:val="0"/>
          <w:marRight w:val="0"/>
          <w:marTop w:val="180"/>
          <w:marBottom w:val="180"/>
          <w:divBdr>
            <w:top w:val="none" w:sz="0" w:space="0" w:color="auto"/>
            <w:left w:val="none" w:sz="0" w:space="0" w:color="auto"/>
            <w:bottom w:val="none" w:sz="0" w:space="0" w:color="auto"/>
            <w:right w:val="none" w:sz="0" w:space="0" w:color="auto"/>
          </w:divBdr>
        </w:div>
      </w:divsChild>
    </w:div>
    <w:div w:id="1378503913">
      <w:marLeft w:val="0"/>
      <w:marRight w:val="0"/>
      <w:marTop w:val="180"/>
      <w:marBottom w:val="0"/>
      <w:divBdr>
        <w:top w:val="none" w:sz="0" w:space="0" w:color="auto"/>
        <w:left w:val="none" w:sz="0" w:space="0" w:color="auto"/>
        <w:bottom w:val="none" w:sz="0" w:space="0" w:color="auto"/>
        <w:right w:val="none" w:sz="0" w:space="0" w:color="auto"/>
      </w:divBdr>
    </w:div>
    <w:div w:id="1378895785">
      <w:marLeft w:val="0"/>
      <w:marRight w:val="0"/>
      <w:marTop w:val="240"/>
      <w:marBottom w:val="0"/>
      <w:divBdr>
        <w:top w:val="none" w:sz="0" w:space="0" w:color="auto"/>
        <w:left w:val="none" w:sz="0" w:space="0" w:color="auto"/>
        <w:bottom w:val="none" w:sz="0" w:space="0" w:color="auto"/>
        <w:right w:val="none" w:sz="0" w:space="0" w:color="auto"/>
      </w:divBdr>
    </w:div>
    <w:div w:id="1380664312">
      <w:marLeft w:val="0"/>
      <w:marRight w:val="0"/>
      <w:marTop w:val="180"/>
      <w:marBottom w:val="0"/>
      <w:divBdr>
        <w:top w:val="none" w:sz="0" w:space="0" w:color="auto"/>
        <w:left w:val="none" w:sz="0" w:space="0" w:color="auto"/>
        <w:bottom w:val="none" w:sz="0" w:space="0" w:color="auto"/>
        <w:right w:val="none" w:sz="0" w:space="0" w:color="auto"/>
      </w:divBdr>
    </w:div>
    <w:div w:id="1381325971">
      <w:marLeft w:val="0"/>
      <w:marRight w:val="0"/>
      <w:marTop w:val="180"/>
      <w:marBottom w:val="0"/>
      <w:divBdr>
        <w:top w:val="none" w:sz="0" w:space="0" w:color="auto"/>
        <w:left w:val="none" w:sz="0" w:space="0" w:color="auto"/>
        <w:bottom w:val="none" w:sz="0" w:space="0" w:color="auto"/>
        <w:right w:val="none" w:sz="0" w:space="0" w:color="auto"/>
      </w:divBdr>
    </w:div>
    <w:div w:id="1389186619">
      <w:marLeft w:val="0"/>
      <w:marRight w:val="0"/>
      <w:marTop w:val="180"/>
      <w:marBottom w:val="0"/>
      <w:divBdr>
        <w:top w:val="none" w:sz="0" w:space="0" w:color="auto"/>
        <w:left w:val="none" w:sz="0" w:space="0" w:color="auto"/>
        <w:bottom w:val="none" w:sz="0" w:space="0" w:color="auto"/>
        <w:right w:val="none" w:sz="0" w:space="0" w:color="auto"/>
      </w:divBdr>
    </w:div>
    <w:div w:id="1389568600">
      <w:marLeft w:val="0"/>
      <w:marRight w:val="0"/>
      <w:marTop w:val="180"/>
      <w:marBottom w:val="0"/>
      <w:divBdr>
        <w:top w:val="none" w:sz="0" w:space="0" w:color="auto"/>
        <w:left w:val="none" w:sz="0" w:space="0" w:color="auto"/>
        <w:bottom w:val="none" w:sz="0" w:space="0" w:color="auto"/>
        <w:right w:val="none" w:sz="0" w:space="0" w:color="auto"/>
      </w:divBdr>
    </w:div>
    <w:div w:id="1389914121">
      <w:marLeft w:val="0"/>
      <w:marRight w:val="0"/>
      <w:marTop w:val="180"/>
      <w:marBottom w:val="0"/>
      <w:divBdr>
        <w:top w:val="none" w:sz="0" w:space="0" w:color="auto"/>
        <w:left w:val="none" w:sz="0" w:space="0" w:color="auto"/>
        <w:bottom w:val="none" w:sz="0" w:space="0" w:color="auto"/>
        <w:right w:val="none" w:sz="0" w:space="0" w:color="auto"/>
      </w:divBdr>
    </w:div>
    <w:div w:id="1394699282">
      <w:marLeft w:val="0"/>
      <w:marRight w:val="0"/>
      <w:marTop w:val="180"/>
      <w:marBottom w:val="0"/>
      <w:divBdr>
        <w:top w:val="none" w:sz="0" w:space="0" w:color="auto"/>
        <w:left w:val="none" w:sz="0" w:space="0" w:color="auto"/>
        <w:bottom w:val="none" w:sz="0" w:space="0" w:color="auto"/>
        <w:right w:val="none" w:sz="0" w:space="0" w:color="auto"/>
      </w:divBdr>
    </w:div>
    <w:div w:id="1397242259">
      <w:marLeft w:val="0"/>
      <w:marRight w:val="0"/>
      <w:marTop w:val="180"/>
      <w:marBottom w:val="60"/>
      <w:divBdr>
        <w:top w:val="none" w:sz="0" w:space="0" w:color="auto"/>
        <w:left w:val="none" w:sz="0" w:space="0" w:color="auto"/>
        <w:bottom w:val="none" w:sz="0" w:space="0" w:color="auto"/>
        <w:right w:val="none" w:sz="0" w:space="0" w:color="auto"/>
      </w:divBdr>
    </w:div>
    <w:div w:id="1401101465">
      <w:marLeft w:val="0"/>
      <w:marRight w:val="0"/>
      <w:marTop w:val="180"/>
      <w:marBottom w:val="0"/>
      <w:divBdr>
        <w:top w:val="none" w:sz="0" w:space="0" w:color="auto"/>
        <w:left w:val="none" w:sz="0" w:space="0" w:color="auto"/>
        <w:bottom w:val="none" w:sz="0" w:space="0" w:color="auto"/>
        <w:right w:val="none" w:sz="0" w:space="0" w:color="auto"/>
      </w:divBdr>
    </w:div>
    <w:div w:id="1406762960">
      <w:marLeft w:val="0"/>
      <w:marRight w:val="0"/>
      <w:marTop w:val="180"/>
      <w:marBottom w:val="0"/>
      <w:divBdr>
        <w:top w:val="none" w:sz="0" w:space="0" w:color="auto"/>
        <w:left w:val="none" w:sz="0" w:space="0" w:color="auto"/>
        <w:bottom w:val="none" w:sz="0" w:space="0" w:color="auto"/>
        <w:right w:val="none" w:sz="0" w:space="0" w:color="auto"/>
      </w:divBdr>
    </w:div>
    <w:div w:id="1408303419">
      <w:marLeft w:val="0"/>
      <w:marRight w:val="0"/>
      <w:marTop w:val="0"/>
      <w:marBottom w:val="0"/>
      <w:divBdr>
        <w:top w:val="none" w:sz="0" w:space="0" w:color="auto"/>
        <w:left w:val="none" w:sz="0" w:space="0" w:color="auto"/>
        <w:bottom w:val="none" w:sz="0" w:space="0" w:color="auto"/>
        <w:right w:val="none" w:sz="0" w:space="0" w:color="auto"/>
      </w:divBdr>
      <w:divsChild>
        <w:div w:id="842352250">
          <w:marLeft w:val="0"/>
          <w:marRight w:val="0"/>
          <w:marTop w:val="180"/>
          <w:marBottom w:val="180"/>
          <w:divBdr>
            <w:top w:val="none" w:sz="0" w:space="0" w:color="auto"/>
            <w:left w:val="none" w:sz="0" w:space="0" w:color="auto"/>
            <w:bottom w:val="none" w:sz="0" w:space="0" w:color="auto"/>
            <w:right w:val="none" w:sz="0" w:space="0" w:color="auto"/>
          </w:divBdr>
        </w:div>
      </w:divsChild>
    </w:div>
    <w:div w:id="1413433903">
      <w:marLeft w:val="0"/>
      <w:marRight w:val="0"/>
      <w:marTop w:val="180"/>
      <w:marBottom w:val="0"/>
      <w:divBdr>
        <w:top w:val="none" w:sz="0" w:space="0" w:color="auto"/>
        <w:left w:val="none" w:sz="0" w:space="0" w:color="auto"/>
        <w:bottom w:val="none" w:sz="0" w:space="0" w:color="auto"/>
        <w:right w:val="none" w:sz="0" w:space="0" w:color="auto"/>
      </w:divBdr>
    </w:div>
    <w:div w:id="1422070754">
      <w:marLeft w:val="0"/>
      <w:marRight w:val="0"/>
      <w:marTop w:val="180"/>
      <w:marBottom w:val="0"/>
      <w:divBdr>
        <w:top w:val="none" w:sz="0" w:space="0" w:color="auto"/>
        <w:left w:val="none" w:sz="0" w:space="0" w:color="auto"/>
        <w:bottom w:val="none" w:sz="0" w:space="0" w:color="auto"/>
        <w:right w:val="none" w:sz="0" w:space="0" w:color="auto"/>
      </w:divBdr>
    </w:div>
    <w:div w:id="1424372109">
      <w:marLeft w:val="0"/>
      <w:marRight w:val="0"/>
      <w:marTop w:val="180"/>
      <w:marBottom w:val="0"/>
      <w:divBdr>
        <w:top w:val="none" w:sz="0" w:space="0" w:color="auto"/>
        <w:left w:val="none" w:sz="0" w:space="0" w:color="auto"/>
        <w:bottom w:val="none" w:sz="0" w:space="0" w:color="auto"/>
        <w:right w:val="none" w:sz="0" w:space="0" w:color="auto"/>
      </w:divBdr>
    </w:div>
    <w:div w:id="1428043147">
      <w:marLeft w:val="0"/>
      <w:marRight w:val="0"/>
      <w:marTop w:val="180"/>
      <w:marBottom w:val="0"/>
      <w:divBdr>
        <w:top w:val="none" w:sz="0" w:space="0" w:color="auto"/>
        <w:left w:val="none" w:sz="0" w:space="0" w:color="auto"/>
        <w:bottom w:val="none" w:sz="0" w:space="0" w:color="auto"/>
        <w:right w:val="none" w:sz="0" w:space="0" w:color="auto"/>
      </w:divBdr>
    </w:div>
    <w:div w:id="1431051153">
      <w:marLeft w:val="0"/>
      <w:marRight w:val="0"/>
      <w:marTop w:val="0"/>
      <w:marBottom w:val="0"/>
      <w:divBdr>
        <w:top w:val="none" w:sz="0" w:space="0" w:color="auto"/>
        <w:left w:val="none" w:sz="0" w:space="0" w:color="auto"/>
        <w:bottom w:val="none" w:sz="0" w:space="0" w:color="auto"/>
        <w:right w:val="none" w:sz="0" w:space="0" w:color="auto"/>
      </w:divBdr>
      <w:divsChild>
        <w:div w:id="610817336">
          <w:marLeft w:val="0"/>
          <w:marRight w:val="0"/>
          <w:marTop w:val="180"/>
          <w:marBottom w:val="180"/>
          <w:divBdr>
            <w:top w:val="none" w:sz="0" w:space="0" w:color="auto"/>
            <w:left w:val="none" w:sz="0" w:space="0" w:color="auto"/>
            <w:bottom w:val="none" w:sz="0" w:space="0" w:color="auto"/>
            <w:right w:val="none" w:sz="0" w:space="0" w:color="auto"/>
          </w:divBdr>
        </w:div>
      </w:divsChild>
    </w:div>
    <w:div w:id="1433236967">
      <w:marLeft w:val="0"/>
      <w:marRight w:val="0"/>
      <w:marTop w:val="0"/>
      <w:marBottom w:val="0"/>
      <w:divBdr>
        <w:top w:val="none" w:sz="0" w:space="0" w:color="auto"/>
        <w:left w:val="none" w:sz="0" w:space="0" w:color="auto"/>
        <w:bottom w:val="none" w:sz="0" w:space="0" w:color="auto"/>
        <w:right w:val="none" w:sz="0" w:space="0" w:color="auto"/>
      </w:divBdr>
      <w:divsChild>
        <w:div w:id="908073835">
          <w:marLeft w:val="0"/>
          <w:marRight w:val="0"/>
          <w:marTop w:val="180"/>
          <w:marBottom w:val="180"/>
          <w:divBdr>
            <w:top w:val="none" w:sz="0" w:space="0" w:color="auto"/>
            <w:left w:val="none" w:sz="0" w:space="0" w:color="auto"/>
            <w:bottom w:val="none" w:sz="0" w:space="0" w:color="auto"/>
            <w:right w:val="none" w:sz="0" w:space="0" w:color="auto"/>
          </w:divBdr>
        </w:div>
      </w:divsChild>
    </w:div>
    <w:div w:id="1435173676">
      <w:marLeft w:val="0"/>
      <w:marRight w:val="0"/>
      <w:marTop w:val="180"/>
      <w:marBottom w:val="0"/>
      <w:divBdr>
        <w:top w:val="none" w:sz="0" w:space="0" w:color="auto"/>
        <w:left w:val="none" w:sz="0" w:space="0" w:color="auto"/>
        <w:bottom w:val="none" w:sz="0" w:space="0" w:color="auto"/>
        <w:right w:val="none" w:sz="0" w:space="0" w:color="auto"/>
      </w:divBdr>
    </w:div>
    <w:div w:id="1436170771">
      <w:marLeft w:val="0"/>
      <w:marRight w:val="0"/>
      <w:marTop w:val="180"/>
      <w:marBottom w:val="0"/>
      <w:divBdr>
        <w:top w:val="none" w:sz="0" w:space="0" w:color="auto"/>
        <w:left w:val="none" w:sz="0" w:space="0" w:color="auto"/>
        <w:bottom w:val="none" w:sz="0" w:space="0" w:color="auto"/>
        <w:right w:val="none" w:sz="0" w:space="0" w:color="auto"/>
      </w:divBdr>
    </w:div>
    <w:div w:id="1437360484">
      <w:marLeft w:val="0"/>
      <w:marRight w:val="0"/>
      <w:marTop w:val="180"/>
      <w:marBottom w:val="0"/>
      <w:divBdr>
        <w:top w:val="none" w:sz="0" w:space="0" w:color="auto"/>
        <w:left w:val="none" w:sz="0" w:space="0" w:color="auto"/>
        <w:bottom w:val="none" w:sz="0" w:space="0" w:color="auto"/>
        <w:right w:val="none" w:sz="0" w:space="0" w:color="auto"/>
      </w:divBdr>
    </w:div>
    <w:div w:id="1443767970">
      <w:marLeft w:val="0"/>
      <w:marRight w:val="0"/>
      <w:marTop w:val="180"/>
      <w:marBottom w:val="0"/>
      <w:divBdr>
        <w:top w:val="none" w:sz="0" w:space="0" w:color="auto"/>
        <w:left w:val="none" w:sz="0" w:space="0" w:color="auto"/>
        <w:bottom w:val="none" w:sz="0" w:space="0" w:color="auto"/>
        <w:right w:val="none" w:sz="0" w:space="0" w:color="auto"/>
      </w:divBdr>
    </w:div>
    <w:div w:id="1449472571">
      <w:marLeft w:val="0"/>
      <w:marRight w:val="0"/>
      <w:marTop w:val="180"/>
      <w:marBottom w:val="0"/>
      <w:divBdr>
        <w:top w:val="none" w:sz="0" w:space="0" w:color="auto"/>
        <w:left w:val="none" w:sz="0" w:space="0" w:color="auto"/>
        <w:bottom w:val="none" w:sz="0" w:space="0" w:color="auto"/>
        <w:right w:val="none" w:sz="0" w:space="0" w:color="auto"/>
      </w:divBdr>
    </w:div>
    <w:div w:id="1452432195">
      <w:marLeft w:val="0"/>
      <w:marRight w:val="0"/>
      <w:marTop w:val="60"/>
      <w:marBottom w:val="0"/>
      <w:divBdr>
        <w:top w:val="none" w:sz="0" w:space="0" w:color="auto"/>
        <w:left w:val="none" w:sz="0" w:space="0" w:color="auto"/>
        <w:bottom w:val="none" w:sz="0" w:space="0" w:color="auto"/>
        <w:right w:val="none" w:sz="0" w:space="0" w:color="auto"/>
      </w:divBdr>
      <w:divsChild>
        <w:div w:id="953900686">
          <w:marLeft w:val="0"/>
          <w:marRight w:val="0"/>
          <w:marTop w:val="0"/>
          <w:marBottom w:val="0"/>
          <w:divBdr>
            <w:top w:val="none" w:sz="0" w:space="0" w:color="auto"/>
            <w:left w:val="none" w:sz="0" w:space="0" w:color="auto"/>
            <w:bottom w:val="none" w:sz="0" w:space="0" w:color="auto"/>
            <w:right w:val="none" w:sz="0" w:space="0" w:color="auto"/>
          </w:divBdr>
        </w:div>
      </w:divsChild>
    </w:div>
    <w:div w:id="1452437772">
      <w:marLeft w:val="0"/>
      <w:marRight w:val="0"/>
      <w:marTop w:val="180"/>
      <w:marBottom w:val="0"/>
      <w:divBdr>
        <w:top w:val="none" w:sz="0" w:space="0" w:color="auto"/>
        <w:left w:val="none" w:sz="0" w:space="0" w:color="auto"/>
        <w:bottom w:val="none" w:sz="0" w:space="0" w:color="auto"/>
        <w:right w:val="none" w:sz="0" w:space="0" w:color="auto"/>
      </w:divBdr>
    </w:div>
    <w:div w:id="1454443976">
      <w:marLeft w:val="0"/>
      <w:marRight w:val="0"/>
      <w:marTop w:val="200"/>
      <w:marBottom w:val="0"/>
      <w:divBdr>
        <w:top w:val="none" w:sz="0" w:space="0" w:color="auto"/>
        <w:left w:val="none" w:sz="0" w:space="0" w:color="auto"/>
        <w:bottom w:val="none" w:sz="0" w:space="0" w:color="auto"/>
        <w:right w:val="none" w:sz="0" w:space="0" w:color="auto"/>
      </w:divBdr>
    </w:div>
    <w:div w:id="1455447804">
      <w:marLeft w:val="0"/>
      <w:marRight w:val="0"/>
      <w:marTop w:val="180"/>
      <w:marBottom w:val="60"/>
      <w:divBdr>
        <w:top w:val="none" w:sz="0" w:space="0" w:color="auto"/>
        <w:left w:val="none" w:sz="0" w:space="0" w:color="auto"/>
        <w:bottom w:val="none" w:sz="0" w:space="0" w:color="auto"/>
        <w:right w:val="none" w:sz="0" w:space="0" w:color="auto"/>
      </w:divBdr>
    </w:div>
    <w:div w:id="1456175972">
      <w:marLeft w:val="0"/>
      <w:marRight w:val="0"/>
      <w:marTop w:val="60"/>
      <w:marBottom w:val="120"/>
      <w:divBdr>
        <w:top w:val="none" w:sz="0" w:space="0" w:color="auto"/>
        <w:left w:val="none" w:sz="0" w:space="0" w:color="auto"/>
        <w:bottom w:val="none" w:sz="0" w:space="0" w:color="auto"/>
        <w:right w:val="none" w:sz="0" w:space="0" w:color="auto"/>
      </w:divBdr>
    </w:div>
    <w:div w:id="1458719166">
      <w:marLeft w:val="0"/>
      <w:marRight w:val="0"/>
      <w:marTop w:val="240"/>
      <w:marBottom w:val="0"/>
      <w:divBdr>
        <w:top w:val="none" w:sz="0" w:space="0" w:color="auto"/>
        <w:left w:val="none" w:sz="0" w:space="0" w:color="auto"/>
        <w:bottom w:val="none" w:sz="0" w:space="0" w:color="auto"/>
        <w:right w:val="none" w:sz="0" w:space="0" w:color="auto"/>
      </w:divBdr>
    </w:div>
    <w:div w:id="1462112482">
      <w:marLeft w:val="0"/>
      <w:marRight w:val="0"/>
      <w:marTop w:val="0"/>
      <w:marBottom w:val="0"/>
      <w:divBdr>
        <w:top w:val="none" w:sz="0" w:space="0" w:color="auto"/>
        <w:left w:val="none" w:sz="0" w:space="0" w:color="auto"/>
        <w:bottom w:val="none" w:sz="0" w:space="0" w:color="auto"/>
        <w:right w:val="none" w:sz="0" w:space="0" w:color="auto"/>
      </w:divBdr>
      <w:divsChild>
        <w:div w:id="155268983">
          <w:marLeft w:val="0"/>
          <w:marRight w:val="0"/>
          <w:marTop w:val="180"/>
          <w:marBottom w:val="180"/>
          <w:divBdr>
            <w:top w:val="none" w:sz="0" w:space="0" w:color="auto"/>
            <w:left w:val="none" w:sz="0" w:space="0" w:color="auto"/>
            <w:bottom w:val="none" w:sz="0" w:space="0" w:color="auto"/>
            <w:right w:val="none" w:sz="0" w:space="0" w:color="auto"/>
          </w:divBdr>
        </w:div>
      </w:divsChild>
    </w:div>
    <w:div w:id="1464083083">
      <w:marLeft w:val="0"/>
      <w:marRight w:val="0"/>
      <w:marTop w:val="180"/>
      <w:marBottom w:val="0"/>
      <w:divBdr>
        <w:top w:val="none" w:sz="0" w:space="0" w:color="auto"/>
        <w:left w:val="none" w:sz="0" w:space="0" w:color="auto"/>
        <w:bottom w:val="none" w:sz="0" w:space="0" w:color="auto"/>
        <w:right w:val="none" w:sz="0" w:space="0" w:color="auto"/>
      </w:divBdr>
    </w:div>
    <w:div w:id="1467164751">
      <w:marLeft w:val="0"/>
      <w:marRight w:val="0"/>
      <w:marTop w:val="0"/>
      <w:marBottom w:val="0"/>
      <w:divBdr>
        <w:top w:val="none" w:sz="0" w:space="0" w:color="auto"/>
        <w:left w:val="none" w:sz="0" w:space="0" w:color="auto"/>
        <w:bottom w:val="none" w:sz="0" w:space="0" w:color="auto"/>
        <w:right w:val="none" w:sz="0" w:space="0" w:color="auto"/>
      </w:divBdr>
      <w:divsChild>
        <w:div w:id="1608079515">
          <w:marLeft w:val="0"/>
          <w:marRight w:val="0"/>
          <w:marTop w:val="180"/>
          <w:marBottom w:val="180"/>
          <w:divBdr>
            <w:top w:val="none" w:sz="0" w:space="0" w:color="auto"/>
            <w:left w:val="none" w:sz="0" w:space="0" w:color="auto"/>
            <w:bottom w:val="none" w:sz="0" w:space="0" w:color="auto"/>
            <w:right w:val="none" w:sz="0" w:space="0" w:color="auto"/>
          </w:divBdr>
        </w:div>
      </w:divsChild>
    </w:div>
    <w:div w:id="1470781265">
      <w:marLeft w:val="0"/>
      <w:marRight w:val="0"/>
      <w:marTop w:val="180"/>
      <w:marBottom w:val="0"/>
      <w:divBdr>
        <w:top w:val="none" w:sz="0" w:space="0" w:color="auto"/>
        <w:left w:val="none" w:sz="0" w:space="0" w:color="auto"/>
        <w:bottom w:val="none" w:sz="0" w:space="0" w:color="auto"/>
        <w:right w:val="none" w:sz="0" w:space="0" w:color="auto"/>
      </w:divBdr>
    </w:div>
    <w:div w:id="1472749251">
      <w:marLeft w:val="0"/>
      <w:marRight w:val="0"/>
      <w:marTop w:val="180"/>
      <w:marBottom w:val="0"/>
      <w:divBdr>
        <w:top w:val="none" w:sz="0" w:space="0" w:color="auto"/>
        <w:left w:val="none" w:sz="0" w:space="0" w:color="auto"/>
        <w:bottom w:val="none" w:sz="0" w:space="0" w:color="auto"/>
        <w:right w:val="none" w:sz="0" w:space="0" w:color="auto"/>
      </w:divBdr>
    </w:div>
    <w:div w:id="1477795416">
      <w:marLeft w:val="0"/>
      <w:marRight w:val="0"/>
      <w:marTop w:val="180"/>
      <w:marBottom w:val="0"/>
      <w:divBdr>
        <w:top w:val="none" w:sz="0" w:space="0" w:color="auto"/>
        <w:left w:val="none" w:sz="0" w:space="0" w:color="auto"/>
        <w:bottom w:val="none" w:sz="0" w:space="0" w:color="auto"/>
        <w:right w:val="none" w:sz="0" w:space="0" w:color="auto"/>
      </w:divBdr>
    </w:div>
    <w:div w:id="1479764996">
      <w:marLeft w:val="0"/>
      <w:marRight w:val="0"/>
      <w:marTop w:val="180"/>
      <w:marBottom w:val="0"/>
      <w:divBdr>
        <w:top w:val="none" w:sz="0" w:space="0" w:color="auto"/>
        <w:left w:val="none" w:sz="0" w:space="0" w:color="auto"/>
        <w:bottom w:val="none" w:sz="0" w:space="0" w:color="auto"/>
        <w:right w:val="none" w:sz="0" w:space="0" w:color="auto"/>
      </w:divBdr>
    </w:div>
    <w:div w:id="1480464036">
      <w:marLeft w:val="0"/>
      <w:marRight w:val="0"/>
      <w:marTop w:val="120"/>
      <w:marBottom w:val="0"/>
      <w:divBdr>
        <w:top w:val="none" w:sz="0" w:space="0" w:color="auto"/>
        <w:left w:val="none" w:sz="0" w:space="0" w:color="auto"/>
        <w:bottom w:val="none" w:sz="0" w:space="0" w:color="auto"/>
        <w:right w:val="none" w:sz="0" w:space="0" w:color="auto"/>
      </w:divBdr>
    </w:div>
    <w:div w:id="1480613621">
      <w:marLeft w:val="0"/>
      <w:marRight w:val="0"/>
      <w:marTop w:val="180"/>
      <w:marBottom w:val="0"/>
      <w:divBdr>
        <w:top w:val="none" w:sz="0" w:space="0" w:color="auto"/>
        <w:left w:val="none" w:sz="0" w:space="0" w:color="auto"/>
        <w:bottom w:val="none" w:sz="0" w:space="0" w:color="auto"/>
        <w:right w:val="none" w:sz="0" w:space="0" w:color="auto"/>
      </w:divBdr>
    </w:div>
    <w:div w:id="1481843220">
      <w:marLeft w:val="0"/>
      <w:marRight w:val="0"/>
      <w:marTop w:val="180"/>
      <w:marBottom w:val="0"/>
      <w:divBdr>
        <w:top w:val="none" w:sz="0" w:space="0" w:color="auto"/>
        <w:left w:val="none" w:sz="0" w:space="0" w:color="auto"/>
        <w:bottom w:val="none" w:sz="0" w:space="0" w:color="auto"/>
        <w:right w:val="none" w:sz="0" w:space="0" w:color="auto"/>
      </w:divBdr>
    </w:div>
    <w:div w:id="1483505109">
      <w:marLeft w:val="0"/>
      <w:marRight w:val="0"/>
      <w:marTop w:val="180"/>
      <w:marBottom w:val="0"/>
      <w:divBdr>
        <w:top w:val="none" w:sz="0" w:space="0" w:color="auto"/>
        <w:left w:val="none" w:sz="0" w:space="0" w:color="auto"/>
        <w:bottom w:val="none" w:sz="0" w:space="0" w:color="auto"/>
        <w:right w:val="none" w:sz="0" w:space="0" w:color="auto"/>
      </w:divBdr>
    </w:div>
    <w:div w:id="1484732146">
      <w:marLeft w:val="0"/>
      <w:marRight w:val="0"/>
      <w:marTop w:val="180"/>
      <w:marBottom w:val="0"/>
      <w:divBdr>
        <w:top w:val="none" w:sz="0" w:space="0" w:color="auto"/>
        <w:left w:val="none" w:sz="0" w:space="0" w:color="auto"/>
        <w:bottom w:val="none" w:sz="0" w:space="0" w:color="auto"/>
        <w:right w:val="none" w:sz="0" w:space="0" w:color="auto"/>
      </w:divBdr>
    </w:div>
    <w:div w:id="1493374711">
      <w:marLeft w:val="0"/>
      <w:marRight w:val="0"/>
      <w:marTop w:val="0"/>
      <w:marBottom w:val="0"/>
      <w:divBdr>
        <w:top w:val="none" w:sz="0" w:space="0" w:color="auto"/>
        <w:left w:val="none" w:sz="0" w:space="0" w:color="auto"/>
        <w:bottom w:val="none" w:sz="0" w:space="0" w:color="auto"/>
        <w:right w:val="none" w:sz="0" w:space="0" w:color="auto"/>
      </w:divBdr>
      <w:divsChild>
        <w:div w:id="1312371888">
          <w:marLeft w:val="0"/>
          <w:marRight w:val="0"/>
          <w:marTop w:val="0"/>
          <w:marBottom w:val="0"/>
          <w:divBdr>
            <w:top w:val="none" w:sz="0" w:space="0" w:color="auto"/>
            <w:left w:val="none" w:sz="0" w:space="0" w:color="auto"/>
            <w:bottom w:val="none" w:sz="0" w:space="0" w:color="auto"/>
            <w:right w:val="none" w:sz="0" w:space="0" w:color="auto"/>
          </w:divBdr>
          <w:divsChild>
            <w:div w:id="18217291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95994734">
      <w:marLeft w:val="0"/>
      <w:marRight w:val="0"/>
      <w:marTop w:val="0"/>
      <w:marBottom w:val="0"/>
      <w:divBdr>
        <w:top w:val="none" w:sz="0" w:space="0" w:color="auto"/>
        <w:left w:val="none" w:sz="0" w:space="0" w:color="auto"/>
        <w:bottom w:val="none" w:sz="0" w:space="0" w:color="auto"/>
        <w:right w:val="none" w:sz="0" w:space="0" w:color="auto"/>
      </w:divBdr>
      <w:divsChild>
        <w:div w:id="1309168211">
          <w:marLeft w:val="0"/>
          <w:marRight w:val="0"/>
          <w:marTop w:val="180"/>
          <w:marBottom w:val="180"/>
          <w:divBdr>
            <w:top w:val="none" w:sz="0" w:space="0" w:color="auto"/>
            <w:left w:val="none" w:sz="0" w:space="0" w:color="auto"/>
            <w:bottom w:val="none" w:sz="0" w:space="0" w:color="auto"/>
            <w:right w:val="none" w:sz="0" w:space="0" w:color="auto"/>
          </w:divBdr>
        </w:div>
      </w:divsChild>
    </w:div>
    <w:div w:id="1496408830">
      <w:marLeft w:val="0"/>
      <w:marRight w:val="0"/>
      <w:marTop w:val="240"/>
      <w:marBottom w:val="0"/>
      <w:divBdr>
        <w:top w:val="none" w:sz="0" w:space="0" w:color="auto"/>
        <w:left w:val="none" w:sz="0" w:space="0" w:color="auto"/>
        <w:bottom w:val="none" w:sz="0" w:space="0" w:color="auto"/>
        <w:right w:val="none" w:sz="0" w:space="0" w:color="auto"/>
      </w:divBdr>
    </w:div>
    <w:div w:id="1498040087">
      <w:marLeft w:val="0"/>
      <w:marRight w:val="0"/>
      <w:marTop w:val="0"/>
      <w:marBottom w:val="0"/>
      <w:divBdr>
        <w:top w:val="none" w:sz="0" w:space="0" w:color="auto"/>
        <w:left w:val="none" w:sz="0" w:space="0" w:color="auto"/>
        <w:bottom w:val="none" w:sz="0" w:space="0" w:color="auto"/>
        <w:right w:val="none" w:sz="0" w:space="0" w:color="auto"/>
      </w:divBdr>
      <w:divsChild>
        <w:div w:id="1375736912">
          <w:marLeft w:val="0"/>
          <w:marRight w:val="0"/>
          <w:marTop w:val="180"/>
          <w:marBottom w:val="180"/>
          <w:divBdr>
            <w:top w:val="none" w:sz="0" w:space="0" w:color="auto"/>
            <w:left w:val="none" w:sz="0" w:space="0" w:color="auto"/>
            <w:bottom w:val="none" w:sz="0" w:space="0" w:color="auto"/>
            <w:right w:val="none" w:sz="0" w:space="0" w:color="auto"/>
          </w:divBdr>
        </w:div>
      </w:divsChild>
    </w:div>
    <w:div w:id="1503543050">
      <w:marLeft w:val="0"/>
      <w:marRight w:val="0"/>
      <w:marTop w:val="180"/>
      <w:marBottom w:val="0"/>
      <w:divBdr>
        <w:top w:val="none" w:sz="0" w:space="0" w:color="auto"/>
        <w:left w:val="none" w:sz="0" w:space="0" w:color="auto"/>
        <w:bottom w:val="none" w:sz="0" w:space="0" w:color="auto"/>
        <w:right w:val="none" w:sz="0" w:space="0" w:color="auto"/>
      </w:divBdr>
    </w:div>
    <w:div w:id="1503622749">
      <w:marLeft w:val="0"/>
      <w:marRight w:val="0"/>
      <w:marTop w:val="0"/>
      <w:marBottom w:val="0"/>
      <w:divBdr>
        <w:top w:val="none" w:sz="0" w:space="0" w:color="auto"/>
        <w:left w:val="none" w:sz="0" w:space="0" w:color="auto"/>
        <w:bottom w:val="none" w:sz="0" w:space="0" w:color="auto"/>
        <w:right w:val="none" w:sz="0" w:space="0" w:color="auto"/>
      </w:divBdr>
      <w:divsChild>
        <w:div w:id="80882580">
          <w:marLeft w:val="0"/>
          <w:marRight w:val="0"/>
          <w:marTop w:val="180"/>
          <w:marBottom w:val="180"/>
          <w:divBdr>
            <w:top w:val="none" w:sz="0" w:space="0" w:color="auto"/>
            <w:left w:val="none" w:sz="0" w:space="0" w:color="auto"/>
            <w:bottom w:val="none" w:sz="0" w:space="0" w:color="auto"/>
            <w:right w:val="none" w:sz="0" w:space="0" w:color="auto"/>
          </w:divBdr>
        </w:div>
      </w:divsChild>
    </w:div>
    <w:div w:id="1508522191">
      <w:marLeft w:val="0"/>
      <w:marRight w:val="0"/>
      <w:marTop w:val="240"/>
      <w:marBottom w:val="0"/>
      <w:divBdr>
        <w:top w:val="none" w:sz="0" w:space="0" w:color="auto"/>
        <w:left w:val="none" w:sz="0" w:space="0" w:color="auto"/>
        <w:bottom w:val="none" w:sz="0" w:space="0" w:color="auto"/>
        <w:right w:val="none" w:sz="0" w:space="0" w:color="auto"/>
      </w:divBdr>
    </w:div>
    <w:div w:id="1509252677">
      <w:marLeft w:val="0"/>
      <w:marRight w:val="0"/>
      <w:marTop w:val="180"/>
      <w:marBottom w:val="120"/>
      <w:divBdr>
        <w:top w:val="none" w:sz="0" w:space="0" w:color="auto"/>
        <w:left w:val="none" w:sz="0" w:space="0" w:color="auto"/>
        <w:bottom w:val="none" w:sz="0" w:space="0" w:color="auto"/>
        <w:right w:val="none" w:sz="0" w:space="0" w:color="auto"/>
      </w:divBdr>
    </w:div>
    <w:div w:id="1509949808">
      <w:marLeft w:val="0"/>
      <w:marRight w:val="0"/>
      <w:marTop w:val="180"/>
      <w:marBottom w:val="0"/>
      <w:divBdr>
        <w:top w:val="none" w:sz="0" w:space="0" w:color="auto"/>
        <w:left w:val="none" w:sz="0" w:space="0" w:color="auto"/>
        <w:bottom w:val="none" w:sz="0" w:space="0" w:color="auto"/>
        <w:right w:val="none" w:sz="0" w:space="0" w:color="auto"/>
      </w:divBdr>
    </w:div>
    <w:div w:id="1514493275">
      <w:marLeft w:val="0"/>
      <w:marRight w:val="0"/>
      <w:marTop w:val="0"/>
      <w:marBottom w:val="0"/>
      <w:divBdr>
        <w:top w:val="none" w:sz="0" w:space="0" w:color="auto"/>
        <w:left w:val="none" w:sz="0" w:space="0" w:color="auto"/>
        <w:bottom w:val="none" w:sz="0" w:space="0" w:color="auto"/>
        <w:right w:val="none" w:sz="0" w:space="0" w:color="auto"/>
      </w:divBdr>
      <w:divsChild>
        <w:div w:id="611940609">
          <w:marLeft w:val="0"/>
          <w:marRight w:val="0"/>
          <w:marTop w:val="180"/>
          <w:marBottom w:val="180"/>
          <w:divBdr>
            <w:top w:val="none" w:sz="0" w:space="0" w:color="auto"/>
            <w:left w:val="none" w:sz="0" w:space="0" w:color="auto"/>
            <w:bottom w:val="none" w:sz="0" w:space="0" w:color="auto"/>
            <w:right w:val="none" w:sz="0" w:space="0" w:color="auto"/>
          </w:divBdr>
        </w:div>
      </w:divsChild>
    </w:div>
    <w:div w:id="1515025788">
      <w:marLeft w:val="0"/>
      <w:marRight w:val="0"/>
      <w:marTop w:val="180"/>
      <w:marBottom w:val="20"/>
      <w:divBdr>
        <w:top w:val="none" w:sz="0" w:space="0" w:color="auto"/>
        <w:left w:val="none" w:sz="0" w:space="0" w:color="auto"/>
        <w:bottom w:val="none" w:sz="0" w:space="0" w:color="auto"/>
        <w:right w:val="none" w:sz="0" w:space="0" w:color="auto"/>
      </w:divBdr>
    </w:div>
    <w:div w:id="1516385308">
      <w:marLeft w:val="0"/>
      <w:marRight w:val="0"/>
      <w:marTop w:val="140"/>
      <w:marBottom w:val="0"/>
      <w:divBdr>
        <w:top w:val="none" w:sz="0" w:space="0" w:color="auto"/>
        <w:left w:val="none" w:sz="0" w:space="0" w:color="auto"/>
        <w:bottom w:val="none" w:sz="0" w:space="0" w:color="auto"/>
        <w:right w:val="none" w:sz="0" w:space="0" w:color="auto"/>
      </w:divBdr>
    </w:div>
    <w:div w:id="1516919836">
      <w:marLeft w:val="0"/>
      <w:marRight w:val="0"/>
      <w:marTop w:val="0"/>
      <w:marBottom w:val="0"/>
      <w:divBdr>
        <w:top w:val="none" w:sz="0" w:space="0" w:color="auto"/>
        <w:left w:val="none" w:sz="0" w:space="0" w:color="auto"/>
        <w:bottom w:val="none" w:sz="0" w:space="0" w:color="auto"/>
        <w:right w:val="none" w:sz="0" w:space="0" w:color="auto"/>
      </w:divBdr>
    </w:div>
    <w:div w:id="1516994108">
      <w:marLeft w:val="0"/>
      <w:marRight w:val="0"/>
      <w:marTop w:val="0"/>
      <w:marBottom w:val="0"/>
      <w:divBdr>
        <w:top w:val="none" w:sz="0" w:space="0" w:color="auto"/>
        <w:left w:val="none" w:sz="0" w:space="0" w:color="auto"/>
        <w:bottom w:val="none" w:sz="0" w:space="0" w:color="auto"/>
        <w:right w:val="none" w:sz="0" w:space="0" w:color="auto"/>
      </w:divBdr>
      <w:divsChild>
        <w:div w:id="1606771951">
          <w:marLeft w:val="0"/>
          <w:marRight w:val="0"/>
          <w:marTop w:val="180"/>
          <w:marBottom w:val="180"/>
          <w:divBdr>
            <w:top w:val="none" w:sz="0" w:space="0" w:color="auto"/>
            <w:left w:val="none" w:sz="0" w:space="0" w:color="auto"/>
            <w:bottom w:val="none" w:sz="0" w:space="0" w:color="auto"/>
            <w:right w:val="none" w:sz="0" w:space="0" w:color="auto"/>
          </w:divBdr>
        </w:div>
      </w:divsChild>
    </w:div>
    <w:div w:id="1522814081">
      <w:marLeft w:val="0"/>
      <w:marRight w:val="0"/>
      <w:marTop w:val="180"/>
      <w:marBottom w:val="20"/>
      <w:divBdr>
        <w:top w:val="none" w:sz="0" w:space="0" w:color="auto"/>
        <w:left w:val="none" w:sz="0" w:space="0" w:color="auto"/>
        <w:bottom w:val="none" w:sz="0" w:space="0" w:color="auto"/>
        <w:right w:val="none" w:sz="0" w:space="0" w:color="auto"/>
      </w:divBdr>
    </w:div>
    <w:div w:id="1525053556">
      <w:marLeft w:val="0"/>
      <w:marRight w:val="0"/>
      <w:marTop w:val="0"/>
      <w:marBottom w:val="0"/>
      <w:divBdr>
        <w:top w:val="none" w:sz="0" w:space="0" w:color="auto"/>
        <w:left w:val="none" w:sz="0" w:space="0" w:color="auto"/>
        <w:bottom w:val="none" w:sz="0" w:space="0" w:color="auto"/>
        <w:right w:val="none" w:sz="0" w:space="0" w:color="auto"/>
      </w:divBdr>
      <w:divsChild>
        <w:div w:id="465126470">
          <w:marLeft w:val="0"/>
          <w:marRight w:val="0"/>
          <w:marTop w:val="0"/>
          <w:marBottom w:val="0"/>
          <w:divBdr>
            <w:top w:val="none" w:sz="0" w:space="0" w:color="auto"/>
            <w:left w:val="none" w:sz="0" w:space="0" w:color="auto"/>
            <w:bottom w:val="none" w:sz="0" w:space="0" w:color="auto"/>
            <w:right w:val="none" w:sz="0" w:space="0" w:color="auto"/>
          </w:divBdr>
          <w:divsChild>
            <w:div w:id="16929477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25441309">
      <w:marLeft w:val="0"/>
      <w:marRight w:val="0"/>
      <w:marTop w:val="180"/>
      <w:marBottom w:val="0"/>
      <w:divBdr>
        <w:top w:val="none" w:sz="0" w:space="0" w:color="auto"/>
        <w:left w:val="none" w:sz="0" w:space="0" w:color="auto"/>
        <w:bottom w:val="none" w:sz="0" w:space="0" w:color="auto"/>
        <w:right w:val="none" w:sz="0" w:space="0" w:color="auto"/>
      </w:divBdr>
    </w:div>
    <w:div w:id="1529831325">
      <w:marLeft w:val="0"/>
      <w:marRight w:val="0"/>
      <w:marTop w:val="180"/>
      <w:marBottom w:val="0"/>
      <w:divBdr>
        <w:top w:val="none" w:sz="0" w:space="0" w:color="auto"/>
        <w:left w:val="none" w:sz="0" w:space="0" w:color="auto"/>
        <w:bottom w:val="none" w:sz="0" w:space="0" w:color="auto"/>
        <w:right w:val="none" w:sz="0" w:space="0" w:color="auto"/>
      </w:divBdr>
    </w:div>
    <w:div w:id="1535803324">
      <w:marLeft w:val="0"/>
      <w:marRight w:val="0"/>
      <w:marTop w:val="60"/>
      <w:marBottom w:val="20"/>
      <w:divBdr>
        <w:top w:val="none" w:sz="0" w:space="0" w:color="auto"/>
        <w:left w:val="none" w:sz="0" w:space="0" w:color="auto"/>
        <w:bottom w:val="none" w:sz="0" w:space="0" w:color="auto"/>
        <w:right w:val="none" w:sz="0" w:space="0" w:color="auto"/>
      </w:divBdr>
    </w:div>
    <w:div w:id="1540901199">
      <w:marLeft w:val="0"/>
      <w:marRight w:val="0"/>
      <w:marTop w:val="180"/>
      <w:marBottom w:val="0"/>
      <w:divBdr>
        <w:top w:val="none" w:sz="0" w:space="0" w:color="auto"/>
        <w:left w:val="none" w:sz="0" w:space="0" w:color="auto"/>
        <w:bottom w:val="none" w:sz="0" w:space="0" w:color="auto"/>
        <w:right w:val="none" w:sz="0" w:space="0" w:color="auto"/>
      </w:divBdr>
    </w:div>
    <w:div w:id="1549606885">
      <w:marLeft w:val="0"/>
      <w:marRight w:val="0"/>
      <w:marTop w:val="180"/>
      <w:marBottom w:val="0"/>
      <w:divBdr>
        <w:top w:val="none" w:sz="0" w:space="0" w:color="auto"/>
        <w:left w:val="none" w:sz="0" w:space="0" w:color="auto"/>
        <w:bottom w:val="none" w:sz="0" w:space="0" w:color="auto"/>
        <w:right w:val="none" w:sz="0" w:space="0" w:color="auto"/>
      </w:divBdr>
    </w:div>
    <w:div w:id="1553350594">
      <w:marLeft w:val="0"/>
      <w:marRight w:val="0"/>
      <w:marTop w:val="0"/>
      <w:marBottom w:val="0"/>
      <w:divBdr>
        <w:top w:val="none" w:sz="0" w:space="0" w:color="auto"/>
        <w:left w:val="none" w:sz="0" w:space="0" w:color="auto"/>
        <w:bottom w:val="none" w:sz="0" w:space="0" w:color="auto"/>
        <w:right w:val="none" w:sz="0" w:space="0" w:color="auto"/>
      </w:divBdr>
      <w:divsChild>
        <w:div w:id="1260480221">
          <w:marLeft w:val="0"/>
          <w:marRight w:val="0"/>
          <w:marTop w:val="0"/>
          <w:marBottom w:val="0"/>
          <w:divBdr>
            <w:top w:val="none" w:sz="0" w:space="0" w:color="auto"/>
            <w:left w:val="none" w:sz="0" w:space="0" w:color="auto"/>
            <w:bottom w:val="none" w:sz="0" w:space="0" w:color="auto"/>
            <w:right w:val="none" w:sz="0" w:space="0" w:color="auto"/>
          </w:divBdr>
          <w:divsChild>
            <w:div w:id="23575285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57351182">
      <w:marLeft w:val="0"/>
      <w:marRight w:val="0"/>
      <w:marTop w:val="60"/>
      <w:marBottom w:val="120"/>
      <w:divBdr>
        <w:top w:val="none" w:sz="0" w:space="0" w:color="auto"/>
        <w:left w:val="none" w:sz="0" w:space="0" w:color="auto"/>
        <w:bottom w:val="none" w:sz="0" w:space="0" w:color="auto"/>
        <w:right w:val="none" w:sz="0" w:space="0" w:color="auto"/>
      </w:divBdr>
    </w:div>
    <w:div w:id="1559590054">
      <w:marLeft w:val="0"/>
      <w:marRight w:val="0"/>
      <w:marTop w:val="180"/>
      <w:marBottom w:val="0"/>
      <w:divBdr>
        <w:top w:val="none" w:sz="0" w:space="0" w:color="auto"/>
        <w:left w:val="none" w:sz="0" w:space="0" w:color="auto"/>
        <w:bottom w:val="none" w:sz="0" w:space="0" w:color="auto"/>
        <w:right w:val="none" w:sz="0" w:space="0" w:color="auto"/>
      </w:divBdr>
    </w:div>
    <w:div w:id="1566456381">
      <w:marLeft w:val="0"/>
      <w:marRight w:val="0"/>
      <w:marTop w:val="180"/>
      <w:marBottom w:val="20"/>
      <w:divBdr>
        <w:top w:val="none" w:sz="0" w:space="0" w:color="auto"/>
        <w:left w:val="none" w:sz="0" w:space="0" w:color="auto"/>
        <w:bottom w:val="none" w:sz="0" w:space="0" w:color="auto"/>
        <w:right w:val="none" w:sz="0" w:space="0" w:color="auto"/>
      </w:divBdr>
      <w:divsChild>
        <w:div w:id="675693178">
          <w:marLeft w:val="0"/>
          <w:marRight w:val="0"/>
          <w:marTop w:val="0"/>
          <w:marBottom w:val="0"/>
          <w:divBdr>
            <w:top w:val="none" w:sz="0" w:space="0" w:color="auto"/>
            <w:left w:val="none" w:sz="0" w:space="0" w:color="auto"/>
            <w:bottom w:val="none" w:sz="0" w:space="0" w:color="auto"/>
            <w:right w:val="none" w:sz="0" w:space="0" w:color="auto"/>
          </w:divBdr>
        </w:div>
        <w:div w:id="1326208429">
          <w:marLeft w:val="0"/>
          <w:marRight w:val="0"/>
          <w:marTop w:val="0"/>
          <w:marBottom w:val="0"/>
          <w:divBdr>
            <w:top w:val="none" w:sz="0" w:space="0" w:color="auto"/>
            <w:left w:val="none" w:sz="0" w:space="0" w:color="auto"/>
            <w:bottom w:val="none" w:sz="0" w:space="0" w:color="auto"/>
            <w:right w:val="none" w:sz="0" w:space="0" w:color="auto"/>
          </w:divBdr>
        </w:div>
        <w:div w:id="1709183020">
          <w:marLeft w:val="0"/>
          <w:marRight w:val="0"/>
          <w:marTop w:val="0"/>
          <w:marBottom w:val="0"/>
          <w:divBdr>
            <w:top w:val="none" w:sz="0" w:space="0" w:color="auto"/>
            <w:left w:val="none" w:sz="0" w:space="0" w:color="auto"/>
            <w:bottom w:val="none" w:sz="0" w:space="0" w:color="auto"/>
            <w:right w:val="none" w:sz="0" w:space="0" w:color="auto"/>
          </w:divBdr>
        </w:div>
        <w:div w:id="2037541154">
          <w:marLeft w:val="0"/>
          <w:marRight w:val="0"/>
          <w:marTop w:val="0"/>
          <w:marBottom w:val="0"/>
          <w:divBdr>
            <w:top w:val="none" w:sz="0" w:space="0" w:color="auto"/>
            <w:left w:val="none" w:sz="0" w:space="0" w:color="auto"/>
            <w:bottom w:val="none" w:sz="0" w:space="0" w:color="auto"/>
            <w:right w:val="none" w:sz="0" w:space="0" w:color="auto"/>
          </w:divBdr>
        </w:div>
        <w:div w:id="1571228350">
          <w:marLeft w:val="0"/>
          <w:marRight w:val="0"/>
          <w:marTop w:val="0"/>
          <w:marBottom w:val="0"/>
          <w:divBdr>
            <w:top w:val="none" w:sz="0" w:space="0" w:color="auto"/>
            <w:left w:val="none" w:sz="0" w:space="0" w:color="auto"/>
            <w:bottom w:val="none" w:sz="0" w:space="0" w:color="auto"/>
            <w:right w:val="none" w:sz="0" w:space="0" w:color="auto"/>
          </w:divBdr>
        </w:div>
        <w:div w:id="543250338">
          <w:marLeft w:val="0"/>
          <w:marRight w:val="0"/>
          <w:marTop w:val="0"/>
          <w:marBottom w:val="0"/>
          <w:divBdr>
            <w:top w:val="none" w:sz="0" w:space="0" w:color="auto"/>
            <w:left w:val="none" w:sz="0" w:space="0" w:color="auto"/>
            <w:bottom w:val="none" w:sz="0" w:space="0" w:color="auto"/>
            <w:right w:val="none" w:sz="0" w:space="0" w:color="auto"/>
          </w:divBdr>
        </w:div>
        <w:div w:id="379520957">
          <w:marLeft w:val="0"/>
          <w:marRight w:val="0"/>
          <w:marTop w:val="0"/>
          <w:marBottom w:val="0"/>
          <w:divBdr>
            <w:top w:val="none" w:sz="0" w:space="0" w:color="auto"/>
            <w:left w:val="none" w:sz="0" w:space="0" w:color="auto"/>
            <w:bottom w:val="none" w:sz="0" w:space="0" w:color="auto"/>
            <w:right w:val="none" w:sz="0" w:space="0" w:color="auto"/>
          </w:divBdr>
        </w:div>
      </w:divsChild>
    </w:div>
    <w:div w:id="1566800909">
      <w:marLeft w:val="0"/>
      <w:marRight w:val="0"/>
      <w:marTop w:val="240"/>
      <w:marBottom w:val="0"/>
      <w:divBdr>
        <w:top w:val="none" w:sz="0" w:space="0" w:color="auto"/>
        <w:left w:val="none" w:sz="0" w:space="0" w:color="auto"/>
        <w:bottom w:val="none" w:sz="0" w:space="0" w:color="auto"/>
        <w:right w:val="none" w:sz="0" w:space="0" w:color="auto"/>
      </w:divBdr>
    </w:div>
    <w:div w:id="1573344004">
      <w:marLeft w:val="0"/>
      <w:marRight w:val="0"/>
      <w:marTop w:val="180"/>
      <w:marBottom w:val="0"/>
      <w:divBdr>
        <w:top w:val="none" w:sz="0" w:space="0" w:color="auto"/>
        <w:left w:val="none" w:sz="0" w:space="0" w:color="auto"/>
        <w:bottom w:val="none" w:sz="0" w:space="0" w:color="auto"/>
        <w:right w:val="none" w:sz="0" w:space="0" w:color="auto"/>
      </w:divBdr>
    </w:div>
    <w:div w:id="1573394549">
      <w:marLeft w:val="0"/>
      <w:marRight w:val="0"/>
      <w:marTop w:val="180"/>
      <w:marBottom w:val="0"/>
      <w:divBdr>
        <w:top w:val="none" w:sz="0" w:space="0" w:color="auto"/>
        <w:left w:val="none" w:sz="0" w:space="0" w:color="auto"/>
        <w:bottom w:val="none" w:sz="0" w:space="0" w:color="auto"/>
        <w:right w:val="none" w:sz="0" w:space="0" w:color="auto"/>
      </w:divBdr>
    </w:div>
    <w:div w:id="1575429810">
      <w:marLeft w:val="0"/>
      <w:marRight w:val="0"/>
      <w:marTop w:val="180"/>
      <w:marBottom w:val="0"/>
      <w:divBdr>
        <w:top w:val="none" w:sz="0" w:space="0" w:color="auto"/>
        <w:left w:val="none" w:sz="0" w:space="0" w:color="auto"/>
        <w:bottom w:val="none" w:sz="0" w:space="0" w:color="auto"/>
        <w:right w:val="none" w:sz="0" w:space="0" w:color="auto"/>
      </w:divBdr>
    </w:div>
    <w:div w:id="1575815848">
      <w:marLeft w:val="0"/>
      <w:marRight w:val="0"/>
      <w:marTop w:val="180"/>
      <w:marBottom w:val="0"/>
      <w:divBdr>
        <w:top w:val="none" w:sz="0" w:space="0" w:color="auto"/>
        <w:left w:val="none" w:sz="0" w:space="0" w:color="auto"/>
        <w:bottom w:val="none" w:sz="0" w:space="0" w:color="auto"/>
        <w:right w:val="none" w:sz="0" w:space="0" w:color="auto"/>
      </w:divBdr>
    </w:div>
    <w:div w:id="1576009984">
      <w:marLeft w:val="0"/>
      <w:marRight w:val="0"/>
      <w:marTop w:val="180"/>
      <w:marBottom w:val="0"/>
      <w:divBdr>
        <w:top w:val="none" w:sz="0" w:space="0" w:color="auto"/>
        <w:left w:val="none" w:sz="0" w:space="0" w:color="auto"/>
        <w:bottom w:val="none" w:sz="0" w:space="0" w:color="auto"/>
        <w:right w:val="none" w:sz="0" w:space="0" w:color="auto"/>
      </w:divBdr>
    </w:div>
    <w:div w:id="1576356090">
      <w:marLeft w:val="0"/>
      <w:marRight w:val="0"/>
      <w:marTop w:val="240"/>
      <w:marBottom w:val="0"/>
      <w:divBdr>
        <w:top w:val="none" w:sz="0" w:space="0" w:color="auto"/>
        <w:left w:val="none" w:sz="0" w:space="0" w:color="auto"/>
        <w:bottom w:val="none" w:sz="0" w:space="0" w:color="auto"/>
        <w:right w:val="none" w:sz="0" w:space="0" w:color="auto"/>
      </w:divBdr>
    </w:div>
    <w:div w:id="1586260155">
      <w:marLeft w:val="0"/>
      <w:marRight w:val="0"/>
      <w:marTop w:val="180"/>
      <w:marBottom w:val="0"/>
      <w:divBdr>
        <w:top w:val="none" w:sz="0" w:space="0" w:color="auto"/>
        <w:left w:val="none" w:sz="0" w:space="0" w:color="auto"/>
        <w:bottom w:val="none" w:sz="0" w:space="0" w:color="auto"/>
        <w:right w:val="none" w:sz="0" w:space="0" w:color="auto"/>
      </w:divBdr>
    </w:div>
    <w:div w:id="1587419286">
      <w:marLeft w:val="0"/>
      <w:marRight w:val="0"/>
      <w:marTop w:val="180"/>
      <w:marBottom w:val="0"/>
      <w:divBdr>
        <w:top w:val="none" w:sz="0" w:space="0" w:color="auto"/>
        <w:left w:val="none" w:sz="0" w:space="0" w:color="auto"/>
        <w:bottom w:val="none" w:sz="0" w:space="0" w:color="auto"/>
        <w:right w:val="none" w:sz="0" w:space="0" w:color="auto"/>
      </w:divBdr>
    </w:div>
    <w:div w:id="1602032892">
      <w:marLeft w:val="0"/>
      <w:marRight w:val="0"/>
      <w:marTop w:val="180"/>
      <w:marBottom w:val="0"/>
      <w:divBdr>
        <w:top w:val="none" w:sz="0" w:space="0" w:color="auto"/>
        <w:left w:val="none" w:sz="0" w:space="0" w:color="auto"/>
        <w:bottom w:val="none" w:sz="0" w:space="0" w:color="auto"/>
        <w:right w:val="none" w:sz="0" w:space="0" w:color="auto"/>
      </w:divBdr>
    </w:div>
    <w:div w:id="1604075055">
      <w:marLeft w:val="0"/>
      <w:marRight w:val="0"/>
      <w:marTop w:val="180"/>
      <w:marBottom w:val="0"/>
      <w:divBdr>
        <w:top w:val="none" w:sz="0" w:space="0" w:color="auto"/>
        <w:left w:val="none" w:sz="0" w:space="0" w:color="auto"/>
        <w:bottom w:val="none" w:sz="0" w:space="0" w:color="auto"/>
        <w:right w:val="none" w:sz="0" w:space="0" w:color="auto"/>
      </w:divBdr>
    </w:div>
    <w:div w:id="1607615465">
      <w:marLeft w:val="0"/>
      <w:marRight w:val="0"/>
      <w:marTop w:val="180"/>
      <w:marBottom w:val="0"/>
      <w:divBdr>
        <w:top w:val="none" w:sz="0" w:space="0" w:color="auto"/>
        <w:left w:val="none" w:sz="0" w:space="0" w:color="auto"/>
        <w:bottom w:val="none" w:sz="0" w:space="0" w:color="auto"/>
        <w:right w:val="none" w:sz="0" w:space="0" w:color="auto"/>
      </w:divBdr>
    </w:div>
    <w:div w:id="1608391827">
      <w:marLeft w:val="0"/>
      <w:marRight w:val="0"/>
      <w:marTop w:val="180"/>
      <w:marBottom w:val="0"/>
      <w:divBdr>
        <w:top w:val="none" w:sz="0" w:space="0" w:color="auto"/>
        <w:left w:val="none" w:sz="0" w:space="0" w:color="auto"/>
        <w:bottom w:val="none" w:sz="0" w:space="0" w:color="auto"/>
        <w:right w:val="none" w:sz="0" w:space="0" w:color="auto"/>
      </w:divBdr>
    </w:div>
    <w:div w:id="1612206126">
      <w:marLeft w:val="0"/>
      <w:marRight w:val="0"/>
      <w:marTop w:val="180"/>
      <w:marBottom w:val="0"/>
      <w:divBdr>
        <w:top w:val="none" w:sz="0" w:space="0" w:color="auto"/>
        <w:left w:val="none" w:sz="0" w:space="0" w:color="auto"/>
        <w:bottom w:val="none" w:sz="0" w:space="0" w:color="auto"/>
        <w:right w:val="none" w:sz="0" w:space="0" w:color="auto"/>
      </w:divBdr>
    </w:div>
    <w:div w:id="1612395434">
      <w:marLeft w:val="0"/>
      <w:marRight w:val="0"/>
      <w:marTop w:val="120"/>
      <w:marBottom w:val="0"/>
      <w:divBdr>
        <w:top w:val="none" w:sz="0" w:space="0" w:color="auto"/>
        <w:left w:val="none" w:sz="0" w:space="0" w:color="auto"/>
        <w:bottom w:val="none" w:sz="0" w:space="0" w:color="auto"/>
        <w:right w:val="none" w:sz="0" w:space="0" w:color="auto"/>
      </w:divBdr>
    </w:div>
    <w:div w:id="1613248564">
      <w:marLeft w:val="0"/>
      <w:marRight w:val="0"/>
      <w:marTop w:val="180"/>
      <w:marBottom w:val="0"/>
      <w:divBdr>
        <w:top w:val="none" w:sz="0" w:space="0" w:color="auto"/>
        <w:left w:val="none" w:sz="0" w:space="0" w:color="auto"/>
        <w:bottom w:val="none" w:sz="0" w:space="0" w:color="auto"/>
        <w:right w:val="none" w:sz="0" w:space="0" w:color="auto"/>
      </w:divBdr>
    </w:div>
    <w:div w:id="1613708346">
      <w:marLeft w:val="0"/>
      <w:marRight w:val="0"/>
      <w:marTop w:val="130"/>
      <w:marBottom w:val="20"/>
      <w:divBdr>
        <w:top w:val="none" w:sz="0" w:space="0" w:color="auto"/>
        <w:left w:val="none" w:sz="0" w:space="0" w:color="auto"/>
        <w:bottom w:val="none" w:sz="0" w:space="0" w:color="auto"/>
        <w:right w:val="none" w:sz="0" w:space="0" w:color="auto"/>
      </w:divBdr>
      <w:divsChild>
        <w:div w:id="17515261">
          <w:marLeft w:val="0"/>
          <w:marRight w:val="0"/>
          <w:marTop w:val="0"/>
          <w:marBottom w:val="0"/>
          <w:divBdr>
            <w:top w:val="none" w:sz="0" w:space="0" w:color="auto"/>
            <w:left w:val="none" w:sz="0" w:space="0" w:color="auto"/>
            <w:bottom w:val="none" w:sz="0" w:space="0" w:color="auto"/>
            <w:right w:val="none" w:sz="0" w:space="0" w:color="auto"/>
          </w:divBdr>
        </w:div>
        <w:div w:id="1880044188">
          <w:marLeft w:val="0"/>
          <w:marRight w:val="0"/>
          <w:marTop w:val="0"/>
          <w:marBottom w:val="0"/>
          <w:divBdr>
            <w:top w:val="none" w:sz="0" w:space="0" w:color="auto"/>
            <w:left w:val="none" w:sz="0" w:space="0" w:color="auto"/>
            <w:bottom w:val="none" w:sz="0" w:space="0" w:color="auto"/>
            <w:right w:val="none" w:sz="0" w:space="0" w:color="auto"/>
          </w:divBdr>
        </w:div>
        <w:div w:id="407773933">
          <w:marLeft w:val="0"/>
          <w:marRight w:val="0"/>
          <w:marTop w:val="0"/>
          <w:marBottom w:val="0"/>
          <w:divBdr>
            <w:top w:val="none" w:sz="0" w:space="0" w:color="auto"/>
            <w:left w:val="none" w:sz="0" w:space="0" w:color="auto"/>
            <w:bottom w:val="none" w:sz="0" w:space="0" w:color="auto"/>
            <w:right w:val="none" w:sz="0" w:space="0" w:color="auto"/>
          </w:divBdr>
        </w:div>
        <w:div w:id="2024627259">
          <w:marLeft w:val="0"/>
          <w:marRight w:val="0"/>
          <w:marTop w:val="0"/>
          <w:marBottom w:val="0"/>
          <w:divBdr>
            <w:top w:val="none" w:sz="0" w:space="0" w:color="auto"/>
            <w:left w:val="none" w:sz="0" w:space="0" w:color="auto"/>
            <w:bottom w:val="none" w:sz="0" w:space="0" w:color="auto"/>
            <w:right w:val="none" w:sz="0" w:space="0" w:color="auto"/>
          </w:divBdr>
        </w:div>
        <w:div w:id="1902979405">
          <w:marLeft w:val="0"/>
          <w:marRight w:val="0"/>
          <w:marTop w:val="0"/>
          <w:marBottom w:val="0"/>
          <w:divBdr>
            <w:top w:val="none" w:sz="0" w:space="0" w:color="auto"/>
            <w:left w:val="none" w:sz="0" w:space="0" w:color="auto"/>
            <w:bottom w:val="none" w:sz="0" w:space="0" w:color="auto"/>
            <w:right w:val="none" w:sz="0" w:space="0" w:color="auto"/>
          </w:divBdr>
        </w:div>
        <w:div w:id="37970648">
          <w:marLeft w:val="0"/>
          <w:marRight w:val="0"/>
          <w:marTop w:val="0"/>
          <w:marBottom w:val="0"/>
          <w:divBdr>
            <w:top w:val="none" w:sz="0" w:space="0" w:color="auto"/>
            <w:left w:val="none" w:sz="0" w:space="0" w:color="auto"/>
            <w:bottom w:val="none" w:sz="0" w:space="0" w:color="auto"/>
            <w:right w:val="none" w:sz="0" w:space="0" w:color="auto"/>
          </w:divBdr>
        </w:div>
        <w:div w:id="334069143">
          <w:marLeft w:val="0"/>
          <w:marRight w:val="0"/>
          <w:marTop w:val="0"/>
          <w:marBottom w:val="0"/>
          <w:divBdr>
            <w:top w:val="none" w:sz="0" w:space="0" w:color="auto"/>
            <w:left w:val="none" w:sz="0" w:space="0" w:color="auto"/>
            <w:bottom w:val="none" w:sz="0" w:space="0" w:color="auto"/>
            <w:right w:val="none" w:sz="0" w:space="0" w:color="auto"/>
          </w:divBdr>
        </w:div>
        <w:div w:id="679116649">
          <w:marLeft w:val="0"/>
          <w:marRight w:val="0"/>
          <w:marTop w:val="0"/>
          <w:marBottom w:val="0"/>
          <w:divBdr>
            <w:top w:val="none" w:sz="0" w:space="0" w:color="auto"/>
            <w:left w:val="none" w:sz="0" w:space="0" w:color="auto"/>
            <w:bottom w:val="none" w:sz="0" w:space="0" w:color="auto"/>
            <w:right w:val="none" w:sz="0" w:space="0" w:color="auto"/>
          </w:divBdr>
        </w:div>
        <w:div w:id="402721117">
          <w:marLeft w:val="0"/>
          <w:marRight w:val="0"/>
          <w:marTop w:val="0"/>
          <w:marBottom w:val="0"/>
          <w:divBdr>
            <w:top w:val="none" w:sz="0" w:space="0" w:color="auto"/>
            <w:left w:val="none" w:sz="0" w:space="0" w:color="auto"/>
            <w:bottom w:val="none" w:sz="0" w:space="0" w:color="auto"/>
            <w:right w:val="none" w:sz="0" w:space="0" w:color="auto"/>
          </w:divBdr>
        </w:div>
        <w:div w:id="1307591480">
          <w:marLeft w:val="0"/>
          <w:marRight w:val="0"/>
          <w:marTop w:val="0"/>
          <w:marBottom w:val="0"/>
          <w:divBdr>
            <w:top w:val="none" w:sz="0" w:space="0" w:color="auto"/>
            <w:left w:val="none" w:sz="0" w:space="0" w:color="auto"/>
            <w:bottom w:val="none" w:sz="0" w:space="0" w:color="auto"/>
            <w:right w:val="none" w:sz="0" w:space="0" w:color="auto"/>
          </w:divBdr>
        </w:div>
      </w:divsChild>
    </w:div>
    <w:div w:id="1615674095">
      <w:marLeft w:val="0"/>
      <w:marRight w:val="0"/>
      <w:marTop w:val="0"/>
      <w:marBottom w:val="0"/>
      <w:divBdr>
        <w:top w:val="none" w:sz="0" w:space="0" w:color="auto"/>
        <w:left w:val="none" w:sz="0" w:space="0" w:color="auto"/>
        <w:bottom w:val="none" w:sz="0" w:space="0" w:color="auto"/>
        <w:right w:val="none" w:sz="0" w:space="0" w:color="auto"/>
      </w:divBdr>
      <w:divsChild>
        <w:div w:id="1956403038">
          <w:marLeft w:val="0"/>
          <w:marRight w:val="0"/>
          <w:marTop w:val="180"/>
          <w:marBottom w:val="180"/>
          <w:divBdr>
            <w:top w:val="none" w:sz="0" w:space="0" w:color="auto"/>
            <w:left w:val="none" w:sz="0" w:space="0" w:color="auto"/>
            <w:bottom w:val="none" w:sz="0" w:space="0" w:color="auto"/>
            <w:right w:val="none" w:sz="0" w:space="0" w:color="auto"/>
          </w:divBdr>
        </w:div>
      </w:divsChild>
    </w:div>
    <w:div w:id="1615743776">
      <w:marLeft w:val="0"/>
      <w:marRight w:val="0"/>
      <w:marTop w:val="180"/>
      <w:marBottom w:val="0"/>
      <w:divBdr>
        <w:top w:val="none" w:sz="0" w:space="0" w:color="auto"/>
        <w:left w:val="none" w:sz="0" w:space="0" w:color="auto"/>
        <w:bottom w:val="none" w:sz="0" w:space="0" w:color="auto"/>
        <w:right w:val="none" w:sz="0" w:space="0" w:color="auto"/>
      </w:divBdr>
    </w:div>
    <w:div w:id="1621064715">
      <w:marLeft w:val="0"/>
      <w:marRight w:val="0"/>
      <w:marTop w:val="180"/>
      <w:marBottom w:val="0"/>
      <w:divBdr>
        <w:top w:val="none" w:sz="0" w:space="0" w:color="auto"/>
        <w:left w:val="none" w:sz="0" w:space="0" w:color="auto"/>
        <w:bottom w:val="none" w:sz="0" w:space="0" w:color="auto"/>
        <w:right w:val="none" w:sz="0" w:space="0" w:color="auto"/>
      </w:divBdr>
    </w:div>
    <w:div w:id="1624922111">
      <w:marLeft w:val="0"/>
      <w:marRight w:val="0"/>
      <w:marTop w:val="180"/>
      <w:marBottom w:val="0"/>
      <w:divBdr>
        <w:top w:val="none" w:sz="0" w:space="0" w:color="auto"/>
        <w:left w:val="none" w:sz="0" w:space="0" w:color="auto"/>
        <w:bottom w:val="none" w:sz="0" w:space="0" w:color="auto"/>
        <w:right w:val="none" w:sz="0" w:space="0" w:color="auto"/>
      </w:divBdr>
    </w:div>
    <w:div w:id="1625115403">
      <w:marLeft w:val="0"/>
      <w:marRight w:val="0"/>
      <w:marTop w:val="180"/>
      <w:marBottom w:val="0"/>
      <w:divBdr>
        <w:top w:val="none" w:sz="0" w:space="0" w:color="auto"/>
        <w:left w:val="none" w:sz="0" w:space="0" w:color="auto"/>
        <w:bottom w:val="none" w:sz="0" w:space="0" w:color="auto"/>
        <w:right w:val="none" w:sz="0" w:space="0" w:color="auto"/>
      </w:divBdr>
    </w:div>
    <w:div w:id="1626237088">
      <w:marLeft w:val="0"/>
      <w:marRight w:val="0"/>
      <w:marTop w:val="120"/>
      <w:marBottom w:val="0"/>
      <w:divBdr>
        <w:top w:val="none" w:sz="0" w:space="0" w:color="auto"/>
        <w:left w:val="none" w:sz="0" w:space="0" w:color="auto"/>
        <w:bottom w:val="none" w:sz="0" w:space="0" w:color="auto"/>
        <w:right w:val="none" w:sz="0" w:space="0" w:color="auto"/>
      </w:divBdr>
    </w:div>
    <w:div w:id="1633094610">
      <w:marLeft w:val="0"/>
      <w:marRight w:val="0"/>
      <w:marTop w:val="180"/>
      <w:marBottom w:val="0"/>
      <w:divBdr>
        <w:top w:val="none" w:sz="0" w:space="0" w:color="auto"/>
        <w:left w:val="none" w:sz="0" w:space="0" w:color="auto"/>
        <w:bottom w:val="none" w:sz="0" w:space="0" w:color="auto"/>
        <w:right w:val="none" w:sz="0" w:space="0" w:color="auto"/>
      </w:divBdr>
    </w:div>
    <w:div w:id="1634098426">
      <w:marLeft w:val="0"/>
      <w:marRight w:val="0"/>
      <w:marTop w:val="180"/>
      <w:marBottom w:val="0"/>
      <w:divBdr>
        <w:top w:val="none" w:sz="0" w:space="0" w:color="auto"/>
        <w:left w:val="none" w:sz="0" w:space="0" w:color="auto"/>
        <w:bottom w:val="none" w:sz="0" w:space="0" w:color="auto"/>
        <w:right w:val="none" w:sz="0" w:space="0" w:color="auto"/>
      </w:divBdr>
    </w:div>
    <w:div w:id="1636524139">
      <w:marLeft w:val="0"/>
      <w:marRight w:val="0"/>
      <w:marTop w:val="180"/>
      <w:marBottom w:val="0"/>
      <w:divBdr>
        <w:top w:val="none" w:sz="0" w:space="0" w:color="auto"/>
        <w:left w:val="none" w:sz="0" w:space="0" w:color="auto"/>
        <w:bottom w:val="none" w:sz="0" w:space="0" w:color="auto"/>
        <w:right w:val="none" w:sz="0" w:space="0" w:color="auto"/>
      </w:divBdr>
    </w:div>
    <w:div w:id="1640455637">
      <w:marLeft w:val="0"/>
      <w:marRight w:val="0"/>
      <w:marTop w:val="120"/>
      <w:marBottom w:val="20"/>
      <w:divBdr>
        <w:top w:val="none" w:sz="0" w:space="0" w:color="auto"/>
        <w:left w:val="none" w:sz="0" w:space="0" w:color="auto"/>
        <w:bottom w:val="none" w:sz="0" w:space="0" w:color="auto"/>
        <w:right w:val="none" w:sz="0" w:space="0" w:color="auto"/>
      </w:divBdr>
    </w:div>
    <w:div w:id="1641032393">
      <w:marLeft w:val="0"/>
      <w:marRight w:val="0"/>
      <w:marTop w:val="180"/>
      <w:marBottom w:val="0"/>
      <w:divBdr>
        <w:top w:val="none" w:sz="0" w:space="0" w:color="auto"/>
        <w:left w:val="none" w:sz="0" w:space="0" w:color="auto"/>
        <w:bottom w:val="none" w:sz="0" w:space="0" w:color="auto"/>
        <w:right w:val="none" w:sz="0" w:space="0" w:color="auto"/>
      </w:divBdr>
    </w:div>
    <w:div w:id="1642879682">
      <w:marLeft w:val="0"/>
      <w:marRight w:val="0"/>
      <w:marTop w:val="180"/>
      <w:marBottom w:val="0"/>
      <w:divBdr>
        <w:top w:val="none" w:sz="0" w:space="0" w:color="auto"/>
        <w:left w:val="none" w:sz="0" w:space="0" w:color="auto"/>
        <w:bottom w:val="none" w:sz="0" w:space="0" w:color="auto"/>
        <w:right w:val="none" w:sz="0" w:space="0" w:color="auto"/>
      </w:divBdr>
    </w:div>
    <w:div w:id="1646205024">
      <w:marLeft w:val="0"/>
      <w:marRight w:val="0"/>
      <w:marTop w:val="180"/>
      <w:marBottom w:val="0"/>
      <w:divBdr>
        <w:top w:val="none" w:sz="0" w:space="0" w:color="auto"/>
        <w:left w:val="none" w:sz="0" w:space="0" w:color="auto"/>
        <w:bottom w:val="none" w:sz="0" w:space="0" w:color="auto"/>
        <w:right w:val="none" w:sz="0" w:space="0" w:color="auto"/>
      </w:divBdr>
    </w:div>
    <w:div w:id="1650090703">
      <w:marLeft w:val="0"/>
      <w:marRight w:val="0"/>
      <w:marTop w:val="180"/>
      <w:marBottom w:val="0"/>
      <w:divBdr>
        <w:top w:val="none" w:sz="0" w:space="0" w:color="auto"/>
        <w:left w:val="none" w:sz="0" w:space="0" w:color="auto"/>
        <w:bottom w:val="none" w:sz="0" w:space="0" w:color="auto"/>
        <w:right w:val="none" w:sz="0" w:space="0" w:color="auto"/>
      </w:divBdr>
    </w:div>
    <w:div w:id="1668366321">
      <w:marLeft w:val="0"/>
      <w:marRight w:val="0"/>
      <w:marTop w:val="180"/>
      <w:marBottom w:val="0"/>
      <w:divBdr>
        <w:top w:val="none" w:sz="0" w:space="0" w:color="auto"/>
        <w:left w:val="none" w:sz="0" w:space="0" w:color="auto"/>
        <w:bottom w:val="none" w:sz="0" w:space="0" w:color="auto"/>
        <w:right w:val="none" w:sz="0" w:space="0" w:color="auto"/>
      </w:divBdr>
    </w:div>
    <w:div w:id="1674649452">
      <w:marLeft w:val="0"/>
      <w:marRight w:val="0"/>
      <w:marTop w:val="180"/>
      <w:marBottom w:val="0"/>
      <w:divBdr>
        <w:top w:val="none" w:sz="0" w:space="0" w:color="auto"/>
        <w:left w:val="none" w:sz="0" w:space="0" w:color="auto"/>
        <w:bottom w:val="none" w:sz="0" w:space="0" w:color="auto"/>
        <w:right w:val="none" w:sz="0" w:space="0" w:color="auto"/>
      </w:divBdr>
    </w:div>
    <w:div w:id="1682198797">
      <w:marLeft w:val="0"/>
      <w:marRight w:val="0"/>
      <w:marTop w:val="180"/>
      <w:marBottom w:val="0"/>
      <w:divBdr>
        <w:top w:val="none" w:sz="0" w:space="0" w:color="auto"/>
        <w:left w:val="none" w:sz="0" w:space="0" w:color="auto"/>
        <w:bottom w:val="none" w:sz="0" w:space="0" w:color="auto"/>
        <w:right w:val="none" w:sz="0" w:space="0" w:color="auto"/>
      </w:divBdr>
    </w:div>
    <w:div w:id="1683705918">
      <w:marLeft w:val="0"/>
      <w:marRight w:val="0"/>
      <w:marTop w:val="180"/>
      <w:marBottom w:val="0"/>
      <w:divBdr>
        <w:top w:val="none" w:sz="0" w:space="0" w:color="auto"/>
        <w:left w:val="none" w:sz="0" w:space="0" w:color="auto"/>
        <w:bottom w:val="none" w:sz="0" w:space="0" w:color="auto"/>
        <w:right w:val="none" w:sz="0" w:space="0" w:color="auto"/>
      </w:divBdr>
    </w:div>
    <w:div w:id="1685552653">
      <w:marLeft w:val="0"/>
      <w:marRight w:val="0"/>
      <w:marTop w:val="180"/>
      <w:marBottom w:val="0"/>
      <w:divBdr>
        <w:top w:val="none" w:sz="0" w:space="0" w:color="auto"/>
        <w:left w:val="none" w:sz="0" w:space="0" w:color="auto"/>
        <w:bottom w:val="none" w:sz="0" w:space="0" w:color="auto"/>
        <w:right w:val="none" w:sz="0" w:space="0" w:color="auto"/>
      </w:divBdr>
    </w:div>
    <w:div w:id="1689677818">
      <w:marLeft w:val="0"/>
      <w:marRight w:val="0"/>
      <w:marTop w:val="180"/>
      <w:marBottom w:val="0"/>
      <w:divBdr>
        <w:top w:val="none" w:sz="0" w:space="0" w:color="auto"/>
        <w:left w:val="none" w:sz="0" w:space="0" w:color="auto"/>
        <w:bottom w:val="none" w:sz="0" w:space="0" w:color="auto"/>
        <w:right w:val="none" w:sz="0" w:space="0" w:color="auto"/>
      </w:divBdr>
    </w:div>
    <w:div w:id="1693611905">
      <w:marLeft w:val="0"/>
      <w:marRight w:val="0"/>
      <w:marTop w:val="60"/>
      <w:marBottom w:val="0"/>
      <w:divBdr>
        <w:top w:val="none" w:sz="0" w:space="0" w:color="auto"/>
        <w:left w:val="none" w:sz="0" w:space="0" w:color="auto"/>
        <w:bottom w:val="none" w:sz="0" w:space="0" w:color="auto"/>
        <w:right w:val="none" w:sz="0" w:space="0" w:color="auto"/>
      </w:divBdr>
    </w:div>
    <w:div w:id="1695154891">
      <w:marLeft w:val="0"/>
      <w:marRight w:val="0"/>
      <w:marTop w:val="180"/>
      <w:marBottom w:val="0"/>
      <w:divBdr>
        <w:top w:val="none" w:sz="0" w:space="0" w:color="auto"/>
        <w:left w:val="none" w:sz="0" w:space="0" w:color="auto"/>
        <w:bottom w:val="none" w:sz="0" w:space="0" w:color="auto"/>
        <w:right w:val="none" w:sz="0" w:space="0" w:color="auto"/>
      </w:divBdr>
    </w:div>
    <w:div w:id="1697803751">
      <w:marLeft w:val="0"/>
      <w:marRight w:val="0"/>
      <w:marTop w:val="180"/>
      <w:marBottom w:val="0"/>
      <w:divBdr>
        <w:top w:val="none" w:sz="0" w:space="0" w:color="auto"/>
        <w:left w:val="none" w:sz="0" w:space="0" w:color="auto"/>
        <w:bottom w:val="none" w:sz="0" w:space="0" w:color="auto"/>
        <w:right w:val="none" w:sz="0" w:space="0" w:color="auto"/>
      </w:divBdr>
    </w:div>
    <w:div w:id="1714229269">
      <w:marLeft w:val="0"/>
      <w:marRight w:val="0"/>
      <w:marTop w:val="60"/>
      <w:marBottom w:val="0"/>
      <w:divBdr>
        <w:top w:val="none" w:sz="0" w:space="0" w:color="auto"/>
        <w:left w:val="none" w:sz="0" w:space="0" w:color="auto"/>
        <w:bottom w:val="none" w:sz="0" w:space="0" w:color="auto"/>
        <w:right w:val="none" w:sz="0" w:space="0" w:color="auto"/>
      </w:divBdr>
    </w:div>
    <w:div w:id="1719041798">
      <w:marLeft w:val="0"/>
      <w:marRight w:val="0"/>
      <w:marTop w:val="180"/>
      <w:marBottom w:val="0"/>
      <w:divBdr>
        <w:top w:val="none" w:sz="0" w:space="0" w:color="auto"/>
        <w:left w:val="none" w:sz="0" w:space="0" w:color="auto"/>
        <w:bottom w:val="none" w:sz="0" w:space="0" w:color="auto"/>
        <w:right w:val="none" w:sz="0" w:space="0" w:color="auto"/>
      </w:divBdr>
    </w:div>
    <w:div w:id="1719432573">
      <w:marLeft w:val="0"/>
      <w:marRight w:val="0"/>
      <w:marTop w:val="180"/>
      <w:marBottom w:val="0"/>
      <w:divBdr>
        <w:top w:val="none" w:sz="0" w:space="0" w:color="auto"/>
        <w:left w:val="none" w:sz="0" w:space="0" w:color="auto"/>
        <w:bottom w:val="none" w:sz="0" w:space="0" w:color="auto"/>
        <w:right w:val="none" w:sz="0" w:space="0" w:color="auto"/>
      </w:divBdr>
    </w:div>
    <w:div w:id="1719742529">
      <w:marLeft w:val="0"/>
      <w:marRight w:val="0"/>
      <w:marTop w:val="180"/>
      <w:marBottom w:val="0"/>
      <w:divBdr>
        <w:top w:val="none" w:sz="0" w:space="0" w:color="auto"/>
        <w:left w:val="none" w:sz="0" w:space="0" w:color="auto"/>
        <w:bottom w:val="none" w:sz="0" w:space="0" w:color="auto"/>
        <w:right w:val="none" w:sz="0" w:space="0" w:color="auto"/>
      </w:divBdr>
    </w:div>
    <w:div w:id="1729911763">
      <w:marLeft w:val="0"/>
      <w:marRight w:val="0"/>
      <w:marTop w:val="0"/>
      <w:marBottom w:val="0"/>
      <w:divBdr>
        <w:top w:val="none" w:sz="0" w:space="0" w:color="auto"/>
        <w:left w:val="none" w:sz="0" w:space="0" w:color="auto"/>
        <w:bottom w:val="none" w:sz="0" w:space="0" w:color="auto"/>
        <w:right w:val="none" w:sz="0" w:space="0" w:color="auto"/>
      </w:divBdr>
      <w:divsChild>
        <w:div w:id="490681494">
          <w:marLeft w:val="0"/>
          <w:marRight w:val="0"/>
          <w:marTop w:val="180"/>
          <w:marBottom w:val="180"/>
          <w:divBdr>
            <w:top w:val="none" w:sz="0" w:space="0" w:color="auto"/>
            <w:left w:val="none" w:sz="0" w:space="0" w:color="auto"/>
            <w:bottom w:val="none" w:sz="0" w:space="0" w:color="auto"/>
            <w:right w:val="none" w:sz="0" w:space="0" w:color="auto"/>
          </w:divBdr>
        </w:div>
      </w:divsChild>
    </w:div>
    <w:div w:id="1741637810">
      <w:marLeft w:val="0"/>
      <w:marRight w:val="0"/>
      <w:marTop w:val="60"/>
      <w:marBottom w:val="0"/>
      <w:divBdr>
        <w:top w:val="none" w:sz="0" w:space="0" w:color="auto"/>
        <w:left w:val="none" w:sz="0" w:space="0" w:color="auto"/>
        <w:bottom w:val="none" w:sz="0" w:space="0" w:color="auto"/>
        <w:right w:val="none" w:sz="0" w:space="0" w:color="auto"/>
      </w:divBdr>
    </w:div>
    <w:div w:id="1751004232">
      <w:marLeft w:val="0"/>
      <w:marRight w:val="0"/>
      <w:marTop w:val="60"/>
      <w:marBottom w:val="0"/>
      <w:divBdr>
        <w:top w:val="none" w:sz="0" w:space="0" w:color="auto"/>
        <w:left w:val="none" w:sz="0" w:space="0" w:color="auto"/>
        <w:bottom w:val="none" w:sz="0" w:space="0" w:color="auto"/>
        <w:right w:val="none" w:sz="0" w:space="0" w:color="auto"/>
      </w:divBdr>
    </w:div>
    <w:div w:id="1753971052">
      <w:marLeft w:val="0"/>
      <w:marRight w:val="0"/>
      <w:marTop w:val="180"/>
      <w:marBottom w:val="0"/>
      <w:divBdr>
        <w:top w:val="none" w:sz="0" w:space="0" w:color="auto"/>
        <w:left w:val="none" w:sz="0" w:space="0" w:color="auto"/>
        <w:bottom w:val="none" w:sz="0" w:space="0" w:color="auto"/>
        <w:right w:val="none" w:sz="0" w:space="0" w:color="auto"/>
      </w:divBdr>
    </w:div>
    <w:div w:id="1754348952">
      <w:marLeft w:val="0"/>
      <w:marRight w:val="0"/>
      <w:marTop w:val="240"/>
      <w:marBottom w:val="0"/>
      <w:divBdr>
        <w:top w:val="none" w:sz="0" w:space="0" w:color="auto"/>
        <w:left w:val="none" w:sz="0" w:space="0" w:color="auto"/>
        <w:bottom w:val="none" w:sz="0" w:space="0" w:color="auto"/>
        <w:right w:val="none" w:sz="0" w:space="0" w:color="auto"/>
      </w:divBdr>
    </w:div>
    <w:div w:id="1755008155">
      <w:marLeft w:val="0"/>
      <w:marRight w:val="0"/>
      <w:marTop w:val="60"/>
      <w:marBottom w:val="0"/>
      <w:divBdr>
        <w:top w:val="none" w:sz="0" w:space="0" w:color="auto"/>
        <w:left w:val="none" w:sz="0" w:space="0" w:color="auto"/>
        <w:bottom w:val="none" w:sz="0" w:space="0" w:color="auto"/>
        <w:right w:val="none" w:sz="0" w:space="0" w:color="auto"/>
      </w:divBdr>
    </w:div>
    <w:div w:id="1758285867">
      <w:marLeft w:val="0"/>
      <w:marRight w:val="0"/>
      <w:marTop w:val="180"/>
      <w:marBottom w:val="0"/>
      <w:divBdr>
        <w:top w:val="none" w:sz="0" w:space="0" w:color="auto"/>
        <w:left w:val="none" w:sz="0" w:space="0" w:color="auto"/>
        <w:bottom w:val="none" w:sz="0" w:space="0" w:color="auto"/>
        <w:right w:val="none" w:sz="0" w:space="0" w:color="auto"/>
      </w:divBdr>
    </w:div>
    <w:div w:id="1767572517">
      <w:marLeft w:val="0"/>
      <w:marRight w:val="0"/>
      <w:marTop w:val="180"/>
      <w:marBottom w:val="0"/>
      <w:divBdr>
        <w:top w:val="none" w:sz="0" w:space="0" w:color="auto"/>
        <w:left w:val="none" w:sz="0" w:space="0" w:color="auto"/>
        <w:bottom w:val="none" w:sz="0" w:space="0" w:color="auto"/>
        <w:right w:val="none" w:sz="0" w:space="0" w:color="auto"/>
      </w:divBdr>
    </w:div>
    <w:div w:id="1768307035">
      <w:marLeft w:val="0"/>
      <w:marRight w:val="0"/>
      <w:marTop w:val="180"/>
      <w:marBottom w:val="0"/>
      <w:divBdr>
        <w:top w:val="none" w:sz="0" w:space="0" w:color="auto"/>
        <w:left w:val="none" w:sz="0" w:space="0" w:color="auto"/>
        <w:bottom w:val="none" w:sz="0" w:space="0" w:color="auto"/>
        <w:right w:val="none" w:sz="0" w:space="0" w:color="auto"/>
      </w:divBdr>
    </w:div>
    <w:div w:id="1768691193">
      <w:marLeft w:val="0"/>
      <w:marRight w:val="0"/>
      <w:marTop w:val="240"/>
      <w:marBottom w:val="0"/>
      <w:divBdr>
        <w:top w:val="none" w:sz="0" w:space="0" w:color="auto"/>
        <w:left w:val="none" w:sz="0" w:space="0" w:color="auto"/>
        <w:bottom w:val="none" w:sz="0" w:space="0" w:color="auto"/>
        <w:right w:val="none" w:sz="0" w:space="0" w:color="auto"/>
      </w:divBdr>
    </w:div>
    <w:div w:id="1775249640">
      <w:marLeft w:val="0"/>
      <w:marRight w:val="0"/>
      <w:marTop w:val="180"/>
      <w:marBottom w:val="0"/>
      <w:divBdr>
        <w:top w:val="none" w:sz="0" w:space="0" w:color="auto"/>
        <w:left w:val="none" w:sz="0" w:space="0" w:color="auto"/>
        <w:bottom w:val="none" w:sz="0" w:space="0" w:color="auto"/>
        <w:right w:val="none" w:sz="0" w:space="0" w:color="auto"/>
      </w:divBdr>
    </w:div>
    <w:div w:id="1780295776">
      <w:marLeft w:val="0"/>
      <w:marRight w:val="0"/>
      <w:marTop w:val="60"/>
      <w:marBottom w:val="0"/>
      <w:divBdr>
        <w:top w:val="none" w:sz="0" w:space="0" w:color="auto"/>
        <w:left w:val="none" w:sz="0" w:space="0" w:color="auto"/>
        <w:bottom w:val="none" w:sz="0" w:space="0" w:color="auto"/>
        <w:right w:val="none" w:sz="0" w:space="0" w:color="auto"/>
      </w:divBdr>
    </w:div>
    <w:div w:id="1784492711">
      <w:marLeft w:val="0"/>
      <w:marRight w:val="0"/>
      <w:marTop w:val="180"/>
      <w:marBottom w:val="0"/>
      <w:divBdr>
        <w:top w:val="none" w:sz="0" w:space="0" w:color="auto"/>
        <w:left w:val="none" w:sz="0" w:space="0" w:color="auto"/>
        <w:bottom w:val="none" w:sz="0" w:space="0" w:color="auto"/>
        <w:right w:val="none" w:sz="0" w:space="0" w:color="auto"/>
      </w:divBdr>
    </w:div>
    <w:div w:id="1784689248">
      <w:marLeft w:val="0"/>
      <w:marRight w:val="0"/>
      <w:marTop w:val="120"/>
      <w:marBottom w:val="0"/>
      <w:divBdr>
        <w:top w:val="none" w:sz="0" w:space="0" w:color="auto"/>
        <w:left w:val="none" w:sz="0" w:space="0" w:color="auto"/>
        <w:bottom w:val="none" w:sz="0" w:space="0" w:color="auto"/>
        <w:right w:val="none" w:sz="0" w:space="0" w:color="auto"/>
      </w:divBdr>
    </w:div>
    <w:div w:id="1784835421">
      <w:marLeft w:val="0"/>
      <w:marRight w:val="0"/>
      <w:marTop w:val="60"/>
      <w:marBottom w:val="0"/>
      <w:divBdr>
        <w:top w:val="none" w:sz="0" w:space="0" w:color="auto"/>
        <w:left w:val="none" w:sz="0" w:space="0" w:color="auto"/>
        <w:bottom w:val="none" w:sz="0" w:space="0" w:color="auto"/>
        <w:right w:val="none" w:sz="0" w:space="0" w:color="auto"/>
      </w:divBdr>
    </w:div>
    <w:div w:id="1787508297">
      <w:marLeft w:val="0"/>
      <w:marRight w:val="0"/>
      <w:marTop w:val="180"/>
      <w:marBottom w:val="0"/>
      <w:divBdr>
        <w:top w:val="none" w:sz="0" w:space="0" w:color="auto"/>
        <w:left w:val="none" w:sz="0" w:space="0" w:color="auto"/>
        <w:bottom w:val="none" w:sz="0" w:space="0" w:color="auto"/>
        <w:right w:val="none" w:sz="0" w:space="0" w:color="auto"/>
      </w:divBdr>
    </w:div>
    <w:div w:id="1790708700">
      <w:marLeft w:val="0"/>
      <w:marRight w:val="0"/>
      <w:marTop w:val="180"/>
      <w:marBottom w:val="0"/>
      <w:divBdr>
        <w:top w:val="none" w:sz="0" w:space="0" w:color="auto"/>
        <w:left w:val="none" w:sz="0" w:space="0" w:color="auto"/>
        <w:bottom w:val="none" w:sz="0" w:space="0" w:color="auto"/>
        <w:right w:val="none" w:sz="0" w:space="0" w:color="auto"/>
      </w:divBdr>
    </w:div>
    <w:div w:id="1791361590">
      <w:marLeft w:val="0"/>
      <w:marRight w:val="0"/>
      <w:marTop w:val="180"/>
      <w:marBottom w:val="0"/>
      <w:divBdr>
        <w:top w:val="none" w:sz="0" w:space="0" w:color="auto"/>
        <w:left w:val="none" w:sz="0" w:space="0" w:color="auto"/>
        <w:bottom w:val="none" w:sz="0" w:space="0" w:color="auto"/>
        <w:right w:val="none" w:sz="0" w:space="0" w:color="auto"/>
      </w:divBdr>
    </w:div>
    <w:div w:id="1792551224">
      <w:marLeft w:val="0"/>
      <w:marRight w:val="0"/>
      <w:marTop w:val="180"/>
      <w:marBottom w:val="0"/>
      <w:divBdr>
        <w:top w:val="none" w:sz="0" w:space="0" w:color="auto"/>
        <w:left w:val="none" w:sz="0" w:space="0" w:color="auto"/>
        <w:bottom w:val="none" w:sz="0" w:space="0" w:color="auto"/>
        <w:right w:val="none" w:sz="0" w:space="0" w:color="auto"/>
      </w:divBdr>
    </w:div>
    <w:div w:id="1798377936">
      <w:marLeft w:val="0"/>
      <w:marRight w:val="0"/>
      <w:marTop w:val="180"/>
      <w:marBottom w:val="0"/>
      <w:divBdr>
        <w:top w:val="none" w:sz="0" w:space="0" w:color="auto"/>
        <w:left w:val="none" w:sz="0" w:space="0" w:color="auto"/>
        <w:bottom w:val="none" w:sz="0" w:space="0" w:color="auto"/>
        <w:right w:val="none" w:sz="0" w:space="0" w:color="auto"/>
      </w:divBdr>
    </w:div>
    <w:div w:id="1803769184">
      <w:marLeft w:val="0"/>
      <w:marRight w:val="0"/>
      <w:marTop w:val="20"/>
      <w:marBottom w:val="0"/>
      <w:divBdr>
        <w:top w:val="none" w:sz="0" w:space="0" w:color="auto"/>
        <w:left w:val="none" w:sz="0" w:space="0" w:color="auto"/>
        <w:bottom w:val="none" w:sz="0" w:space="0" w:color="auto"/>
        <w:right w:val="none" w:sz="0" w:space="0" w:color="auto"/>
      </w:divBdr>
    </w:div>
    <w:div w:id="1804537859">
      <w:marLeft w:val="0"/>
      <w:marRight w:val="0"/>
      <w:marTop w:val="180"/>
      <w:marBottom w:val="0"/>
      <w:divBdr>
        <w:top w:val="none" w:sz="0" w:space="0" w:color="auto"/>
        <w:left w:val="none" w:sz="0" w:space="0" w:color="auto"/>
        <w:bottom w:val="none" w:sz="0" w:space="0" w:color="auto"/>
        <w:right w:val="none" w:sz="0" w:space="0" w:color="auto"/>
      </w:divBdr>
    </w:div>
    <w:div w:id="1804538563">
      <w:marLeft w:val="0"/>
      <w:marRight w:val="0"/>
      <w:marTop w:val="120"/>
      <w:marBottom w:val="0"/>
      <w:divBdr>
        <w:top w:val="none" w:sz="0" w:space="0" w:color="auto"/>
        <w:left w:val="none" w:sz="0" w:space="0" w:color="auto"/>
        <w:bottom w:val="none" w:sz="0" w:space="0" w:color="auto"/>
        <w:right w:val="none" w:sz="0" w:space="0" w:color="auto"/>
      </w:divBdr>
    </w:div>
    <w:div w:id="1804886764">
      <w:marLeft w:val="0"/>
      <w:marRight w:val="0"/>
      <w:marTop w:val="0"/>
      <w:marBottom w:val="0"/>
      <w:divBdr>
        <w:top w:val="none" w:sz="0" w:space="0" w:color="auto"/>
        <w:left w:val="none" w:sz="0" w:space="0" w:color="auto"/>
        <w:bottom w:val="none" w:sz="0" w:space="0" w:color="auto"/>
        <w:right w:val="none" w:sz="0" w:space="0" w:color="auto"/>
      </w:divBdr>
      <w:divsChild>
        <w:div w:id="232859904">
          <w:marLeft w:val="0"/>
          <w:marRight w:val="0"/>
          <w:marTop w:val="0"/>
          <w:marBottom w:val="0"/>
          <w:divBdr>
            <w:top w:val="none" w:sz="0" w:space="0" w:color="auto"/>
            <w:left w:val="none" w:sz="0" w:space="0" w:color="auto"/>
            <w:bottom w:val="none" w:sz="0" w:space="0" w:color="auto"/>
            <w:right w:val="none" w:sz="0" w:space="0" w:color="auto"/>
          </w:divBdr>
          <w:divsChild>
            <w:div w:id="14057633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06459819">
      <w:marLeft w:val="0"/>
      <w:marRight w:val="0"/>
      <w:marTop w:val="180"/>
      <w:marBottom w:val="0"/>
      <w:divBdr>
        <w:top w:val="none" w:sz="0" w:space="0" w:color="auto"/>
        <w:left w:val="none" w:sz="0" w:space="0" w:color="auto"/>
        <w:bottom w:val="none" w:sz="0" w:space="0" w:color="auto"/>
        <w:right w:val="none" w:sz="0" w:space="0" w:color="auto"/>
      </w:divBdr>
    </w:div>
    <w:div w:id="1813254131">
      <w:marLeft w:val="0"/>
      <w:marRight w:val="0"/>
      <w:marTop w:val="180"/>
      <w:marBottom w:val="0"/>
      <w:divBdr>
        <w:top w:val="none" w:sz="0" w:space="0" w:color="auto"/>
        <w:left w:val="none" w:sz="0" w:space="0" w:color="auto"/>
        <w:bottom w:val="none" w:sz="0" w:space="0" w:color="auto"/>
        <w:right w:val="none" w:sz="0" w:space="0" w:color="auto"/>
      </w:divBdr>
    </w:div>
    <w:div w:id="1826118596">
      <w:marLeft w:val="0"/>
      <w:marRight w:val="0"/>
      <w:marTop w:val="180"/>
      <w:marBottom w:val="0"/>
      <w:divBdr>
        <w:top w:val="none" w:sz="0" w:space="0" w:color="auto"/>
        <w:left w:val="none" w:sz="0" w:space="0" w:color="auto"/>
        <w:bottom w:val="none" w:sz="0" w:space="0" w:color="auto"/>
        <w:right w:val="none" w:sz="0" w:space="0" w:color="auto"/>
      </w:divBdr>
    </w:div>
    <w:div w:id="1833908094">
      <w:marLeft w:val="0"/>
      <w:marRight w:val="0"/>
      <w:marTop w:val="60"/>
      <w:marBottom w:val="0"/>
      <w:divBdr>
        <w:top w:val="none" w:sz="0" w:space="0" w:color="auto"/>
        <w:left w:val="none" w:sz="0" w:space="0" w:color="auto"/>
        <w:bottom w:val="none" w:sz="0" w:space="0" w:color="auto"/>
        <w:right w:val="none" w:sz="0" w:space="0" w:color="auto"/>
      </w:divBdr>
    </w:div>
    <w:div w:id="1841003573">
      <w:marLeft w:val="0"/>
      <w:marRight w:val="0"/>
      <w:marTop w:val="180"/>
      <w:marBottom w:val="0"/>
      <w:divBdr>
        <w:top w:val="none" w:sz="0" w:space="0" w:color="auto"/>
        <w:left w:val="none" w:sz="0" w:space="0" w:color="auto"/>
        <w:bottom w:val="none" w:sz="0" w:space="0" w:color="auto"/>
        <w:right w:val="none" w:sz="0" w:space="0" w:color="auto"/>
      </w:divBdr>
    </w:div>
    <w:div w:id="1841772918">
      <w:marLeft w:val="0"/>
      <w:marRight w:val="0"/>
      <w:marTop w:val="60"/>
      <w:marBottom w:val="120"/>
      <w:divBdr>
        <w:top w:val="none" w:sz="0" w:space="0" w:color="auto"/>
        <w:left w:val="none" w:sz="0" w:space="0" w:color="auto"/>
        <w:bottom w:val="none" w:sz="0" w:space="0" w:color="auto"/>
        <w:right w:val="none" w:sz="0" w:space="0" w:color="auto"/>
      </w:divBdr>
    </w:div>
    <w:div w:id="1853689752">
      <w:marLeft w:val="0"/>
      <w:marRight w:val="0"/>
      <w:marTop w:val="180"/>
      <w:marBottom w:val="0"/>
      <w:divBdr>
        <w:top w:val="none" w:sz="0" w:space="0" w:color="auto"/>
        <w:left w:val="none" w:sz="0" w:space="0" w:color="auto"/>
        <w:bottom w:val="none" w:sz="0" w:space="0" w:color="auto"/>
        <w:right w:val="none" w:sz="0" w:space="0" w:color="auto"/>
      </w:divBdr>
    </w:div>
    <w:div w:id="1854301313">
      <w:marLeft w:val="0"/>
      <w:marRight w:val="0"/>
      <w:marTop w:val="180"/>
      <w:marBottom w:val="0"/>
      <w:divBdr>
        <w:top w:val="none" w:sz="0" w:space="0" w:color="auto"/>
        <w:left w:val="none" w:sz="0" w:space="0" w:color="auto"/>
        <w:bottom w:val="none" w:sz="0" w:space="0" w:color="auto"/>
        <w:right w:val="none" w:sz="0" w:space="0" w:color="auto"/>
      </w:divBdr>
    </w:div>
    <w:div w:id="1857648699">
      <w:marLeft w:val="0"/>
      <w:marRight w:val="0"/>
      <w:marTop w:val="180"/>
      <w:marBottom w:val="0"/>
      <w:divBdr>
        <w:top w:val="none" w:sz="0" w:space="0" w:color="auto"/>
        <w:left w:val="none" w:sz="0" w:space="0" w:color="auto"/>
        <w:bottom w:val="none" w:sz="0" w:space="0" w:color="auto"/>
        <w:right w:val="none" w:sz="0" w:space="0" w:color="auto"/>
      </w:divBdr>
    </w:div>
    <w:div w:id="1857846579">
      <w:marLeft w:val="0"/>
      <w:marRight w:val="0"/>
      <w:marTop w:val="240"/>
      <w:marBottom w:val="0"/>
      <w:divBdr>
        <w:top w:val="none" w:sz="0" w:space="0" w:color="auto"/>
        <w:left w:val="none" w:sz="0" w:space="0" w:color="auto"/>
        <w:bottom w:val="none" w:sz="0" w:space="0" w:color="auto"/>
        <w:right w:val="none" w:sz="0" w:space="0" w:color="auto"/>
      </w:divBdr>
    </w:div>
    <w:div w:id="1858350887">
      <w:marLeft w:val="0"/>
      <w:marRight w:val="0"/>
      <w:marTop w:val="240"/>
      <w:marBottom w:val="0"/>
      <w:divBdr>
        <w:top w:val="none" w:sz="0" w:space="0" w:color="auto"/>
        <w:left w:val="none" w:sz="0" w:space="0" w:color="auto"/>
        <w:bottom w:val="none" w:sz="0" w:space="0" w:color="auto"/>
        <w:right w:val="none" w:sz="0" w:space="0" w:color="auto"/>
      </w:divBdr>
    </w:div>
    <w:div w:id="1861508258">
      <w:marLeft w:val="0"/>
      <w:marRight w:val="0"/>
      <w:marTop w:val="180"/>
      <w:marBottom w:val="60"/>
      <w:divBdr>
        <w:top w:val="none" w:sz="0" w:space="0" w:color="auto"/>
        <w:left w:val="none" w:sz="0" w:space="0" w:color="auto"/>
        <w:bottom w:val="none" w:sz="0" w:space="0" w:color="auto"/>
        <w:right w:val="none" w:sz="0" w:space="0" w:color="auto"/>
      </w:divBdr>
    </w:div>
    <w:div w:id="1863013321">
      <w:marLeft w:val="0"/>
      <w:marRight w:val="0"/>
      <w:marTop w:val="0"/>
      <w:marBottom w:val="0"/>
      <w:divBdr>
        <w:top w:val="none" w:sz="0" w:space="0" w:color="auto"/>
        <w:left w:val="none" w:sz="0" w:space="0" w:color="auto"/>
        <w:bottom w:val="none" w:sz="0" w:space="0" w:color="auto"/>
        <w:right w:val="none" w:sz="0" w:space="0" w:color="auto"/>
      </w:divBdr>
      <w:divsChild>
        <w:div w:id="51850633">
          <w:marLeft w:val="0"/>
          <w:marRight w:val="0"/>
          <w:marTop w:val="180"/>
          <w:marBottom w:val="180"/>
          <w:divBdr>
            <w:top w:val="none" w:sz="0" w:space="0" w:color="auto"/>
            <w:left w:val="none" w:sz="0" w:space="0" w:color="auto"/>
            <w:bottom w:val="none" w:sz="0" w:space="0" w:color="auto"/>
            <w:right w:val="none" w:sz="0" w:space="0" w:color="auto"/>
          </w:divBdr>
        </w:div>
      </w:divsChild>
    </w:div>
    <w:div w:id="1864512034">
      <w:marLeft w:val="0"/>
      <w:marRight w:val="0"/>
      <w:marTop w:val="0"/>
      <w:marBottom w:val="0"/>
      <w:divBdr>
        <w:top w:val="none" w:sz="0" w:space="0" w:color="auto"/>
        <w:left w:val="none" w:sz="0" w:space="0" w:color="auto"/>
        <w:bottom w:val="none" w:sz="0" w:space="0" w:color="auto"/>
        <w:right w:val="none" w:sz="0" w:space="0" w:color="auto"/>
      </w:divBdr>
    </w:div>
    <w:div w:id="1874416455">
      <w:marLeft w:val="0"/>
      <w:marRight w:val="0"/>
      <w:marTop w:val="0"/>
      <w:marBottom w:val="0"/>
      <w:divBdr>
        <w:top w:val="none" w:sz="0" w:space="0" w:color="auto"/>
        <w:left w:val="none" w:sz="0" w:space="0" w:color="auto"/>
        <w:bottom w:val="none" w:sz="0" w:space="0" w:color="auto"/>
        <w:right w:val="none" w:sz="0" w:space="0" w:color="auto"/>
      </w:divBdr>
      <w:divsChild>
        <w:div w:id="35013609">
          <w:marLeft w:val="0"/>
          <w:marRight w:val="0"/>
          <w:marTop w:val="180"/>
          <w:marBottom w:val="180"/>
          <w:divBdr>
            <w:top w:val="none" w:sz="0" w:space="0" w:color="auto"/>
            <w:left w:val="none" w:sz="0" w:space="0" w:color="auto"/>
            <w:bottom w:val="none" w:sz="0" w:space="0" w:color="auto"/>
            <w:right w:val="none" w:sz="0" w:space="0" w:color="auto"/>
          </w:divBdr>
        </w:div>
      </w:divsChild>
    </w:div>
    <w:div w:id="1875262389">
      <w:marLeft w:val="0"/>
      <w:marRight w:val="0"/>
      <w:marTop w:val="180"/>
      <w:marBottom w:val="0"/>
      <w:divBdr>
        <w:top w:val="none" w:sz="0" w:space="0" w:color="auto"/>
        <w:left w:val="none" w:sz="0" w:space="0" w:color="auto"/>
        <w:bottom w:val="none" w:sz="0" w:space="0" w:color="auto"/>
        <w:right w:val="none" w:sz="0" w:space="0" w:color="auto"/>
      </w:divBdr>
    </w:div>
    <w:div w:id="1876959669">
      <w:marLeft w:val="0"/>
      <w:marRight w:val="0"/>
      <w:marTop w:val="180"/>
      <w:marBottom w:val="0"/>
      <w:divBdr>
        <w:top w:val="none" w:sz="0" w:space="0" w:color="auto"/>
        <w:left w:val="none" w:sz="0" w:space="0" w:color="auto"/>
        <w:bottom w:val="none" w:sz="0" w:space="0" w:color="auto"/>
        <w:right w:val="none" w:sz="0" w:space="0" w:color="auto"/>
      </w:divBdr>
    </w:div>
    <w:div w:id="1881817919">
      <w:marLeft w:val="0"/>
      <w:marRight w:val="0"/>
      <w:marTop w:val="300"/>
      <w:marBottom w:val="0"/>
      <w:divBdr>
        <w:top w:val="none" w:sz="0" w:space="0" w:color="auto"/>
        <w:left w:val="none" w:sz="0" w:space="0" w:color="auto"/>
        <w:bottom w:val="none" w:sz="0" w:space="0" w:color="auto"/>
        <w:right w:val="none" w:sz="0" w:space="0" w:color="auto"/>
      </w:divBdr>
    </w:div>
    <w:div w:id="1881892075">
      <w:marLeft w:val="0"/>
      <w:marRight w:val="0"/>
      <w:marTop w:val="180"/>
      <w:marBottom w:val="0"/>
      <w:divBdr>
        <w:top w:val="none" w:sz="0" w:space="0" w:color="auto"/>
        <w:left w:val="none" w:sz="0" w:space="0" w:color="auto"/>
        <w:bottom w:val="none" w:sz="0" w:space="0" w:color="auto"/>
        <w:right w:val="none" w:sz="0" w:space="0" w:color="auto"/>
      </w:divBdr>
    </w:div>
    <w:div w:id="1883666206">
      <w:marLeft w:val="0"/>
      <w:marRight w:val="0"/>
      <w:marTop w:val="180"/>
      <w:marBottom w:val="0"/>
      <w:divBdr>
        <w:top w:val="none" w:sz="0" w:space="0" w:color="auto"/>
        <w:left w:val="none" w:sz="0" w:space="0" w:color="auto"/>
        <w:bottom w:val="none" w:sz="0" w:space="0" w:color="auto"/>
        <w:right w:val="none" w:sz="0" w:space="0" w:color="auto"/>
      </w:divBdr>
    </w:div>
    <w:div w:id="1886791236">
      <w:marLeft w:val="0"/>
      <w:marRight w:val="0"/>
      <w:marTop w:val="60"/>
      <w:marBottom w:val="0"/>
      <w:divBdr>
        <w:top w:val="none" w:sz="0" w:space="0" w:color="auto"/>
        <w:left w:val="none" w:sz="0" w:space="0" w:color="auto"/>
        <w:bottom w:val="none" w:sz="0" w:space="0" w:color="auto"/>
        <w:right w:val="none" w:sz="0" w:space="0" w:color="auto"/>
      </w:divBdr>
    </w:div>
    <w:div w:id="1889411720">
      <w:marLeft w:val="0"/>
      <w:marRight w:val="0"/>
      <w:marTop w:val="180"/>
      <w:marBottom w:val="0"/>
      <w:divBdr>
        <w:top w:val="none" w:sz="0" w:space="0" w:color="auto"/>
        <w:left w:val="none" w:sz="0" w:space="0" w:color="auto"/>
        <w:bottom w:val="none" w:sz="0" w:space="0" w:color="auto"/>
        <w:right w:val="none" w:sz="0" w:space="0" w:color="auto"/>
      </w:divBdr>
    </w:div>
    <w:div w:id="1890071387">
      <w:marLeft w:val="0"/>
      <w:marRight w:val="0"/>
      <w:marTop w:val="0"/>
      <w:marBottom w:val="0"/>
      <w:divBdr>
        <w:top w:val="none" w:sz="0" w:space="0" w:color="auto"/>
        <w:left w:val="none" w:sz="0" w:space="0" w:color="auto"/>
        <w:bottom w:val="none" w:sz="0" w:space="0" w:color="auto"/>
        <w:right w:val="none" w:sz="0" w:space="0" w:color="auto"/>
      </w:divBdr>
      <w:divsChild>
        <w:div w:id="838422927">
          <w:marLeft w:val="0"/>
          <w:marRight w:val="0"/>
          <w:marTop w:val="0"/>
          <w:marBottom w:val="0"/>
          <w:divBdr>
            <w:top w:val="none" w:sz="0" w:space="0" w:color="auto"/>
            <w:left w:val="none" w:sz="0" w:space="0" w:color="auto"/>
            <w:bottom w:val="none" w:sz="0" w:space="0" w:color="auto"/>
            <w:right w:val="none" w:sz="0" w:space="0" w:color="auto"/>
          </w:divBdr>
          <w:divsChild>
            <w:div w:id="14652693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91262141">
      <w:marLeft w:val="0"/>
      <w:marRight w:val="0"/>
      <w:marTop w:val="180"/>
      <w:marBottom w:val="20"/>
      <w:divBdr>
        <w:top w:val="none" w:sz="0" w:space="0" w:color="auto"/>
        <w:left w:val="none" w:sz="0" w:space="0" w:color="auto"/>
        <w:bottom w:val="none" w:sz="0" w:space="0" w:color="auto"/>
        <w:right w:val="none" w:sz="0" w:space="0" w:color="auto"/>
      </w:divBdr>
    </w:div>
    <w:div w:id="1891649111">
      <w:marLeft w:val="0"/>
      <w:marRight w:val="0"/>
      <w:marTop w:val="240"/>
      <w:marBottom w:val="0"/>
      <w:divBdr>
        <w:top w:val="none" w:sz="0" w:space="0" w:color="auto"/>
        <w:left w:val="none" w:sz="0" w:space="0" w:color="auto"/>
        <w:bottom w:val="none" w:sz="0" w:space="0" w:color="auto"/>
        <w:right w:val="none" w:sz="0" w:space="0" w:color="auto"/>
      </w:divBdr>
    </w:div>
    <w:div w:id="1892762254">
      <w:marLeft w:val="0"/>
      <w:marRight w:val="0"/>
      <w:marTop w:val="60"/>
      <w:marBottom w:val="0"/>
      <w:divBdr>
        <w:top w:val="none" w:sz="0" w:space="0" w:color="auto"/>
        <w:left w:val="none" w:sz="0" w:space="0" w:color="auto"/>
        <w:bottom w:val="none" w:sz="0" w:space="0" w:color="auto"/>
        <w:right w:val="none" w:sz="0" w:space="0" w:color="auto"/>
      </w:divBdr>
    </w:div>
    <w:div w:id="1893930288">
      <w:marLeft w:val="0"/>
      <w:marRight w:val="0"/>
      <w:marTop w:val="240"/>
      <w:marBottom w:val="0"/>
      <w:divBdr>
        <w:top w:val="none" w:sz="0" w:space="0" w:color="auto"/>
        <w:left w:val="none" w:sz="0" w:space="0" w:color="auto"/>
        <w:bottom w:val="none" w:sz="0" w:space="0" w:color="auto"/>
        <w:right w:val="none" w:sz="0" w:space="0" w:color="auto"/>
      </w:divBdr>
    </w:div>
    <w:div w:id="1898007515">
      <w:marLeft w:val="0"/>
      <w:marRight w:val="0"/>
      <w:marTop w:val="0"/>
      <w:marBottom w:val="0"/>
      <w:divBdr>
        <w:top w:val="none" w:sz="0" w:space="0" w:color="auto"/>
        <w:left w:val="none" w:sz="0" w:space="0" w:color="auto"/>
        <w:bottom w:val="none" w:sz="0" w:space="0" w:color="auto"/>
        <w:right w:val="none" w:sz="0" w:space="0" w:color="auto"/>
      </w:divBdr>
      <w:divsChild>
        <w:div w:id="1960723380">
          <w:marLeft w:val="0"/>
          <w:marRight w:val="0"/>
          <w:marTop w:val="180"/>
          <w:marBottom w:val="180"/>
          <w:divBdr>
            <w:top w:val="none" w:sz="0" w:space="0" w:color="auto"/>
            <w:left w:val="none" w:sz="0" w:space="0" w:color="auto"/>
            <w:bottom w:val="none" w:sz="0" w:space="0" w:color="auto"/>
            <w:right w:val="none" w:sz="0" w:space="0" w:color="auto"/>
          </w:divBdr>
        </w:div>
      </w:divsChild>
    </w:div>
    <w:div w:id="1902672991">
      <w:marLeft w:val="0"/>
      <w:marRight w:val="0"/>
      <w:marTop w:val="60"/>
      <w:marBottom w:val="0"/>
      <w:divBdr>
        <w:top w:val="none" w:sz="0" w:space="0" w:color="auto"/>
        <w:left w:val="none" w:sz="0" w:space="0" w:color="auto"/>
        <w:bottom w:val="none" w:sz="0" w:space="0" w:color="auto"/>
        <w:right w:val="none" w:sz="0" w:space="0" w:color="auto"/>
      </w:divBdr>
    </w:div>
    <w:div w:id="1909683625">
      <w:marLeft w:val="0"/>
      <w:marRight w:val="0"/>
      <w:marTop w:val="160"/>
      <w:marBottom w:val="0"/>
      <w:divBdr>
        <w:top w:val="none" w:sz="0" w:space="0" w:color="auto"/>
        <w:left w:val="none" w:sz="0" w:space="0" w:color="auto"/>
        <w:bottom w:val="none" w:sz="0" w:space="0" w:color="auto"/>
        <w:right w:val="none" w:sz="0" w:space="0" w:color="auto"/>
      </w:divBdr>
    </w:div>
    <w:div w:id="1913151443">
      <w:marLeft w:val="0"/>
      <w:marRight w:val="0"/>
      <w:marTop w:val="120"/>
      <w:marBottom w:val="0"/>
      <w:divBdr>
        <w:top w:val="none" w:sz="0" w:space="0" w:color="auto"/>
        <w:left w:val="none" w:sz="0" w:space="0" w:color="auto"/>
        <w:bottom w:val="none" w:sz="0" w:space="0" w:color="auto"/>
        <w:right w:val="none" w:sz="0" w:space="0" w:color="auto"/>
      </w:divBdr>
    </w:div>
    <w:div w:id="1915118664">
      <w:marLeft w:val="0"/>
      <w:marRight w:val="0"/>
      <w:marTop w:val="180"/>
      <w:marBottom w:val="0"/>
      <w:divBdr>
        <w:top w:val="none" w:sz="0" w:space="0" w:color="auto"/>
        <w:left w:val="none" w:sz="0" w:space="0" w:color="auto"/>
        <w:bottom w:val="none" w:sz="0" w:space="0" w:color="auto"/>
        <w:right w:val="none" w:sz="0" w:space="0" w:color="auto"/>
      </w:divBdr>
    </w:div>
    <w:div w:id="1915318876">
      <w:marLeft w:val="0"/>
      <w:marRight w:val="0"/>
      <w:marTop w:val="180"/>
      <w:marBottom w:val="0"/>
      <w:divBdr>
        <w:top w:val="none" w:sz="0" w:space="0" w:color="auto"/>
        <w:left w:val="none" w:sz="0" w:space="0" w:color="auto"/>
        <w:bottom w:val="none" w:sz="0" w:space="0" w:color="auto"/>
        <w:right w:val="none" w:sz="0" w:space="0" w:color="auto"/>
      </w:divBdr>
    </w:div>
    <w:div w:id="1917938838">
      <w:marLeft w:val="0"/>
      <w:marRight w:val="0"/>
      <w:marTop w:val="180"/>
      <w:marBottom w:val="0"/>
      <w:divBdr>
        <w:top w:val="none" w:sz="0" w:space="0" w:color="auto"/>
        <w:left w:val="none" w:sz="0" w:space="0" w:color="auto"/>
        <w:bottom w:val="none" w:sz="0" w:space="0" w:color="auto"/>
        <w:right w:val="none" w:sz="0" w:space="0" w:color="auto"/>
      </w:divBdr>
    </w:div>
    <w:div w:id="1919829921">
      <w:marLeft w:val="0"/>
      <w:marRight w:val="0"/>
      <w:marTop w:val="180"/>
      <w:marBottom w:val="0"/>
      <w:divBdr>
        <w:top w:val="none" w:sz="0" w:space="0" w:color="auto"/>
        <w:left w:val="none" w:sz="0" w:space="0" w:color="auto"/>
        <w:bottom w:val="none" w:sz="0" w:space="0" w:color="auto"/>
        <w:right w:val="none" w:sz="0" w:space="0" w:color="auto"/>
      </w:divBdr>
    </w:div>
    <w:div w:id="1920600539">
      <w:marLeft w:val="0"/>
      <w:marRight w:val="0"/>
      <w:marTop w:val="130"/>
      <w:marBottom w:val="0"/>
      <w:divBdr>
        <w:top w:val="none" w:sz="0" w:space="0" w:color="auto"/>
        <w:left w:val="none" w:sz="0" w:space="0" w:color="auto"/>
        <w:bottom w:val="none" w:sz="0" w:space="0" w:color="auto"/>
        <w:right w:val="none" w:sz="0" w:space="0" w:color="auto"/>
      </w:divBdr>
    </w:div>
    <w:div w:id="1925336886">
      <w:marLeft w:val="0"/>
      <w:marRight w:val="0"/>
      <w:marTop w:val="240"/>
      <w:marBottom w:val="0"/>
      <w:divBdr>
        <w:top w:val="none" w:sz="0" w:space="0" w:color="auto"/>
        <w:left w:val="none" w:sz="0" w:space="0" w:color="auto"/>
        <w:bottom w:val="none" w:sz="0" w:space="0" w:color="auto"/>
        <w:right w:val="none" w:sz="0" w:space="0" w:color="auto"/>
      </w:divBdr>
    </w:div>
    <w:div w:id="1933970143">
      <w:marLeft w:val="0"/>
      <w:marRight w:val="0"/>
      <w:marTop w:val="180"/>
      <w:marBottom w:val="0"/>
      <w:divBdr>
        <w:top w:val="none" w:sz="0" w:space="0" w:color="auto"/>
        <w:left w:val="none" w:sz="0" w:space="0" w:color="auto"/>
        <w:bottom w:val="none" w:sz="0" w:space="0" w:color="auto"/>
        <w:right w:val="none" w:sz="0" w:space="0" w:color="auto"/>
      </w:divBdr>
    </w:div>
    <w:div w:id="1935044091">
      <w:marLeft w:val="0"/>
      <w:marRight w:val="0"/>
      <w:marTop w:val="240"/>
      <w:marBottom w:val="0"/>
      <w:divBdr>
        <w:top w:val="none" w:sz="0" w:space="0" w:color="auto"/>
        <w:left w:val="none" w:sz="0" w:space="0" w:color="auto"/>
        <w:bottom w:val="none" w:sz="0" w:space="0" w:color="auto"/>
        <w:right w:val="none" w:sz="0" w:space="0" w:color="auto"/>
      </w:divBdr>
    </w:div>
    <w:div w:id="1937514919">
      <w:marLeft w:val="0"/>
      <w:marRight w:val="0"/>
      <w:marTop w:val="0"/>
      <w:marBottom w:val="0"/>
      <w:divBdr>
        <w:top w:val="none" w:sz="0" w:space="0" w:color="auto"/>
        <w:left w:val="none" w:sz="0" w:space="0" w:color="auto"/>
        <w:bottom w:val="none" w:sz="0" w:space="0" w:color="auto"/>
        <w:right w:val="none" w:sz="0" w:space="0" w:color="auto"/>
      </w:divBdr>
      <w:divsChild>
        <w:div w:id="50156166">
          <w:marLeft w:val="0"/>
          <w:marRight w:val="0"/>
          <w:marTop w:val="0"/>
          <w:marBottom w:val="0"/>
          <w:divBdr>
            <w:top w:val="none" w:sz="0" w:space="0" w:color="auto"/>
            <w:left w:val="none" w:sz="0" w:space="0" w:color="auto"/>
            <w:bottom w:val="none" w:sz="0" w:space="0" w:color="auto"/>
            <w:right w:val="none" w:sz="0" w:space="0" w:color="auto"/>
          </w:divBdr>
          <w:divsChild>
            <w:div w:id="164661624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38905350">
      <w:marLeft w:val="0"/>
      <w:marRight w:val="0"/>
      <w:marTop w:val="240"/>
      <w:marBottom w:val="0"/>
      <w:divBdr>
        <w:top w:val="none" w:sz="0" w:space="0" w:color="auto"/>
        <w:left w:val="none" w:sz="0" w:space="0" w:color="auto"/>
        <w:bottom w:val="none" w:sz="0" w:space="0" w:color="auto"/>
        <w:right w:val="none" w:sz="0" w:space="0" w:color="auto"/>
      </w:divBdr>
    </w:div>
    <w:div w:id="1944798004">
      <w:marLeft w:val="0"/>
      <w:marRight w:val="0"/>
      <w:marTop w:val="240"/>
      <w:marBottom w:val="0"/>
      <w:divBdr>
        <w:top w:val="none" w:sz="0" w:space="0" w:color="auto"/>
        <w:left w:val="none" w:sz="0" w:space="0" w:color="auto"/>
        <w:bottom w:val="none" w:sz="0" w:space="0" w:color="auto"/>
        <w:right w:val="none" w:sz="0" w:space="0" w:color="auto"/>
      </w:divBdr>
    </w:div>
    <w:div w:id="1960256849">
      <w:marLeft w:val="0"/>
      <w:marRight w:val="0"/>
      <w:marTop w:val="180"/>
      <w:marBottom w:val="0"/>
      <w:divBdr>
        <w:top w:val="none" w:sz="0" w:space="0" w:color="auto"/>
        <w:left w:val="none" w:sz="0" w:space="0" w:color="auto"/>
        <w:bottom w:val="none" w:sz="0" w:space="0" w:color="auto"/>
        <w:right w:val="none" w:sz="0" w:space="0" w:color="auto"/>
      </w:divBdr>
    </w:div>
    <w:div w:id="1961565649">
      <w:marLeft w:val="0"/>
      <w:marRight w:val="0"/>
      <w:marTop w:val="120"/>
      <w:marBottom w:val="0"/>
      <w:divBdr>
        <w:top w:val="none" w:sz="0" w:space="0" w:color="auto"/>
        <w:left w:val="none" w:sz="0" w:space="0" w:color="auto"/>
        <w:bottom w:val="none" w:sz="0" w:space="0" w:color="auto"/>
        <w:right w:val="none" w:sz="0" w:space="0" w:color="auto"/>
      </w:divBdr>
    </w:div>
    <w:div w:id="1966157586">
      <w:marLeft w:val="0"/>
      <w:marRight w:val="0"/>
      <w:marTop w:val="60"/>
      <w:marBottom w:val="20"/>
      <w:divBdr>
        <w:top w:val="none" w:sz="0" w:space="0" w:color="auto"/>
        <w:left w:val="none" w:sz="0" w:space="0" w:color="auto"/>
        <w:bottom w:val="none" w:sz="0" w:space="0" w:color="auto"/>
        <w:right w:val="none" w:sz="0" w:space="0" w:color="auto"/>
      </w:divBdr>
    </w:div>
    <w:div w:id="1968585306">
      <w:marLeft w:val="0"/>
      <w:marRight w:val="0"/>
      <w:marTop w:val="0"/>
      <w:marBottom w:val="0"/>
      <w:divBdr>
        <w:top w:val="none" w:sz="0" w:space="0" w:color="auto"/>
        <w:left w:val="none" w:sz="0" w:space="0" w:color="auto"/>
        <w:bottom w:val="none" w:sz="0" w:space="0" w:color="auto"/>
        <w:right w:val="none" w:sz="0" w:space="0" w:color="auto"/>
      </w:divBdr>
      <w:divsChild>
        <w:div w:id="1404841226">
          <w:marLeft w:val="0"/>
          <w:marRight w:val="0"/>
          <w:marTop w:val="180"/>
          <w:marBottom w:val="180"/>
          <w:divBdr>
            <w:top w:val="none" w:sz="0" w:space="0" w:color="auto"/>
            <w:left w:val="none" w:sz="0" w:space="0" w:color="auto"/>
            <w:bottom w:val="none" w:sz="0" w:space="0" w:color="auto"/>
            <w:right w:val="none" w:sz="0" w:space="0" w:color="auto"/>
          </w:divBdr>
        </w:div>
      </w:divsChild>
    </w:div>
    <w:div w:id="1973755652">
      <w:marLeft w:val="0"/>
      <w:marRight w:val="0"/>
      <w:marTop w:val="180"/>
      <w:marBottom w:val="0"/>
      <w:divBdr>
        <w:top w:val="none" w:sz="0" w:space="0" w:color="auto"/>
        <w:left w:val="none" w:sz="0" w:space="0" w:color="auto"/>
        <w:bottom w:val="none" w:sz="0" w:space="0" w:color="auto"/>
        <w:right w:val="none" w:sz="0" w:space="0" w:color="auto"/>
      </w:divBdr>
    </w:div>
    <w:div w:id="1974284598">
      <w:marLeft w:val="0"/>
      <w:marRight w:val="0"/>
      <w:marTop w:val="0"/>
      <w:marBottom w:val="0"/>
      <w:divBdr>
        <w:top w:val="none" w:sz="0" w:space="0" w:color="auto"/>
        <w:left w:val="none" w:sz="0" w:space="0" w:color="auto"/>
        <w:bottom w:val="none" w:sz="0" w:space="0" w:color="auto"/>
        <w:right w:val="none" w:sz="0" w:space="0" w:color="auto"/>
      </w:divBdr>
      <w:divsChild>
        <w:div w:id="791173146">
          <w:marLeft w:val="0"/>
          <w:marRight w:val="0"/>
          <w:marTop w:val="180"/>
          <w:marBottom w:val="180"/>
          <w:divBdr>
            <w:top w:val="none" w:sz="0" w:space="0" w:color="auto"/>
            <w:left w:val="none" w:sz="0" w:space="0" w:color="auto"/>
            <w:bottom w:val="none" w:sz="0" w:space="0" w:color="auto"/>
            <w:right w:val="none" w:sz="0" w:space="0" w:color="auto"/>
          </w:divBdr>
        </w:div>
      </w:divsChild>
    </w:div>
    <w:div w:id="1977294228">
      <w:marLeft w:val="0"/>
      <w:marRight w:val="0"/>
      <w:marTop w:val="180"/>
      <w:marBottom w:val="0"/>
      <w:divBdr>
        <w:top w:val="none" w:sz="0" w:space="0" w:color="auto"/>
        <w:left w:val="none" w:sz="0" w:space="0" w:color="auto"/>
        <w:bottom w:val="none" w:sz="0" w:space="0" w:color="auto"/>
        <w:right w:val="none" w:sz="0" w:space="0" w:color="auto"/>
      </w:divBdr>
    </w:div>
    <w:div w:id="1980383534">
      <w:marLeft w:val="0"/>
      <w:marRight w:val="0"/>
      <w:marTop w:val="240"/>
      <w:marBottom w:val="0"/>
      <w:divBdr>
        <w:top w:val="none" w:sz="0" w:space="0" w:color="auto"/>
        <w:left w:val="none" w:sz="0" w:space="0" w:color="auto"/>
        <w:bottom w:val="none" w:sz="0" w:space="0" w:color="auto"/>
        <w:right w:val="none" w:sz="0" w:space="0" w:color="auto"/>
      </w:divBdr>
    </w:div>
    <w:div w:id="1983848166">
      <w:marLeft w:val="0"/>
      <w:marRight w:val="0"/>
      <w:marTop w:val="180"/>
      <w:marBottom w:val="0"/>
      <w:divBdr>
        <w:top w:val="none" w:sz="0" w:space="0" w:color="auto"/>
        <w:left w:val="none" w:sz="0" w:space="0" w:color="auto"/>
        <w:bottom w:val="none" w:sz="0" w:space="0" w:color="auto"/>
        <w:right w:val="none" w:sz="0" w:space="0" w:color="auto"/>
      </w:divBdr>
    </w:div>
    <w:div w:id="1988430569">
      <w:marLeft w:val="0"/>
      <w:marRight w:val="0"/>
      <w:marTop w:val="180"/>
      <w:marBottom w:val="120"/>
      <w:divBdr>
        <w:top w:val="none" w:sz="0" w:space="0" w:color="auto"/>
        <w:left w:val="none" w:sz="0" w:space="0" w:color="auto"/>
        <w:bottom w:val="none" w:sz="0" w:space="0" w:color="auto"/>
        <w:right w:val="none" w:sz="0" w:space="0" w:color="auto"/>
      </w:divBdr>
    </w:div>
    <w:div w:id="1993832195">
      <w:marLeft w:val="0"/>
      <w:marRight w:val="0"/>
      <w:marTop w:val="180"/>
      <w:marBottom w:val="20"/>
      <w:divBdr>
        <w:top w:val="none" w:sz="0" w:space="0" w:color="auto"/>
        <w:left w:val="none" w:sz="0" w:space="0" w:color="auto"/>
        <w:bottom w:val="none" w:sz="0" w:space="0" w:color="auto"/>
        <w:right w:val="none" w:sz="0" w:space="0" w:color="auto"/>
      </w:divBdr>
    </w:div>
    <w:div w:id="1997417418">
      <w:marLeft w:val="0"/>
      <w:marRight w:val="0"/>
      <w:marTop w:val="0"/>
      <w:marBottom w:val="0"/>
      <w:divBdr>
        <w:top w:val="none" w:sz="0" w:space="0" w:color="auto"/>
        <w:left w:val="none" w:sz="0" w:space="0" w:color="auto"/>
        <w:bottom w:val="none" w:sz="0" w:space="0" w:color="auto"/>
        <w:right w:val="none" w:sz="0" w:space="0" w:color="auto"/>
      </w:divBdr>
      <w:divsChild>
        <w:div w:id="1565678465">
          <w:marLeft w:val="0"/>
          <w:marRight w:val="0"/>
          <w:marTop w:val="0"/>
          <w:marBottom w:val="0"/>
          <w:divBdr>
            <w:top w:val="none" w:sz="0" w:space="0" w:color="auto"/>
            <w:left w:val="none" w:sz="0" w:space="0" w:color="auto"/>
            <w:bottom w:val="none" w:sz="0" w:space="0" w:color="auto"/>
            <w:right w:val="none" w:sz="0" w:space="0" w:color="auto"/>
          </w:divBdr>
          <w:divsChild>
            <w:div w:id="122575088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00618227">
      <w:marLeft w:val="0"/>
      <w:marRight w:val="0"/>
      <w:marTop w:val="180"/>
      <w:marBottom w:val="0"/>
      <w:divBdr>
        <w:top w:val="none" w:sz="0" w:space="0" w:color="auto"/>
        <w:left w:val="none" w:sz="0" w:space="0" w:color="auto"/>
        <w:bottom w:val="none" w:sz="0" w:space="0" w:color="auto"/>
        <w:right w:val="none" w:sz="0" w:space="0" w:color="auto"/>
      </w:divBdr>
    </w:div>
    <w:div w:id="2001304062">
      <w:marLeft w:val="0"/>
      <w:marRight w:val="0"/>
      <w:marTop w:val="0"/>
      <w:marBottom w:val="0"/>
      <w:divBdr>
        <w:top w:val="none" w:sz="0" w:space="0" w:color="auto"/>
        <w:left w:val="none" w:sz="0" w:space="0" w:color="auto"/>
        <w:bottom w:val="none" w:sz="0" w:space="0" w:color="auto"/>
        <w:right w:val="none" w:sz="0" w:space="0" w:color="auto"/>
      </w:divBdr>
      <w:divsChild>
        <w:div w:id="627782506">
          <w:marLeft w:val="0"/>
          <w:marRight w:val="0"/>
          <w:marTop w:val="0"/>
          <w:marBottom w:val="0"/>
          <w:divBdr>
            <w:top w:val="none" w:sz="0" w:space="0" w:color="auto"/>
            <w:left w:val="none" w:sz="0" w:space="0" w:color="auto"/>
            <w:bottom w:val="none" w:sz="0" w:space="0" w:color="auto"/>
            <w:right w:val="none" w:sz="0" w:space="0" w:color="auto"/>
          </w:divBdr>
          <w:divsChild>
            <w:div w:id="1120218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03240569">
      <w:marLeft w:val="0"/>
      <w:marRight w:val="0"/>
      <w:marTop w:val="180"/>
      <w:marBottom w:val="0"/>
      <w:divBdr>
        <w:top w:val="none" w:sz="0" w:space="0" w:color="auto"/>
        <w:left w:val="none" w:sz="0" w:space="0" w:color="auto"/>
        <w:bottom w:val="none" w:sz="0" w:space="0" w:color="auto"/>
        <w:right w:val="none" w:sz="0" w:space="0" w:color="auto"/>
      </w:divBdr>
    </w:div>
    <w:div w:id="2003773596">
      <w:marLeft w:val="0"/>
      <w:marRight w:val="0"/>
      <w:marTop w:val="60"/>
      <w:marBottom w:val="0"/>
      <w:divBdr>
        <w:top w:val="none" w:sz="0" w:space="0" w:color="auto"/>
        <w:left w:val="none" w:sz="0" w:space="0" w:color="auto"/>
        <w:bottom w:val="none" w:sz="0" w:space="0" w:color="auto"/>
        <w:right w:val="none" w:sz="0" w:space="0" w:color="auto"/>
      </w:divBdr>
    </w:div>
    <w:div w:id="2004696645">
      <w:marLeft w:val="0"/>
      <w:marRight w:val="0"/>
      <w:marTop w:val="0"/>
      <w:marBottom w:val="0"/>
      <w:divBdr>
        <w:top w:val="none" w:sz="0" w:space="0" w:color="auto"/>
        <w:left w:val="none" w:sz="0" w:space="0" w:color="auto"/>
        <w:bottom w:val="none" w:sz="0" w:space="0" w:color="auto"/>
        <w:right w:val="none" w:sz="0" w:space="0" w:color="auto"/>
      </w:divBdr>
    </w:div>
    <w:div w:id="2004817330">
      <w:marLeft w:val="0"/>
      <w:marRight w:val="0"/>
      <w:marTop w:val="180"/>
      <w:marBottom w:val="0"/>
      <w:divBdr>
        <w:top w:val="none" w:sz="0" w:space="0" w:color="auto"/>
        <w:left w:val="none" w:sz="0" w:space="0" w:color="auto"/>
        <w:bottom w:val="none" w:sz="0" w:space="0" w:color="auto"/>
        <w:right w:val="none" w:sz="0" w:space="0" w:color="auto"/>
      </w:divBdr>
    </w:div>
    <w:div w:id="2007200318">
      <w:marLeft w:val="0"/>
      <w:marRight w:val="0"/>
      <w:marTop w:val="180"/>
      <w:marBottom w:val="0"/>
      <w:divBdr>
        <w:top w:val="none" w:sz="0" w:space="0" w:color="auto"/>
        <w:left w:val="none" w:sz="0" w:space="0" w:color="auto"/>
        <w:bottom w:val="none" w:sz="0" w:space="0" w:color="auto"/>
        <w:right w:val="none" w:sz="0" w:space="0" w:color="auto"/>
      </w:divBdr>
    </w:div>
    <w:div w:id="2009356968">
      <w:marLeft w:val="0"/>
      <w:marRight w:val="0"/>
      <w:marTop w:val="180"/>
      <w:marBottom w:val="0"/>
      <w:divBdr>
        <w:top w:val="none" w:sz="0" w:space="0" w:color="auto"/>
        <w:left w:val="none" w:sz="0" w:space="0" w:color="auto"/>
        <w:bottom w:val="none" w:sz="0" w:space="0" w:color="auto"/>
        <w:right w:val="none" w:sz="0" w:space="0" w:color="auto"/>
      </w:divBdr>
    </w:div>
    <w:div w:id="2011252546">
      <w:marLeft w:val="0"/>
      <w:marRight w:val="0"/>
      <w:marTop w:val="180"/>
      <w:marBottom w:val="0"/>
      <w:divBdr>
        <w:top w:val="none" w:sz="0" w:space="0" w:color="auto"/>
        <w:left w:val="none" w:sz="0" w:space="0" w:color="auto"/>
        <w:bottom w:val="none" w:sz="0" w:space="0" w:color="auto"/>
        <w:right w:val="none" w:sz="0" w:space="0" w:color="auto"/>
      </w:divBdr>
    </w:div>
    <w:div w:id="2013020005">
      <w:marLeft w:val="0"/>
      <w:marRight w:val="0"/>
      <w:marTop w:val="240"/>
      <w:marBottom w:val="0"/>
      <w:divBdr>
        <w:top w:val="none" w:sz="0" w:space="0" w:color="auto"/>
        <w:left w:val="none" w:sz="0" w:space="0" w:color="auto"/>
        <w:bottom w:val="none" w:sz="0" w:space="0" w:color="auto"/>
        <w:right w:val="none" w:sz="0" w:space="0" w:color="auto"/>
      </w:divBdr>
    </w:div>
    <w:div w:id="2014868632">
      <w:marLeft w:val="0"/>
      <w:marRight w:val="0"/>
      <w:marTop w:val="240"/>
      <w:marBottom w:val="0"/>
      <w:divBdr>
        <w:top w:val="none" w:sz="0" w:space="0" w:color="auto"/>
        <w:left w:val="none" w:sz="0" w:space="0" w:color="auto"/>
        <w:bottom w:val="none" w:sz="0" w:space="0" w:color="auto"/>
        <w:right w:val="none" w:sz="0" w:space="0" w:color="auto"/>
      </w:divBdr>
    </w:div>
    <w:div w:id="2023819012">
      <w:marLeft w:val="0"/>
      <w:marRight w:val="0"/>
      <w:marTop w:val="180"/>
      <w:marBottom w:val="0"/>
      <w:divBdr>
        <w:top w:val="none" w:sz="0" w:space="0" w:color="auto"/>
        <w:left w:val="none" w:sz="0" w:space="0" w:color="auto"/>
        <w:bottom w:val="none" w:sz="0" w:space="0" w:color="auto"/>
        <w:right w:val="none" w:sz="0" w:space="0" w:color="auto"/>
      </w:divBdr>
    </w:div>
    <w:div w:id="2054891126">
      <w:marLeft w:val="0"/>
      <w:marRight w:val="0"/>
      <w:marTop w:val="0"/>
      <w:marBottom w:val="0"/>
      <w:divBdr>
        <w:top w:val="none" w:sz="0" w:space="0" w:color="auto"/>
        <w:left w:val="none" w:sz="0" w:space="0" w:color="auto"/>
        <w:bottom w:val="none" w:sz="0" w:space="0" w:color="auto"/>
        <w:right w:val="none" w:sz="0" w:space="0" w:color="auto"/>
      </w:divBdr>
      <w:divsChild>
        <w:div w:id="398140532">
          <w:marLeft w:val="0"/>
          <w:marRight w:val="0"/>
          <w:marTop w:val="180"/>
          <w:marBottom w:val="180"/>
          <w:divBdr>
            <w:top w:val="none" w:sz="0" w:space="0" w:color="auto"/>
            <w:left w:val="none" w:sz="0" w:space="0" w:color="auto"/>
            <w:bottom w:val="none" w:sz="0" w:space="0" w:color="auto"/>
            <w:right w:val="none" w:sz="0" w:space="0" w:color="auto"/>
          </w:divBdr>
        </w:div>
      </w:divsChild>
    </w:div>
    <w:div w:id="2055960459">
      <w:marLeft w:val="0"/>
      <w:marRight w:val="0"/>
      <w:marTop w:val="180"/>
      <w:marBottom w:val="0"/>
      <w:divBdr>
        <w:top w:val="none" w:sz="0" w:space="0" w:color="auto"/>
        <w:left w:val="none" w:sz="0" w:space="0" w:color="auto"/>
        <w:bottom w:val="none" w:sz="0" w:space="0" w:color="auto"/>
        <w:right w:val="none" w:sz="0" w:space="0" w:color="auto"/>
      </w:divBdr>
    </w:div>
    <w:div w:id="2065374668">
      <w:marLeft w:val="0"/>
      <w:marRight w:val="0"/>
      <w:marTop w:val="0"/>
      <w:marBottom w:val="0"/>
      <w:divBdr>
        <w:top w:val="none" w:sz="0" w:space="0" w:color="auto"/>
        <w:left w:val="none" w:sz="0" w:space="0" w:color="auto"/>
        <w:bottom w:val="none" w:sz="0" w:space="0" w:color="auto"/>
        <w:right w:val="none" w:sz="0" w:space="0" w:color="auto"/>
      </w:divBdr>
      <w:divsChild>
        <w:div w:id="136186670">
          <w:marLeft w:val="0"/>
          <w:marRight w:val="0"/>
          <w:marTop w:val="0"/>
          <w:marBottom w:val="0"/>
          <w:divBdr>
            <w:top w:val="none" w:sz="0" w:space="0" w:color="auto"/>
            <w:left w:val="none" w:sz="0" w:space="0" w:color="auto"/>
            <w:bottom w:val="none" w:sz="0" w:space="0" w:color="auto"/>
            <w:right w:val="none" w:sz="0" w:space="0" w:color="auto"/>
          </w:divBdr>
          <w:divsChild>
            <w:div w:id="189827454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66374622">
      <w:marLeft w:val="0"/>
      <w:marRight w:val="0"/>
      <w:marTop w:val="180"/>
      <w:marBottom w:val="0"/>
      <w:divBdr>
        <w:top w:val="none" w:sz="0" w:space="0" w:color="auto"/>
        <w:left w:val="none" w:sz="0" w:space="0" w:color="auto"/>
        <w:bottom w:val="none" w:sz="0" w:space="0" w:color="auto"/>
        <w:right w:val="none" w:sz="0" w:space="0" w:color="auto"/>
      </w:divBdr>
    </w:div>
    <w:div w:id="2067293733">
      <w:marLeft w:val="0"/>
      <w:marRight w:val="0"/>
      <w:marTop w:val="60"/>
      <w:marBottom w:val="0"/>
      <w:divBdr>
        <w:top w:val="none" w:sz="0" w:space="0" w:color="auto"/>
        <w:left w:val="none" w:sz="0" w:space="0" w:color="auto"/>
        <w:bottom w:val="none" w:sz="0" w:space="0" w:color="auto"/>
        <w:right w:val="none" w:sz="0" w:space="0" w:color="auto"/>
      </w:divBdr>
    </w:div>
    <w:div w:id="2072582640">
      <w:marLeft w:val="0"/>
      <w:marRight w:val="0"/>
      <w:marTop w:val="180"/>
      <w:marBottom w:val="0"/>
      <w:divBdr>
        <w:top w:val="none" w:sz="0" w:space="0" w:color="auto"/>
        <w:left w:val="none" w:sz="0" w:space="0" w:color="auto"/>
        <w:bottom w:val="none" w:sz="0" w:space="0" w:color="auto"/>
        <w:right w:val="none" w:sz="0" w:space="0" w:color="auto"/>
      </w:divBdr>
    </w:div>
    <w:div w:id="2073845670">
      <w:marLeft w:val="0"/>
      <w:marRight w:val="0"/>
      <w:marTop w:val="0"/>
      <w:marBottom w:val="0"/>
      <w:divBdr>
        <w:top w:val="none" w:sz="0" w:space="0" w:color="auto"/>
        <w:left w:val="none" w:sz="0" w:space="0" w:color="auto"/>
        <w:bottom w:val="none" w:sz="0" w:space="0" w:color="auto"/>
        <w:right w:val="none" w:sz="0" w:space="0" w:color="auto"/>
      </w:divBdr>
      <w:divsChild>
        <w:div w:id="261650677">
          <w:marLeft w:val="0"/>
          <w:marRight w:val="0"/>
          <w:marTop w:val="0"/>
          <w:marBottom w:val="0"/>
          <w:divBdr>
            <w:top w:val="none" w:sz="0" w:space="0" w:color="auto"/>
            <w:left w:val="none" w:sz="0" w:space="0" w:color="auto"/>
            <w:bottom w:val="none" w:sz="0" w:space="0" w:color="auto"/>
            <w:right w:val="none" w:sz="0" w:space="0" w:color="auto"/>
          </w:divBdr>
          <w:divsChild>
            <w:div w:id="131741837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76854793">
      <w:marLeft w:val="0"/>
      <w:marRight w:val="0"/>
      <w:marTop w:val="180"/>
      <w:marBottom w:val="0"/>
      <w:divBdr>
        <w:top w:val="none" w:sz="0" w:space="0" w:color="auto"/>
        <w:left w:val="none" w:sz="0" w:space="0" w:color="auto"/>
        <w:bottom w:val="none" w:sz="0" w:space="0" w:color="auto"/>
        <w:right w:val="none" w:sz="0" w:space="0" w:color="auto"/>
      </w:divBdr>
    </w:div>
    <w:div w:id="2081364899">
      <w:marLeft w:val="0"/>
      <w:marRight w:val="0"/>
      <w:marTop w:val="180"/>
      <w:marBottom w:val="0"/>
      <w:divBdr>
        <w:top w:val="none" w:sz="0" w:space="0" w:color="auto"/>
        <w:left w:val="none" w:sz="0" w:space="0" w:color="auto"/>
        <w:bottom w:val="none" w:sz="0" w:space="0" w:color="auto"/>
        <w:right w:val="none" w:sz="0" w:space="0" w:color="auto"/>
      </w:divBdr>
      <w:divsChild>
        <w:div w:id="890068747">
          <w:marLeft w:val="0"/>
          <w:marRight w:val="0"/>
          <w:marTop w:val="0"/>
          <w:marBottom w:val="0"/>
          <w:divBdr>
            <w:top w:val="none" w:sz="0" w:space="0" w:color="auto"/>
            <w:left w:val="none" w:sz="0" w:space="0" w:color="auto"/>
            <w:bottom w:val="none" w:sz="0" w:space="0" w:color="auto"/>
            <w:right w:val="none" w:sz="0" w:space="0" w:color="auto"/>
          </w:divBdr>
        </w:div>
        <w:div w:id="1108819526">
          <w:marLeft w:val="0"/>
          <w:marRight w:val="0"/>
          <w:marTop w:val="0"/>
          <w:marBottom w:val="0"/>
          <w:divBdr>
            <w:top w:val="none" w:sz="0" w:space="0" w:color="auto"/>
            <w:left w:val="none" w:sz="0" w:space="0" w:color="auto"/>
            <w:bottom w:val="none" w:sz="0" w:space="0" w:color="auto"/>
            <w:right w:val="none" w:sz="0" w:space="0" w:color="auto"/>
          </w:divBdr>
        </w:div>
        <w:div w:id="506867089">
          <w:marLeft w:val="0"/>
          <w:marRight w:val="0"/>
          <w:marTop w:val="0"/>
          <w:marBottom w:val="0"/>
          <w:divBdr>
            <w:top w:val="none" w:sz="0" w:space="0" w:color="auto"/>
            <w:left w:val="none" w:sz="0" w:space="0" w:color="auto"/>
            <w:bottom w:val="none" w:sz="0" w:space="0" w:color="auto"/>
            <w:right w:val="none" w:sz="0" w:space="0" w:color="auto"/>
          </w:divBdr>
        </w:div>
        <w:div w:id="553085738">
          <w:marLeft w:val="0"/>
          <w:marRight w:val="0"/>
          <w:marTop w:val="0"/>
          <w:marBottom w:val="0"/>
          <w:divBdr>
            <w:top w:val="none" w:sz="0" w:space="0" w:color="auto"/>
            <w:left w:val="none" w:sz="0" w:space="0" w:color="auto"/>
            <w:bottom w:val="none" w:sz="0" w:space="0" w:color="auto"/>
            <w:right w:val="none" w:sz="0" w:space="0" w:color="auto"/>
          </w:divBdr>
        </w:div>
        <w:div w:id="1112937625">
          <w:marLeft w:val="0"/>
          <w:marRight w:val="0"/>
          <w:marTop w:val="0"/>
          <w:marBottom w:val="0"/>
          <w:divBdr>
            <w:top w:val="none" w:sz="0" w:space="0" w:color="auto"/>
            <w:left w:val="none" w:sz="0" w:space="0" w:color="auto"/>
            <w:bottom w:val="none" w:sz="0" w:space="0" w:color="auto"/>
            <w:right w:val="none" w:sz="0" w:space="0" w:color="auto"/>
          </w:divBdr>
        </w:div>
      </w:divsChild>
    </w:div>
    <w:div w:id="2086224398">
      <w:marLeft w:val="0"/>
      <w:marRight w:val="0"/>
      <w:marTop w:val="180"/>
      <w:marBottom w:val="0"/>
      <w:divBdr>
        <w:top w:val="none" w:sz="0" w:space="0" w:color="auto"/>
        <w:left w:val="none" w:sz="0" w:space="0" w:color="auto"/>
        <w:bottom w:val="none" w:sz="0" w:space="0" w:color="auto"/>
        <w:right w:val="none" w:sz="0" w:space="0" w:color="auto"/>
      </w:divBdr>
    </w:div>
    <w:div w:id="2088184789">
      <w:marLeft w:val="0"/>
      <w:marRight w:val="0"/>
      <w:marTop w:val="0"/>
      <w:marBottom w:val="0"/>
      <w:divBdr>
        <w:top w:val="none" w:sz="0" w:space="0" w:color="auto"/>
        <w:left w:val="none" w:sz="0" w:space="0" w:color="auto"/>
        <w:bottom w:val="none" w:sz="0" w:space="0" w:color="auto"/>
        <w:right w:val="none" w:sz="0" w:space="0" w:color="auto"/>
      </w:divBdr>
      <w:divsChild>
        <w:div w:id="456608783">
          <w:marLeft w:val="0"/>
          <w:marRight w:val="0"/>
          <w:marTop w:val="0"/>
          <w:marBottom w:val="0"/>
          <w:divBdr>
            <w:top w:val="none" w:sz="0" w:space="0" w:color="auto"/>
            <w:left w:val="none" w:sz="0" w:space="0" w:color="auto"/>
            <w:bottom w:val="none" w:sz="0" w:space="0" w:color="auto"/>
            <w:right w:val="none" w:sz="0" w:space="0" w:color="auto"/>
          </w:divBdr>
          <w:divsChild>
            <w:div w:id="9193648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0225731">
      <w:marLeft w:val="0"/>
      <w:marRight w:val="0"/>
      <w:marTop w:val="180"/>
      <w:marBottom w:val="20"/>
      <w:divBdr>
        <w:top w:val="none" w:sz="0" w:space="0" w:color="auto"/>
        <w:left w:val="none" w:sz="0" w:space="0" w:color="auto"/>
        <w:bottom w:val="none" w:sz="0" w:space="0" w:color="auto"/>
        <w:right w:val="none" w:sz="0" w:space="0" w:color="auto"/>
      </w:divBdr>
    </w:div>
    <w:div w:id="2094010358">
      <w:marLeft w:val="0"/>
      <w:marRight w:val="0"/>
      <w:marTop w:val="140"/>
      <w:marBottom w:val="0"/>
      <w:divBdr>
        <w:top w:val="none" w:sz="0" w:space="0" w:color="auto"/>
        <w:left w:val="none" w:sz="0" w:space="0" w:color="auto"/>
        <w:bottom w:val="none" w:sz="0" w:space="0" w:color="auto"/>
        <w:right w:val="none" w:sz="0" w:space="0" w:color="auto"/>
      </w:divBdr>
    </w:div>
    <w:div w:id="2097163621">
      <w:marLeft w:val="0"/>
      <w:marRight w:val="0"/>
      <w:marTop w:val="180"/>
      <w:marBottom w:val="0"/>
      <w:divBdr>
        <w:top w:val="none" w:sz="0" w:space="0" w:color="auto"/>
        <w:left w:val="none" w:sz="0" w:space="0" w:color="auto"/>
        <w:bottom w:val="none" w:sz="0" w:space="0" w:color="auto"/>
        <w:right w:val="none" w:sz="0" w:space="0" w:color="auto"/>
      </w:divBdr>
    </w:div>
    <w:div w:id="2100251216">
      <w:marLeft w:val="0"/>
      <w:marRight w:val="0"/>
      <w:marTop w:val="180"/>
      <w:marBottom w:val="0"/>
      <w:divBdr>
        <w:top w:val="none" w:sz="0" w:space="0" w:color="auto"/>
        <w:left w:val="none" w:sz="0" w:space="0" w:color="auto"/>
        <w:bottom w:val="none" w:sz="0" w:space="0" w:color="auto"/>
        <w:right w:val="none" w:sz="0" w:space="0" w:color="auto"/>
      </w:divBdr>
    </w:div>
    <w:div w:id="2101565802">
      <w:marLeft w:val="0"/>
      <w:marRight w:val="0"/>
      <w:marTop w:val="180"/>
      <w:marBottom w:val="120"/>
      <w:divBdr>
        <w:top w:val="none" w:sz="0" w:space="0" w:color="auto"/>
        <w:left w:val="none" w:sz="0" w:space="0" w:color="auto"/>
        <w:bottom w:val="none" w:sz="0" w:space="0" w:color="auto"/>
        <w:right w:val="none" w:sz="0" w:space="0" w:color="auto"/>
      </w:divBdr>
    </w:div>
    <w:div w:id="2103908681">
      <w:marLeft w:val="0"/>
      <w:marRight w:val="0"/>
      <w:marTop w:val="240"/>
      <w:marBottom w:val="0"/>
      <w:divBdr>
        <w:top w:val="none" w:sz="0" w:space="0" w:color="auto"/>
        <w:left w:val="none" w:sz="0" w:space="0" w:color="auto"/>
        <w:bottom w:val="none" w:sz="0" w:space="0" w:color="auto"/>
        <w:right w:val="none" w:sz="0" w:space="0" w:color="auto"/>
      </w:divBdr>
    </w:div>
    <w:div w:id="2104035391">
      <w:marLeft w:val="0"/>
      <w:marRight w:val="0"/>
      <w:marTop w:val="60"/>
      <w:marBottom w:val="0"/>
      <w:divBdr>
        <w:top w:val="none" w:sz="0" w:space="0" w:color="auto"/>
        <w:left w:val="none" w:sz="0" w:space="0" w:color="auto"/>
        <w:bottom w:val="none" w:sz="0" w:space="0" w:color="auto"/>
        <w:right w:val="none" w:sz="0" w:space="0" w:color="auto"/>
      </w:divBdr>
    </w:div>
    <w:div w:id="2119597807">
      <w:marLeft w:val="0"/>
      <w:marRight w:val="0"/>
      <w:marTop w:val="180"/>
      <w:marBottom w:val="0"/>
      <w:divBdr>
        <w:top w:val="none" w:sz="0" w:space="0" w:color="auto"/>
        <w:left w:val="none" w:sz="0" w:space="0" w:color="auto"/>
        <w:bottom w:val="none" w:sz="0" w:space="0" w:color="auto"/>
        <w:right w:val="none" w:sz="0" w:space="0" w:color="auto"/>
      </w:divBdr>
    </w:div>
    <w:div w:id="2119792497">
      <w:marLeft w:val="0"/>
      <w:marRight w:val="0"/>
      <w:marTop w:val="180"/>
      <w:marBottom w:val="0"/>
      <w:divBdr>
        <w:top w:val="none" w:sz="0" w:space="0" w:color="auto"/>
        <w:left w:val="none" w:sz="0" w:space="0" w:color="auto"/>
        <w:bottom w:val="none" w:sz="0" w:space="0" w:color="auto"/>
        <w:right w:val="none" w:sz="0" w:space="0" w:color="auto"/>
      </w:divBdr>
    </w:div>
    <w:div w:id="2121678081">
      <w:marLeft w:val="0"/>
      <w:marRight w:val="0"/>
      <w:marTop w:val="0"/>
      <w:marBottom w:val="0"/>
      <w:divBdr>
        <w:top w:val="none" w:sz="0" w:space="0" w:color="auto"/>
        <w:left w:val="none" w:sz="0" w:space="0" w:color="auto"/>
        <w:bottom w:val="none" w:sz="0" w:space="0" w:color="auto"/>
        <w:right w:val="none" w:sz="0" w:space="0" w:color="auto"/>
      </w:divBdr>
      <w:divsChild>
        <w:div w:id="1329096561">
          <w:marLeft w:val="0"/>
          <w:marRight w:val="0"/>
          <w:marTop w:val="0"/>
          <w:marBottom w:val="0"/>
          <w:divBdr>
            <w:top w:val="none" w:sz="0" w:space="0" w:color="auto"/>
            <w:left w:val="none" w:sz="0" w:space="0" w:color="auto"/>
            <w:bottom w:val="none" w:sz="0" w:space="0" w:color="auto"/>
            <w:right w:val="none" w:sz="0" w:space="0" w:color="auto"/>
          </w:divBdr>
          <w:divsChild>
            <w:div w:id="12377137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25342162">
      <w:marLeft w:val="0"/>
      <w:marRight w:val="0"/>
      <w:marTop w:val="120"/>
      <w:marBottom w:val="120"/>
      <w:divBdr>
        <w:top w:val="none" w:sz="0" w:space="0" w:color="auto"/>
        <w:left w:val="none" w:sz="0" w:space="0" w:color="auto"/>
        <w:bottom w:val="none" w:sz="0" w:space="0" w:color="auto"/>
        <w:right w:val="none" w:sz="0" w:space="0" w:color="auto"/>
      </w:divBdr>
    </w:div>
    <w:div w:id="2128888002">
      <w:marLeft w:val="0"/>
      <w:marRight w:val="0"/>
      <w:marTop w:val="180"/>
      <w:marBottom w:val="0"/>
      <w:divBdr>
        <w:top w:val="none" w:sz="0" w:space="0" w:color="auto"/>
        <w:left w:val="none" w:sz="0" w:space="0" w:color="auto"/>
        <w:bottom w:val="none" w:sz="0" w:space="0" w:color="auto"/>
        <w:right w:val="none" w:sz="0" w:space="0" w:color="auto"/>
      </w:divBdr>
    </w:div>
    <w:div w:id="2131388013">
      <w:marLeft w:val="0"/>
      <w:marRight w:val="0"/>
      <w:marTop w:val="0"/>
      <w:marBottom w:val="0"/>
      <w:divBdr>
        <w:top w:val="none" w:sz="0" w:space="0" w:color="auto"/>
        <w:left w:val="none" w:sz="0" w:space="0" w:color="auto"/>
        <w:bottom w:val="none" w:sz="0" w:space="0" w:color="auto"/>
        <w:right w:val="none" w:sz="0" w:space="0" w:color="auto"/>
      </w:divBdr>
      <w:divsChild>
        <w:div w:id="470902150">
          <w:marLeft w:val="0"/>
          <w:marRight w:val="0"/>
          <w:marTop w:val="0"/>
          <w:marBottom w:val="0"/>
          <w:divBdr>
            <w:top w:val="none" w:sz="0" w:space="0" w:color="auto"/>
            <w:left w:val="none" w:sz="0" w:space="0" w:color="auto"/>
            <w:bottom w:val="none" w:sz="0" w:space="0" w:color="auto"/>
            <w:right w:val="none" w:sz="0" w:space="0" w:color="auto"/>
          </w:divBdr>
          <w:divsChild>
            <w:div w:id="1307545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33741164">
      <w:marLeft w:val="0"/>
      <w:marRight w:val="0"/>
      <w:marTop w:val="160"/>
      <w:marBottom w:val="0"/>
      <w:divBdr>
        <w:top w:val="none" w:sz="0" w:space="0" w:color="auto"/>
        <w:left w:val="none" w:sz="0" w:space="0" w:color="auto"/>
        <w:bottom w:val="none" w:sz="0" w:space="0" w:color="auto"/>
        <w:right w:val="none" w:sz="0" w:space="0" w:color="auto"/>
      </w:divBdr>
    </w:div>
    <w:div w:id="2134051234">
      <w:marLeft w:val="0"/>
      <w:marRight w:val="0"/>
      <w:marTop w:val="0"/>
      <w:marBottom w:val="0"/>
      <w:divBdr>
        <w:top w:val="none" w:sz="0" w:space="0" w:color="auto"/>
        <w:left w:val="none" w:sz="0" w:space="0" w:color="auto"/>
        <w:bottom w:val="none" w:sz="0" w:space="0" w:color="auto"/>
        <w:right w:val="none" w:sz="0" w:space="0" w:color="auto"/>
      </w:divBdr>
      <w:divsChild>
        <w:div w:id="533660365">
          <w:marLeft w:val="0"/>
          <w:marRight w:val="0"/>
          <w:marTop w:val="180"/>
          <w:marBottom w:val="0"/>
          <w:divBdr>
            <w:top w:val="none" w:sz="0" w:space="0" w:color="auto"/>
            <w:left w:val="none" w:sz="0" w:space="0" w:color="auto"/>
            <w:bottom w:val="none" w:sz="0" w:space="0" w:color="auto"/>
            <w:right w:val="none" w:sz="0" w:space="0" w:color="auto"/>
          </w:divBdr>
        </w:div>
      </w:divsChild>
    </w:div>
    <w:div w:id="2135056357">
      <w:marLeft w:val="0"/>
      <w:marRight w:val="0"/>
      <w:marTop w:val="60"/>
      <w:marBottom w:val="20"/>
      <w:divBdr>
        <w:top w:val="none" w:sz="0" w:space="0" w:color="auto"/>
        <w:left w:val="none" w:sz="0" w:space="0" w:color="auto"/>
        <w:bottom w:val="none" w:sz="0" w:space="0" w:color="auto"/>
        <w:right w:val="none" w:sz="0" w:space="0" w:color="auto"/>
      </w:divBdr>
    </w:div>
    <w:div w:id="2135781973">
      <w:marLeft w:val="0"/>
      <w:marRight w:val="0"/>
      <w:marTop w:val="240"/>
      <w:marBottom w:val="180"/>
      <w:divBdr>
        <w:top w:val="none" w:sz="0" w:space="0" w:color="auto"/>
        <w:left w:val="none" w:sz="0" w:space="0" w:color="auto"/>
        <w:bottom w:val="none" w:sz="0" w:space="0" w:color="auto"/>
        <w:right w:val="none" w:sz="0" w:space="0" w:color="auto"/>
      </w:divBdr>
    </w:div>
    <w:div w:id="2139254002">
      <w:marLeft w:val="0"/>
      <w:marRight w:val="0"/>
      <w:marTop w:val="240"/>
      <w:marBottom w:val="0"/>
      <w:divBdr>
        <w:top w:val="none" w:sz="0" w:space="0" w:color="auto"/>
        <w:left w:val="none" w:sz="0" w:space="0" w:color="auto"/>
        <w:bottom w:val="none" w:sz="0" w:space="0" w:color="auto"/>
        <w:right w:val="none" w:sz="0" w:space="0" w:color="auto"/>
      </w:divBdr>
    </w:div>
    <w:div w:id="2139643449">
      <w:marLeft w:val="0"/>
      <w:marRight w:val="0"/>
      <w:marTop w:val="0"/>
      <w:marBottom w:val="0"/>
      <w:divBdr>
        <w:top w:val="none" w:sz="0" w:space="0" w:color="auto"/>
        <w:left w:val="none" w:sz="0" w:space="0" w:color="auto"/>
        <w:bottom w:val="none" w:sz="0" w:space="0" w:color="auto"/>
        <w:right w:val="none" w:sz="0" w:space="0" w:color="auto"/>
      </w:divBdr>
      <w:divsChild>
        <w:div w:id="1899777610">
          <w:marLeft w:val="0"/>
          <w:marRight w:val="0"/>
          <w:marTop w:val="0"/>
          <w:marBottom w:val="0"/>
          <w:divBdr>
            <w:top w:val="none" w:sz="0" w:space="0" w:color="auto"/>
            <w:left w:val="none" w:sz="0" w:space="0" w:color="auto"/>
            <w:bottom w:val="none" w:sz="0" w:space="0" w:color="auto"/>
            <w:right w:val="none" w:sz="0" w:space="0" w:color="auto"/>
          </w:divBdr>
          <w:divsChild>
            <w:div w:id="165892150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39644185">
      <w:marLeft w:val="0"/>
      <w:marRight w:val="0"/>
      <w:marTop w:val="180"/>
      <w:marBottom w:val="0"/>
      <w:divBdr>
        <w:top w:val="none" w:sz="0" w:space="0" w:color="auto"/>
        <w:left w:val="none" w:sz="0" w:space="0" w:color="auto"/>
        <w:bottom w:val="none" w:sz="0" w:space="0" w:color="auto"/>
        <w:right w:val="none" w:sz="0" w:space="0" w:color="auto"/>
      </w:divBdr>
    </w:div>
    <w:div w:id="2140101648">
      <w:marLeft w:val="0"/>
      <w:marRight w:val="0"/>
      <w:marTop w:val="6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E:\projects\LLMs\new_data_collection\data_new\htm\ABM%20INDUSTRIES%20INC%20DE\abm-20220731_g5.jpg" TargetMode="External"/><Relationship Id="rId13" Type="http://schemas.openxmlformats.org/officeDocument/2006/relationships/hyperlink" Target="abm7312022ex312.htm" TargetMode="External"/><Relationship Id="rId3" Type="http://schemas.openxmlformats.org/officeDocument/2006/relationships/webSettings" Target="webSettings.xml"/><Relationship Id="rId7" Type="http://schemas.openxmlformats.org/officeDocument/2006/relationships/image" Target="file:///E:\projects\LLMs\new_data_collection\data_new\htm\ABM%20INDUSTRIES%20INC%20DE\abm-20220731_g4.jpg" TargetMode="External"/><Relationship Id="rId12" Type="http://schemas.openxmlformats.org/officeDocument/2006/relationships/hyperlink" Target="abm7312022ex311.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E:\projects\LLMs\new_data_collection\data_new\htm\ABM%20INDUSTRIES%20INC%20DE\abm-20220731_g3.jpg" TargetMode="External"/><Relationship Id="rId11" Type="http://schemas.openxmlformats.org/officeDocument/2006/relationships/hyperlink" Target="https://www.sec.gov/Archives/edgar/data/771497/000110465922092386/tm2223741d1_ex2-1.htm" TargetMode="External"/><Relationship Id="rId5" Type="http://schemas.openxmlformats.org/officeDocument/2006/relationships/image" Target="file:///E:\projects\LLMs\new_data_collection\data_new\htm\ABM%20INDUSTRIES%20INC%20DE\abm-20220731_g2.jpg" TargetMode="External"/><Relationship Id="rId15" Type="http://schemas.openxmlformats.org/officeDocument/2006/relationships/fontTable" Target="fontTable.xml"/><Relationship Id="rId10" Type="http://schemas.openxmlformats.org/officeDocument/2006/relationships/image" Target="file:///E:\projects\LLMs\new_data_collection\data_new\htm\ABM%20INDUSTRIES%20INC%20DE\abm-20220731_g7.jpg" TargetMode="External"/><Relationship Id="rId4" Type="http://schemas.openxmlformats.org/officeDocument/2006/relationships/image" Target="file:///E:\projects\LLMs\new_data_collection\data_new\htm\ABM%20INDUSTRIES%20INC%20DE\abm-20220731_g1.jpg" TargetMode="External"/><Relationship Id="rId9" Type="http://schemas.openxmlformats.org/officeDocument/2006/relationships/image" Target="file:///E:\projects\LLMs\new_data_collection\data_new\htm\ABM%20INDUSTRIES%20INC%20DE\abm-20220731_g6.jpg" TargetMode="External"/><Relationship Id="rId14" Type="http://schemas.openxmlformats.org/officeDocument/2006/relationships/hyperlink" Target="abm7312022ex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25354</Words>
  <Characters>144524</Characters>
  <Application>Microsoft Office Word</Application>
  <DocSecurity>0</DocSecurity>
  <Lines>1204</Lines>
  <Paragraphs>339</Paragraphs>
  <ScaleCrop>false</ScaleCrop>
  <Company/>
  <LinksUpToDate>false</LinksUpToDate>
  <CharactersWithSpaces>169539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abm-20220731</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