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557F0">
      <w:pPr>
        <w:divId w:val="693270563"/>
        <w:rPr>
          <w:rFonts w:eastAsia="Times New Roman"/>
          <w:vanish/>
        </w:rPr>
      </w:pPr>
      <w:r>
        <w:rPr>
          <w:rFonts w:eastAsia="Times New Roman"/>
          <w:vanish/>
        </w:rPr>
        <w:t>000077149710/312023Q1FALSEhttp://fasb.org/us-gaap/2022#SellingGeneralAndAdministrativeExpense00007714972022-11-012023-01-3100007714972023-03-07xbrli:shares00007714972023-01-31iso4217:USD00007714972022-10-31iso4217:USDxbrli:shares0000771497</w:t>
      </w:r>
      <w:r>
        <w:rPr>
          <w:rFonts w:eastAsia="Times New Roman"/>
          <w:vanish/>
        </w:rPr>
        <w:t>2021-11-012022-01-310000771497us-gaap:CommonStockMember2022-10-310000771497us-gaap:CommonStockMember2021-10-310000771497us-gaap:CommonStockMember2022-11-012023-01-310000771497us-gaap:CommonStockMember2021-11-012022-01-310000771497us-gaap:CommonStockMember2</w:t>
      </w:r>
      <w:r>
        <w:rPr>
          <w:rFonts w:eastAsia="Times New Roman"/>
          <w:vanish/>
        </w:rPr>
        <w:t>023-01-310000771497us-gaap:CommonStockMember2022-01-310000771497us-gaap:AdditionalPaidInCapitalMember2022-10-310000771497us-gaap:AdditionalPaidInCapitalMember2021-10-310000771497us-gaap:AdditionalPaidInCapitalMember2022-11-012023-01-310000771497us-gaap:Add</w:t>
      </w:r>
      <w:r>
        <w:rPr>
          <w:rFonts w:eastAsia="Times New Roman"/>
          <w:vanish/>
        </w:rPr>
        <w:t>itionalPaidInCapitalMember2021-11-012022-01-310000771497us-gaap:AdditionalPaidInCapitalMember2023-01-310000771497us-gaap:AdditionalPaidInCapitalMember2022-01-310000771497us-gaap:AccumulatedOtherComprehensiveIncomeMember2022-10-310000771497us-gaap:Accumulat</w:t>
      </w:r>
      <w:r>
        <w:rPr>
          <w:rFonts w:eastAsia="Times New Roman"/>
          <w:vanish/>
        </w:rPr>
        <w:t>edOtherComprehensiveIncomeMember2021-10-310000771497us-gaap:AccumulatedOtherComprehensiveIncomeMember2022-11-012023-01-310000771497us-gaap:AccumulatedOtherComprehensiveIncomeMember2021-11-012022-01-310000771497us-gaap:AccumulatedOtherComprehensiveIncomeMem</w:t>
      </w:r>
      <w:r>
        <w:rPr>
          <w:rFonts w:eastAsia="Times New Roman"/>
          <w:vanish/>
        </w:rPr>
        <w:t>ber2023-01-310000771497us-gaap:AccumulatedOtherComprehensiveIncomeMember2022-01-310000771497us-gaap:RetainedEarningsMember2022-10-310000771497us-gaap:RetainedEarningsMember2021-10-310000771497us-gaap:RetainedEarningsMember2022-11-012023-01-310000771497us-g</w:t>
      </w:r>
      <w:r>
        <w:rPr>
          <w:rFonts w:eastAsia="Times New Roman"/>
          <w:vanish/>
        </w:rPr>
        <w:t>aap:RetainedEarningsMember2021-11-012022-01-310000771497us-gaap:RetainedEarningsMember2023-01-310000771497us-gaap:RetainedEarningsMember2022-01-3100007714972022-01-3100007714972021-10-31abm:industryGroupabm:segment0000771497abm:ManagementReimbursementReven</w:t>
      </w:r>
      <w:r>
        <w:rPr>
          <w:rFonts w:eastAsia="Times New Roman"/>
          <w:vanish/>
        </w:rPr>
        <w:t>ueMember2022-11-012023-01-310000771497abm:ManagementReimbursementRevenueMember2021-11-012022-01-310000771497abm:RavenVoltIncMember2022-09-012022-09-010000771497srt:MaximumMemberabm:RavenVoltIncMember2022-09-012022-09-010000771497abm:RavenVoltIncMembersrt:S</w:t>
      </w:r>
      <w:r>
        <w:rPr>
          <w:rFonts w:eastAsia="Times New Roman"/>
          <w:vanish/>
        </w:rPr>
        <w:t>cenarioForecastMember2024-12-310000771497abm:RavenVoltIncMembersrt:ScenarioForecastMember2025-12-310000771497abm:RavenVoltIncMembersrt:ScenarioForecastMember2026-12-310000771497srt:MaximumMemberabm:RavenVoltIncMembersrt:ScenarioForecastMember2026-01-012026</w:t>
      </w:r>
      <w:r>
        <w:rPr>
          <w:rFonts w:eastAsia="Times New Roman"/>
          <w:vanish/>
        </w:rPr>
        <w:t>-12-310000771497abm:RavenVoltIncMember2022-09-010000771497abm:RavenVoltIncMember2023-01-310000771497abm:RavenVoltIncMember2022-11-012023-01-310000771497abm:MaybinSupportServicesLimitedMomentumSupportLimitedUKAndMomentumPropertySupportServicesLimitedMember2</w:t>
      </w:r>
      <w:r>
        <w:rPr>
          <w:rFonts w:eastAsia="Times New Roman"/>
          <w:vanish/>
        </w:rPr>
        <w:t>022-04-072022-04-070000771497abm:MaybinSupportServicesLimitedMomentumSupportLimitedUKAndMomentumPropertySupportServicesLimitedMember2022-04-070000771497abm:MaybinSupportServicesLimitedMomentumSupportLimitedUKAndMomentumPropertySupportServicesLimitedMember2</w:t>
      </w:r>
      <w:r>
        <w:rPr>
          <w:rFonts w:eastAsia="Times New Roman"/>
          <w:vanish/>
        </w:rPr>
        <w:t>023-01-310000771497abm:MaybinSupportServicesLimitedMomentumSupportLimitedUKAndMomentumPropertySupportServicesLimitedMember2022-11-012023-01-310000771497abm:CustomerContractsForHealthcareTechnologyManagementMemberabm:TechnicalSolutionsMemberus-gaap:Disposal</w:t>
      </w:r>
      <w:r>
        <w:rPr>
          <w:rFonts w:eastAsia="Times New Roman"/>
          <w:vanish/>
        </w:rPr>
        <w:t>GroupDisposedOfBySaleNotDiscontinuedOperationsMember2022-01-310000771497abm:CustomerContractsForHealthcareTechnologyManagementMemberabm:TechnicalSolutionsMemberus-gaap:DisposalGroupDisposedOfBySaleNotDiscontinuedOperationsMember2022-11-012023-01-3100007714</w:t>
      </w:r>
      <w:r>
        <w:rPr>
          <w:rFonts w:eastAsia="Times New Roman"/>
          <w:vanish/>
        </w:rPr>
        <w:t>97abm:JanitorialMemberabm:BusinessAndIndustryMember2022-11-012023-01-310000771497abm:JanitorialMemberabm:ManufacturingAndDistributionMember2022-11-012023-01-310000771497abm:JanitorialMemberabm:EducationMember2022-11-012023-01-310000771497abm:JanitorialMemb</w:t>
      </w:r>
      <w:r>
        <w:rPr>
          <w:rFonts w:eastAsia="Times New Roman"/>
          <w:vanish/>
        </w:rPr>
        <w:t>erabm:AviationMember2022-11-012023-01-310000771497abm:JanitorialMemberabm:TechnicalSolutionsMember2022-11-012023-01-310000771497abm:JanitorialMember2022-11-012023-01-310000771497abm:BusinessAndIndustryMemberus-gaap:ParkingMember2022-11-012023-01-3100007714</w:t>
      </w:r>
      <w:r>
        <w:rPr>
          <w:rFonts w:eastAsia="Times New Roman"/>
          <w:vanish/>
        </w:rPr>
        <w:t>97abm:ManufacturingAndDistributionMemberus-gaap:ParkingMember2022-11-012023-01-310000771497abm:EducationMemberus-gaap:ParkingMember2022-11-012023-01-310000771497us-gaap:ParkingMemberabm:AviationMember2022-11-012023-01-310000771497abm:TechnicalSolutionsMemb</w:t>
      </w:r>
      <w:r>
        <w:rPr>
          <w:rFonts w:eastAsia="Times New Roman"/>
          <w:vanish/>
        </w:rPr>
        <w:t>erus-gaap:ParkingMember2022-11-012023-01-310000771497us-gaap:ParkingMember2022-11-012023-01-310000771497abm:BusinessAndIndustryMemberabm:FacilityServicesMember2022-11-012023-01-310000771497abm:ManufacturingAndDistributionMemberabm:FacilityServicesMember202</w:t>
      </w:r>
      <w:r>
        <w:rPr>
          <w:rFonts w:eastAsia="Times New Roman"/>
          <w:vanish/>
        </w:rPr>
        <w:t>2-11-012023-01-310000771497abm:EducationMemberabm:FacilityServicesMember2022-11-012023-01-310000771497abm:FacilityServicesMemberabm:AviationMember2022-11-012023-01-310000771497abm:TechnicalSolutionsMemberabm:FacilityServicesMember2022-11-012023-01-31000077</w:t>
      </w:r>
      <w:r>
        <w:rPr>
          <w:rFonts w:eastAsia="Times New Roman"/>
          <w:vanish/>
        </w:rPr>
        <w:t>1497abm:FacilityServicesMember2022-11-012023-01-310000771497abm:BusinessAndIndustryMemberabm:BuildingAndEnergySolutionsMember2022-11-012023-01-310000771497abm:ManufacturingAndDistributionMemberabm:BuildingAndEnergySolutionsMember2022-11-012023-01-310000771</w:t>
      </w:r>
      <w:r>
        <w:rPr>
          <w:rFonts w:eastAsia="Times New Roman"/>
          <w:vanish/>
        </w:rPr>
        <w:t>497abm:EducationMemberabm:BuildingAndEnergySolutionsMember2022-11-012023-01-310000771497abm:BuildingAndEnergySolutionsMemberabm:AviationMember2022-11-012023-01-310000771497abm:TechnicalSolutionsMemberabm:BuildingAndEnergySolutionsMember2022-11-012023-01-31</w:t>
      </w:r>
      <w:r>
        <w:rPr>
          <w:rFonts w:eastAsia="Times New Roman"/>
          <w:vanish/>
        </w:rPr>
        <w:t>0000771497abm:BuildingAndEnergySolutionsMember2022-11-012023-01-310000771497abm:AirlineServicesMemberabm:BusinessAndIndustryMember2022-11-012023-01-310000771497abm:AirlineServicesMemberabm:ManufacturingAndDistributionMember2022-11-012023-01-310000771497abm</w:t>
      </w:r>
      <w:r>
        <w:rPr>
          <w:rFonts w:eastAsia="Times New Roman"/>
          <w:vanish/>
        </w:rPr>
        <w:t>:AirlineServicesMemberabm:EducationMember2022-11-012023-01-310000771497abm:AirlineServicesMemberabm:AviationMember2022-11-012023-01-310000771497abm:AirlineServicesMemberabm:TechnicalSolutionsMember2022-11-012023-01-310000771497abm:AirlineServicesMember2022</w:t>
      </w:r>
      <w:r>
        <w:rPr>
          <w:rFonts w:eastAsia="Times New Roman"/>
          <w:vanish/>
        </w:rPr>
        <w:t>-11-012023-01-310000771497abm:BusinessAndIndustryMember2022-11-012023-01-310000771497abm:ManufacturingAndDistributionMember2022-11-012023-01-310000771497abm:EducationMember2022-11-012023-01-310000771497abm:AviationMember2022-11-012023-01-310000771497abm:Te</w:t>
      </w:r>
      <w:r>
        <w:rPr>
          <w:rFonts w:eastAsia="Times New Roman"/>
          <w:vanish/>
        </w:rPr>
        <w:t>chnicalSolutionsMember2022-11-012023-01-310000771497abm:JanitorialMemberabm:BusinessAndIndustryMember2021-11-012022-01-310000771497abm:JanitorialMemberabm:ManufacturingAndDistributionMember2021-11-012022-01-310000771497abm:JanitorialMemberabm:EducationMemb</w:t>
      </w:r>
      <w:r>
        <w:rPr>
          <w:rFonts w:eastAsia="Times New Roman"/>
          <w:vanish/>
        </w:rPr>
        <w:t>er2021-11-012022-01-310000771497abm:JanitorialMemberabm:AviationMember2021-11-012022-01-310000771497abm:JanitorialMemberabm:TechnicalSolutionsMember2021-11-012022-01-310000771497abm:JanitorialMember2021-11-012022-01-310000771497abm:BusinessAndIndustryMembe</w:t>
      </w:r>
      <w:r>
        <w:rPr>
          <w:rFonts w:eastAsia="Times New Roman"/>
          <w:vanish/>
        </w:rPr>
        <w:t>rus-gaap:ParkingMember2021-11-012022-01-310000771497abm:ManufacturingAndDistributionMemberus-gaap:ParkingMember2021-11-012022-01-310000771497abm:EducationMemberus-gaap:ParkingMember2021-11-012022-01-310000771497us-gaap:ParkingMemberabm:AviationMember2021-1</w:t>
      </w:r>
      <w:r>
        <w:rPr>
          <w:rFonts w:eastAsia="Times New Roman"/>
          <w:vanish/>
        </w:rPr>
        <w:t>1-012022-01-310000771497abm:TechnicalSolutionsMemberus-gaap:ParkingMember2021-11-012022-01-310000771497us-gaap:ParkingMember2021-11-012022-01-310000771497abm:BusinessAndIndustryMemberabm:FacilityServicesMember2021-11-012022-01-310000771497abm:Manufacturing</w:t>
      </w:r>
      <w:r>
        <w:rPr>
          <w:rFonts w:eastAsia="Times New Roman"/>
          <w:vanish/>
        </w:rPr>
        <w:t>AndDistributionMemberabm:FacilityServicesMember2021-11-012022-01-310000771497abm:EducationMemberabm:FacilityServicesMember2021-11-012022-01-310000771497abm:FacilityServicesMemberabm:AviationMember2021-11-012022-01-310000771497abm:TechnicalSolutionsMemberab</w:t>
      </w:r>
      <w:r>
        <w:rPr>
          <w:rFonts w:eastAsia="Times New Roman"/>
          <w:vanish/>
        </w:rPr>
        <w:t>m:FacilityServicesMember2021-11-012022-01-310000771497abm:FacilityServicesMember2021-11-012022-01-310000771497abm:BusinessAndIndustryMemberabm:BuildingAndEnergySolutionsMember2021-11-012022-01-310000771497abm:ManufacturingAndDistributionMemberabm:BuildingA</w:t>
      </w:r>
      <w:r>
        <w:rPr>
          <w:rFonts w:eastAsia="Times New Roman"/>
          <w:vanish/>
        </w:rPr>
        <w:t>ndEnergySolutionsMember2021-11-012022-01-310000771497abm:EducationMemberabm:BuildingAndEnergySolutionsMember2021-11-012022-01-310000771497abm:BuildingAndEnergySolutionsMemberabm:AviationMember2021-11-012022-01-310000771497abm:TechnicalSolutionsMemberabm:Bu</w:t>
      </w:r>
      <w:r>
        <w:rPr>
          <w:rFonts w:eastAsia="Times New Roman"/>
          <w:vanish/>
        </w:rPr>
        <w:t>ildingAndEnergySolutionsMember2021-11-012022-01-310000771497abm:BuildingAndEnergySolutionsMember2021-11-012022-01-310000771497abm:AirlineServicesMemberabm:BusinessAndIndustryMember2021-11-012022-01-310000771497abm:AirlineServicesMemberabm:ManufacturingAndD</w:t>
      </w:r>
      <w:r>
        <w:rPr>
          <w:rFonts w:eastAsia="Times New Roman"/>
          <w:vanish/>
        </w:rPr>
        <w:t>istributionMember2021-11-012022-01-310000771497abm:AirlineServicesMemberabm:EducationMember2021-11-012022-01-310000771497abm:AirlineServicesMemberabm:AviationMember2021-11-012022-01-310000771497abm:AirlineServicesMemberabm:TechnicalSolutionsMember2021-11-0</w:t>
      </w:r>
      <w:r>
        <w:rPr>
          <w:rFonts w:eastAsia="Times New Roman"/>
          <w:vanish/>
        </w:rPr>
        <w:t>12022-01-310000771497abm:AirlineServicesMember2021-11-012022-01-310000771497abm:BusinessAndIndustryMember2021-11-012022-01-310000771497abm:ManufacturingAndDistributionMember2021-11-012022-01-310000771497abm:EducationMember2021-11-012022-01-310000771497abm:</w:t>
      </w:r>
      <w:r>
        <w:rPr>
          <w:rFonts w:eastAsia="Times New Roman"/>
          <w:vanish/>
        </w:rPr>
        <w:t>AviationMember2021-11-012022-01-310000771497abm:TechnicalSolutionsMember2021-11-012022-01-3100007714972023-02-012023-01-31xbrli:pure0000771497us-gaap:RestrictedStockUnitsRSUMember2022-11-012023-01-310000771497us-gaap:RestrictedStockUnitsRSUMember2021-11-01</w:t>
      </w:r>
      <w:r>
        <w:rPr>
          <w:rFonts w:eastAsia="Times New Roman"/>
          <w:vanish/>
        </w:rPr>
        <w:t>2022-01-310000771497us-gaap:PerformanceSharesMember2022-11-012023-01-310000771497us-gaap:PerformanceSharesMember2021-11-012022-01-310000771497us-gaap:FairValueInputsLevel1Memberus-gaap:FairValueMeasurementsRecurringMember2023-01-310000771497us-gaap:FairVal</w:t>
      </w:r>
      <w:r>
        <w:rPr>
          <w:rFonts w:eastAsia="Times New Roman"/>
          <w:vanish/>
        </w:rPr>
        <w:t>ueInputsLevel1Memberus-gaap:FairValueMeasurementsRecurringMember2022-10-310000771497us-gaap:FairValueInputsLevel2Memberus-gaap:FairValueMeasurementsRecurringMember2023-01-310000771497us-gaap:FairValueInputsLevel2Memberus-gaap:FairValueMeasurementsRecurring</w:t>
      </w:r>
      <w:r>
        <w:rPr>
          <w:rFonts w:eastAsia="Times New Roman"/>
          <w:vanish/>
        </w:rPr>
        <w:t>Member2022-10-310000771497us-gaap:FairValueInputsLevel3Memberus-gaap:FairValueMeasurementsRecurringMember2023-01-310000771497us-gaap:FairValueInputsLevel3Memberus-gaap:FairValueMeasurementsRecurringMember2022-10-310000771497abm:PrivatelyHeldCompanyMember20</w:t>
      </w:r>
      <w:r>
        <w:rPr>
          <w:rFonts w:eastAsia="Times New Roman"/>
          <w:vanish/>
        </w:rPr>
        <w:t>22-01-310000771497srt:MinimumMember2023-01-310000771497srt:MaximumMember2023-01-310000771497abm:AllOtherClaimTypesExcludingMedicalAndDentalSelfInsuranceProgramMember2023-01-310000771497abm:AllOtherClaimTypesExcludingMedicalAndDentalSelfInsuranceProgramMemb</w:t>
      </w:r>
      <w:r>
        <w:rPr>
          <w:rFonts w:eastAsia="Times New Roman"/>
          <w:vanish/>
        </w:rPr>
        <w:t>er2022-10-310000771497abm:MedicalAndDentalSelfInsuranceProgramMember2023-01-310000771497abm:MedicalAndDentalSelfInsuranceProgramMember2022-10-310000771497us-gaap:StandbyLettersOfCreditMember2023-01-310000771497us-gaap:StandbyLettersOfCreditMember2022-10-31</w:t>
      </w:r>
      <w:r>
        <w:rPr>
          <w:rFonts w:eastAsia="Times New Roman"/>
          <w:vanish/>
        </w:rPr>
        <w:t>0000771497us-gaap:SuretyBondMember2023-01-310000771497us-gaap:SuretyBondMember2022-10-310000771497us-gaap:DepositsMember2023-01-310000771497us-gaap:DepositsMember2022-10-310000771497abm:CreditFacilityMember2023-01-310000771497abm:CreditFacilityMember2022-1</w:t>
      </w:r>
      <w:r>
        <w:rPr>
          <w:rFonts w:eastAsia="Times New Roman"/>
          <w:vanish/>
        </w:rPr>
        <w:t>0-310000771497abm:CreditFacilityMemberus-gaap:RevolvingCreditFacilityMemberus-gaap:LineOfCreditMember2017-08-310000771497abm:CreditFacilityMember2017-09-012017-09-010000771497abm:CreditFacilityMemberus-gaap:RevolvingCreditFacilityMemberus-gaap:LineOfCredit</w:t>
      </w:r>
      <w:r>
        <w:rPr>
          <w:rFonts w:eastAsia="Times New Roman"/>
          <w:vanish/>
        </w:rPr>
        <w:t>Member2017-09-010000771497us-gaap:LoansPayableMemberabm:CreditFacilityMember2017-09-010000771497abm:CreditFacilityMemberus-gaap:RevolvingCreditFacilityMemberus-gaap:LineOfCreditMember2018-09-010000771497abm:CreditFacilityMemberus-gaap:RevolvingCreditFacili</w:t>
      </w:r>
      <w:r>
        <w:rPr>
          <w:rFonts w:eastAsia="Times New Roman"/>
          <w:vanish/>
        </w:rPr>
        <w:t>tyMemberus-gaap:LineOfCreditMember2021-06-270000771497abm:CreditFacilityMemberus-gaap:RevolvingCreditFacilityMemberus-gaap:LineOfCreditMember2021-06-280000771497us-gaap:LoansPayableMemberabm:CreditFacilityMember2021-06-270000771497us-gaap:LoansPayableMembe</w:t>
      </w:r>
      <w:r>
        <w:rPr>
          <w:rFonts w:eastAsia="Times New Roman"/>
          <w:vanish/>
        </w:rPr>
        <w:t>rabm:CreditFacilityMember2021-06-280000771497us-gaap:StandbyLettersOfCreditMemberabm:CreditFacilityMember2021-06-280000771497abm:SwingLineLoanMemberabm:CreditFacilityMember2021-06-280000771497abm:CreditFacilityMemberabm:SecuredOvernightFinancingRateSOFRMem</w:t>
      </w:r>
      <w:r>
        <w:rPr>
          <w:rFonts w:eastAsia="Times New Roman"/>
          <w:vanish/>
        </w:rPr>
        <w:t>ber2022-11-012022-11-010000771497abm:CreditFacilityMember2022-11-012022-11-010000771497abm:CreditFacilityMember2021-06-280000771497us-gaap:ScenarioPlanMemberabm:CreditFacilityMember2021-06-2800007714972021-06-280000771497us-gaap:LoansPayableMember2021-06-2</w:t>
      </w:r>
      <w:r>
        <w:rPr>
          <w:rFonts w:eastAsia="Times New Roman"/>
          <w:vanish/>
        </w:rPr>
        <w:t>80000771497us-gaap:LineOfCreditMember2021-06-2800007714972022-03-010000771497abm:ReceivablesFacilityMemberabm:SecuredOvernightFinancingRateSOFRMember2022-03-012022-03-010000771497us-gaap:LoansPayableMember2023-01-310000771497abm:InterestRateSwapEffective29</w:t>
      </w:r>
      <w:r>
        <w:rPr>
          <w:rFonts w:eastAsia="Times New Roman"/>
          <w:vanish/>
        </w:rPr>
        <w:t>2022Member2022-02-090000771497abm:InterestRateSwapEffective2252022Member2022-02-250000771497abm:InterestRateSwapEffective542022Member2022-05-040000771497abm:InterestRateSwapEffective772022Member2022-07-070000771497abm:InterestRateSwapEffective7182022Member</w:t>
      </w:r>
      <w:r>
        <w:rPr>
          <w:rFonts w:eastAsia="Times New Roman"/>
          <w:vanish/>
        </w:rPr>
        <w:t>2022-07-180000771497abm:InterestRateSwapEffective1112022Member2022-11-0100007714972022-07-310000771497srt:ScenarioForecastMember2024-04-300000771497srt:ScenarioForecastMember2024-10-310000771497srt:ScenarioForecastMember2025-10-310000771497us-gaap:Accumula</w:t>
      </w:r>
      <w:r>
        <w:rPr>
          <w:rFonts w:eastAsia="Times New Roman"/>
          <w:vanish/>
        </w:rPr>
        <w:t>tedGainLossNetCashFlowHedgeParentMember2022-11-012023-01-310000771497us-gaap:AccumulatedGainLossNetCashFlowHedgeParentMember2021-11-012022-10-3100007714972022-12-090000771497abm:EnergySavingsContractsMember2023-01-310000771497us-gaap:PendingLitigationMembe</w:t>
      </w:r>
      <w:r>
        <w:rPr>
          <w:rFonts w:eastAsia="Times New Roman"/>
          <w:vanish/>
        </w:rPr>
        <w:t>r2023-01-3100007714972020-12-3100007714972021-12-012021-12-3100007714972022-12-012022-12-310000771497us-gaap:OperatingSegmentsMemberabm:BusinessAndIndustryMember2022-11-012023-01-310000771497us-gaap:OperatingSegmentsMemberabm:BusinessAndIndustryMember2021-</w:t>
      </w:r>
      <w:r>
        <w:rPr>
          <w:rFonts w:eastAsia="Times New Roman"/>
          <w:vanish/>
        </w:rPr>
        <w:t>11-012022-01-310000771497us-gaap:OperatingSegmentsMemberabm:ManufacturingAndDistributionMember2022-11-012023-01-310000771497us-gaap:OperatingSegmentsMemberabm:ManufacturingAndDistributionMember2021-11-012022-01-310000771497us-gaap:OperatingSegmentsMemberab</w:t>
      </w:r>
      <w:r>
        <w:rPr>
          <w:rFonts w:eastAsia="Times New Roman"/>
          <w:vanish/>
        </w:rPr>
        <w:t>m:EducationMember2022-11-012023-01-310000771497us-gaap:OperatingSegmentsMemberabm:EducationMember2021-11-012022-01-310000771497us-gaap:OperatingSegmentsMemberabm:AviationMember2022-11-012023-01-310000771497us-gaap:OperatingSegmentsMemberabm:AviationMember2</w:t>
      </w:r>
      <w:r>
        <w:rPr>
          <w:rFonts w:eastAsia="Times New Roman"/>
          <w:vanish/>
        </w:rPr>
        <w:t>021-11-012022-01-310000771497us-gaap:OperatingSegmentsMemberabm:TechnicalSolutionsMember2022-11-012023-01-310000771497us-gaap:OperatingSegmentsMemberabm:TechnicalSolutionsMember2021-11-012022-01-310000771497us-gaap:OperatingSegmentsMemberabm:GovernmentServ</w:t>
      </w:r>
      <w:r>
        <w:rPr>
          <w:rFonts w:eastAsia="Times New Roman"/>
          <w:vanish/>
        </w:rPr>
        <w:t>icesMember2022-11-012023-01-310000771497us-gaap:OperatingSegmentsMemberabm:GovernmentServicesMember2021-11-012022-01-310000771497us-gaap:CorporateNonSegmentMember2022-11-012023-01-310000771497us-gaap:CorporateNonSegmentMember2021-11-012022-01-310000771497u</w:t>
      </w:r>
      <w:r>
        <w:rPr>
          <w:rFonts w:eastAsia="Times New Roman"/>
          <w:vanish/>
        </w:rPr>
        <w:t>s-gaap:MaterialReconcilingItemsMember2022-11-012023-01-310000771497us-gaap:MaterialReconcilingItemsMember2021-11-012022-01-31</w:t>
      </w:r>
    </w:p>
    <w:p w:rsidR="00000000" w:rsidRDefault="007557F0">
      <w:pPr>
        <w:ind w:firstLine="720"/>
        <w:jc w:val="center"/>
        <w:divId w:val="202959919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453405050"/>
          <w:jc w:val="center"/>
        </w:trPr>
        <w:tc>
          <w:tcPr>
            <w:tcW w:w="50" w:type="pct"/>
            <w:vAlign w:val="center"/>
            <w:hideMark/>
          </w:tcPr>
          <w:p w:rsidR="00000000" w:rsidRDefault="007557F0">
            <w:pPr>
              <w:ind w:firstLine="720"/>
              <w:jc w:val="center"/>
              <w:rPr>
                <w:rFonts w:eastAsia="Times New Roman"/>
              </w:rPr>
            </w:pPr>
          </w:p>
        </w:tc>
        <w:tc>
          <w:tcPr>
            <w:tcW w:w="494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453405050"/>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jc w:val="center"/>
        <w:rPr>
          <w:rFonts w:eastAsia="Times New Roman"/>
        </w:rPr>
      </w:pPr>
      <w:r>
        <w:rPr>
          <w:rFonts w:ascii="Arial" w:eastAsia="Times New Roman" w:hAnsi="Arial" w:cs="Arial"/>
          <w:b/>
          <w:bCs/>
          <w:color w:val="000000"/>
          <w:sz w:val="36"/>
          <w:szCs w:val="36"/>
        </w:rPr>
        <w:t>UNITED STATES</w:t>
      </w:r>
    </w:p>
    <w:p w:rsidR="00000000" w:rsidRDefault="007557F0">
      <w:pPr>
        <w:jc w:val="center"/>
        <w:rPr>
          <w:rFonts w:eastAsia="Times New Roman"/>
        </w:rPr>
      </w:pPr>
      <w:r>
        <w:rPr>
          <w:rFonts w:ascii="Arial" w:eastAsia="Times New Roman" w:hAnsi="Arial" w:cs="Arial"/>
          <w:b/>
          <w:bCs/>
          <w:color w:val="000000"/>
          <w:sz w:val="36"/>
          <w:szCs w:val="36"/>
        </w:rPr>
        <w:t>SECURITIES AND EXCHANGE COMMISSION</w:t>
      </w:r>
    </w:p>
    <w:p w:rsidR="00000000" w:rsidRDefault="007557F0">
      <w:pPr>
        <w:jc w:val="center"/>
        <w:rPr>
          <w:rFonts w:eastAsia="Times New Roman"/>
        </w:rPr>
      </w:pPr>
      <w:r>
        <w:rPr>
          <w:rFonts w:ascii="Arial" w:eastAsia="Times New Roman" w:hAnsi="Arial" w:cs="Arial"/>
          <w:b/>
          <w:bCs/>
          <w:color w:val="000000"/>
        </w:rPr>
        <w:t>Washington, D.C. 20549</w:t>
      </w:r>
    </w:p>
    <w:p w:rsidR="00000000" w:rsidRDefault="007557F0">
      <w:pPr>
        <w:jc w:val="center"/>
        <w:rPr>
          <w:rFonts w:eastAsia="Times New Roman"/>
        </w:rPr>
      </w:pPr>
      <w:r>
        <w:rPr>
          <w:rFonts w:ascii="Arial" w:eastAsia="Times New Roman" w:hAnsi="Arial" w:cs="Arial"/>
          <w:color w:val="000000"/>
        </w:rPr>
        <w:t>__________________________</w:t>
      </w:r>
    </w:p>
    <w:p w:rsidR="00000000" w:rsidRDefault="007557F0">
      <w:pPr>
        <w:jc w:val="center"/>
        <w:divId w:val="365066943"/>
        <w:rPr>
          <w:rFonts w:eastAsia="Times New Roman"/>
        </w:rPr>
      </w:pPr>
      <w:r>
        <w:rPr>
          <w:rFonts w:ascii="Arial" w:eastAsia="Times New Roman" w:hAnsi="Arial" w:cs="Arial"/>
          <w:b/>
          <w:bCs/>
          <w:color w:val="000000"/>
          <w:sz w:val="36"/>
          <w:szCs w:val="36"/>
        </w:rPr>
        <w:t xml:space="preserve">FORM 10-Q </w:t>
      </w:r>
    </w:p>
    <w:p w:rsidR="00000000" w:rsidRDefault="007557F0">
      <w:pPr>
        <w:divId w:val="538469753"/>
        <w:rPr>
          <w:rFonts w:eastAsia="Times New Roman"/>
        </w:rPr>
      </w:pPr>
      <w:r>
        <w:rPr>
          <w:rFonts w:ascii="Arial" w:eastAsia="Times New Roman" w:hAnsi="Arial" w:cs="Arial"/>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2022966605"/>
        </w:trPr>
        <w:tc>
          <w:tcPr>
            <w:tcW w:w="50" w:type="pct"/>
            <w:vAlign w:val="center"/>
            <w:hideMark/>
          </w:tcPr>
          <w:p w:rsidR="00000000" w:rsidRDefault="007557F0">
            <w:pPr>
              <w:rPr>
                <w:rFonts w:eastAsia="Times New Roman"/>
              </w:rPr>
            </w:pPr>
          </w:p>
        </w:tc>
        <w:tc>
          <w:tcPr>
            <w:tcW w:w="23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65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2022966605"/>
        </w:trPr>
        <w:tc>
          <w:tcPr>
            <w:tcW w:w="0" w:type="auto"/>
            <w:gridSpan w:val="3"/>
            <w:tcMar>
              <w:top w:w="30" w:type="dxa"/>
              <w:left w:w="20" w:type="dxa"/>
              <w:bottom w:w="30" w:type="dxa"/>
              <w:right w:w="20" w:type="dxa"/>
            </w:tcMar>
            <w:hideMark/>
          </w:tcPr>
          <w:p w:rsidR="00000000" w:rsidRDefault="007557F0">
            <w:pPr>
              <w:spacing w:after="100"/>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b/>
                <w:bCs/>
                <w:color w:val="000000"/>
              </w:rPr>
              <w:t>QUARTERLY REPORT PURSUANT TO SECTION 13 OR 15(d) OF THE SECURITIES EXCHANGE ACT OF 1934</w:t>
            </w:r>
          </w:p>
        </w:tc>
      </w:tr>
    </w:tbl>
    <w:p w:rsidR="00000000" w:rsidRDefault="007557F0">
      <w:pPr>
        <w:ind w:firstLine="630"/>
        <w:jc w:val="center"/>
        <w:divId w:val="1592621354"/>
        <w:rPr>
          <w:rFonts w:eastAsia="Times New Roman"/>
        </w:rPr>
      </w:pPr>
      <w:r>
        <w:rPr>
          <w:rFonts w:ascii="Arial" w:eastAsia="Times New Roman" w:hAnsi="Arial" w:cs="Arial"/>
          <w:b/>
          <w:bCs/>
          <w:color w:val="000000"/>
        </w:rPr>
        <w:t xml:space="preserve">For the quarterly period ended </w:t>
      </w:r>
      <w:r>
        <w:rPr>
          <w:rFonts w:ascii="Arial" w:eastAsia="Times New Roman" w:hAnsi="Arial" w:cs="Arial"/>
          <w:b/>
          <w:bCs/>
          <w:color w:val="000000"/>
          <w:u w:val="single"/>
        </w:rPr>
        <w:t>January 31, 2023</w:t>
      </w:r>
    </w:p>
    <w:p w:rsidR="00000000" w:rsidRDefault="007557F0">
      <w:pPr>
        <w:jc w:val="center"/>
        <w:rPr>
          <w:rFonts w:eastAsia="Times New Roman"/>
        </w:rPr>
      </w:pPr>
      <w:r>
        <w:rPr>
          <w:rFonts w:ascii="Arial" w:eastAsia="Times New Roman" w:hAnsi="Arial" w:cs="Arial"/>
          <w:color w:val="000000"/>
        </w:rPr>
        <w:t>or</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374886593"/>
        </w:trPr>
        <w:tc>
          <w:tcPr>
            <w:tcW w:w="50" w:type="pct"/>
            <w:vAlign w:val="center"/>
            <w:hideMark/>
          </w:tcPr>
          <w:p w:rsidR="00000000" w:rsidRDefault="007557F0">
            <w:pPr>
              <w:jc w:val="center"/>
              <w:rPr>
                <w:rFonts w:eastAsia="Times New Roman"/>
              </w:rPr>
            </w:pPr>
          </w:p>
        </w:tc>
        <w:tc>
          <w:tcPr>
            <w:tcW w:w="23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65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374886593"/>
        </w:trPr>
        <w:tc>
          <w:tcPr>
            <w:tcW w:w="0" w:type="auto"/>
            <w:gridSpan w:val="3"/>
            <w:tcMar>
              <w:top w:w="30" w:type="dxa"/>
              <w:left w:w="20" w:type="dxa"/>
              <w:bottom w:w="30" w:type="dxa"/>
              <w:right w:w="20" w:type="dxa"/>
            </w:tcMar>
            <w:hideMark/>
          </w:tcPr>
          <w:p w:rsidR="00000000" w:rsidRDefault="007557F0">
            <w:pPr>
              <w:spacing w:after="100"/>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b/>
                <w:bCs/>
                <w:color w:val="000000"/>
              </w:rPr>
              <w:t>TRANSITION REPORT PURSUANT TO SECTION 13 OR 15(d) OF THE SECURITIES EXCHANGE ACT OF 1934</w:t>
            </w:r>
          </w:p>
        </w:tc>
      </w:tr>
    </w:tbl>
    <w:p w:rsidR="00000000" w:rsidRDefault="007557F0">
      <w:pPr>
        <w:jc w:val="center"/>
        <w:divId w:val="617839964"/>
        <w:rPr>
          <w:rFonts w:eastAsia="Times New Roman"/>
        </w:rPr>
      </w:pPr>
      <w:r>
        <w:rPr>
          <w:rFonts w:ascii="Arial" w:eastAsia="Times New Roman" w:hAnsi="Arial" w:cs="Arial"/>
          <w:b/>
          <w:bCs/>
          <w:color w:val="000000"/>
          <w:sz w:val="20"/>
          <w:szCs w:val="20"/>
        </w:rPr>
        <w:t xml:space="preserve">For the transition period from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u w:val="single"/>
        </w:rPr>
        <w:t>           </w:t>
      </w:r>
    </w:p>
    <w:p w:rsidR="00000000" w:rsidRDefault="007557F0">
      <w:pPr>
        <w:jc w:val="center"/>
        <w:divId w:val="1324311695"/>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b/>
          <w:bCs/>
          <w:color w:val="000000"/>
          <w:sz w:val="20"/>
          <w:szCs w:val="20"/>
          <w:u w:val="single"/>
        </w:rPr>
        <w:t>1-8929</w:t>
      </w:r>
      <w:r>
        <w:rPr>
          <w:rFonts w:ascii="Arial" w:eastAsia="Times New Roman" w:hAnsi="Arial" w:cs="Arial"/>
          <w:color w:val="000000"/>
          <w:sz w:val="20"/>
          <w:szCs w:val="20"/>
        </w:rPr>
        <w:t> </w:t>
      </w:r>
    </w:p>
    <w:p w:rsidR="00000000" w:rsidRDefault="007557F0">
      <w:pPr>
        <w:jc w:val="center"/>
        <w:divId w:val="1982226270"/>
        <w:rPr>
          <w:rFonts w:eastAsia="Times New Roman"/>
        </w:rPr>
      </w:pPr>
    </w:p>
    <w:p w:rsidR="00000000" w:rsidRDefault="007557F0">
      <w:pPr>
        <w:jc w:val="center"/>
        <w:rPr>
          <w:rFonts w:eastAsia="Times New Roman"/>
        </w:rPr>
      </w:pPr>
      <w:r>
        <w:rPr>
          <w:rFonts w:ascii="Arial" w:eastAsia="Times New Roman" w:hAnsi="Arial" w:cs="Arial"/>
          <w:b/>
          <w:bCs/>
          <w:color w:val="000000"/>
          <w:sz w:val="48"/>
          <w:szCs w:val="48"/>
        </w:rPr>
        <w:t>ABM INDUSTRIES INCORPORATED</w:t>
      </w:r>
    </w:p>
    <w:p w:rsidR="00000000" w:rsidRDefault="007557F0">
      <w:pPr>
        <w:jc w:val="center"/>
        <w:rPr>
          <w:rFonts w:eastAsia="Times New Roman"/>
        </w:rPr>
      </w:pPr>
      <w:r>
        <w:rPr>
          <w:rFonts w:ascii="Arial" w:eastAsia="Times New Roman" w:hAnsi="Arial" w:cs="Arial"/>
          <w:color w:val="000000"/>
          <w:sz w:val="20"/>
          <w:szCs w:val="20"/>
        </w:rPr>
        <w:t>(Exact name of registrant as specified in its charter)</w:t>
      </w:r>
    </w:p>
    <w:tbl>
      <w:tblPr>
        <w:tblW w:w="4978" w:type="pct"/>
        <w:tblCellMar>
          <w:top w:w="15" w:type="dxa"/>
          <w:left w:w="15" w:type="dxa"/>
          <w:bottom w:w="15" w:type="dxa"/>
          <w:right w:w="15" w:type="dxa"/>
        </w:tblCellMar>
        <w:tblLook w:val="04A0" w:firstRow="1" w:lastRow="0" w:firstColumn="1" w:lastColumn="0" w:noHBand="0" w:noVBand="1"/>
      </w:tblPr>
      <w:tblGrid>
        <w:gridCol w:w="69"/>
        <w:gridCol w:w="2164"/>
        <w:gridCol w:w="36"/>
        <w:gridCol w:w="69"/>
        <w:gridCol w:w="3623"/>
        <w:gridCol w:w="36"/>
        <w:gridCol w:w="69"/>
        <w:gridCol w:w="2167"/>
        <w:gridCol w:w="36"/>
      </w:tblGrid>
      <w:tr w:rsidR="00000000">
        <w:trPr>
          <w:divId w:val="1606843149"/>
        </w:trPr>
        <w:tc>
          <w:tcPr>
            <w:tcW w:w="50" w:type="pct"/>
            <w:vAlign w:val="center"/>
            <w:hideMark/>
          </w:tcPr>
          <w:p w:rsidR="00000000" w:rsidRDefault="007557F0">
            <w:pPr>
              <w:jc w:val="center"/>
              <w:rPr>
                <w:rFonts w:eastAsia="Times New Roman"/>
              </w:rPr>
            </w:pPr>
          </w:p>
        </w:tc>
        <w:tc>
          <w:tcPr>
            <w:tcW w:w="131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219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31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606843149"/>
          <w:trHeight w:val="1200"/>
        </w:trPr>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Delaware</w:t>
            </w:r>
          </w:p>
        </w:tc>
        <w:tc>
          <w:tcPr>
            <w:tcW w:w="0" w:type="auto"/>
            <w:gridSpan w:val="3"/>
            <w:vMerge w:val="restart"/>
            <w:tcMar>
              <w:top w:w="0" w:type="dxa"/>
              <w:left w:w="20" w:type="dxa"/>
              <w:bottom w:w="0" w:type="dxa"/>
              <w:right w:w="20" w:type="dxa"/>
            </w:tcMar>
            <w:vAlign w:val="center"/>
            <w:hideMark/>
          </w:tcPr>
          <w:p w:rsidR="00000000" w:rsidRDefault="007557F0">
            <w:pPr>
              <w:spacing w:after="100"/>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94-1369354</w:t>
            </w:r>
          </w:p>
        </w:tc>
      </w:tr>
      <w:tr w:rsidR="00000000">
        <w:trPr>
          <w:divId w:val="1606843149"/>
          <w:trHeight w:val="460"/>
        </w:trPr>
        <w:tc>
          <w:tcPr>
            <w:tcW w:w="0" w:type="auto"/>
            <w:gridSpan w:val="3"/>
            <w:tcMar>
              <w:top w:w="30" w:type="dxa"/>
              <w:left w:w="20" w:type="dxa"/>
              <w:bottom w:w="30" w:type="dxa"/>
              <w:right w:w="20" w:type="dxa"/>
            </w:tcMar>
            <w:hideMark/>
          </w:tcPr>
          <w:p w:rsidR="00000000" w:rsidRDefault="007557F0">
            <w:pPr>
              <w:spacing w:after="100"/>
              <w:jc w:val="center"/>
              <w:rPr>
                <w:rFonts w:eastAsia="Times New Roman"/>
              </w:rPr>
            </w:pPr>
            <w:r>
              <w:rPr>
                <w:rFonts w:ascii="Arial" w:eastAsia="Times New Roman" w:hAnsi="Arial" w:cs="Arial"/>
                <w:color w:val="000000"/>
                <w:sz w:val="18"/>
                <w:szCs w:val="18"/>
              </w:rPr>
              <w:t>(State or other jurisdiction of</w:t>
            </w:r>
            <w:r>
              <w:rPr>
                <w:rFonts w:ascii="Arial" w:eastAsia="Times New Roman" w:hAnsi="Arial" w:cs="Arial"/>
                <w:color w:val="000000"/>
                <w:sz w:val="18"/>
                <w:szCs w:val="18"/>
              </w:rPr>
              <w:br/>
              <w:t>incorporation or organization)</w:t>
            </w:r>
          </w:p>
        </w:tc>
        <w:tc>
          <w:tcPr>
            <w:tcW w:w="0" w:type="auto"/>
            <w:gridSpan w:val="3"/>
            <w:vMerge/>
            <w:vAlign w:val="center"/>
            <w:hideMark/>
          </w:tcPr>
          <w:p w:rsidR="00000000" w:rsidRDefault="007557F0">
            <w:pPr>
              <w:spacing w:after="100"/>
              <w:rPr>
                <w:rFonts w:eastAsia="Times New Roman"/>
              </w:rPr>
            </w:pPr>
          </w:p>
        </w:tc>
        <w:tc>
          <w:tcPr>
            <w:tcW w:w="0" w:type="auto"/>
            <w:gridSpan w:val="3"/>
            <w:tcMar>
              <w:top w:w="30" w:type="dxa"/>
              <w:left w:w="20" w:type="dxa"/>
              <w:bottom w:w="30" w:type="dxa"/>
              <w:right w:w="20" w:type="dxa"/>
            </w:tcMar>
            <w:hideMark/>
          </w:tcPr>
          <w:p w:rsidR="00000000" w:rsidRDefault="007557F0">
            <w:pPr>
              <w:spacing w:after="100"/>
              <w:jc w:val="center"/>
              <w:rPr>
                <w:rFonts w:eastAsia="Times New Roman"/>
              </w:rPr>
            </w:pPr>
            <w:r>
              <w:rPr>
                <w:rFonts w:ascii="Arial" w:eastAsia="Times New Roman" w:hAnsi="Arial" w:cs="Arial"/>
                <w:color w:val="000000"/>
                <w:sz w:val="18"/>
                <w:szCs w:val="18"/>
              </w:rPr>
              <w:t>(I.R.S. Employer</w:t>
            </w:r>
            <w:r>
              <w:rPr>
                <w:rFonts w:ascii="Arial" w:eastAsia="Times New Roman" w:hAnsi="Arial" w:cs="Arial"/>
                <w:color w:val="000000"/>
                <w:sz w:val="18"/>
                <w:szCs w:val="18"/>
              </w:rPr>
              <w:br/>
            </w:r>
            <w:r>
              <w:rPr>
                <w:rFonts w:ascii="Arial" w:eastAsia="Times New Roman" w:hAnsi="Arial" w:cs="Arial"/>
                <w:color w:val="000000"/>
                <w:sz w:val="18"/>
                <w:szCs w:val="18"/>
              </w:rPr>
              <w:t>Identification No.)</w:t>
            </w:r>
          </w:p>
        </w:tc>
      </w:tr>
    </w:tbl>
    <w:p w:rsidR="00000000" w:rsidRDefault="007557F0">
      <w:pPr>
        <w:jc w:val="center"/>
        <w:rPr>
          <w:rFonts w:eastAsia="Times New Roman"/>
        </w:rPr>
      </w:pPr>
      <w:r>
        <w:rPr>
          <w:rFonts w:ascii="Arial" w:eastAsia="Times New Roman" w:hAnsi="Arial" w:cs="Arial"/>
          <w:color w:val="000000"/>
          <w:sz w:val="20"/>
          <w:szCs w:val="20"/>
        </w:rPr>
        <w:t>__________________________</w:t>
      </w:r>
    </w:p>
    <w:p w:rsidR="00000000" w:rsidRDefault="007557F0">
      <w:pPr>
        <w:jc w:val="center"/>
        <w:divId w:val="997153579"/>
        <w:rPr>
          <w:rFonts w:eastAsia="Times New Roman"/>
        </w:rPr>
      </w:pPr>
      <w:r>
        <w:rPr>
          <w:rFonts w:ascii="Arial" w:eastAsia="Times New Roman" w:hAnsi="Arial" w:cs="Arial"/>
          <w:b/>
          <w:bCs/>
          <w:color w:val="000000"/>
          <w:sz w:val="20"/>
          <w:szCs w:val="20"/>
        </w:rPr>
        <w:t xml:space="preserve">One 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rPr>
        <w:t>t</w:t>
      </w:r>
      <w:r>
        <w:rPr>
          <w:rFonts w:ascii="Arial" w:eastAsia="Times New Roman" w:hAnsi="Arial" w:cs="Arial"/>
          <w:b/>
          <w:bCs/>
          <w:color w:val="000000"/>
          <w:sz w:val="13"/>
          <w:szCs w:val="13"/>
        </w:rPr>
        <w:t>h</w:t>
      </w:r>
      <w:r>
        <w:rPr>
          <w:rFonts w:ascii="Arial" w:eastAsia="Times New Roman" w:hAnsi="Arial" w:cs="Arial"/>
          <w:b/>
          <w:bCs/>
          <w:color w:val="000000"/>
          <w:sz w:val="20"/>
          <w:szCs w:val="20"/>
        </w:rPr>
        <w:t xml:space="preserve"> Floor </w:t>
      </w:r>
    </w:p>
    <w:p w:rsidR="00000000" w:rsidRDefault="007557F0">
      <w:pPr>
        <w:jc w:val="center"/>
        <w:divId w:val="882251777"/>
        <w:rPr>
          <w:rFonts w:eastAsia="Times New Roman"/>
        </w:rPr>
      </w:pPr>
      <w:r>
        <w:rPr>
          <w:rFonts w:ascii="Arial" w:eastAsia="Times New Roman" w:hAnsi="Arial" w:cs="Arial"/>
          <w:b/>
          <w:bCs/>
          <w:color w:val="000000"/>
          <w:sz w:val="20"/>
          <w:szCs w:val="20"/>
        </w:rPr>
        <w:t xml:space="preserve">New York, New York 10006 </w:t>
      </w:r>
    </w:p>
    <w:p w:rsidR="00000000" w:rsidRDefault="007557F0">
      <w:pPr>
        <w:jc w:val="center"/>
        <w:divId w:val="1695418943"/>
        <w:rPr>
          <w:rFonts w:eastAsia="Times New Roman"/>
        </w:rPr>
      </w:pPr>
      <w:r>
        <w:rPr>
          <w:rFonts w:ascii="Arial" w:eastAsia="Times New Roman" w:hAnsi="Arial" w:cs="Arial"/>
          <w:color w:val="000000"/>
          <w:sz w:val="20"/>
          <w:szCs w:val="20"/>
        </w:rPr>
        <w:t>(Address of principal executive offices)</w:t>
      </w:r>
    </w:p>
    <w:p w:rsidR="00000000" w:rsidRDefault="007557F0">
      <w:pPr>
        <w:jc w:val="center"/>
        <w:rPr>
          <w:rFonts w:eastAsia="Times New Roman"/>
        </w:rPr>
      </w:pPr>
    </w:p>
    <w:p w:rsidR="00000000" w:rsidRDefault="007557F0">
      <w:pPr>
        <w:jc w:val="center"/>
        <w:divId w:val="259680926"/>
        <w:rPr>
          <w:rFonts w:eastAsia="Times New Roman"/>
        </w:rPr>
      </w:pPr>
      <w:r>
        <w:rPr>
          <w:rFonts w:ascii="Arial" w:eastAsia="Times New Roman" w:hAnsi="Arial" w:cs="Arial"/>
          <w:b/>
          <w:bCs/>
          <w:color w:val="000000"/>
          <w:sz w:val="20"/>
          <w:szCs w:val="20"/>
          <w:u w:val="single"/>
        </w:rPr>
        <w:t>(212) 297-0200</w:t>
      </w:r>
    </w:p>
    <w:p w:rsidR="00000000" w:rsidRDefault="007557F0">
      <w:pPr>
        <w:jc w:val="center"/>
        <w:divId w:val="1338146519"/>
        <w:rPr>
          <w:rFonts w:eastAsia="Times New Roman"/>
        </w:rPr>
      </w:pPr>
      <w:r>
        <w:rPr>
          <w:rFonts w:ascii="Arial" w:eastAsia="Times New Roman" w:hAnsi="Arial" w:cs="Arial"/>
          <w:color w:val="000000"/>
          <w:sz w:val="20"/>
          <w:szCs w:val="20"/>
        </w:rPr>
        <w:t>(Registrant’</w:t>
      </w:r>
      <w:r>
        <w:rPr>
          <w:rFonts w:ascii="Arial" w:eastAsia="Times New Roman" w:hAnsi="Arial" w:cs="Arial"/>
          <w:color w:val="000000"/>
          <w:sz w:val="20"/>
          <w:szCs w:val="20"/>
        </w:rPr>
        <w:t>s telephone number, including area code)</w:t>
      </w:r>
    </w:p>
    <w:p w:rsidR="00000000" w:rsidRDefault="007557F0">
      <w:pPr>
        <w:jc w:val="center"/>
        <w:divId w:val="741489875"/>
        <w:rPr>
          <w:rFonts w:eastAsia="Times New Roman"/>
        </w:rPr>
      </w:pPr>
      <w:r>
        <w:rPr>
          <w:rFonts w:ascii="Arial" w:eastAsia="Times New Roman" w:hAnsi="Arial" w:cs="Arial"/>
          <w:b/>
          <w:bCs/>
          <w:color w:val="000000"/>
          <w:sz w:val="20"/>
          <w:szCs w:val="20"/>
        </w:rPr>
        <w:t>None</w:t>
      </w:r>
    </w:p>
    <w:p w:rsidR="00000000" w:rsidRDefault="007557F0">
      <w:pPr>
        <w:jc w:val="center"/>
        <w:rPr>
          <w:rFonts w:eastAsia="Times New Roman"/>
        </w:rPr>
      </w:pPr>
      <w:r>
        <w:rPr>
          <w:rFonts w:ascii="Arial" w:eastAsia="Times New Roman" w:hAnsi="Arial" w:cs="Arial"/>
          <w:color w:val="000000"/>
          <w:sz w:val="20"/>
          <w:szCs w:val="20"/>
        </w:rPr>
        <w:t>(Former name, former address and former fiscal year, if changed since last report)</w:t>
      </w:r>
    </w:p>
    <w:p w:rsidR="00000000" w:rsidRDefault="007557F0">
      <w:pPr>
        <w:jc w:val="center"/>
        <w:rPr>
          <w:rFonts w:eastAsia="Times New Roman"/>
        </w:rPr>
      </w:pPr>
      <w:r>
        <w:rPr>
          <w:rFonts w:ascii="Arial" w:eastAsia="Times New Roman" w:hAnsi="Arial" w:cs="Arial"/>
          <w:color w:val="000000"/>
          <w:sz w:val="20"/>
          <w:szCs w:val="20"/>
        </w:rPr>
        <w:t>__________________________</w:t>
      </w:r>
    </w:p>
    <w:p w:rsidR="00000000" w:rsidRDefault="007557F0">
      <w:pPr>
        <w:jc w:val="center"/>
        <w:divId w:val="66849927"/>
        <w:rPr>
          <w:rFonts w:eastAsia="Times New Roman"/>
        </w:rPr>
      </w:pPr>
      <w:r>
        <w:rPr>
          <w:rFonts w:ascii="Arial" w:eastAsia="Times New Roman" w:hAnsi="Arial" w:cs="Arial"/>
          <w:color w:val="000000"/>
          <w:sz w:val="20"/>
          <w:szCs w:val="20"/>
        </w:rPr>
        <w:t>Securities registered pursuant to Section 12(b) of the Act:</w:t>
      </w:r>
    </w:p>
    <w:tbl>
      <w:tblPr>
        <w:tblW w:w="4941" w:type="pct"/>
        <w:tblCellMar>
          <w:top w:w="15" w:type="dxa"/>
          <w:left w:w="15" w:type="dxa"/>
          <w:bottom w:w="15" w:type="dxa"/>
          <w:right w:w="15" w:type="dxa"/>
        </w:tblCellMar>
        <w:tblLook w:val="04A0" w:firstRow="1" w:lastRow="0" w:firstColumn="1" w:lastColumn="0" w:noHBand="0" w:noVBand="1"/>
      </w:tblPr>
      <w:tblGrid>
        <w:gridCol w:w="47"/>
        <w:gridCol w:w="2584"/>
        <w:gridCol w:w="37"/>
        <w:gridCol w:w="36"/>
        <w:gridCol w:w="36"/>
        <w:gridCol w:w="36"/>
        <w:gridCol w:w="48"/>
        <w:gridCol w:w="1928"/>
        <w:gridCol w:w="36"/>
        <w:gridCol w:w="36"/>
        <w:gridCol w:w="36"/>
        <w:gridCol w:w="36"/>
        <w:gridCol w:w="48"/>
        <w:gridCol w:w="3228"/>
        <w:gridCol w:w="36"/>
      </w:tblGrid>
      <w:tr w:rsidR="00000000">
        <w:trPr>
          <w:divId w:val="2059935052"/>
        </w:trPr>
        <w:tc>
          <w:tcPr>
            <w:tcW w:w="50" w:type="pct"/>
            <w:vAlign w:val="center"/>
            <w:hideMark/>
          </w:tcPr>
          <w:p w:rsidR="00000000" w:rsidRDefault="007557F0">
            <w:pPr>
              <w:jc w:val="center"/>
              <w:rPr>
                <w:rFonts w:eastAsia="Times New Roman"/>
              </w:rPr>
            </w:pPr>
          </w:p>
        </w:tc>
        <w:tc>
          <w:tcPr>
            <w:tcW w:w="1594"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19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98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2059935052"/>
        </w:trPr>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Title of each class</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Trading Symbol</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Name of each exchange on which registered</w:t>
            </w:r>
          </w:p>
        </w:tc>
      </w:tr>
      <w:tr w:rsidR="00000000">
        <w:trPr>
          <w:divId w:val="205993505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lastRenderedPageBreak/>
              <w:t>Common Stock, $0.01 par value</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ABM</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New York Stock Exchange</w:t>
            </w:r>
          </w:p>
        </w:tc>
      </w:tr>
    </w:tbl>
    <w:p w:rsidR="00000000" w:rsidRDefault="007557F0">
      <w:pPr>
        <w:jc w:val="both"/>
        <w:divId w:val="2014069891"/>
        <w:rPr>
          <w:rFonts w:eastAsia="Times New Roman"/>
        </w:rPr>
      </w:pPr>
      <w:r>
        <w:rPr>
          <w:rFonts w:ascii="Arial" w:eastAsia="Times New Roman" w:hAnsi="Arial" w:cs="Arial"/>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Times New Roman" w:hAnsi="Arial" w:cs="Arial"/>
          <w:color w:val="000000"/>
          <w:sz w:val="20"/>
          <w:szCs w:val="20"/>
        </w:rPr>
        <w:t>uch reports), and (2) has been subject to such filing requirements for the past 90 days.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7557F0">
      <w:pPr>
        <w:divId w:val="2087417584"/>
        <w:rPr>
          <w:rFonts w:eastAsia="Times New Roman"/>
        </w:rPr>
      </w:pPr>
    </w:p>
    <w:p w:rsidR="00000000" w:rsidRDefault="007557F0">
      <w:pPr>
        <w:rPr>
          <w:rFonts w:eastAsia="Times New Roman"/>
        </w:rPr>
      </w:pPr>
      <w:r>
        <w:rPr>
          <w:rFonts w:eastAsia="Times New Roman"/>
        </w:rPr>
        <w:pict>
          <v:rect id="_x0000_i1026" style="width:0;height:1.5pt" o:hralign="center" o:hrstd="t" o:hr="t" fillcolor="#a0a0a0" stroked="f"/>
        </w:pict>
      </w:r>
    </w:p>
    <w:p w:rsidR="00000000" w:rsidRDefault="007557F0">
      <w:pPr>
        <w:divId w:val="922028227"/>
        <w:rPr>
          <w:rFonts w:eastAsia="Times New Roman"/>
        </w:rPr>
      </w:pPr>
    </w:p>
    <w:p w:rsidR="00000000" w:rsidRDefault="007557F0">
      <w:pPr>
        <w:jc w:val="both"/>
        <w:divId w:val="240140974"/>
        <w:rPr>
          <w:rFonts w:eastAsia="Times New Roman"/>
        </w:rPr>
      </w:pPr>
      <w:r>
        <w:rPr>
          <w:rFonts w:ascii="Arial" w:eastAsia="Times New Roman" w:hAnsi="Arial" w:cs="Arial"/>
          <w:color w:val="000000"/>
          <w:sz w:val="20"/>
          <w:szCs w:val="20"/>
        </w:rPr>
        <w:t>Indicate by check mark whether the registrant has submitted electronically every Interactive Data File required to be submitted pursuant to Rule 405 of Regulation S-T (§ 232.405 of this chapter) during the preceding 12</w:t>
      </w:r>
      <w:r>
        <w:rPr>
          <w:rFonts w:ascii="Arial" w:eastAsia="Times New Roman" w:hAnsi="Arial" w:cs="Arial"/>
          <w:color w:val="000000"/>
          <w:sz w:val="20"/>
          <w:szCs w:val="20"/>
        </w:rPr>
        <w:t xml:space="preserve"> months (or for such shorter period that the registrant was required to submit such files).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7557F0">
      <w:pPr>
        <w:jc w:val="both"/>
        <w:divId w:val="538856628"/>
        <w:rPr>
          <w:rFonts w:eastAsia="Times New Roman"/>
        </w:rPr>
      </w:pPr>
      <w:r>
        <w:rPr>
          <w:rFonts w:ascii="Arial" w:eastAsia="Times New Roman" w:hAnsi="Arial" w:cs="Arial"/>
          <w:color w:val="000000"/>
          <w:sz w:val="20"/>
          <w:szCs w:val="20"/>
        </w:rPr>
        <w:t>Indicate by check mark whether the registrant is a large accelerated filer, an accelerated filer, a non-accelerated filer, a smaller reporting c</w:t>
      </w:r>
      <w:r>
        <w:rPr>
          <w:rFonts w:ascii="Arial" w:eastAsia="Times New Roman" w:hAnsi="Arial" w:cs="Arial"/>
          <w:color w:val="000000"/>
          <w:sz w:val="20"/>
          <w:szCs w:val="20"/>
        </w:rPr>
        <w:t>ompany, or an emerging growth company. See the definitions of “large accelerated filer,” “accelerated filer,” “smaller reporting company,” and “emerging growth company” in Rule 12b-2 of the Exchange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61"/>
        <w:gridCol w:w="1279"/>
        <w:gridCol w:w="36"/>
        <w:gridCol w:w="37"/>
        <w:gridCol w:w="292"/>
        <w:gridCol w:w="36"/>
        <w:gridCol w:w="86"/>
        <w:gridCol w:w="1003"/>
        <w:gridCol w:w="36"/>
        <w:gridCol w:w="37"/>
        <w:gridCol w:w="198"/>
        <w:gridCol w:w="36"/>
        <w:gridCol w:w="69"/>
        <w:gridCol w:w="1079"/>
        <w:gridCol w:w="36"/>
        <w:gridCol w:w="37"/>
        <w:gridCol w:w="198"/>
        <w:gridCol w:w="36"/>
        <w:gridCol w:w="43"/>
        <w:gridCol w:w="1472"/>
        <w:gridCol w:w="36"/>
        <w:gridCol w:w="37"/>
        <w:gridCol w:w="196"/>
        <w:gridCol w:w="36"/>
        <w:gridCol w:w="46"/>
        <w:gridCol w:w="1480"/>
        <w:gridCol w:w="36"/>
        <w:gridCol w:w="37"/>
        <w:gridCol w:w="198"/>
        <w:gridCol w:w="36"/>
      </w:tblGrid>
      <w:tr w:rsidR="00000000">
        <w:trPr>
          <w:divId w:val="1987054034"/>
          <w:jc w:val="center"/>
        </w:trPr>
        <w:tc>
          <w:tcPr>
            <w:tcW w:w="50" w:type="pct"/>
            <w:vAlign w:val="center"/>
            <w:hideMark/>
          </w:tcPr>
          <w:p w:rsidR="00000000" w:rsidRDefault="007557F0">
            <w:pPr>
              <w:jc w:val="both"/>
              <w:rPr>
                <w:rFonts w:eastAsia="Times New Roman"/>
              </w:rPr>
            </w:pPr>
          </w:p>
        </w:tc>
        <w:tc>
          <w:tcPr>
            <w:tcW w:w="8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2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58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2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3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2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953"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1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93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30"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987054034"/>
          <w:jc w:val="center"/>
        </w:trPr>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7557F0">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7557F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7557F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7557F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7557F0">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7557F0">
      <w:pPr>
        <w:jc w:val="both"/>
        <w:divId w:val="1025835308"/>
        <w:rPr>
          <w:rFonts w:eastAsia="Times New Roman"/>
        </w:rPr>
      </w:pPr>
      <w:r>
        <w:rPr>
          <w:rFonts w:ascii="Arial" w:eastAsia="Times New Roman" w:hAnsi="Arial" w:cs="Arial"/>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7557F0">
      <w:pPr>
        <w:divId w:val="2099252789"/>
        <w:rPr>
          <w:rFonts w:eastAsia="Times New Roman"/>
        </w:rPr>
      </w:pPr>
      <w:r>
        <w:rPr>
          <w:rFonts w:ascii="Arial" w:eastAsia="Times New Roman" w:hAnsi="Arial" w:cs="Arial"/>
          <w:color w:val="000000"/>
          <w:sz w:val="20"/>
          <w:szCs w:val="20"/>
        </w:rPr>
        <w:t>Ind</w:t>
      </w:r>
      <w:r>
        <w:rPr>
          <w:rFonts w:ascii="Arial" w:eastAsia="Times New Roman" w:hAnsi="Arial" w:cs="Arial"/>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w:t>
      </w:r>
      <w:r>
        <w:rPr>
          <w:rFonts w:ascii="Wingdings" w:eastAsia="Times New Roman" w:hAnsi="Wingdings"/>
          <w:color w:val="000000"/>
          <w:sz w:val="20"/>
          <w:szCs w:val="20"/>
        </w:rPr>
        <w:t xml:space="preserve"> </w:t>
      </w:r>
      <w:r>
        <w:rPr>
          <w:rFonts w:ascii="Segoe UI Emoji" w:eastAsia="Times New Roman" w:hAnsi="Segoe UI Emoji" w:cs="Segoe UI Emoji"/>
          <w:color w:val="000000"/>
          <w:sz w:val="20"/>
          <w:szCs w:val="20"/>
        </w:rPr>
        <w:t>☑</w:t>
      </w:r>
    </w:p>
    <w:p w:rsidR="00000000" w:rsidRDefault="007557F0">
      <w:pPr>
        <w:jc w:val="center"/>
        <w:divId w:val="474445609"/>
        <w:rPr>
          <w:rFonts w:eastAsia="Times New Roman"/>
        </w:rPr>
      </w:pPr>
      <w:r>
        <w:rPr>
          <w:rFonts w:ascii="Arial" w:eastAsia="Times New Roman" w:hAnsi="Arial" w:cs="Arial"/>
          <w:color w:val="000000"/>
          <w:sz w:val="20"/>
          <w:szCs w:val="20"/>
        </w:rPr>
        <w:t>Number of shares of the registrant’s common stock outstanding as o</w:t>
      </w:r>
      <w:r>
        <w:rPr>
          <w:rFonts w:ascii="Arial" w:eastAsia="Times New Roman" w:hAnsi="Arial" w:cs="Arial"/>
          <w:color w:val="000000"/>
          <w:sz w:val="20"/>
          <w:szCs w:val="20"/>
          <w:shd w:val="clear" w:color="auto" w:fill="FFFFFF"/>
        </w:rPr>
        <w:t>f</w:t>
      </w:r>
      <w:r>
        <w:rPr>
          <w:rFonts w:ascii="Arial" w:eastAsia="Times New Roman" w:hAnsi="Arial" w:cs="Arial"/>
          <w:color w:val="000000"/>
          <w:sz w:val="20"/>
          <w:szCs w:val="20"/>
        </w:rPr>
        <w:t xml:space="preserve"> March 7, 2023: 66,105,992</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407604463"/>
          <w:jc w:val="center"/>
        </w:trPr>
        <w:tc>
          <w:tcPr>
            <w:tcW w:w="50" w:type="pct"/>
            <w:vAlign w:val="center"/>
            <w:hideMark/>
          </w:tcPr>
          <w:p w:rsidR="00000000" w:rsidRDefault="007557F0">
            <w:pPr>
              <w:jc w:val="center"/>
              <w:rPr>
                <w:rFonts w:eastAsia="Times New Roman"/>
              </w:rPr>
            </w:pPr>
          </w:p>
        </w:tc>
        <w:tc>
          <w:tcPr>
            <w:tcW w:w="494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407604463"/>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jc w:val="center"/>
        <w:divId w:val="1048064333"/>
        <w:rPr>
          <w:rFonts w:eastAsia="Times New Roman"/>
        </w:rPr>
      </w:pPr>
    </w:p>
    <w:p w:rsidR="00000000" w:rsidRDefault="007557F0">
      <w:pPr>
        <w:rPr>
          <w:rFonts w:eastAsia="Times New Roman"/>
        </w:rPr>
      </w:pPr>
      <w:r>
        <w:rPr>
          <w:rFonts w:eastAsia="Times New Roman"/>
        </w:rPr>
        <w:pict>
          <v:rect id="_x0000_i1027" style="width:0;height:1.5pt" o:hralign="center" o:hrstd="t" o:hr="t" fillcolor="#a0a0a0" stroked="f"/>
        </w:pict>
      </w:r>
    </w:p>
    <w:p w:rsidR="00000000" w:rsidRDefault="007557F0">
      <w:pPr>
        <w:divId w:val="109204711"/>
        <w:rPr>
          <w:rFonts w:eastAsia="Times New Roman"/>
        </w:rPr>
      </w:pPr>
    </w:p>
    <w:p w:rsidR="00000000" w:rsidRDefault="007557F0">
      <w:pPr>
        <w:jc w:val="center"/>
        <w:divId w:val="1467510907"/>
        <w:rPr>
          <w:rFonts w:eastAsia="Times New Roman"/>
        </w:rPr>
      </w:pPr>
      <w:r>
        <w:rPr>
          <w:rFonts w:ascii="Arial" w:eastAsia="Times New Roman" w:hAnsi="Arial" w:cs="Arial"/>
          <w:b/>
          <w:bCs/>
          <w:color w:val="000000"/>
          <w:sz w:val="20"/>
          <w:szCs w:val="20"/>
        </w:rPr>
        <w:t>6ABM INDUSTRIES INCORPORATED AND SUBSIDIARIES</w:t>
      </w:r>
    </w:p>
    <w:p w:rsidR="00000000" w:rsidRDefault="007557F0">
      <w:pPr>
        <w:jc w:val="center"/>
        <w:divId w:val="1421173210"/>
        <w:rPr>
          <w:rFonts w:eastAsia="Times New Roman"/>
        </w:rPr>
      </w:pPr>
      <w:r>
        <w:rPr>
          <w:rFonts w:ascii="Arial" w:eastAsia="Times New Roman" w:hAnsi="Arial" w:cs="Arial"/>
          <w:b/>
          <w:bCs/>
          <w:color w:val="000000"/>
          <w:sz w:val="20"/>
          <w:szCs w:val="20"/>
        </w:rPr>
        <w:t>TABLE OF CONTENTS</w:t>
      </w:r>
    </w:p>
    <w:tbl>
      <w:tblPr>
        <w:tblW w:w="4956" w:type="pct"/>
        <w:tblCellMar>
          <w:top w:w="15" w:type="dxa"/>
          <w:left w:w="15" w:type="dxa"/>
          <w:bottom w:w="15" w:type="dxa"/>
          <w:right w:w="15" w:type="dxa"/>
        </w:tblCellMar>
        <w:tblLook w:val="04A0" w:firstRow="1" w:lastRow="0" w:firstColumn="1" w:lastColumn="0" w:noHBand="0" w:noVBand="1"/>
      </w:tblPr>
      <w:tblGrid>
        <w:gridCol w:w="68"/>
        <w:gridCol w:w="7681"/>
        <w:gridCol w:w="36"/>
        <w:gridCol w:w="68"/>
        <w:gridCol w:w="344"/>
        <w:gridCol w:w="36"/>
      </w:tblGrid>
      <w:tr w:rsidR="00000000">
        <w:trPr>
          <w:divId w:val="2102405986"/>
        </w:trPr>
        <w:tc>
          <w:tcPr>
            <w:tcW w:w="50" w:type="pct"/>
            <w:vAlign w:val="center"/>
            <w:hideMark/>
          </w:tcPr>
          <w:p w:rsidR="00000000" w:rsidRDefault="007557F0">
            <w:pPr>
              <w:jc w:val="center"/>
              <w:rPr>
                <w:rFonts w:eastAsia="Times New Roman"/>
              </w:rPr>
            </w:pPr>
          </w:p>
        </w:tc>
        <w:tc>
          <w:tcPr>
            <w:tcW w:w="467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21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FORWARD-LOOKING STATEMENTS</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0" w:history="1">
              <w:r>
                <w:rPr>
                  <w:rStyle w:val="a3"/>
                  <w:rFonts w:ascii="Arial" w:eastAsia="Times New Roman" w:hAnsi="Arial" w:cs="Arial"/>
                  <w:sz w:val="17"/>
                  <w:szCs w:val="17"/>
                </w:rPr>
                <w:t>1</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PART I. FINANCIAL INFORMATION</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3" w:history="1">
              <w:r>
                <w:rPr>
                  <w:rStyle w:val="a3"/>
                  <w:rFonts w:ascii="Arial" w:eastAsia="Times New Roman" w:hAnsi="Arial" w:cs="Arial"/>
                  <w:sz w:val="17"/>
                  <w:szCs w:val="17"/>
                </w:rPr>
                <w:t>3</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 xml:space="preserve">Item 1. Consolidated Financial Statements </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3" w:history="1">
              <w:r>
                <w:rPr>
                  <w:rStyle w:val="a3"/>
                  <w:rFonts w:ascii="Arial" w:eastAsia="Times New Roman" w:hAnsi="Arial" w:cs="Arial"/>
                  <w:sz w:val="17"/>
                  <w:szCs w:val="17"/>
                </w:rPr>
                <w:t>3</w:t>
              </w:r>
            </w:hyperlink>
          </w:p>
        </w:tc>
      </w:tr>
      <w:tr w:rsidR="00000000">
        <w:trPr>
          <w:divId w:val="2102405986"/>
        </w:trPr>
        <w:tc>
          <w:tcPr>
            <w:tcW w:w="0" w:type="auto"/>
            <w:gridSpan w:val="3"/>
            <w:vAlign w:val="center"/>
            <w:hideMark/>
          </w:tcPr>
          <w:p w:rsidR="00000000" w:rsidRDefault="007557F0">
            <w:pPr>
              <w:spacing w:after="100"/>
              <w:jc w:val="right"/>
              <w:rPr>
                <w:rFonts w:eastAsia="Times New Roman"/>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2102405986"/>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2102405986"/>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2102405986"/>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Item 2. Management’</w:t>
            </w:r>
            <w:r>
              <w:rPr>
                <w:rFonts w:ascii="Arial" w:eastAsia="Times New Roman" w:hAnsi="Arial" w:cs="Arial"/>
                <w:color w:val="000000"/>
                <w:sz w:val="16"/>
                <w:szCs w:val="16"/>
              </w:rPr>
              <w:t>s Discussion and Analysis of Financial Condition and Results of Operations</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85" w:history="1">
              <w:r>
                <w:rPr>
                  <w:rStyle w:val="a3"/>
                  <w:rFonts w:ascii="Arial" w:eastAsia="Times New Roman" w:hAnsi="Arial" w:cs="Arial"/>
                  <w:sz w:val="17"/>
                  <w:szCs w:val="17"/>
                </w:rPr>
                <w:t>23</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Item 3. Quantitative and Qualitative Disclosures About Market Risk</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15" w:history="1">
              <w:r>
                <w:rPr>
                  <w:rStyle w:val="a3"/>
                  <w:rFonts w:ascii="Arial" w:eastAsia="Times New Roman" w:hAnsi="Arial" w:cs="Arial"/>
                  <w:sz w:val="17"/>
                  <w:szCs w:val="17"/>
                </w:rPr>
                <w:t>35</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Item 4. Controls and Procedures</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18" w:history="1">
              <w:r>
                <w:rPr>
                  <w:rStyle w:val="a3"/>
                  <w:rFonts w:ascii="Arial" w:eastAsia="Times New Roman" w:hAnsi="Arial" w:cs="Arial"/>
                  <w:sz w:val="17"/>
                  <w:szCs w:val="17"/>
                </w:rPr>
                <w:t>35</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PART II. OTHER INFORMATION</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21" w:history="1">
              <w:r>
                <w:rPr>
                  <w:rStyle w:val="a3"/>
                  <w:rFonts w:ascii="Arial" w:eastAsia="Times New Roman" w:hAnsi="Arial" w:cs="Arial"/>
                  <w:sz w:val="17"/>
                  <w:szCs w:val="17"/>
                </w:rPr>
                <w:t>35</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lastRenderedPageBreak/>
              <w:t>Item 1. Legal Proceedings</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24" w:history="1">
              <w:r>
                <w:rPr>
                  <w:rStyle w:val="a3"/>
                  <w:rFonts w:ascii="Arial" w:eastAsia="Times New Roman" w:hAnsi="Arial" w:cs="Arial"/>
                  <w:sz w:val="17"/>
                  <w:szCs w:val="17"/>
                </w:rPr>
                <w:t>35</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Item 1A. Risk Factors</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27" w:history="1">
              <w:r>
                <w:rPr>
                  <w:rStyle w:val="a3"/>
                  <w:rFonts w:ascii="Arial" w:eastAsia="Times New Roman" w:hAnsi="Arial" w:cs="Arial"/>
                  <w:sz w:val="17"/>
                  <w:szCs w:val="17"/>
                </w:rPr>
                <w:t>35</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Item 2. Unregistered Sales of Equity Securities and Use of Proceeds</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30" w:history="1">
              <w:r>
                <w:rPr>
                  <w:rStyle w:val="a3"/>
                  <w:rFonts w:ascii="Arial" w:eastAsia="Times New Roman" w:hAnsi="Arial" w:cs="Arial"/>
                  <w:sz w:val="17"/>
                  <w:szCs w:val="17"/>
                </w:rPr>
                <w:t>35</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Item 3. Defaults Upon Senior Securities</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33" w:history="1">
              <w:r>
                <w:rPr>
                  <w:rStyle w:val="a3"/>
                  <w:rFonts w:ascii="Arial" w:eastAsia="Times New Roman" w:hAnsi="Arial" w:cs="Arial"/>
                  <w:sz w:val="17"/>
                  <w:szCs w:val="17"/>
                </w:rPr>
                <w:t>35</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Item 4. Mine Safety Disclosures</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36" w:history="1">
              <w:r>
                <w:rPr>
                  <w:rStyle w:val="a3"/>
                  <w:rFonts w:ascii="Arial" w:eastAsia="Times New Roman" w:hAnsi="Arial" w:cs="Arial"/>
                  <w:sz w:val="17"/>
                  <w:szCs w:val="17"/>
                </w:rPr>
                <w:t>35</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Item 5. Other Information</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39" w:history="1">
              <w:r>
                <w:rPr>
                  <w:rStyle w:val="a3"/>
                  <w:rFonts w:ascii="Arial" w:eastAsia="Times New Roman" w:hAnsi="Arial" w:cs="Arial"/>
                  <w:sz w:val="17"/>
                  <w:szCs w:val="17"/>
                </w:rPr>
                <w:t>36</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Item 6. Exhibits</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42" w:history="1">
              <w:r>
                <w:rPr>
                  <w:rStyle w:val="a3"/>
                  <w:rFonts w:ascii="Arial" w:eastAsia="Times New Roman" w:hAnsi="Arial" w:cs="Arial"/>
                  <w:sz w:val="17"/>
                  <w:szCs w:val="17"/>
                </w:rPr>
                <w:t>37</w:t>
              </w:r>
            </w:hyperlink>
          </w:p>
        </w:tc>
      </w:tr>
      <w:tr w:rsidR="00000000">
        <w:trPr>
          <w:divId w:val="210240598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SIGNATURES</w:t>
            </w:r>
          </w:p>
        </w:tc>
        <w:tc>
          <w:tcPr>
            <w:tcW w:w="0" w:type="auto"/>
            <w:gridSpan w:val="3"/>
            <w:tcMar>
              <w:top w:w="30" w:type="dxa"/>
              <w:left w:w="20" w:type="dxa"/>
              <w:bottom w:w="30" w:type="dxa"/>
              <w:right w:w="20" w:type="dxa"/>
            </w:tcMar>
            <w:vAlign w:val="bottom"/>
            <w:hideMark/>
          </w:tcPr>
          <w:p w:rsidR="00000000" w:rsidRDefault="007557F0">
            <w:pPr>
              <w:spacing w:after="100"/>
              <w:jc w:val="right"/>
              <w:rPr>
                <w:rFonts w:eastAsia="Times New Roman"/>
              </w:rPr>
            </w:pPr>
            <w:hyperlink w:anchor="i01b1170c90d248d48a74e7ccbac4d0ae_145" w:history="1">
              <w:r>
                <w:rPr>
                  <w:rStyle w:val="a3"/>
                  <w:rFonts w:ascii="Arial" w:eastAsia="Times New Roman" w:hAnsi="Arial" w:cs="Arial"/>
                  <w:sz w:val="17"/>
                  <w:szCs w:val="17"/>
                </w:rPr>
                <w:t>38</w:t>
              </w:r>
            </w:hyperlink>
          </w:p>
        </w:tc>
      </w:tr>
    </w:tbl>
    <w:p w:rsidR="00000000" w:rsidRDefault="007557F0">
      <w:pPr>
        <w:jc w:val="center"/>
        <w:divId w:val="1453788830"/>
        <w:rPr>
          <w:rFonts w:eastAsia="Times New Roman"/>
        </w:rPr>
      </w:pPr>
    </w:p>
    <w:p w:rsidR="00000000" w:rsidRDefault="007557F0">
      <w:pPr>
        <w:rPr>
          <w:rFonts w:eastAsia="Times New Roman"/>
        </w:rPr>
      </w:pPr>
      <w:r>
        <w:rPr>
          <w:rFonts w:eastAsia="Times New Roman"/>
        </w:rPr>
        <w:pict>
          <v:rect id="_x0000_i1028" style="width:0;height:1.5pt" o:hralign="center" o:hrstd="t" o:hr="t" fillcolor="#a0a0a0" stroked="f"/>
        </w:pict>
      </w:r>
    </w:p>
    <w:p w:rsidR="00000000" w:rsidRDefault="007557F0">
      <w:pPr>
        <w:divId w:val="852259091"/>
        <w:rPr>
          <w:rFonts w:eastAsia="Times New Roman"/>
        </w:rPr>
      </w:pPr>
    </w:p>
    <w:p w:rsidR="00000000" w:rsidRDefault="007557F0">
      <w:pPr>
        <w:divId w:val="1239750379"/>
        <w:rPr>
          <w:rFonts w:eastAsia="Times New Roman"/>
        </w:rPr>
      </w:pPr>
      <w:r>
        <w:rPr>
          <w:rFonts w:ascii="Arial" w:eastAsia="Times New Roman" w:hAnsi="Arial" w:cs="Arial"/>
          <w:b/>
          <w:bCs/>
          <w:color w:val="0046AD"/>
          <w:sz w:val="20"/>
          <w:szCs w:val="20"/>
        </w:rPr>
        <w:t>FORWARD-LOOKING STATEMENTS</w:t>
      </w:r>
    </w:p>
    <w:p w:rsidR="00000000" w:rsidRDefault="007557F0">
      <w:pPr>
        <w:ind w:firstLine="720"/>
        <w:jc w:val="both"/>
        <w:divId w:val="1168405580"/>
        <w:rPr>
          <w:rFonts w:eastAsia="Times New Roman"/>
        </w:rPr>
      </w:pPr>
      <w:r>
        <w:rPr>
          <w:rFonts w:ascii="Arial" w:eastAsia="Times New Roman" w:hAnsi="Arial" w:cs="Arial"/>
          <w:color w:val="000000"/>
          <w:sz w:val="20"/>
          <w:szCs w:val="20"/>
        </w:rPr>
        <w:t>This Form 10-Q contains both historical and forward-looking statements regarding ABM and its subsidiaries (collectively referred to as “ABM,” “we,” “us,” “our,” or the “Company”</w:t>
      </w:r>
      <w:r>
        <w:rPr>
          <w:rFonts w:ascii="Arial" w:eastAsia="Times New Roman" w:hAnsi="Arial" w:cs="Arial"/>
          <w:color w:val="000000"/>
          <w:sz w:val="20"/>
          <w:szCs w:val="20"/>
        </w:rPr>
        <w:t>). We make forward-looking statements related to future expectations, estimates, and projections that are uncertain and often contain words such as “anticipate,” “believe,” “could,” “estimate,” “expect,” “forecast,” “intend,” “likely,” “may,” “outlook,” “p</w:t>
      </w:r>
      <w:r>
        <w:rPr>
          <w:rFonts w:ascii="Arial" w:eastAsia="Times New Roman" w:hAnsi="Arial" w:cs="Arial"/>
          <w:color w:val="000000"/>
          <w:sz w:val="20"/>
          <w:szCs w:val="20"/>
        </w:rPr>
        <w:t>lan,” “predict,” “should,” “target,” or other similar words or phrases. These statements are not guarantees of future performance and are subject to known and unknown risks, uncertainties, and assumptions that are difficult to predict. Particular risks and</w:t>
      </w:r>
      <w:r>
        <w:rPr>
          <w:rFonts w:ascii="Arial" w:eastAsia="Times New Roman" w:hAnsi="Arial" w:cs="Arial"/>
          <w:color w:val="000000"/>
          <w:sz w:val="20"/>
          <w:szCs w:val="20"/>
        </w:rPr>
        <w:t xml:space="preserve"> uncertainties that could cause our actual results to be materially different from those expressed in our forward-looking statements include those listed below. </w:t>
      </w:r>
    </w:p>
    <w:p w:rsidR="00000000" w:rsidRDefault="007557F0">
      <w:pPr>
        <w:ind w:hanging="360"/>
        <w:jc w:val="both"/>
        <w:divId w:val="655692976"/>
        <w:rPr>
          <w:rFonts w:eastAsia="Times New Roman"/>
        </w:rPr>
      </w:pPr>
      <w:r>
        <w:rPr>
          <w:rFonts w:ascii="Arial" w:eastAsia="Times New Roman" w:hAnsi="Arial" w:cs="Arial"/>
          <w:color w:val="000000"/>
          <w:sz w:val="20"/>
          <w:szCs w:val="20"/>
        </w:rPr>
        <w:t>•Our success depends on our ability to gain profitable business despite competitive market pre</w:t>
      </w:r>
      <w:r>
        <w:rPr>
          <w:rFonts w:ascii="Arial" w:eastAsia="Times New Roman" w:hAnsi="Arial" w:cs="Arial"/>
          <w:color w:val="000000"/>
          <w:sz w:val="20"/>
          <w:szCs w:val="20"/>
        </w:rPr>
        <w:t>ssures.</w:t>
      </w:r>
    </w:p>
    <w:p w:rsidR="00000000" w:rsidRDefault="007557F0">
      <w:pPr>
        <w:ind w:hanging="360"/>
        <w:jc w:val="both"/>
        <w:divId w:val="938417608"/>
        <w:rPr>
          <w:rFonts w:eastAsia="Times New Roman"/>
        </w:rPr>
      </w:pPr>
      <w:r>
        <w:rPr>
          <w:rFonts w:ascii="Arial" w:eastAsia="Times New Roman" w:hAnsi="Arial" w:cs="Arial"/>
          <w:color w:val="000000"/>
          <w:sz w:val="20"/>
          <w:szCs w:val="20"/>
        </w:rPr>
        <w:t>•Our results of operations can be adversely affected by labor shortages, turnover, and labor cost increases.</w:t>
      </w:r>
    </w:p>
    <w:p w:rsidR="00000000" w:rsidRDefault="007557F0">
      <w:pPr>
        <w:ind w:hanging="360"/>
        <w:jc w:val="both"/>
        <w:divId w:val="426970903"/>
        <w:rPr>
          <w:rFonts w:eastAsia="Times New Roman"/>
        </w:rPr>
      </w:pPr>
      <w:r>
        <w:rPr>
          <w:rFonts w:ascii="Arial" w:eastAsia="Times New Roman" w:hAnsi="Arial" w:cs="Arial"/>
          <w:color w:val="000000"/>
          <w:sz w:val="20"/>
          <w:szCs w:val="20"/>
        </w:rPr>
        <w:t>•We may not be able to attract and retain qualified personnel and senior management we need to support our business.</w:t>
      </w:r>
    </w:p>
    <w:p w:rsidR="00000000" w:rsidRDefault="007557F0">
      <w:pPr>
        <w:ind w:hanging="360"/>
        <w:jc w:val="both"/>
        <w:divId w:val="2077974281"/>
        <w:rPr>
          <w:rFonts w:eastAsia="Times New Roman"/>
        </w:rPr>
      </w:pPr>
      <w:r>
        <w:rPr>
          <w:rFonts w:ascii="Arial" w:eastAsia="Times New Roman" w:hAnsi="Arial" w:cs="Arial"/>
          <w:color w:val="000000"/>
          <w:sz w:val="20"/>
          <w:szCs w:val="20"/>
        </w:rPr>
        <w:t>•Investments in and ch</w:t>
      </w:r>
      <w:r>
        <w:rPr>
          <w:rFonts w:ascii="Arial" w:eastAsia="Times New Roman" w:hAnsi="Arial" w:cs="Arial"/>
          <w:color w:val="000000"/>
          <w:sz w:val="20"/>
          <w:szCs w:val="20"/>
        </w:rPr>
        <w:t xml:space="preserve">anges to our businesses, operating structure, financial reporting structure, or personnel relating to our </w:t>
      </w:r>
      <w:r>
        <w:rPr>
          <w:rFonts w:ascii="Arial" w:eastAsia="Times New Roman" w:hAnsi="Arial" w:cs="Arial"/>
          <w:b/>
          <w:bCs/>
          <w:color w:val="D76428"/>
          <w:sz w:val="20"/>
          <w:szCs w:val="20"/>
        </w:rPr>
        <w:t>ELEVATE</w:t>
      </w:r>
      <w:r>
        <w:rPr>
          <w:rFonts w:ascii="Arial" w:eastAsia="Times New Roman" w:hAnsi="Arial" w:cs="Arial"/>
          <w:color w:val="000000"/>
          <w:sz w:val="20"/>
          <w:szCs w:val="20"/>
        </w:rPr>
        <w:t xml:space="preserve"> strategy, including the implementation of strategic transformations, enhanced business processes, and technology initiatives, may not have the</w:t>
      </w:r>
      <w:r>
        <w:rPr>
          <w:rFonts w:ascii="Arial" w:eastAsia="Times New Roman" w:hAnsi="Arial" w:cs="Arial"/>
          <w:color w:val="000000"/>
          <w:sz w:val="20"/>
          <w:szCs w:val="20"/>
        </w:rPr>
        <w:t xml:space="preserve"> desired effects on our financial condition and results of operations.</w:t>
      </w:r>
    </w:p>
    <w:p w:rsidR="00000000" w:rsidRDefault="007557F0">
      <w:pPr>
        <w:ind w:hanging="360"/>
        <w:jc w:val="both"/>
        <w:divId w:val="16895364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ability to preserve long-term client relationships is essential to our continued success.</w:t>
      </w:r>
    </w:p>
    <w:p w:rsidR="00000000" w:rsidRDefault="007557F0">
      <w:pPr>
        <w:ind w:hanging="360"/>
        <w:jc w:val="both"/>
        <w:divId w:val="951595543"/>
        <w:rPr>
          <w:rFonts w:eastAsia="Times New Roman"/>
        </w:rPr>
      </w:pPr>
      <w:r>
        <w:rPr>
          <w:rFonts w:ascii="Arial" w:eastAsia="Times New Roman" w:hAnsi="Arial" w:cs="Arial"/>
          <w:color w:val="000000"/>
          <w:sz w:val="20"/>
          <w:szCs w:val="20"/>
        </w:rPr>
        <w:t>•Our use of subcontractors or joint venture partners to perform work under customer contracts exposes us to liability and financial risk.</w:t>
      </w:r>
    </w:p>
    <w:p w:rsidR="00000000" w:rsidRDefault="007557F0">
      <w:pPr>
        <w:ind w:hanging="360"/>
        <w:jc w:val="both"/>
        <w:divId w:val="684132339"/>
        <w:rPr>
          <w:rFonts w:eastAsia="Times New Roman"/>
        </w:rPr>
      </w:pPr>
      <w:r>
        <w:rPr>
          <w:rFonts w:ascii="Arial" w:eastAsia="Times New Roman" w:hAnsi="Arial" w:cs="Arial"/>
          <w:color w:val="000000"/>
          <w:sz w:val="20"/>
          <w:szCs w:val="20"/>
        </w:rPr>
        <w:t>•Our international busin</w:t>
      </w:r>
      <w:r>
        <w:rPr>
          <w:rFonts w:ascii="Arial" w:eastAsia="Times New Roman" w:hAnsi="Arial" w:cs="Arial"/>
          <w:color w:val="000000"/>
          <w:sz w:val="20"/>
          <w:szCs w:val="20"/>
        </w:rPr>
        <w:t>ess involves risks different from those we face in the United States that could have an effect on our results of operations and financial condition.</w:t>
      </w:r>
    </w:p>
    <w:p w:rsidR="00000000" w:rsidRDefault="007557F0">
      <w:pPr>
        <w:ind w:hanging="360"/>
        <w:jc w:val="both"/>
        <w:divId w:val="195585303"/>
        <w:rPr>
          <w:rFonts w:eastAsia="Times New Roman"/>
        </w:rPr>
      </w:pPr>
      <w:r>
        <w:rPr>
          <w:rFonts w:ascii="Arial" w:eastAsia="Times New Roman" w:hAnsi="Arial" w:cs="Arial"/>
          <w:color w:val="000000"/>
          <w:sz w:val="20"/>
          <w:szCs w:val="20"/>
        </w:rPr>
        <w:t>•Negative changes in general economic conditions, such as recessionary pressures, durable and non-durable g</w:t>
      </w:r>
      <w:r>
        <w:rPr>
          <w:rFonts w:ascii="Arial" w:eastAsia="Times New Roman" w:hAnsi="Arial" w:cs="Arial"/>
          <w:color w:val="000000"/>
          <w:sz w:val="20"/>
          <w:szCs w:val="20"/>
        </w:rPr>
        <w:t>oods pricing, changes in energy prices, or changes in consumer goods pricing, as well as potential declines in our clients’ office spaces, could reduce the demand for facility services and, as a result, reduce our earnings and adversely affect our financia</w:t>
      </w:r>
      <w:r>
        <w:rPr>
          <w:rFonts w:ascii="Arial" w:eastAsia="Times New Roman" w:hAnsi="Arial" w:cs="Arial"/>
          <w:color w:val="000000"/>
          <w:sz w:val="20"/>
          <w:szCs w:val="20"/>
        </w:rPr>
        <w:t>l condition.</w:t>
      </w:r>
    </w:p>
    <w:p w:rsidR="00000000" w:rsidRDefault="007557F0">
      <w:pPr>
        <w:ind w:hanging="360"/>
        <w:jc w:val="both"/>
        <w:divId w:val="1402946395"/>
        <w:rPr>
          <w:rFonts w:eastAsia="Times New Roman"/>
        </w:rPr>
      </w:pPr>
      <w:r>
        <w:rPr>
          <w:rFonts w:ascii="Arial" w:eastAsia="Times New Roman" w:hAnsi="Arial" w:cs="Arial"/>
          <w:color w:val="000000"/>
          <w:sz w:val="20"/>
          <w:szCs w:val="20"/>
        </w:rPr>
        <w:t>•Acquisitions, divestitures, and other strategic transactions could fail to achieve financial or strategic objectives, disrupt our ongoing business, and adversely impact our results of operations.</w:t>
      </w:r>
    </w:p>
    <w:p w:rsidR="00000000" w:rsidRDefault="007557F0">
      <w:pPr>
        <w:ind w:hanging="360"/>
        <w:jc w:val="both"/>
        <w:divId w:val="632949925"/>
        <w:rPr>
          <w:rFonts w:eastAsia="Times New Roman"/>
        </w:rPr>
      </w:pPr>
      <w:r>
        <w:rPr>
          <w:rFonts w:ascii="Arial" w:eastAsia="Times New Roman" w:hAnsi="Arial" w:cs="Arial"/>
          <w:color w:val="000000"/>
          <w:sz w:val="20"/>
          <w:szCs w:val="20"/>
        </w:rPr>
        <w:t>•We may experience breaches of, or disruptions</w:t>
      </w:r>
      <w:r>
        <w:rPr>
          <w:rFonts w:ascii="Arial" w:eastAsia="Times New Roman" w:hAnsi="Arial" w:cs="Arial"/>
          <w:color w:val="000000"/>
          <w:sz w:val="20"/>
          <w:szCs w:val="20"/>
        </w:rPr>
        <w:t xml:space="preserve"> to, our information technology systems or those of our third-party providers or clients, or other compromises of our data that could adversely affect our business.</w:t>
      </w:r>
    </w:p>
    <w:p w:rsidR="00000000" w:rsidRDefault="007557F0">
      <w:pPr>
        <w:ind w:hanging="360"/>
        <w:jc w:val="both"/>
        <w:divId w:val="334842741"/>
        <w:rPr>
          <w:rFonts w:eastAsia="Times New Roman"/>
        </w:rPr>
      </w:pPr>
      <w:r>
        <w:rPr>
          <w:rFonts w:ascii="Arial" w:eastAsia="Times New Roman" w:hAnsi="Arial" w:cs="Arial"/>
          <w:color w:val="000000"/>
          <w:sz w:val="20"/>
          <w:szCs w:val="20"/>
        </w:rPr>
        <w:t xml:space="preserve">•We manage our insurable risks through a combination of third-party purchased policies and </w:t>
      </w:r>
      <w:r>
        <w:rPr>
          <w:rFonts w:ascii="Arial" w:eastAsia="Times New Roman" w:hAnsi="Arial" w:cs="Arial"/>
          <w:color w:val="000000"/>
          <w:sz w:val="20"/>
          <w:szCs w:val="20"/>
        </w:rPr>
        <w:t xml:space="preserve">self-insurance, and we retain a substantial portion of the risk associated with expected losses under these programs, which exposes us to volatility associated with those risks, including the </w:t>
      </w:r>
      <w:r>
        <w:rPr>
          <w:rFonts w:ascii="Arial" w:eastAsia="Times New Roman" w:hAnsi="Arial" w:cs="Arial"/>
          <w:color w:val="000000"/>
          <w:sz w:val="20"/>
          <w:szCs w:val="20"/>
        </w:rPr>
        <w:lastRenderedPageBreak/>
        <w:t xml:space="preserve">possibility that changes in estimates to our ultimate insurance </w:t>
      </w:r>
      <w:r>
        <w:rPr>
          <w:rFonts w:ascii="Arial" w:eastAsia="Times New Roman" w:hAnsi="Arial" w:cs="Arial"/>
          <w:color w:val="000000"/>
          <w:sz w:val="20"/>
          <w:szCs w:val="20"/>
        </w:rPr>
        <w:t>loss reserves could result in material charges against our earnings.</w:t>
      </w:r>
    </w:p>
    <w:p w:rsidR="00000000" w:rsidRDefault="007557F0">
      <w:pPr>
        <w:ind w:hanging="360"/>
        <w:jc w:val="both"/>
        <w:divId w:val="1883864323"/>
        <w:rPr>
          <w:rFonts w:eastAsia="Times New Roman"/>
        </w:rPr>
      </w:pPr>
      <w:r>
        <w:rPr>
          <w:rFonts w:ascii="Arial" w:eastAsia="Times New Roman" w:hAnsi="Arial" w:cs="Arial"/>
          <w:color w:val="000000"/>
          <w:sz w:val="20"/>
          <w:szCs w:val="20"/>
        </w:rPr>
        <w:t>•Our risk management and safety programs may not have the intended effect of reducing our liability for personal injury or property loss.</w:t>
      </w:r>
    </w:p>
    <w:p w:rsidR="00000000" w:rsidRDefault="007557F0">
      <w:pPr>
        <w:ind w:hanging="360"/>
        <w:jc w:val="both"/>
        <w:divId w:val="363017089"/>
        <w:rPr>
          <w:rFonts w:eastAsia="Times New Roman"/>
        </w:rPr>
      </w:pPr>
      <w:r>
        <w:rPr>
          <w:rFonts w:ascii="Arial" w:eastAsia="Times New Roman" w:hAnsi="Arial" w:cs="Arial"/>
          <w:color w:val="000000"/>
          <w:sz w:val="20"/>
          <w:szCs w:val="20"/>
        </w:rPr>
        <w:t>•Unfavorable developments in our class and repres</w:t>
      </w:r>
      <w:r>
        <w:rPr>
          <w:rFonts w:ascii="Arial" w:eastAsia="Times New Roman" w:hAnsi="Arial" w:cs="Arial"/>
          <w:color w:val="000000"/>
          <w:sz w:val="20"/>
          <w:szCs w:val="20"/>
        </w:rPr>
        <w:t>entative actions and other lawsuits alleging various claims could cause us to incur substantial liabilities.</w:t>
      </w:r>
    </w:p>
    <w:p w:rsidR="00000000" w:rsidRDefault="007557F0">
      <w:pPr>
        <w:ind w:hanging="360"/>
        <w:jc w:val="both"/>
        <w:divId w:val="1870871117"/>
        <w:rPr>
          <w:rFonts w:eastAsia="Times New Roman"/>
        </w:rPr>
      </w:pPr>
      <w:r>
        <w:rPr>
          <w:rFonts w:ascii="Arial" w:eastAsia="Times New Roman" w:hAnsi="Arial" w:cs="Arial"/>
          <w:color w:val="000000"/>
          <w:sz w:val="20"/>
          <w:szCs w:val="20"/>
        </w:rPr>
        <w:t>•We are subject to extensive legal and regulatory requirements, which could limit our profitability by increasing the costs of legal and regulatory</w:t>
      </w:r>
      <w:r>
        <w:rPr>
          <w:rFonts w:ascii="Arial" w:eastAsia="Times New Roman" w:hAnsi="Arial" w:cs="Arial"/>
          <w:color w:val="000000"/>
          <w:sz w:val="20"/>
          <w:szCs w:val="20"/>
        </w:rPr>
        <w:t xml:space="preserve"> compliance.</w:t>
      </w:r>
    </w:p>
    <w:p w:rsidR="00000000" w:rsidRDefault="007557F0">
      <w:pPr>
        <w:ind w:hanging="360"/>
        <w:jc w:val="both"/>
        <w:divId w:val="974406788"/>
        <w:rPr>
          <w:rFonts w:eastAsia="Times New Roman"/>
        </w:rPr>
      </w:pPr>
      <w:r>
        <w:rPr>
          <w:rFonts w:ascii="Arial" w:eastAsia="Times New Roman" w:hAnsi="Arial" w:cs="Arial"/>
          <w:color w:val="000000"/>
          <w:sz w:val="20"/>
          <w:szCs w:val="20"/>
        </w:rPr>
        <w:t>•A significant number of our employees are covered by collective bargaining agreements that could expose us to potential liabilities in relation to our participation in multiemployer pension plans, requirements to make contributions to other b</w:t>
      </w:r>
      <w:r>
        <w:rPr>
          <w:rFonts w:ascii="Arial" w:eastAsia="Times New Roman" w:hAnsi="Arial" w:cs="Arial"/>
          <w:color w:val="000000"/>
          <w:sz w:val="20"/>
          <w:szCs w:val="20"/>
        </w:rPr>
        <w:t>enefit plans, and the potential for strikes, work slowdowns or similar activities, and union organizing drives.</w:t>
      </w:r>
    </w:p>
    <w:p w:rsidR="00000000" w:rsidRDefault="007557F0">
      <w:pPr>
        <w:ind w:hanging="360"/>
        <w:jc w:val="both"/>
        <w:divId w:val="415368915"/>
        <w:rPr>
          <w:rFonts w:eastAsia="Times New Roman"/>
        </w:rPr>
      </w:pPr>
      <w:r>
        <w:rPr>
          <w:rFonts w:ascii="Arial" w:eastAsia="Times New Roman" w:hAnsi="Arial" w:cs="Arial"/>
          <w:color w:val="000000"/>
          <w:sz w:val="20"/>
          <w:szCs w:val="20"/>
        </w:rPr>
        <w:t>•Our business may be materially affected by changes to fiscal and tax policies. Negative or unexpected tax consequences could adversely affect o</w:t>
      </w:r>
      <w:r>
        <w:rPr>
          <w:rFonts w:ascii="Arial" w:eastAsia="Times New Roman" w:hAnsi="Arial" w:cs="Arial"/>
          <w:color w:val="000000"/>
          <w:sz w:val="20"/>
          <w:szCs w:val="20"/>
        </w:rPr>
        <w:t>ur results of operations.</w:t>
      </w:r>
    </w:p>
    <w:p w:rsidR="00000000" w:rsidRDefault="007557F0">
      <w:pPr>
        <w:ind w:hanging="360"/>
        <w:jc w:val="both"/>
        <w:divId w:val="1188256470"/>
        <w:rPr>
          <w:rFonts w:eastAsia="Times New Roman"/>
        </w:rPr>
      </w:pPr>
      <w:r>
        <w:rPr>
          <w:rFonts w:ascii="Arial" w:eastAsia="Times New Roman" w:hAnsi="Arial" w:cs="Arial"/>
          <w:color w:val="000000"/>
          <w:sz w:val="20"/>
          <w:szCs w:val="20"/>
        </w:rPr>
        <w:t>•Future increases in the level of our borrowings or in interest rates could affect our results of operations.</w:t>
      </w:r>
    </w:p>
    <w:p w:rsidR="00000000" w:rsidRDefault="007557F0">
      <w:pPr>
        <w:ind w:hanging="360"/>
        <w:jc w:val="both"/>
        <w:divId w:val="1439060671"/>
        <w:rPr>
          <w:rFonts w:eastAsia="Times New Roman"/>
        </w:rPr>
      </w:pPr>
      <w:r>
        <w:rPr>
          <w:rFonts w:ascii="Arial" w:eastAsia="Times New Roman" w:hAnsi="Arial" w:cs="Arial"/>
          <w:color w:val="000000"/>
          <w:sz w:val="20"/>
          <w:szCs w:val="20"/>
        </w:rPr>
        <w:t>•Impairment of goodwill and long-lived assets could have a material adverse effect on our financial condition and result</w:t>
      </w:r>
      <w:r>
        <w:rPr>
          <w:rFonts w:ascii="Arial" w:eastAsia="Times New Roman" w:hAnsi="Arial" w:cs="Arial"/>
          <w:color w:val="000000"/>
          <w:sz w:val="20"/>
          <w:szCs w:val="20"/>
        </w:rPr>
        <w:t>s of operations.</w:t>
      </w:r>
    </w:p>
    <w:p w:rsidR="00000000" w:rsidRDefault="007557F0">
      <w:pPr>
        <w:ind w:hanging="360"/>
        <w:jc w:val="both"/>
        <w:divId w:val="403916078"/>
        <w:rPr>
          <w:rFonts w:eastAsia="Times New Roman"/>
        </w:rPr>
      </w:pPr>
      <w:r>
        <w:rPr>
          <w:rFonts w:ascii="Arial" w:eastAsia="Times New Roman" w:hAnsi="Arial" w:cs="Arial"/>
          <w:color w:val="000000"/>
          <w:sz w:val="20"/>
          <w:szCs w:val="20"/>
        </w:rPr>
        <w:t xml:space="preserve">•If we fail to maintain proper and effective internal control over financial reporting in the future, our ability to produce accurate and timely financial statements could be negatively impacted, which could harm our </w:t>
      </w:r>
    </w:p>
    <w:p w:rsidR="00000000" w:rsidRDefault="007557F0">
      <w:pPr>
        <w:jc w:val="center"/>
        <w:divId w:val="377362351"/>
        <w:rPr>
          <w:rFonts w:eastAsia="Times New Roman"/>
        </w:rPr>
      </w:pPr>
      <w:r>
        <w:rPr>
          <w:rFonts w:ascii="Arial" w:eastAsia="Times New Roman" w:hAnsi="Arial" w:cs="Arial"/>
          <w:color w:val="000000"/>
          <w:sz w:val="20"/>
          <w:szCs w:val="20"/>
        </w:rPr>
        <w:t>1</w:t>
      </w:r>
    </w:p>
    <w:p w:rsidR="00000000" w:rsidRDefault="007557F0">
      <w:pPr>
        <w:rPr>
          <w:rFonts w:eastAsia="Times New Roman"/>
        </w:rPr>
      </w:pPr>
      <w:r>
        <w:rPr>
          <w:rFonts w:eastAsia="Times New Roman"/>
        </w:rPr>
        <w:pict>
          <v:rect id="_x0000_i1029" style="width:0;height:1.5pt" o:hralign="center" o:hrstd="t" o:hr="t" fillcolor="#a0a0a0" stroked="f"/>
        </w:pict>
      </w:r>
    </w:p>
    <w:p w:rsidR="00000000" w:rsidRDefault="007557F0">
      <w:pPr>
        <w:divId w:val="1483541523"/>
        <w:rPr>
          <w:rFonts w:eastAsia="Times New Roman"/>
        </w:rPr>
      </w:pPr>
    </w:p>
    <w:p w:rsidR="00000000" w:rsidRDefault="007557F0">
      <w:pPr>
        <w:jc w:val="both"/>
        <w:divId w:val="1837963786"/>
        <w:rPr>
          <w:rFonts w:eastAsia="Times New Roman"/>
        </w:rPr>
      </w:pPr>
      <w:r>
        <w:rPr>
          <w:rFonts w:ascii="Arial" w:eastAsia="Times New Roman" w:hAnsi="Arial" w:cs="Arial"/>
          <w:color w:val="000000"/>
          <w:sz w:val="20"/>
          <w:szCs w:val="20"/>
        </w:rPr>
        <w:t>operating results and investor perceptions of our Company and as a result may have a material adverse effect on the value of our common stock.</w:t>
      </w:r>
    </w:p>
    <w:p w:rsidR="00000000" w:rsidRDefault="007557F0">
      <w:pPr>
        <w:ind w:hanging="360"/>
        <w:jc w:val="both"/>
        <w:divId w:val="280454732"/>
        <w:rPr>
          <w:rFonts w:eastAsia="Times New Roman"/>
        </w:rPr>
      </w:pPr>
      <w:r>
        <w:rPr>
          <w:rFonts w:ascii="Arial" w:eastAsia="Times New Roman" w:hAnsi="Arial" w:cs="Arial"/>
          <w:color w:val="000000"/>
          <w:sz w:val="20"/>
          <w:szCs w:val="20"/>
        </w:rPr>
        <w:t>•Our business may be negatively impacted by adverse weather conditions.</w:t>
      </w:r>
    </w:p>
    <w:p w:rsidR="00000000" w:rsidRDefault="007557F0">
      <w:pPr>
        <w:ind w:hanging="360"/>
        <w:jc w:val="both"/>
        <w:divId w:val="354817999"/>
        <w:rPr>
          <w:rFonts w:eastAsia="Times New Roman"/>
        </w:rPr>
      </w:pPr>
      <w:r>
        <w:rPr>
          <w:rFonts w:ascii="Arial" w:eastAsia="Times New Roman" w:hAnsi="Arial" w:cs="Arial"/>
          <w:color w:val="000000"/>
          <w:sz w:val="20"/>
          <w:szCs w:val="20"/>
        </w:rPr>
        <w:t>•Catastrophic events,</w:t>
      </w:r>
      <w:r>
        <w:rPr>
          <w:rFonts w:ascii="Arial" w:eastAsia="Times New Roman" w:hAnsi="Arial" w:cs="Arial"/>
          <w:color w:val="000000"/>
          <w:sz w:val="20"/>
          <w:szCs w:val="20"/>
        </w:rPr>
        <w:t xml:space="preserve"> disasters, pandemics, and terrorist attacks could disrupt our services.</w:t>
      </w:r>
    </w:p>
    <w:p w:rsidR="00000000" w:rsidRDefault="007557F0">
      <w:pPr>
        <w:ind w:hanging="360"/>
        <w:jc w:val="both"/>
        <w:divId w:val="1673605670"/>
        <w:rPr>
          <w:rFonts w:eastAsia="Times New Roman"/>
        </w:rPr>
      </w:pPr>
      <w:r>
        <w:rPr>
          <w:rFonts w:ascii="Arial" w:eastAsia="Times New Roman" w:hAnsi="Arial" w:cs="Arial"/>
          <w:color w:val="000000"/>
          <w:sz w:val="20"/>
          <w:szCs w:val="20"/>
        </w:rPr>
        <w:t>•Ongoing impacts of the COVID-19 pandemic may adversely affect our liquidity, capital resources, supply chain, operations, and revenue.</w:t>
      </w:r>
    </w:p>
    <w:p w:rsidR="00000000" w:rsidRDefault="007557F0">
      <w:pPr>
        <w:ind w:hanging="360"/>
        <w:jc w:val="both"/>
        <w:divId w:val="2081440969"/>
        <w:rPr>
          <w:rFonts w:eastAsia="Times New Roman"/>
        </w:rPr>
      </w:pPr>
      <w:r>
        <w:rPr>
          <w:rFonts w:ascii="Arial" w:eastAsia="Times New Roman" w:hAnsi="Arial" w:cs="Arial"/>
          <w:color w:val="000000"/>
          <w:sz w:val="20"/>
          <w:szCs w:val="20"/>
        </w:rPr>
        <w:t>•Actions of activist investors could disrupt ou</w:t>
      </w:r>
      <w:r>
        <w:rPr>
          <w:rFonts w:ascii="Arial" w:eastAsia="Times New Roman" w:hAnsi="Arial" w:cs="Arial"/>
          <w:color w:val="000000"/>
          <w:sz w:val="20"/>
          <w:szCs w:val="20"/>
        </w:rPr>
        <w:t>r business.</w:t>
      </w:r>
    </w:p>
    <w:p w:rsidR="00000000" w:rsidRDefault="007557F0">
      <w:pPr>
        <w:ind w:firstLine="720"/>
        <w:jc w:val="both"/>
        <w:divId w:val="1907838235"/>
        <w:rPr>
          <w:rFonts w:eastAsia="Times New Roman"/>
        </w:rPr>
      </w:pPr>
      <w:r>
        <w:rPr>
          <w:rFonts w:ascii="Arial" w:eastAsia="Times New Roman" w:hAnsi="Arial" w:cs="Arial"/>
          <w:color w:val="000000"/>
          <w:sz w:val="20"/>
          <w:szCs w:val="20"/>
        </w:rPr>
        <w:t>The list of factors above is illustrative and by no means exhaustive. Additional information regarding these and other risks and uncertainties we face is contained in our Annual Report on Form 10-K for the year ended October 31, 2022, and in ot</w:t>
      </w:r>
      <w:r>
        <w:rPr>
          <w:rFonts w:ascii="Arial" w:eastAsia="Times New Roman" w:hAnsi="Arial" w:cs="Arial"/>
          <w:color w:val="000000"/>
          <w:sz w:val="20"/>
          <w:szCs w:val="20"/>
        </w:rPr>
        <w:t xml:space="preserve">her reports (including all amendments to those reports) we file from time to time with the Securities and Exchange Commission (“SEC”). </w:t>
      </w:r>
    </w:p>
    <w:p w:rsidR="00000000" w:rsidRDefault="007557F0">
      <w:pPr>
        <w:ind w:firstLine="720"/>
        <w:jc w:val="both"/>
        <w:divId w:val="672147137"/>
        <w:rPr>
          <w:rFonts w:eastAsia="Times New Roman"/>
        </w:rPr>
      </w:pPr>
      <w:r>
        <w:rPr>
          <w:rFonts w:ascii="Arial" w:eastAsia="Times New Roman" w:hAnsi="Arial" w:cs="Arial"/>
          <w:color w:val="000000"/>
          <w:sz w:val="20"/>
          <w:szCs w:val="20"/>
        </w:rPr>
        <w:t>We urge readers to consider these risks and uncertainties in evaluating our forward-looking statements. We caution reade</w:t>
      </w:r>
      <w:r>
        <w:rPr>
          <w:rFonts w:ascii="Arial" w:eastAsia="Times New Roman" w:hAnsi="Arial" w:cs="Arial"/>
          <w:color w:val="000000"/>
          <w:sz w:val="20"/>
          <w:szCs w:val="20"/>
        </w:rPr>
        <w:t>rs not to place undue reliance upon any such forward-looking statements, which speak only as of the date made. We undertake no obligation to publicly update any forward-looking statements, whether as a result of new information, future events, or otherwise</w:t>
      </w:r>
      <w:r>
        <w:rPr>
          <w:rFonts w:ascii="Arial" w:eastAsia="Times New Roman" w:hAnsi="Arial" w:cs="Arial"/>
          <w:color w:val="000000"/>
          <w:sz w:val="20"/>
          <w:szCs w:val="20"/>
        </w:rPr>
        <w:t xml:space="preserve">, except as required by law. </w:t>
      </w:r>
    </w:p>
    <w:p w:rsidR="00000000" w:rsidRDefault="007557F0">
      <w:pPr>
        <w:jc w:val="center"/>
        <w:divId w:val="1221483154"/>
        <w:rPr>
          <w:rFonts w:eastAsia="Times New Roman"/>
        </w:rPr>
      </w:pPr>
      <w:r>
        <w:rPr>
          <w:rFonts w:ascii="Arial" w:eastAsia="Times New Roman" w:hAnsi="Arial" w:cs="Arial"/>
          <w:color w:val="000000"/>
          <w:sz w:val="20"/>
          <w:szCs w:val="20"/>
        </w:rPr>
        <w:t>2</w:t>
      </w:r>
    </w:p>
    <w:p w:rsidR="00000000" w:rsidRDefault="007557F0">
      <w:pPr>
        <w:rPr>
          <w:rFonts w:eastAsia="Times New Roman"/>
        </w:rPr>
      </w:pPr>
      <w:r>
        <w:rPr>
          <w:rFonts w:eastAsia="Times New Roman"/>
        </w:rPr>
        <w:pict>
          <v:rect id="_x0000_i1030" style="width:0;height:1.5pt" o:hralign="center" o:hrstd="t" o:hr="t" fillcolor="#a0a0a0" stroked="f"/>
        </w:pict>
      </w:r>
    </w:p>
    <w:p w:rsidR="00000000" w:rsidRDefault="007557F0">
      <w:pPr>
        <w:jc w:val="both"/>
        <w:divId w:val="577634928"/>
        <w:rPr>
          <w:rFonts w:eastAsia="Times New Roman"/>
        </w:rPr>
      </w:pPr>
    </w:p>
    <w:p w:rsidR="00000000" w:rsidRDefault="007557F0">
      <w:pPr>
        <w:jc w:val="both"/>
        <w:divId w:val="1368021808"/>
        <w:rPr>
          <w:rFonts w:eastAsia="Times New Roman"/>
        </w:rPr>
      </w:pPr>
      <w:r>
        <w:rPr>
          <w:rFonts w:ascii="Arial" w:eastAsia="Times New Roman" w:hAnsi="Arial" w:cs="Arial"/>
          <w:b/>
          <w:bCs/>
          <w:color w:val="0046AD"/>
          <w:sz w:val="20"/>
          <w:szCs w:val="20"/>
        </w:rPr>
        <w:t>PART I. FINANCIAL INFORMATION</w:t>
      </w:r>
    </w:p>
    <w:p w:rsidR="00000000" w:rsidRDefault="007557F0">
      <w:pPr>
        <w:jc w:val="both"/>
        <w:divId w:val="1484276776"/>
        <w:rPr>
          <w:rFonts w:eastAsia="Times New Roman"/>
        </w:rPr>
      </w:pPr>
      <w:r>
        <w:rPr>
          <w:rFonts w:ascii="Arial" w:eastAsia="Times New Roman" w:hAnsi="Arial" w:cs="Arial"/>
          <w:b/>
          <w:bCs/>
          <w:color w:val="0046AD"/>
          <w:sz w:val="20"/>
          <w:szCs w:val="20"/>
        </w:rPr>
        <w:t xml:space="preserve">ITEM 1. CONSOLIDATED FINANCIAL STATEMENTS. </w:t>
      </w:r>
    </w:p>
    <w:p w:rsidR="00000000" w:rsidRDefault="007557F0">
      <w:pPr>
        <w:jc w:val="center"/>
        <w:divId w:val="1317490437"/>
        <w:rPr>
          <w:rFonts w:eastAsia="Times New Roman"/>
        </w:rPr>
      </w:pPr>
      <w:r>
        <w:rPr>
          <w:rFonts w:ascii="Arial" w:eastAsia="Times New Roman" w:hAnsi="Arial" w:cs="Arial"/>
          <w:b/>
          <w:bCs/>
          <w:color w:val="0046AD"/>
          <w:sz w:val="20"/>
          <w:szCs w:val="20"/>
        </w:rPr>
        <w:t>ABM INDUSTRIES INCORPORATED AND SUBSIDIARIES</w:t>
      </w:r>
    </w:p>
    <w:p w:rsidR="00000000" w:rsidRDefault="007557F0">
      <w:pPr>
        <w:jc w:val="center"/>
        <w:divId w:val="56128447"/>
        <w:rPr>
          <w:rFonts w:eastAsia="Times New Roman"/>
        </w:rPr>
      </w:pPr>
      <w:r>
        <w:rPr>
          <w:rFonts w:ascii="Arial" w:eastAsia="Times New Roman" w:hAnsi="Arial" w:cs="Arial"/>
          <w:b/>
          <w:bCs/>
          <w:color w:val="0046AD"/>
          <w:sz w:val="20"/>
          <w:szCs w:val="20"/>
        </w:rPr>
        <w:t>CONSOLIDATED BALANCE SHEETS</w:t>
      </w:r>
    </w:p>
    <w:p w:rsidR="00000000" w:rsidRDefault="007557F0">
      <w:pPr>
        <w:jc w:val="center"/>
        <w:divId w:val="520707153"/>
        <w:rPr>
          <w:rFonts w:eastAsia="Times New Roman"/>
        </w:rPr>
      </w:pPr>
      <w:r>
        <w:rPr>
          <w:rFonts w:ascii="Arial" w:eastAsia="Times New Roman" w:hAnsi="Arial" w:cs="Arial"/>
          <w:b/>
          <w:bCs/>
          <w:color w:val="0046AD"/>
          <w:sz w:val="20"/>
          <w:szCs w:val="20"/>
        </w:rPr>
        <w:lastRenderedPageBreak/>
        <w:t>(UNAUDITED)</w:t>
      </w:r>
    </w:p>
    <w:tbl>
      <w:tblPr>
        <w:tblW w:w="4948" w:type="pct"/>
        <w:jc w:val="center"/>
        <w:tblCellMar>
          <w:top w:w="15" w:type="dxa"/>
          <w:left w:w="15" w:type="dxa"/>
          <w:bottom w:w="15" w:type="dxa"/>
          <w:right w:w="15" w:type="dxa"/>
        </w:tblCellMar>
        <w:tblLook w:val="04A0" w:firstRow="1" w:lastRow="0" w:firstColumn="1" w:lastColumn="0" w:noHBand="0" w:noVBand="1"/>
      </w:tblPr>
      <w:tblGrid>
        <w:gridCol w:w="40"/>
        <w:gridCol w:w="5309"/>
        <w:gridCol w:w="39"/>
        <w:gridCol w:w="115"/>
        <w:gridCol w:w="1228"/>
        <w:gridCol w:w="36"/>
        <w:gridCol w:w="36"/>
        <w:gridCol w:w="36"/>
        <w:gridCol w:w="36"/>
        <w:gridCol w:w="115"/>
        <w:gridCol w:w="1194"/>
        <w:gridCol w:w="36"/>
      </w:tblGrid>
      <w:tr w:rsidR="00000000">
        <w:trPr>
          <w:divId w:val="793983056"/>
          <w:jc w:val="center"/>
        </w:trPr>
        <w:tc>
          <w:tcPr>
            <w:tcW w:w="50" w:type="pct"/>
            <w:vAlign w:val="center"/>
            <w:hideMark/>
          </w:tcPr>
          <w:p w:rsidR="00000000" w:rsidRDefault="007557F0">
            <w:pPr>
              <w:jc w:val="center"/>
              <w:rPr>
                <w:rFonts w:eastAsia="Times New Roman"/>
              </w:rPr>
            </w:pPr>
          </w:p>
        </w:tc>
        <w:tc>
          <w:tcPr>
            <w:tcW w:w="3253"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7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7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793983056"/>
          <w:jc w:val="center"/>
        </w:trPr>
        <w:tc>
          <w:tcPr>
            <w:tcW w:w="0" w:type="auto"/>
            <w:gridSpan w:val="3"/>
            <w:tcMar>
              <w:top w:w="30" w:type="dxa"/>
              <w:left w:w="20" w:type="dxa"/>
              <w:bottom w:w="30" w:type="dxa"/>
              <w:right w:w="20" w:type="dxa"/>
            </w:tcMar>
            <w:hideMark/>
          </w:tcPr>
          <w:p w:rsidR="00000000" w:rsidRDefault="007557F0">
            <w:pPr>
              <w:spacing w:after="100"/>
              <w:rPr>
                <w:rFonts w:eastAsia="Times New Roman"/>
              </w:rPr>
            </w:pPr>
            <w:r>
              <w:rPr>
                <w:rFonts w:eastAsia="Times New Roman"/>
                <w:i/>
                <w:iCs/>
                <w:color w:val="000000"/>
                <w:sz w:val="16"/>
                <w:szCs w:val="16"/>
                <w:u w:val="single"/>
              </w:rPr>
              <w:t>(in millions, except share and per share amounts)</w:t>
            </w: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7"/>
                <w:szCs w:val="17"/>
              </w:rPr>
              <w:t>January 31, 2023</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7"/>
                <w:szCs w:val="17"/>
              </w:rPr>
              <w:t>October 31, 2022</w:t>
            </w:r>
          </w:p>
        </w:tc>
      </w:tr>
      <w:tr w:rsidR="00000000">
        <w:trPr>
          <w:divId w:val="79398305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7"/>
                <w:szCs w:val="17"/>
              </w:rPr>
              <w:t>ASSETS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79398305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Cash and cash equivalents</w:t>
            </w: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87.9 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73.0 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684865915"/>
              <w:rPr>
                <w:rFonts w:eastAsia="Times New Roman"/>
              </w:rPr>
            </w:pPr>
            <w:r>
              <w:rPr>
                <w:rFonts w:ascii="Arial" w:eastAsia="Times New Roman" w:hAnsi="Arial" w:cs="Arial"/>
                <w:color w:val="000000"/>
                <w:sz w:val="17"/>
                <w:szCs w:val="17"/>
              </w:rPr>
              <w:t>Trade accounts receivable, net of allowances of $23.3 and $22.6</w:t>
            </w:r>
          </w:p>
          <w:p w:rsidR="00000000" w:rsidRDefault="007557F0">
            <w:pPr>
              <w:spacing w:after="100"/>
              <w:divId w:val="861866121"/>
              <w:rPr>
                <w:rFonts w:eastAsia="Times New Roman"/>
              </w:rPr>
            </w:pPr>
            <w:r>
              <w:rPr>
                <w:rFonts w:ascii="Arial" w:eastAsia="Times New Roman" w:hAnsi="Arial" w:cs="Arial"/>
                <w:color w:val="000000"/>
                <w:sz w:val="17"/>
                <w:szCs w:val="17"/>
              </w:rPr>
              <w:t>   at January 31, 2023 and October 31, 2022, respectively</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1,319.3 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1,278.7 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Costs incurred in excess of amounts billed</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87.2 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75.8 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104.6 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82.1 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Other current assets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57.4 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51.6 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74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1,656.3 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1,561.2 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Other investments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15.6 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14.5 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ind w:hanging="180"/>
              <w:divId w:val="194344988"/>
              <w:rPr>
                <w:rFonts w:eastAsia="Times New Roman"/>
              </w:rPr>
            </w:pPr>
            <w:r>
              <w:rPr>
                <w:rFonts w:ascii="Arial" w:eastAsia="Times New Roman" w:hAnsi="Arial" w:cs="Arial"/>
                <w:color w:val="000000"/>
                <w:sz w:val="17"/>
                <w:szCs w:val="17"/>
              </w:rPr>
              <w:t>Property, plant and equipment, net of accumulated depreciation of $304.4 and $296.9</w:t>
            </w:r>
          </w:p>
          <w:p w:rsidR="00000000" w:rsidRDefault="007557F0">
            <w:pPr>
              <w:spacing w:after="100"/>
              <w:ind w:hanging="180"/>
              <w:divId w:val="15423403"/>
              <w:rPr>
                <w:rFonts w:eastAsia="Times New Roman"/>
              </w:rPr>
            </w:pPr>
            <w:r>
              <w:rPr>
                <w:rFonts w:ascii="Arial" w:eastAsia="Times New Roman" w:hAnsi="Arial" w:cs="Arial"/>
                <w:color w:val="000000"/>
                <w:sz w:val="17"/>
                <w:szCs w:val="17"/>
              </w:rPr>
              <w:t xml:space="preserve">    at January 31, 2023 and October 31, 2022, respectively </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127.8 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125.4 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113.1 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115.2 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ind w:hanging="180"/>
              <w:divId w:val="1410342800"/>
              <w:rPr>
                <w:rFonts w:eastAsia="Times New Roman"/>
              </w:rPr>
            </w:pPr>
            <w:r>
              <w:rPr>
                <w:rFonts w:ascii="Arial" w:eastAsia="Times New Roman" w:hAnsi="Arial" w:cs="Arial"/>
                <w:color w:val="000000"/>
                <w:sz w:val="17"/>
                <w:szCs w:val="17"/>
              </w:rPr>
              <w:t>Other intangible assets, net of accumulated amortizati</w:t>
            </w:r>
            <w:r>
              <w:rPr>
                <w:rFonts w:ascii="Arial" w:eastAsia="Times New Roman" w:hAnsi="Arial" w:cs="Arial"/>
                <w:color w:val="000000"/>
                <w:sz w:val="17"/>
                <w:szCs w:val="17"/>
                <w:shd w:val="clear" w:color="auto" w:fill="FFFFFF"/>
              </w:rPr>
              <w:t>on of</w:t>
            </w:r>
            <w:r>
              <w:rPr>
                <w:rFonts w:ascii="Arial" w:eastAsia="Times New Roman" w:hAnsi="Arial" w:cs="Arial"/>
                <w:color w:val="000000"/>
                <w:sz w:val="17"/>
                <w:szCs w:val="17"/>
              </w:rPr>
              <w:t xml:space="preserve"> $479.9 and $459.8</w:t>
            </w:r>
          </w:p>
          <w:p w:rsidR="00000000" w:rsidRDefault="007557F0">
            <w:pPr>
              <w:spacing w:after="100"/>
              <w:ind w:hanging="180"/>
              <w:divId w:val="1995143058"/>
              <w:rPr>
                <w:rFonts w:eastAsia="Times New Roman"/>
              </w:rPr>
            </w:pPr>
            <w:r>
              <w:rPr>
                <w:rFonts w:ascii="Arial" w:eastAsia="Times New Roman" w:hAnsi="Arial" w:cs="Arial"/>
                <w:color w:val="000000"/>
                <w:sz w:val="17"/>
                <w:szCs w:val="17"/>
              </w:rPr>
              <w:t>    at January 31, 2023 and October 31, 2022, respectively</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360.1 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378.5 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Goodwill</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2,491.8 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2,485.6 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vAlign w:val="center"/>
            <w:hideMark/>
          </w:tcPr>
          <w:p w:rsidR="00000000" w:rsidRDefault="007557F0">
            <w:pPr>
              <w:spacing w:after="100"/>
              <w:jc w:val="right"/>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153.3 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188.5 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Total assets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4,918.0 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4,868.9 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7"/>
                <w:szCs w:val="17"/>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79398305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Current liabilities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793983056"/>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Current portion of debt, net</w:t>
            </w: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181.5 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181.5 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Trade accounts payable</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279.9 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315.5 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Accrued compensation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199.9 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246.6 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Accrued taxes — other than income</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68.8 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124.7 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Insurance claims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175.5 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171.4 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Income taxes payable</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6.6 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6.6 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Current portion of lease liabilities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30.3 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30.3 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Other accrued liabilities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333.7 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276.5 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74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1,276.3 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1,353.2 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Long-term debt, net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1,203.4 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1,086.3 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Long-term lease liabilities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101.8 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104.5 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Deferred income tax liability, net</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95.8 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89.7 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Noncurrent insurance claims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396.3 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387.7 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Other noncurrent liabilities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103.7 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126.0 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Noncurrent income taxes payable</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4.2 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4.2 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lastRenderedPageBreak/>
              <w:t>Total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3,181.5 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3,151.7 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79398305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7"/>
                <w:szCs w:val="17"/>
              </w:rPr>
              <w:t>Stockholders’ Equity</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1343321098"/>
              <w:rPr>
                <w:rFonts w:eastAsia="Times New Roman"/>
              </w:rPr>
            </w:pPr>
            <w:r>
              <w:rPr>
                <w:rFonts w:ascii="Arial" w:eastAsia="Times New Roman" w:hAnsi="Arial" w:cs="Arial"/>
                <w:color w:val="000000"/>
                <w:sz w:val="17"/>
                <w:szCs w:val="17"/>
              </w:rPr>
              <w:t>Preferred stock, $0.01 par value; 500,000 shares authorized; none issued</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1285304893"/>
              <w:rPr>
                <w:rFonts w:eastAsia="Times New Roman"/>
              </w:rPr>
            </w:pPr>
            <w:r>
              <w:rPr>
                <w:rFonts w:ascii="Arial" w:eastAsia="Times New Roman" w:hAnsi="Arial" w:cs="Arial"/>
                <w:color w:val="000000"/>
                <w:sz w:val="17"/>
                <w:szCs w:val="17"/>
              </w:rPr>
              <w:t xml:space="preserve">Common stock, $0.01 par value; 100,000,000 shares authorized; </w:t>
            </w:r>
          </w:p>
          <w:p w:rsidR="00000000" w:rsidRDefault="007557F0">
            <w:pPr>
              <w:spacing w:after="100"/>
              <w:divId w:val="1682853986"/>
              <w:rPr>
                <w:rFonts w:eastAsia="Times New Roman"/>
              </w:rPr>
            </w:pPr>
            <w:r>
              <w:rPr>
                <w:rFonts w:ascii="Arial" w:eastAsia="Times New Roman" w:hAnsi="Arial" w:cs="Arial"/>
                <w:color w:val="000000"/>
                <w:sz w:val="17"/>
                <w:szCs w:val="17"/>
              </w:rPr>
              <w:t xml:space="preserve">66,097,165 and 65,587,894 shares issued and outstanding at </w:t>
            </w:r>
          </w:p>
          <w:p w:rsidR="00000000" w:rsidRDefault="007557F0">
            <w:pPr>
              <w:spacing w:after="100"/>
              <w:divId w:val="1767725003"/>
              <w:rPr>
                <w:rFonts w:eastAsia="Times New Roman"/>
              </w:rPr>
            </w:pPr>
            <w:r>
              <w:rPr>
                <w:rFonts w:ascii="Arial" w:eastAsia="Times New Roman" w:hAnsi="Arial" w:cs="Arial"/>
                <w:color w:val="000000"/>
                <w:sz w:val="17"/>
                <w:szCs w:val="17"/>
              </w:rPr>
              <w:t>January 31, 2023 and October 31, 2022, respectively</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0.7 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0.7 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670.7 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675.5 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Accumulated other comprehensive loss, net of taxes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(15.1)</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(16.2)</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1,080.3 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1,057.2 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Total stockholders’ equity</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1,736.5 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1,717.2 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79398305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4,918.0 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7"/>
                <w:szCs w:val="17"/>
              </w:rPr>
              <w:t>4,868.9 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bl>
    <w:p w:rsidR="00000000" w:rsidRDefault="007557F0">
      <w:pPr>
        <w:jc w:val="center"/>
        <w:divId w:val="2015374514"/>
        <w:rPr>
          <w:rFonts w:eastAsia="Times New Roman"/>
        </w:rPr>
      </w:pPr>
      <w:r>
        <w:rPr>
          <w:rFonts w:ascii="Arial" w:eastAsia="Times New Roman" w:hAnsi="Arial" w:cs="Arial"/>
          <w:color w:val="000000"/>
          <w:sz w:val="20"/>
          <w:szCs w:val="20"/>
        </w:rPr>
        <w:t>See accompanying notes to unaudited consolidated financial statements.</w:t>
      </w:r>
    </w:p>
    <w:p w:rsidR="00000000" w:rsidRDefault="007557F0">
      <w:pPr>
        <w:jc w:val="center"/>
        <w:divId w:val="911500110"/>
        <w:rPr>
          <w:rFonts w:eastAsia="Times New Roman"/>
        </w:rPr>
      </w:pPr>
      <w:r>
        <w:rPr>
          <w:rFonts w:ascii="Arial" w:eastAsia="Times New Roman" w:hAnsi="Arial" w:cs="Arial"/>
          <w:color w:val="000000"/>
          <w:sz w:val="20"/>
          <w:szCs w:val="20"/>
        </w:rPr>
        <w:t>3</w:t>
      </w:r>
    </w:p>
    <w:p w:rsidR="00000000" w:rsidRDefault="007557F0">
      <w:pPr>
        <w:rPr>
          <w:rFonts w:eastAsia="Times New Roman"/>
        </w:rPr>
      </w:pPr>
      <w:r>
        <w:rPr>
          <w:rFonts w:eastAsia="Times New Roman"/>
        </w:rPr>
        <w:pict>
          <v:rect id="_x0000_i1031" style="width:0;height:1.5pt" o:hralign="center" o:hrstd="t" o:hr="t" fillcolor="#a0a0a0" stroked="f"/>
        </w:pict>
      </w:r>
    </w:p>
    <w:p w:rsidR="00000000" w:rsidRDefault="007557F0">
      <w:pPr>
        <w:jc w:val="both"/>
        <w:divId w:val="1349140542"/>
        <w:rPr>
          <w:rFonts w:eastAsia="Times New Roman"/>
        </w:rPr>
      </w:pPr>
    </w:p>
    <w:p w:rsidR="00000000" w:rsidRDefault="007557F0">
      <w:pPr>
        <w:jc w:val="center"/>
        <w:divId w:val="1156148736"/>
        <w:rPr>
          <w:rFonts w:eastAsia="Times New Roman"/>
        </w:rPr>
      </w:pPr>
      <w:r>
        <w:rPr>
          <w:rFonts w:ascii="Arial" w:eastAsia="Times New Roman" w:hAnsi="Arial" w:cs="Arial"/>
          <w:b/>
          <w:bCs/>
          <w:color w:val="0046AD"/>
          <w:sz w:val="20"/>
          <w:szCs w:val="20"/>
        </w:rPr>
        <w:t>ABM INDUSTRIES INCORPORATED AND SUBSIDIARIES</w:t>
      </w:r>
    </w:p>
    <w:p w:rsidR="00000000" w:rsidRDefault="007557F0">
      <w:pPr>
        <w:jc w:val="center"/>
        <w:divId w:val="208421585"/>
        <w:rPr>
          <w:rFonts w:eastAsia="Times New Roman"/>
        </w:rPr>
      </w:pPr>
      <w:r>
        <w:rPr>
          <w:rFonts w:ascii="Arial" w:eastAsia="Times New Roman" w:hAnsi="Arial" w:cs="Arial"/>
          <w:b/>
          <w:bCs/>
          <w:color w:val="0046AD"/>
          <w:sz w:val="20"/>
          <w:szCs w:val="20"/>
        </w:rPr>
        <w:t>CONSOLIDATED STATEMENTS OF COMPREHENSIVE INCOME</w:t>
      </w:r>
    </w:p>
    <w:p w:rsidR="00000000" w:rsidRDefault="007557F0">
      <w:pPr>
        <w:jc w:val="center"/>
        <w:divId w:val="1894459551"/>
        <w:rPr>
          <w:rFonts w:eastAsia="Times New Roman"/>
        </w:rPr>
      </w:pPr>
      <w:r>
        <w:rPr>
          <w:rFonts w:ascii="Arial" w:eastAsia="Times New Roman" w:hAnsi="Arial" w:cs="Arial"/>
          <w:b/>
          <w:bCs/>
          <w:color w:val="0046AD"/>
          <w:sz w:val="20"/>
          <w:szCs w:val="20"/>
        </w:rPr>
        <w:t>(UNAUDITED)</w:t>
      </w:r>
    </w:p>
    <w:tbl>
      <w:tblPr>
        <w:tblW w:w="4766" w:type="pct"/>
        <w:jc w:val="center"/>
        <w:tblCellMar>
          <w:top w:w="15" w:type="dxa"/>
          <w:left w:w="15" w:type="dxa"/>
          <w:bottom w:w="15" w:type="dxa"/>
          <w:right w:w="15" w:type="dxa"/>
        </w:tblCellMar>
        <w:tblLook w:val="04A0" w:firstRow="1" w:lastRow="0" w:firstColumn="1" w:lastColumn="0" w:noHBand="0" w:noVBand="1"/>
      </w:tblPr>
      <w:tblGrid>
        <w:gridCol w:w="41"/>
        <w:gridCol w:w="4960"/>
        <w:gridCol w:w="40"/>
        <w:gridCol w:w="121"/>
        <w:gridCol w:w="1354"/>
        <w:gridCol w:w="36"/>
        <w:gridCol w:w="36"/>
        <w:gridCol w:w="36"/>
        <w:gridCol w:w="36"/>
        <w:gridCol w:w="121"/>
        <w:gridCol w:w="812"/>
        <w:gridCol w:w="36"/>
        <w:gridCol w:w="36"/>
        <w:gridCol w:w="36"/>
        <w:gridCol w:w="36"/>
        <w:gridCol w:w="36"/>
        <w:gridCol w:w="36"/>
        <w:gridCol w:w="36"/>
        <w:gridCol w:w="36"/>
        <w:gridCol w:w="36"/>
      </w:tblGrid>
      <w:tr w:rsidR="00000000">
        <w:trPr>
          <w:divId w:val="122117436"/>
          <w:jc w:val="center"/>
        </w:trPr>
        <w:tc>
          <w:tcPr>
            <w:tcW w:w="50" w:type="pct"/>
            <w:vAlign w:val="center"/>
            <w:hideMark/>
          </w:tcPr>
          <w:p w:rsidR="00000000" w:rsidRDefault="007557F0">
            <w:pPr>
              <w:jc w:val="center"/>
              <w:rPr>
                <w:rFonts w:eastAsia="Times New Roman"/>
              </w:rPr>
            </w:pPr>
          </w:p>
        </w:tc>
        <w:tc>
          <w:tcPr>
            <w:tcW w:w="328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91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58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1,991.3 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1,749.8 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1,659.6 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150.6 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153.1 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17.5 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 xml:space="preserve">Operating profit </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(19.8)</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(6.2)</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FFFFFF"/>
            <w:tcMar>
              <w:top w:w="30" w:type="dxa"/>
              <w:left w:w="200" w:type="dxa"/>
              <w:bottom w:w="30" w:type="dxa"/>
              <w:right w:w="20" w:type="dxa"/>
            </w:tcMar>
            <w:vAlign w:val="bottom"/>
            <w:hideMark/>
          </w:tcPr>
          <w:p w:rsidR="00000000" w:rsidRDefault="007557F0">
            <w:pPr>
              <w:spacing w:after="100"/>
              <w:ind w:hanging="180"/>
              <w:rPr>
                <w:rFonts w:eastAsia="Times New Roman"/>
              </w:rPr>
            </w:pPr>
            <w:r>
              <w:rPr>
                <w:rFonts w:ascii="Arial" w:eastAsia="Times New Roman" w:hAnsi="Arial" w:cs="Arial"/>
                <w:color w:val="000000"/>
                <w:sz w:val="18"/>
                <w:szCs w:val="18"/>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DCE2EF"/>
            <w:tcMar>
              <w:top w:w="30" w:type="dxa"/>
              <w:left w:w="200" w:type="dxa"/>
              <w:bottom w:w="30" w:type="dxa"/>
              <w:right w:w="20" w:type="dxa"/>
            </w:tcMar>
            <w:vAlign w:val="bottom"/>
            <w:hideMark/>
          </w:tcPr>
          <w:p w:rsidR="00000000" w:rsidRDefault="007557F0">
            <w:pPr>
              <w:spacing w:after="100"/>
              <w:ind w:hanging="18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(14.2)</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(24.3)</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FFFFFF"/>
            <w:tcMar>
              <w:top w:w="30" w:type="dxa"/>
              <w:left w:w="200" w:type="dxa"/>
              <w:bottom w:w="30" w:type="dxa"/>
              <w:right w:w="20" w:type="dxa"/>
            </w:tcMar>
            <w:vAlign w:val="bottom"/>
            <w:hideMark/>
          </w:tcPr>
          <w:p w:rsidR="00000000" w:rsidRDefault="007557F0">
            <w:pPr>
              <w:spacing w:after="100"/>
              <w:ind w:hanging="180"/>
              <w:rPr>
                <w:rFonts w:eastAsia="Times New Roman"/>
              </w:rPr>
            </w:pPr>
            <w:r>
              <w:rPr>
                <w:rFonts w:ascii="Arial" w:eastAsia="Times New Roman" w:hAnsi="Arial" w:cs="Arial"/>
                <w:color w:val="000000"/>
                <w:sz w:val="18"/>
                <w:szCs w:val="18"/>
              </w:rPr>
              <w:t xml:space="preserve">Net income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DCE2EF"/>
            <w:tcMar>
              <w:top w:w="30" w:type="dxa"/>
              <w:left w:w="200" w:type="dxa"/>
              <w:bottom w:w="30" w:type="dxa"/>
              <w:right w:w="20" w:type="dxa"/>
            </w:tcMar>
            <w:vAlign w:val="bottom"/>
            <w:hideMark/>
          </w:tcPr>
          <w:p w:rsidR="00000000" w:rsidRDefault="007557F0">
            <w:pPr>
              <w:spacing w:after="100"/>
              <w:ind w:hanging="180"/>
              <w:rPr>
                <w:rFonts w:eastAsia="Times New Roman"/>
              </w:rPr>
            </w:pPr>
            <w:r>
              <w:rPr>
                <w:rFonts w:ascii="Arial" w:eastAsia="Times New Roman" w:hAnsi="Arial" w:cs="Arial"/>
                <w:color w:val="000000"/>
                <w:sz w:val="18"/>
                <w:szCs w:val="18"/>
              </w:rPr>
              <w:t>Other comprehensive income</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ind w:hanging="18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FFFFFF"/>
            <w:tcMar>
              <w:top w:w="30" w:type="dxa"/>
              <w:left w:w="560" w:type="dxa"/>
              <w:bottom w:w="30" w:type="dxa"/>
              <w:right w:w="20" w:type="dxa"/>
            </w:tcMar>
            <w:vAlign w:val="bottom"/>
            <w:hideMark/>
          </w:tcPr>
          <w:p w:rsidR="00000000" w:rsidRDefault="007557F0">
            <w:pPr>
              <w:spacing w:after="100"/>
              <w:ind w:hanging="18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(13.1)</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DCE2EF"/>
            <w:tcMar>
              <w:top w:w="30" w:type="dxa"/>
              <w:left w:w="560" w:type="dxa"/>
              <w:bottom w:w="30" w:type="dxa"/>
              <w:right w:w="20" w:type="dxa"/>
            </w:tcMar>
            <w:vAlign w:val="bottom"/>
            <w:hideMark/>
          </w:tcPr>
          <w:p w:rsidR="00000000" w:rsidRDefault="007557F0">
            <w:pPr>
              <w:spacing w:after="100"/>
              <w:ind w:hanging="18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(2.4)</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FFFFFF"/>
            <w:tcMar>
              <w:top w:w="30" w:type="dxa"/>
              <w:left w:w="560" w:type="dxa"/>
              <w:bottom w:w="30" w:type="dxa"/>
              <w:right w:w="20" w:type="dxa"/>
            </w:tcMar>
            <w:vAlign w:val="bottom"/>
            <w:hideMark/>
          </w:tcPr>
          <w:p w:rsidR="00000000" w:rsidRDefault="007557F0">
            <w:pPr>
              <w:spacing w:after="100"/>
              <w:ind w:hanging="180"/>
              <w:rPr>
                <w:rFonts w:eastAsia="Times New Roman"/>
              </w:rPr>
            </w:pPr>
            <w:r>
              <w:rPr>
                <w:rFonts w:ascii="Arial" w:eastAsia="Times New Roman" w:hAnsi="Arial" w:cs="Arial"/>
                <w:color w:val="000000"/>
                <w:sz w:val="18"/>
                <w:szCs w:val="18"/>
              </w:rPr>
              <w:t>Income tax benefit (provision)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DCE2EF"/>
            <w:tcMar>
              <w:top w:w="30" w:type="dxa"/>
              <w:left w:w="200" w:type="dxa"/>
              <w:bottom w:w="30" w:type="dxa"/>
              <w:right w:w="20" w:type="dxa"/>
            </w:tcMar>
            <w:vAlign w:val="bottom"/>
            <w:hideMark/>
          </w:tcPr>
          <w:p w:rsidR="00000000" w:rsidRDefault="007557F0">
            <w:pPr>
              <w:spacing w:after="100"/>
              <w:ind w:hanging="180"/>
              <w:rPr>
                <w:rFonts w:eastAsia="Times New Roman"/>
              </w:rPr>
            </w:pPr>
            <w:r>
              <w:rPr>
                <w:rFonts w:ascii="Arial" w:eastAsia="Times New Roman" w:hAnsi="Arial" w:cs="Arial"/>
                <w:color w:val="000000"/>
                <w:sz w:val="18"/>
                <w:szCs w:val="18"/>
              </w:rPr>
              <w:t xml:space="preserve">Comprehensive income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39.6 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74.0 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Net income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xml:space="preserve">Basic </w:t>
            </w: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0.58 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Diluted</w:t>
            </w: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0.58 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Weighted-average common and common equivalent</w:t>
            </w:r>
            <w:r>
              <w:rPr>
                <w:rFonts w:ascii="Arial" w:eastAsia="Times New Roman" w:hAnsi="Arial" w:cs="Arial"/>
                <w:b/>
                <w:bCs/>
                <w:color w:val="000000"/>
                <w:sz w:val="18"/>
                <w:szCs w:val="18"/>
              </w:rPr>
              <w:br/>
              <w:t>   shares outstanding</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Basic</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66.3 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67.9 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22117436"/>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Diluted</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66.8 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68.3 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bl>
    <w:p w:rsidR="00000000" w:rsidRDefault="007557F0">
      <w:pPr>
        <w:jc w:val="center"/>
        <w:divId w:val="1778021991"/>
        <w:rPr>
          <w:rFonts w:eastAsia="Times New Roman"/>
        </w:rPr>
      </w:pPr>
      <w:r>
        <w:rPr>
          <w:rFonts w:ascii="Arial" w:eastAsia="Times New Roman" w:hAnsi="Arial" w:cs="Arial"/>
          <w:color w:val="000000"/>
          <w:sz w:val="20"/>
          <w:szCs w:val="20"/>
        </w:rPr>
        <w:t xml:space="preserve">See accompanying notes to unaudited consolidated financial statements. </w:t>
      </w:r>
    </w:p>
    <w:p w:rsidR="00000000" w:rsidRDefault="007557F0">
      <w:pPr>
        <w:jc w:val="center"/>
        <w:divId w:val="141432200"/>
        <w:rPr>
          <w:rFonts w:eastAsia="Times New Roman"/>
        </w:rPr>
      </w:pPr>
    </w:p>
    <w:p w:rsidR="00000000" w:rsidRDefault="007557F0">
      <w:pPr>
        <w:jc w:val="center"/>
        <w:divId w:val="578903544"/>
        <w:rPr>
          <w:rFonts w:eastAsia="Times New Roman"/>
        </w:rPr>
      </w:pPr>
      <w:r>
        <w:rPr>
          <w:rFonts w:ascii="Arial" w:eastAsia="Times New Roman" w:hAnsi="Arial" w:cs="Arial"/>
          <w:color w:val="000000"/>
          <w:sz w:val="20"/>
          <w:szCs w:val="20"/>
        </w:rPr>
        <w:t>4</w:t>
      </w:r>
    </w:p>
    <w:p w:rsidR="00000000" w:rsidRDefault="007557F0">
      <w:pPr>
        <w:rPr>
          <w:rFonts w:eastAsia="Times New Roman"/>
        </w:rPr>
      </w:pPr>
      <w:r>
        <w:rPr>
          <w:rFonts w:eastAsia="Times New Roman"/>
        </w:rPr>
        <w:pict>
          <v:rect id="_x0000_i1032" style="width:0;height:1.5pt" o:hralign="center" o:hrstd="t" o:hr="t" fillcolor="#a0a0a0" stroked="f"/>
        </w:pict>
      </w:r>
    </w:p>
    <w:p w:rsidR="00000000" w:rsidRDefault="007557F0">
      <w:pPr>
        <w:jc w:val="both"/>
        <w:divId w:val="1255745166"/>
        <w:rPr>
          <w:rFonts w:eastAsia="Times New Roman"/>
        </w:rPr>
      </w:pPr>
    </w:p>
    <w:p w:rsidR="00000000" w:rsidRDefault="007557F0">
      <w:pPr>
        <w:jc w:val="center"/>
        <w:divId w:val="84303274"/>
        <w:rPr>
          <w:rFonts w:eastAsia="Times New Roman"/>
        </w:rPr>
      </w:pPr>
      <w:r>
        <w:rPr>
          <w:rFonts w:ascii="Arial" w:eastAsia="Times New Roman" w:hAnsi="Arial" w:cs="Arial"/>
          <w:b/>
          <w:bCs/>
          <w:color w:val="0046AD"/>
          <w:sz w:val="20"/>
          <w:szCs w:val="20"/>
        </w:rPr>
        <w:t>ABM INDUSTRIES INCORPORATED AND SUBSIDIARIES</w:t>
      </w:r>
    </w:p>
    <w:p w:rsidR="00000000" w:rsidRDefault="007557F0">
      <w:pPr>
        <w:jc w:val="center"/>
        <w:divId w:val="1703826167"/>
        <w:rPr>
          <w:rFonts w:eastAsia="Times New Roman"/>
        </w:rPr>
      </w:pPr>
      <w:r>
        <w:rPr>
          <w:rFonts w:ascii="Arial" w:eastAsia="Times New Roman" w:hAnsi="Arial" w:cs="Arial"/>
          <w:b/>
          <w:bCs/>
          <w:color w:val="0046AD"/>
          <w:sz w:val="20"/>
          <w:szCs w:val="20"/>
        </w:rPr>
        <w:t xml:space="preserve">CONSOLIDATED STATEMENTS OF STOCKHOLDERS’ EQUITY </w:t>
      </w:r>
    </w:p>
    <w:p w:rsidR="00000000" w:rsidRDefault="007557F0">
      <w:pPr>
        <w:jc w:val="center"/>
        <w:divId w:val="6181234"/>
        <w:rPr>
          <w:rFonts w:eastAsia="Times New Roman"/>
        </w:rPr>
      </w:pPr>
      <w:r>
        <w:rPr>
          <w:rFonts w:ascii="Arial" w:eastAsia="Times New Roman" w:hAnsi="Arial" w:cs="Arial"/>
          <w:b/>
          <w:bCs/>
          <w:color w:val="0046AD"/>
          <w:sz w:val="20"/>
          <w:szCs w:val="20"/>
        </w:rPr>
        <w:t>(UNAUDITED)</w:t>
      </w:r>
    </w:p>
    <w:tbl>
      <w:tblPr>
        <w:tblW w:w="4736" w:type="pct"/>
        <w:tblCellMar>
          <w:top w:w="15" w:type="dxa"/>
          <w:left w:w="15" w:type="dxa"/>
          <w:bottom w:w="15" w:type="dxa"/>
          <w:right w:w="15" w:type="dxa"/>
        </w:tblCellMar>
        <w:tblLook w:val="04A0" w:firstRow="1" w:lastRow="0" w:firstColumn="1" w:lastColumn="0" w:noHBand="0" w:noVBand="1"/>
      </w:tblPr>
      <w:tblGrid>
        <w:gridCol w:w="41"/>
        <w:gridCol w:w="2662"/>
        <w:gridCol w:w="40"/>
        <w:gridCol w:w="36"/>
        <w:gridCol w:w="36"/>
        <w:gridCol w:w="36"/>
        <w:gridCol w:w="43"/>
        <w:gridCol w:w="817"/>
        <w:gridCol w:w="36"/>
        <w:gridCol w:w="36"/>
        <w:gridCol w:w="74"/>
        <w:gridCol w:w="36"/>
        <w:gridCol w:w="109"/>
        <w:gridCol w:w="843"/>
        <w:gridCol w:w="36"/>
        <w:gridCol w:w="36"/>
        <w:gridCol w:w="75"/>
        <w:gridCol w:w="36"/>
        <w:gridCol w:w="43"/>
        <w:gridCol w:w="833"/>
        <w:gridCol w:w="36"/>
        <w:gridCol w:w="36"/>
        <w:gridCol w:w="75"/>
        <w:gridCol w:w="36"/>
        <w:gridCol w:w="109"/>
        <w:gridCol w:w="84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820928200"/>
        </w:trPr>
        <w:tc>
          <w:tcPr>
            <w:tcW w:w="50" w:type="pct"/>
            <w:vAlign w:val="center"/>
            <w:hideMark/>
          </w:tcPr>
          <w:p w:rsidR="00000000" w:rsidRDefault="007557F0">
            <w:pPr>
              <w:jc w:val="center"/>
              <w:rPr>
                <w:rFonts w:eastAsia="Times New Roman"/>
              </w:rPr>
            </w:pPr>
          </w:p>
        </w:tc>
        <w:tc>
          <w:tcPr>
            <w:tcW w:w="188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44"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61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8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61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8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61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8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61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6"/>
                <w:szCs w:val="16"/>
              </w:rPr>
              <w:t>Three Months Ended January 31,</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4"/>
                <w:szCs w:val="14"/>
                <w:u w:val="single"/>
              </w:rPr>
              <w:t>(in millions, except per share amounts)</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Common Stock</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65.6 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67.3 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ind w:hanging="180"/>
              <w:divId w:val="399329154"/>
              <w:rPr>
                <w:rFonts w:eastAsia="Times New Roman"/>
              </w:rPr>
            </w:pPr>
            <w:r>
              <w:rPr>
                <w:rFonts w:ascii="Arial" w:eastAsia="Times New Roman" w:hAnsi="Arial" w:cs="Arial"/>
                <w:color w:val="000000"/>
                <w:sz w:val="16"/>
                <w:szCs w:val="16"/>
              </w:rPr>
              <w:t>Stock issued under employee stock purchase and share-based compensation plans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ind w:hanging="18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(0.3)</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66.1 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67.4 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675.5 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750.9 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FFFFFF"/>
            <w:tcMar>
              <w:top w:w="30" w:type="dxa"/>
              <w:left w:w="335" w:type="dxa"/>
              <w:bottom w:w="30" w:type="dxa"/>
              <w:right w:w="20" w:type="dxa"/>
            </w:tcMar>
            <w:vAlign w:val="center"/>
            <w:hideMark/>
          </w:tcPr>
          <w:p w:rsidR="00000000" w:rsidRDefault="007557F0">
            <w:pPr>
              <w:spacing w:after="100"/>
              <w:ind w:hanging="180"/>
              <w:rPr>
                <w:rFonts w:eastAsia="Times New Roman"/>
              </w:rPr>
            </w:pPr>
            <w:r>
              <w:rPr>
                <w:rFonts w:ascii="Arial" w:eastAsia="Times New Roman" w:hAnsi="Arial" w:cs="Arial"/>
                <w:color w:val="000000"/>
                <w:sz w:val="16"/>
                <w:szCs w:val="16"/>
              </w:rPr>
              <w:t>Taxes withheld under employee stock purchase and share-based compensation plans, net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(11.7)</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(9.0)</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 xml:space="preserve">Share-based compensation expense </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6.9 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8.5 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(13.3)</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670.7 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737.0 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ind w:hanging="180"/>
              <w:divId w:val="1785269606"/>
              <w:rPr>
                <w:rFonts w:eastAsia="Times New Roman"/>
              </w:rPr>
            </w:pPr>
            <w:r>
              <w:rPr>
                <w:rFonts w:ascii="Arial" w:eastAsia="Times New Roman" w:hAnsi="Arial" w:cs="Arial"/>
                <w:b/>
                <w:bCs/>
                <w:color w:val="000000"/>
                <w:sz w:val="16"/>
                <w:szCs w:val="16"/>
              </w:rPr>
              <w:t>Accumulated Other Comprehensive Loss, Net of Taxes</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(16.2)</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(22.5)</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(15.1)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(24.6)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1,057.2 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880.2 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38.5 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76.0 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 xml:space="preserve">Dividends </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254824273"/>
              <w:rPr>
                <w:rFonts w:eastAsia="Times New Roman"/>
              </w:rPr>
            </w:pPr>
            <w:r>
              <w:rPr>
                <w:rFonts w:ascii="Arial" w:eastAsia="Times New Roman" w:hAnsi="Arial" w:cs="Arial"/>
                <w:color w:val="000000"/>
                <w:sz w:val="16"/>
                <w:szCs w:val="16"/>
              </w:rPr>
              <w:t>Common stock ($0.220 and $0.195 per share)</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(14.4)</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(13.1)</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26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 xml:space="preserve">Stock issued under share-based compensation </w:t>
            </w:r>
            <w:r>
              <w:rPr>
                <w:rFonts w:ascii="Arial" w:eastAsia="Times New Roman" w:hAnsi="Arial" w:cs="Arial"/>
                <w:color w:val="000000"/>
                <w:sz w:val="16"/>
                <w:szCs w:val="16"/>
              </w:rPr>
              <w:br/>
              <w:t>    plans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(1.0)</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(1.0)</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1,080.3 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942.1 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20928200"/>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Total Stockholders’ Equity</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1,736.5 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1,655.2 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bl>
    <w:p w:rsidR="00000000" w:rsidRDefault="007557F0">
      <w:pPr>
        <w:divId w:val="924993986"/>
        <w:rPr>
          <w:rFonts w:eastAsia="Times New Roman"/>
        </w:rPr>
      </w:pPr>
    </w:p>
    <w:p w:rsidR="00000000" w:rsidRDefault="007557F0">
      <w:pPr>
        <w:jc w:val="center"/>
        <w:divId w:val="888228848"/>
        <w:rPr>
          <w:rFonts w:eastAsia="Times New Roman"/>
        </w:rPr>
      </w:pPr>
      <w:r>
        <w:rPr>
          <w:rFonts w:ascii="Arial" w:eastAsia="Times New Roman" w:hAnsi="Arial" w:cs="Arial"/>
          <w:color w:val="000000"/>
          <w:sz w:val="20"/>
          <w:szCs w:val="20"/>
        </w:rPr>
        <w:t xml:space="preserve">See accompanying notes to unaudited consolidated financial statements. </w:t>
      </w:r>
    </w:p>
    <w:p w:rsidR="00000000" w:rsidRDefault="007557F0">
      <w:pPr>
        <w:jc w:val="center"/>
        <w:divId w:val="1245840669"/>
        <w:rPr>
          <w:rFonts w:eastAsia="Times New Roman"/>
        </w:rPr>
      </w:pPr>
      <w:r>
        <w:rPr>
          <w:rFonts w:ascii="Arial" w:eastAsia="Times New Roman" w:hAnsi="Arial" w:cs="Arial"/>
          <w:color w:val="000000"/>
          <w:sz w:val="20"/>
          <w:szCs w:val="20"/>
        </w:rPr>
        <w:t>5</w:t>
      </w:r>
    </w:p>
    <w:p w:rsidR="00000000" w:rsidRDefault="007557F0">
      <w:pPr>
        <w:rPr>
          <w:rFonts w:eastAsia="Times New Roman"/>
        </w:rPr>
      </w:pPr>
      <w:r>
        <w:rPr>
          <w:rFonts w:eastAsia="Times New Roman"/>
        </w:rPr>
        <w:pict>
          <v:rect id="_x0000_i1033" style="width:0;height:1.5pt" o:hralign="center" o:hrstd="t" o:hr="t" fillcolor="#a0a0a0" stroked="f"/>
        </w:pict>
      </w:r>
    </w:p>
    <w:p w:rsidR="00000000" w:rsidRDefault="007557F0">
      <w:pPr>
        <w:jc w:val="both"/>
        <w:divId w:val="894006187"/>
        <w:rPr>
          <w:rFonts w:eastAsia="Times New Roman"/>
        </w:rPr>
      </w:pPr>
    </w:p>
    <w:p w:rsidR="00000000" w:rsidRDefault="007557F0">
      <w:pPr>
        <w:jc w:val="center"/>
        <w:divId w:val="1961646841"/>
        <w:rPr>
          <w:rFonts w:eastAsia="Times New Roman"/>
        </w:rPr>
      </w:pPr>
      <w:r>
        <w:rPr>
          <w:rFonts w:ascii="Arial" w:eastAsia="Times New Roman" w:hAnsi="Arial" w:cs="Arial"/>
          <w:b/>
          <w:bCs/>
          <w:color w:val="0046AD"/>
          <w:sz w:val="20"/>
          <w:szCs w:val="20"/>
        </w:rPr>
        <w:t>ABM INDUSTRIES INCORPORATED AND SUBSIDIARIES</w:t>
      </w:r>
    </w:p>
    <w:p w:rsidR="00000000" w:rsidRDefault="007557F0">
      <w:pPr>
        <w:jc w:val="center"/>
        <w:divId w:val="428163763"/>
        <w:rPr>
          <w:rFonts w:eastAsia="Times New Roman"/>
        </w:rPr>
      </w:pPr>
      <w:r>
        <w:rPr>
          <w:rFonts w:ascii="Arial" w:eastAsia="Times New Roman" w:hAnsi="Arial" w:cs="Arial"/>
          <w:b/>
          <w:bCs/>
          <w:color w:val="0046AD"/>
          <w:sz w:val="20"/>
          <w:szCs w:val="20"/>
        </w:rPr>
        <w:t>CONSOLIDATED STATEMENTS OF CASH FLOWS</w:t>
      </w:r>
    </w:p>
    <w:p w:rsidR="00000000" w:rsidRDefault="007557F0">
      <w:pPr>
        <w:jc w:val="center"/>
        <w:divId w:val="1565598681"/>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951"/>
        <w:gridCol w:w="38"/>
        <w:gridCol w:w="110"/>
        <w:gridCol w:w="977"/>
        <w:gridCol w:w="36"/>
        <w:gridCol w:w="36"/>
        <w:gridCol w:w="36"/>
        <w:gridCol w:w="36"/>
        <w:gridCol w:w="110"/>
        <w:gridCol w:w="896"/>
        <w:gridCol w:w="36"/>
      </w:tblGrid>
      <w:tr w:rsidR="00000000">
        <w:trPr>
          <w:divId w:val="1390304277"/>
          <w:jc w:val="center"/>
        </w:trPr>
        <w:tc>
          <w:tcPr>
            <w:tcW w:w="50" w:type="pct"/>
            <w:vAlign w:val="center"/>
            <w:hideMark/>
          </w:tcPr>
          <w:p w:rsidR="00000000" w:rsidRDefault="007557F0">
            <w:pPr>
              <w:jc w:val="center"/>
              <w:rPr>
                <w:rFonts w:eastAsia="Times New Roman"/>
              </w:rPr>
            </w:pPr>
          </w:p>
        </w:tc>
        <w:tc>
          <w:tcPr>
            <w:tcW w:w="3604"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611"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4"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583"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390304277"/>
          <w:jc w:val="center"/>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6"/>
                <w:szCs w:val="16"/>
              </w:rPr>
              <w:t>Three Months Ended January 31,</w:t>
            </w:r>
          </w:p>
        </w:tc>
      </w:tr>
      <w:tr w:rsidR="00000000">
        <w:trPr>
          <w:divId w:val="1390304277"/>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6"/>
                <w:szCs w:val="16"/>
              </w:rPr>
              <w:t>2022</w:t>
            </w: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Cash flows from operating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Net income</w:t>
            </w: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38.5 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76.0 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Adjustments to reconcile net income to net cash provided by operating</w:t>
            </w:r>
            <w:r>
              <w:rPr>
                <w:rFonts w:ascii="Arial" w:eastAsia="Times New Roman" w:hAnsi="Arial" w:cs="Arial"/>
                <w:b/>
                <w:bCs/>
                <w:color w:val="000000"/>
                <w:sz w:val="16"/>
                <w:szCs w:val="16"/>
              </w:rPr>
              <w:br/>
              <w:t>    activities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30.5 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27.7 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vAlign w:val="center"/>
            <w:hideMark/>
          </w:tcPr>
          <w:p w:rsidR="00000000" w:rsidRDefault="007557F0">
            <w:pPr>
              <w:spacing w:after="100"/>
              <w:jc w:val="right"/>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390304277"/>
          <w:jc w:val="center"/>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Deferred income taxes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9.6 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9.3 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6.9 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8.5 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(Recovery of)/Provision for bad debt</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(0.9)</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 xml:space="preserve">Amortization of accumulated other comprehensive gain on interest rate swaps </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(1.4)</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Discount accretion on insurance claims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Gain on sale of assets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(0.2)</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(0.3)</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(1.1)</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(0.5)</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vAlign w:val="center"/>
            <w:hideMark/>
          </w:tcPr>
          <w:p w:rsidR="00000000" w:rsidRDefault="007557F0">
            <w:pPr>
              <w:spacing w:after="100"/>
              <w:jc w:val="right"/>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390304277"/>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Trade accounts receivable and costs incurred in excess of amounts billed</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(51.0)</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(90.3)</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(18.7)</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2.1 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23.7 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Trade accounts payable and other accrued liabilities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(111.5)</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(41.8)</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Long-term lease liabilities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(2.7)</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Insurance claims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12.5 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(17.5)</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(9.4)</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4.7 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Other noncurrent liabilities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(66.5)</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Total adjustments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(109.4)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(169.6)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Net cash used in operating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(70.9)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(93.6)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Additions to property, plant and equipment</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(13.8)</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(9.6)</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Proceeds from sale of assets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vAlign w:val="center"/>
            <w:hideMark/>
          </w:tcPr>
          <w:p w:rsidR="00000000" w:rsidRDefault="007557F0">
            <w:pPr>
              <w:spacing w:after="100"/>
              <w:jc w:val="right"/>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Investments in equity securities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(3.0)</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Cash flows from financing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 xml:space="preserve">Taxes withheld from issuance of share-based compensation awards, net </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(12.7)</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(10.0)</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Repurchases of common stock</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(13.3)</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Dividends paid</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(14.4)</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(13.1)</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vAlign w:val="center"/>
            <w:hideMark/>
          </w:tcPr>
          <w:p w:rsidR="00000000" w:rsidRDefault="007557F0">
            <w:pPr>
              <w:spacing w:after="100"/>
              <w:jc w:val="right"/>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Borrowings from debt</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264.5 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475.5 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Repayment of borrowings from debt</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(147.6)</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(356.6)</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Changes in book cash overdrafts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6.8 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5.9 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Financing of energy savings performance contracts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Repayment of finance lease obligations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(0.8)</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(0.6)</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Net 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96.2 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90.3 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Effect of exchange rate changes on cash and cash equivalents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(0.6)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Net increase (decrease) in cash and cash equivalent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(16.2)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Cash and cash equivalents at beginning of year</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73.0 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62.8 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90304277"/>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6"/>
                <w:szCs w:val="16"/>
              </w:rPr>
              <w:t>Cash and cash equivalents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87.9 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6"/>
                <w:szCs w:val="16"/>
              </w:rPr>
              <w:t>46.6 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bl>
    <w:p w:rsidR="00000000" w:rsidRDefault="007557F0">
      <w:pPr>
        <w:jc w:val="center"/>
        <w:divId w:val="988097711"/>
        <w:rPr>
          <w:rFonts w:eastAsia="Times New Roman"/>
        </w:rPr>
      </w:pPr>
      <w:r>
        <w:rPr>
          <w:rFonts w:ascii="Arial" w:eastAsia="Times New Roman" w:hAnsi="Arial" w:cs="Arial"/>
          <w:color w:val="000000"/>
          <w:sz w:val="20"/>
          <w:szCs w:val="20"/>
        </w:rPr>
        <w:t>See accompanying notes to unaudited consolidated financial statements.</w:t>
      </w:r>
    </w:p>
    <w:p w:rsidR="00000000" w:rsidRDefault="007557F0">
      <w:pPr>
        <w:jc w:val="center"/>
        <w:divId w:val="1273129897"/>
        <w:rPr>
          <w:rFonts w:eastAsia="Times New Roman"/>
        </w:rPr>
      </w:pPr>
      <w:r>
        <w:rPr>
          <w:rFonts w:ascii="Arial" w:eastAsia="Times New Roman" w:hAnsi="Arial" w:cs="Arial"/>
          <w:color w:val="000000"/>
          <w:sz w:val="20"/>
          <w:szCs w:val="20"/>
        </w:rPr>
        <w:t>6</w:t>
      </w:r>
    </w:p>
    <w:p w:rsidR="00000000" w:rsidRDefault="007557F0">
      <w:pPr>
        <w:rPr>
          <w:rFonts w:eastAsia="Times New Roman"/>
        </w:rPr>
      </w:pPr>
      <w:r>
        <w:rPr>
          <w:rFonts w:eastAsia="Times New Roman"/>
        </w:rPr>
        <w:pict>
          <v:rect id="_x0000_i1034" style="width:0;height:1.5pt" o:hralign="center" o:hrstd="t" o:hr="t" fillcolor="#a0a0a0" stroked="f"/>
        </w:pict>
      </w:r>
    </w:p>
    <w:p w:rsidR="00000000" w:rsidRDefault="007557F0">
      <w:pPr>
        <w:jc w:val="both"/>
        <w:divId w:val="16321502"/>
        <w:rPr>
          <w:rFonts w:eastAsia="Times New Roman"/>
        </w:rPr>
      </w:pPr>
    </w:p>
    <w:p w:rsidR="00000000" w:rsidRDefault="007557F0">
      <w:pPr>
        <w:jc w:val="center"/>
        <w:divId w:val="2097901714"/>
        <w:rPr>
          <w:rFonts w:eastAsia="Times New Roman"/>
        </w:rPr>
      </w:pPr>
      <w:r>
        <w:rPr>
          <w:rFonts w:ascii="Arial" w:eastAsia="Times New Roman" w:hAnsi="Arial" w:cs="Arial"/>
          <w:b/>
          <w:bCs/>
          <w:color w:val="0046AD"/>
          <w:sz w:val="20"/>
          <w:szCs w:val="20"/>
        </w:rPr>
        <w:t>ABM INDUSTRIES INCORPORATED AND SUBSIDIARIES</w:t>
      </w:r>
    </w:p>
    <w:p w:rsidR="00000000" w:rsidRDefault="007557F0">
      <w:pPr>
        <w:jc w:val="center"/>
        <w:divId w:val="1176308414"/>
        <w:rPr>
          <w:rFonts w:eastAsia="Times New Roman"/>
        </w:rPr>
      </w:pPr>
      <w:r>
        <w:rPr>
          <w:rFonts w:ascii="Arial" w:eastAsia="Times New Roman" w:hAnsi="Arial" w:cs="Arial"/>
          <w:b/>
          <w:bCs/>
          <w:color w:val="0046AD"/>
          <w:sz w:val="20"/>
          <w:szCs w:val="20"/>
        </w:rPr>
        <w:t>NOTES TO CONSOLIDATED FINANCIAL STATEMENTS</w:t>
      </w:r>
    </w:p>
    <w:p w:rsidR="00000000" w:rsidRDefault="007557F0">
      <w:pPr>
        <w:jc w:val="center"/>
        <w:divId w:val="540895522"/>
        <w:rPr>
          <w:rFonts w:eastAsia="Times New Roman"/>
        </w:rPr>
      </w:pPr>
      <w:r>
        <w:rPr>
          <w:rFonts w:ascii="Arial" w:eastAsia="Times New Roman" w:hAnsi="Arial" w:cs="Arial"/>
          <w:b/>
          <w:bCs/>
          <w:color w:val="0046AD"/>
          <w:sz w:val="20"/>
          <w:szCs w:val="20"/>
        </w:rPr>
        <w:t>(UNAUDITED)</w:t>
      </w:r>
    </w:p>
    <w:p w:rsidR="00000000" w:rsidRDefault="007557F0">
      <w:pPr>
        <w:divId w:val="1389960468"/>
        <w:rPr>
          <w:rFonts w:eastAsia="Times New Roman"/>
        </w:rPr>
      </w:pPr>
      <w:r>
        <w:rPr>
          <w:rFonts w:ascii="Arial" w:eastAsia="Times New Roman" w:hAnsi="Arial" w:cs="Arial"/>
          <w:b/>
          <w:bCs/>
          <w:color w:val="0046AD"/>
          <w:sz w:val="20"/>
          <w:szCs w:val="20"/>
        </w:rPr>
        <w:t xml:space="preserve">1. THE COMPANY AND NATURE OF OPERATIONS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231382377"/>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23138237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1105271135"/>
        <w:rPr>
          <w:rFonts w:eastAsia="Times New Roman"/>
        </w:rPr>
      </w:pPr>
      <w:r>
        <w:rPr>
          <w:rFonts w:ascii="Arial" w:eastAsia="Times New Roman" w:hAnsi="Arial" w:cs="Arial"/>
          <w:color w:val="000000"/>
          <w:sz w:val="20"/>
          <w:szCs w:val="20"/>
        </w:rPr>
        <w:t xml:space="preserve">ABM is a leading provider of integrated facility services with a mission to make a difference, every person, every day. We are organized into four industry groups and one Technical Solutions segment: </w:t>
      </w:r>
    </w:p>
    <w:p w:rsidR="00000000" w:rsidRDefault="007557F0">
      <w:pPr>
        <w:spacing w:before="180"/>
        <w:jc w:val="center"/>
        <w:divId w:val="1851989526"/>
        <w:rPr>
          <w:rFonts w:eastAsia="Times New Roman"/>
        </w:rPr>
      </w:pPr>
      <w:r>
        <w:rPr>
          <w:rFonts w:eastAsia="Times New Roman"/>
          <w:noProof/>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7557F0">
      <w:pPr>
        <w:ind w:firstLine="720"/>
        <w:jc w:val="both"/>
        <w:divId w:val="871303020"/>
        <w:rPr>
          <w:rFonts w:eastAsia="Times New Roman"/>
        </w:rPr>
      </w:pPr>
      <w:r>
        <w:rPr>
          <w:rFonts w:ascii="Arial" w:eastAsia="Times New Roman" w:hAnsi="Arial" w:cs="Arial"/>
          <w:color w:val="000000"/>
          <w:sz w:val="20"/>
          <w:szCs w:val="20"/>
        </w:rPr>
        <w:t>Through these groups, we offer janitorial, facilities engineering, parking, and specialized mechanical and electrical technical solutions, on a standalone basis or in combination wit</w:t>
      </w:r>
      <w:r>
        <w:rPr>
          <w:rFonts w:ascii="Arial" w:eastAsia="Times New Roman" w:hAnsi="Arial" w:cs="Arial"/>
          <w:color w:val="000000"/>
          <w:sz w:val="20"/>
          <w:szCs w:val="20"/>
        </w:rPr>
        <w:t xml:space="preserve">h other services. </w:t>
      </w:r>
    </w:p>
    <w:p w:rsidR="00000000" w:rsidRDefault="007557F0">
      <w:pPr>
        <w:jc w:val="both"/>
        <w:divId w:val="1035958522"/>
        <w:rPr>
          <w:rFonts w:eastAsia="Times New Roman"/>
        </w:rPr>
      </w:pPr>
      <w:r>
        <w:rPr>
          <w:rFonts w:ascii="Arial" w:eastAsia="Times New Roman" w:hAnsi="Arial" w:cs="Arial"/>
          <w:b/>
          <w:bCs/>
          <w:color w:val="0046AD"/>
          <w:sz w:val="20"/>
          <w:szCs w:val="20"/>
        </w:rPr>
        <w:t>2. BASIS OF PRESENTATION AND SIGNIFICANT ACCOUNTING POLICIES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569311784"/>
        </w:trPr>
        <w:tc>
          <w:tcPr>
            <w:tcW w:w="5" w:type="pct"/>
            <w:vAlign w:val="center"/>
            <w:hideMark/>
          </w:tcPr>
          <w:p w:rsidR="00000000" w:rsidRDefault="007557F0">
            <w:pPr>
              <w:jc w:val="both"/>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569311784"/>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jc w:val="both"/>
        <w:divId w:val="777602297"/>
        <w:rPr>
          <w:rFonts w:eastAsia="Times New Roman"/>
        </w:rPr>
      </w:pPr>
      <w:r>
        <w:rPr>
          <w:rFonts w:ascii="Arial" w:eastAsia="Times New Roman" w:hAnsi="Arial" w:cs="Arial"/>
          <w:b/>
          <w:bCs/>
          <w:color w:val="0046AD"/>
          <w:sz w:val="20"/>
          <w:szCs w:val="20"/>
        </w:rPr>
        <w:t>Basis of Presentation</w:t>
      </w:r>
      <w:r>
        <w:rPr>
          <w:rFonts w:ascii="Arial" w:eastAsia="Times New Roman" w:hAnsi="Arial" w:cs="Arial"/>
          <w:color w:val="000000"/>
          <w:sz w:val="20"/>
          <w:szCs w:val="20"/>
        </w:rPr>
        <w:t xml:space="preserve"> </w:t>
      </w:r>
    </w:p>
    <w:p w:rsidR="00000000" w:rsidRDefault="007557F0">
      <w:pPr>
        <w:ind w:firstLine="720"/>
        <w:jc w:val="both"/>
        <w:divId w:val="347756413"/>
        <w:rPr>
          <w:rFonts w:eastAsia="Times New Roman"/>
        </w:rPr>
      </w:pPr>
      <w:r>
        <w:rPr>
          <w:rFonts w:ascii="Arial" w:eastAsia="Times New Roman" w:hAnsi="Arial" w:cs="Arial"/>
          <w:color w:val="000000"/>
          <w:sz w:val="20"/>
          <w:szCs w:val="20"/>
        </w:rPr>
        <w:t>The accompanying unaudited consolidated financial statements have been prepared in accordance with (i) United States generally accepted accounting principles (“U.S. GAAP”) for interim financial information and (ii) the instructions to Form 10-Q and Article</w:t>
      </w:r>
      <w:r>
        <w:rPr>
          <w:rFonts w:ascii="Arial" w:eastAsia="Times New Roman" w:hAnsi="Arial" w:cs="Arial"/>
          <w:color w:val="000000"/>
          <w:sz w:val="20"/>
          <w:szCs w:val="20"/>
        </w:rPr>
        <w:t xml:space="preserve"> 10 of Regulation S-X. In the opinion of our management, our unaudited consolidated financial statements and accompanying notes (the “Financial Statements”) include all normal recurring adjustments that are necessary for the fair statement of the interim p</w:t>
      </w:r>
      <w:r>
        <w:rPr>
          <w:rFonts w:ascii="Arial" w:eastAsia="Times New Roman" w:hAnsi="Arial" w:cs="Arial"/>
          <w:color w:val="000000"/>
          <w:sz w:val="20"/>
          <w:szCs w:val="20"/>
        </w:rPr>
        <w:t xml:space="preserve">eriods presented. Interim results of operations are not necessarily indicative of results for the full year. The Financial Statements should be read in conjunction with our audited consolidated financial statements (and notes thereto) in our Annual Report </w:t>
      </w:r>
      <w:r>
        <w:rPr>
          <w:rFonts w:ascii="Arial" w:eastAsia="Times New Roman" w:hAnsi="Arial" w:cs="Arial"/>
          <w:color w:val="000000"/>
          <w:sz w:val="20"/>
          <w:szCs w:val="20"/>
        </w:rPr>
        <w:t>on Form 10-K for the year ended October 31, 2022. Unless otherwise indicated, all references to years are to our fiscal years, which end on October 31.</w:t>
      </w:r>
    </w:p>
    <w:p w:rsidR="00000000" w:rsidRDefault="007557F0">
      <w:pPr>
        <w:jc w:val="both"/>
        <w:divId w:val="1817405958"/>
        <w:rPr>
          <w:rFonts w:eastAsia="Times New Roman"/>
        </w:rPr>
      </w:pPr>
      <w:r>
        <w:rPr>
          <w:rFonts w:ascii="Arial" w:eastAsia="Times New Roman" w:hAnsi="Arial" w:cs="Arial"/>
          <w:b/>
          <w:bCs/>
          <w:color w:val="0046AD"/>
          <w:sz w:val="20"/>
          <w:szCs w:val="20"/>
        </w:rPr>
        <w:t>Rounding</w:t>
      </w:r>
    </w:p>
    <w:p w:rsidR="00000000" w:rsidRDefault="007557F0">
      <w:pPr>
        <w:ind w:firstLine="720"/>
        <w:jc w:val="both"/>
        <w:divId w:val="121847834"/>
        <w:rPr>
          <w:rFonts w:eastAsia="Times New Roman"/>
        </w:rPr>
      </w:pPr>
      <w:r>
        <w:rPr>
          <w:rFonts w:ascii="Arial" w:eastAsia="Times New Roman" w:hAnsi="Arial" w:cs="Arial"/>
          <w:color w:val="000000"/>
          <w:sz w:val="20"/>
          <w:szCs w:val="20"/>
        </w:rPr>
        <w:t>We round amounts in the Financial Statements to millions and calculate all percentages and per-share data from the underlying whole-dollar amounts. Thus, certain amounts may not foot, crossfoot, or recalculate based on reported numbers due to rounding.</w:t>
      </w:r>
    </w:p>
    <w:p w:rsidR="00000000" w:rsidRDefault="007557F0">
      <w:pPr>
        <w:divId w:val="875388308"/>
        <w:rPr>
          <w:rFonts w:eastAsia="Times New Roman"/>
        </w:rPr>
      </w:pPr>
      <w:r>
        <w:rPr>
          <w:rFonts w:ascii="Arial" w:eastAsia="Times New Roman" w:hAnsi="Arial" w:cs="Arial"/>
          <w:b/>
          <w:bCs/>
          <w:color w:val="0046AD"/>
          <w:sz w:val="20"/>
          <w:szCs w:val="20"/>
        </w:rPr>
        <w:t>Man</w:t>
      </w:r>
      <w:r>
        <w:rPr>
          <w:rFonts w:ascii="Arial" w:eastAsia="Times New Roman" w:hAnsi="Arial" w:cs="Arial"/>
          <w:b/>
          <w:bCs/>
          <w:color w:val="0046AD"/>
          <w:sz w:val="20"/>
          <w:szCs w:val="20"/>
        </w:rPr>
        <w:t>agement Reimbursement Revenue by Segment</w:t>
      </w:r>
    </w:p>
    <w:p w:rsidR="00000000" w:rsidRDefault="007557F0">
      <w:pPr>
        <w:ind w:firstLine="720"/>
        <w:jc w:val="both"/>
        <w:divId w:val="752091985"/>
        <w:rPr>
          <w:rFonts w:eastAsia="Times New Roman"/>
        </w:rPr>
      </w:pPr>
      <w:r>
        <w:rPr>
          <w:rFonts w:ascii="Arial" w:eastAsia="Times New Roman" w:hAnsi="Arial" w:cs="Arial"/>
          <w:color w:val="000000"/>
          <w:sz w:val="20"/>
          <w:szCs w:val="20"/>
        </w:rPr>
        <w:t>We operate certain parking facilities under management reimbursement arrangements. Under these arrangements, we manage the parking facilities for management fees and pass through the revenues and expenses associated</w:t>
      </w:r>
      <w:r>
        <w:rPr>
          <w:rFonts w:ascii="Arial" w:eastAsia="Times New Roman" w:hAnsi="Arial" w:cs="Arial"/>
          <w:color w:val="000000"/>
          <w:sz w:val="20"/>
          <w:szCs w:val="20"/>
        </w:rPr>
        <w:t xml:space="preserve"> with the facilities to the owners. These revenues and expenses are reported in equal amounts as costs reimbursed from our managed locations. Management reimbursement revenue was $72.4 million and $64.9 million in the three months ended January 31, 2023 an</w:t>
      </w:r>
      <w:r>
        <w:rPr>
          <w:rFonts w:ascii="Arial" w:eastAsia="Times New Roman" w:hAnsi="Arial" w:cs="Arial"/>
          <w:color w:val="000000"/>
          <w:sz w:val="20"/>
          <w:szCs w:val="20"/>
        </w:rPr>
        <w:t>d 2022, respectively.</w:t>
      </w:r>
    </w:p>
    <w:p w:rsidR="00000000" w:rsidRDefault="007557F0">
      <w:pPr>
        <w:jc w:val="both"/>
        <w:divId w:val="848057194"/>
        <w:rPr>
          <w:rFonts w:eastAsia="Times New Roman"/>
        </w:rPr>
      </w:pPr>
      <w:r>
        <w:rPr>
          <w:rFonts w:ascii="Arial" w:eastAsia="Times New Roman" w:hAnsi="Arial" w:cs="Arial"/>
          <w:b/>
          <w:bCs/>
          <w:color w:val="0046AD"/>
          <w:sz w:val="20"/>
          <w:szCs w:val="20"/>
        </w:rPr>
        <w:t>Recently Adopted Accounting Standards</w:t>
      </w:r>
    </w:p>
    <w:p w:rsidR="00000000" w:rsidRDefault="007557F0">
      <w:pPr>
        <w:ind w:firstLine="720"/>
        <w:jc w:val="both"/>
        <w:divId w:val="507451145"/>
        <w:rPr>
          <w:rFonts w:eastAsia="Times New Roman"/>
        </w:rPr>
      </w:pPr>
      <w:r>
        <w:rPr>
          <w:rFonts w:ascii="Arial" w:eastAsia="Times New Roman" w:hAnsi="Arial" w:cs="Arial"/>
          <w:color w:val="000000"/>
          <w:sz w:val="20"/>
          <w:szCs w:val="20"/>
        </w:rPr>
        <w:t>In March 2020, the Financial Accounting Standards Board (“FASB”) issued ASU 2020-04, Reference Rate Reform (Topic 848), Facilitation of the Effects of Reference Rate Reform on Financial Reporting.</w:t>
      </w:r>
      <w:r>
        <w:rPr>
          <w:rFonts w:ascii="Arial" w:eastAsia="Times New Roman" w:hAnsi="Arial" w:cs="Arial"/>
          <w:color w:val="000000"/>
          <w:sz w:val="20"/>
          <w:szCs w:val="20"/>
        </w:rPr>
        <w:t xml:space="preserve"> This ASU provides optional expedients to assist with the discontinuance of LIBOR. The expedients allow companies to ease the potential accounting burden when modifying contracts and hedging relationships that use LIBOR as a reference rate, if certain crit</w:t>
      </w:r>
      <w:r>
        <w:rPr>
          <w:rFonts w:ascii="Arial" w:eastAsia="Times New Roman" w:hAnsi="Arial" w:cs="Arial"/>
          <w:color w:val="000000"/>
          <w:sz w:val="20"/>
          <w:szCs w:val="20"/>
        </w:rPr>
        <w:t xml:space="preserve">eria are met. In January 2021, FASB issued ASU 2021-01, Reference Rate Reform (Topic 848): Scope. This ASU clarifies that derivatives affected by the discounting transition are explicitly eligible for certain optional expedients and exceptions under Topic </w:t>
      </w:r>
      <w:r>
        <w:rPr>
          <w:rFonts w:ascii="Arial" w:eastAsia="Times New Roman" w:hAnsi="Arial" w:cs="Arial"/>
          <w:color w:val="000000"/>
          <w:sz w:val="20"/>
          <w:szCs w:val="20"/>
        </w:rPr>
        <w:t xml:space="preserve">848. Effective November 1, 2022, we applied available practical expedients under ASC 848 to account for modifications, changes in critical terms, and updates to the designated </w:t>
      </w:r>
    </w:p>
    <w:p w:rsidR="00000000" w:rsidRDefault="007557F0">
      <w:pPr>
        <w:jc w:val="center"/>
        <w:divId w:val="1187404335"/>
        <w:rPr>
          <w:rFonts w:eastAsia="Times New Roman"/>
        </w:rPr>
      </w:pPr>
      <w:r>
        <w:rPr>
          <w:rFonts w:ascii="Arial" w:eastAsia="Times New Roman" w:hAnsi="Arial" w:cs="Arial"/>
          <w:color w:val="000000"/>
          <w:sz w:val="20"/>
          <w:szCs w:val="20"/>
        </w:rPr>
        <w:t>7</w:t>
      </w:r>
    </w:p>
    <w:p w:rsidR="00000000" w:rsidRDefault="007557F0">
      <w:pPr>
        <w:rPr>
          <w:rFonts w:eastAsia="Times New Roman"/>
        </w:rPr>
      </w:pPr>
      <w:r>
        <w:rPr>
          <w:rFonts w:eastAsia="Times New Roman"/>
        </w:rPr>
        <w:pict>
          <v:rect id="_x0000_i1036" style="width:0;height:1.5pt" o:hralign="center" o:hrstd="t" o:hr="t" fillcolor="#a0a0a0" stroked="f"/>
        </w:pict>
      </w:r>
    </w:p>
    <w:p w:rsidR="00000000" w:rsidRDefault="007557F0">
      <w:pPr>
        <w:jc w:val="both"/>
        <w:divId w:val="1236009398"/>
        <w:rPr>
          <w:rFonts w:eastAsia="Times New Roman"/>
        </w:rPr>
      </w:pPr>
    </w:p>
    <w:p w:rsidR="00000000" w:rsidRDefault="007557F0">
      <w:pPr>
        <w:jc w:val="both"/>
        <w:divId w:val="1731268843"/>
        <w:rPr>
          <w:rFonts w:eastAsia="Times New Roman"/>
        </w:rPr>
      </w:pPr>
      <w:r>
        <w:rPr>
          <w:rFonts w:ascii="Arial" w:eastAsia="Times New Roman" w:hAnsi="Arial" w:cs="Arial"/>
          <w:color w:val="000000"/>
          <w:sz w:val="20"/>
          <w:szCs w:val="20"/>
        </w:rPr>
        <w:t>hedged risks as qualifying changes hav</w:t>
      </w:r>
      <w:r>
        <w:rPr>
          <w:rFonts w:ascii="Arial" w:eastAsia="Times New Roman" w:hAnsi="Arial" w:cs="Arial"/>
          <w:color w:val="000000"/>
          <w:sz w:val="20"/>
          <w:szCs w:val="20"/>
        </w:rPr>
        <w:t>e been made to applicable debt and derivative contracts as if they were not substantial.</w:t>
      </w:r>
    </w:p>
    <w:p w:rsidR="00000000" w:rsidRDefault="007557F0">
      <w:pPr>
        <w:ind w:firstLine="720"/>
        <w:jc w:val="both"/>
        <w:divId w:val="624429644"/>
        <w:rPr>
          <w:rFonts w:eastAsia="Times New Roman"/>
        </w:rPr>
      </w:pPr>
    </w:p>
    <w:p w:rsidR="00000000" w:rsidRDefault="007557F0">
      <w:pPr>
        <w:ind w:firstLine="720"/>
        <w:jc w:val="both"/>
        <w:divId w:val="473835786"/>
        <w:rPr>
          <w:rFonts w:eastAsia="Times New Roman"/>
        </w:rPr>
      </w:pPr>
    </w:p>
    <w:p w:rsidR="00000000" w:rsidRDefault="007557F0">
      <w:pPr>
        <w:jc w:val="center"/>
        <w:divId w:val="1921913014"/>
        <w:rPr>
          <w:rFonts w:eastAsia="Times New Roman"/>
        </w:rPr>
      </w:pPr>
      <w:r>
        <w:rPr>
          <w:rFonts w:ascii="Arial" w:eastAsia="Times New Roman" w:hAnsi="Arial" w:cs="Arial"/>
          <w:color w:val="000000"/>
          <w:sz w:val="20"/>
          <w:szCs w:val="20"/>
        </w:rPr>
        <w:t>8</w:t>
      </w:r>
    </w:p>
    <w:p w:rsidR="00000000" w:rsidRDefault="007557F0">
      <w:pPr>
        <w:rPr>
          <w:rFonts w:eastAsia="Times New Roman"/>
        </w:rPr>
      </w:pPr>
      <w:r>
        <w:rPr>
          <w:rFonts w:eastAsia="Times New Roman"/>
        </w:rPr>
        <w:pict>
          <v:rect id="_x0000_i1037" style="width:0;height:1.5pt" o:hralign="center" o:hrstd="t" o:hr="t" fillcolor="#a0a0a0" stroked="f"/>
        </w:pict>
      </w:r>
    </w:p>
    <w:p w:rsidR="00000000" w:rsidRDefault="007557F0">
      <w:pPr>
        <w:jc w:val="both"/>
        <w:divId w:val="646668999"/>
        <w:rPr>
          <w:rFonts w:eastAsia="Times New Roman"/>
        </w:rPr>
      </w:pPr>
    </w:p>
    <w:p w:rsidR="00000000" w:rsidRDefault="007557F0">
      <w:pPr>
        <w:jc w:val="both"/>
        <w:divId w:val="1781681261"/>
        <w:rPr>
          <w:rFonts w:eastAsia="Times New Roman"/>
        </w:rPr>
      </w:pPr>
      <w:r>
        <w:rPr>
          <w:rFonts w:ascii="Arial" w:eastAsia="Times New Roman" w:hAnsi="Arial" w:cs="Arial"/>
          <w:b/>
          <w:bCs/>
          <w:color w:val="0046AD"/>
          <w:sz w:val="20"/>
          <w:szCs w:val="20"/>
        </w:rPr>
        <w:t>3. ACQUISITIONS AND DISPOSITIONS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749304790"/>
        </w:trPr>
        <w:tc>
          <w:tcPr>
            <w:tcW w:w="5" w:type="pct"/>
            <w:vAlign w:val="center"/>
            <w:hideMark/>
          </w:tcPr>
          <w:p w:rsidR="00000000" w:rsidRDefault="007557F0">
            <w:pPr>
              <w:jc w:val="both"/>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749304790"/>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jc w:val="both"/>
        <w:divId w:val="1966810823"/>
        <w:rPr>
          <w:rFonts w:eastAsia="Times New Roman"/>
        </w:rPr>
      </w:pPr>
      <w:r>
        <w:rPr>
          <w:rFonts w:ascii="Arial" w:eastAsia="Times New Roman" w:hAnsi="Arial" w:cs="Arial"/>
          <w:b/>
          <w:bCs/>
          <w:color w:val="0046AD"/>
          <w:sz w:val="20"/>
          <w:szCs w:val="20"/>
        </w:rPr>
        <w:t>Acquisition of RavenVolt</w:t>
      </w:r>
    </w:p>
    <w:p w:rsidR="00000000" w:rsidRDefault="007557F0">
      <w:pPr>
        <w:ind w:firstLine="720"/>
        <w:jc w:val="both"/>
        <w:divId w:val="1155990903"/>
        <w:rPr>
          <w:rFonts w:eastAsia="Times New Roman"/>
        </w:rPr>
      </w:pPr>
      <w:r>
        <w:rPr>
          <w:rFonts w:ascii="Arial" w:eastAsia="Times New Roman" w:hAnsi="Arial" w:cs="Arial"/>
          <w:color w:val="000000"/>
          <w:sz w:val="20"/>
          <w:szCs w:val="20"/>
        </w:rPr>
        <w:t>On September 1, 2022, we completed the acquisition of all of the equity interests of RavenVolt, Inc. (“RavenVolt”), a nationwide provider of advanced turn-key microgrid systems utilized by diversified commercial and industrial customers, national retailers</w:t>
      </w:r>
      <w:r>
        <w:rPr>
          <w:rFonts w:ascii="Arial" w:eastAsia="Times New Roman" w:hAnsi="Arial" w:cs="Arial"/>
          <w:color w:val="000000"/>
          <w:sz w:val="20"/>
          <w:szCs w:val="20"/>
        </w:rPr>
        <w:t>, utilities, and municipalities. RavenVolt’s operations are included within our Technical Solutions segment. The transaction met the definition of a business combination. We applied the acquisition method of accounting.</w:t>
      </w:r>
    </w:p>
    <w:p w:rsidR="00000000" w:rsidRDefault="007557F0">
      <w:pPr>
        <w:ind w:firstLine="720"/>
        <w:jc w:val="both"/>
        <w:divId w:val="1095394026"/>
        <w:rPr>
          <w:rFonts w:eastAsia="Times New Roman"/>
        </w:rPr>
      </w:pPr>
      <w:r>
        <w:rPr>
          <w:rFonts w:ascii="Arial" w:eastAsia="Times New Roman" w:hAnsi="Arial" w:cs="Arial"/>
          <w:color w:val="000000"/>
          <w:sz w:val="20"/>
          <w:szCs w:val="20"/>
        </w:rPr>
        <w:t>The initial purchase price for the a</w:t>
      </w:r>
      <w:r>
        <w:rPr>
          <w:rFonts w:ascii="Arial" w:eastAsia="Times New Roman" w:hAnsi="Arial" w:cs="Arial"/>
          <w:color w:val="000000"/>
          <w:sz w:val="20"/>
          <w:szCs w:val="20"/>
        </w:rPr>
        <w:t>cquisition was approximately $170.0 million in cash at closing (subject to customary working capital and net debt adjustments) plus the potential of post-closing contingent consideration of up to $280.0 million. The post closing contingent consideration is</w:t>
      </w:r>
      <w:r>
        <w:rPr>
          <w:rFonts w:ascii="Arial" w:eastAsia="Times New Roman" w:hAnsi="Arial" w:cs="Arial"/>
          <w:color w:val="000000"/>
          <w:sz w:val="20"/>
          <w:szCs w:val="20"/>
        </w:rPr>
        <w:t xml:space="preserve"> payable in cash in calendar years 2024, 2025, and 2026 if RavenVolt’s earnings before interest, taxes, depreciation, and amortization (EBITDA), as defined in the RavenVolt merger agreement, meets or exceeds certain defined targets. The maximum contingent </w:t>
      </w:r>
      <w:r>
        <w:rPr>
          <w:rFonts w:ascii="Arial" w:eastAsia="Times New Roman" w:hAnsi="Arial" w:cs="Arial"/>
          <w:color w:val="000000"/>
          <w:sz w:val="20"/>
          <w:szCs w:val="20"/>
        </w:rPr>
        <w:t>consideration that is payable in calendar years 2024, 2025, and 2026 is $75.0 million, $75.0 million, and $130.0 million, respectively. If the EBITDA achieved for calendar years 2023 — 2025 cumulatively meets the defined EBITDA targets, the entire $280.0 m</w:t>
      </w:r>
      <w:r>
        <w:rPr>
          <w:rFonts w:ascii="Arial" w:eastAsia="Times New Roman" w:hAnsi="Arial" w:cs="Arial"/>
          <w:color w:val="000000"/>
          <w:sz w:val="20"/>
          <w:szCs w:val="20"/>
        </w:rPr>
        <w:t>illion would be paid in calendar year 2026, minus any earn-out payments made in 2024 and 2025. The estimate of the fair value of the contingent consideration on the date of acquisition, was $59.0 million.</w:t>
      </w:r>
    </w:p>
    <w:p w:rsidR="00000000" w:rsidRDefault="007557F0">
      <w:pPr>
        <w:ind w:firstLine="720"/>
        <w:jc w:val="both"/>
        <w:divId w:val="1183015995"/>
        <w:rPr>
          <w:rFonts w:eastAsia="Times New Roman"/>
        </w:rPr>
      </w:pPr>
      <w:r>
        <w:rPr>
          <w:rFonts w:ascii="Arial" w:eastAsia="Times New Roman" w:hAnsi="Arial" w:cs="Arial"/>
          <w:color w:val="000000"/>
          <w:sz w:val="20"/>
          <w:szCs w:val="20"/>
        </w:rPr>
        <w:t>The assets acquired and liabilities assumed were recognized at their acquisition date fair values. The acquisition accounting is subject to change as the Company obtains additional information during the measurement period about the facts and circumstances</w:t>
      </w:r>
      <w:r>
        <w:rPr>
          <w:rFonts w:ascii="Arial" w:eastAsia="Times New Roman" w:hAnsi="Arial" w:cs="Arial"/>
          <w:color w:val="000000"/>
          <w:sz w:val="20"/>
          <w:szCs w:val="20"/>
        </w:rPr>
        <w:t xml:space="preserve"> that existed as of the acquisition date. The final acquisition accounting may include changes to intangible assets, deferred taxes, and deferred revenue within the measurement period not to exceed one year from the acquisition date. Goodwill arising from </w:t>
      </w:r>
      <w:r>
        <w:rPr>
          <w:rFonts w:ascii="Arial" w:eastAsia="Times New Roman" w:hAnsi="Arial" w:cs="Arial"/>
          <w:color w:val="000000"/>
          <w:sz w:val="20"/>
          <w:szCs w:val="20"/>
        </w:rPr>
        <w:t>the RavenVolt Acquisition is not deductible for tax reporting purposes. As of January 31, 2023, we recorded preliminary goodwill and intangibles of $207.4 million and $16.7 million, respectively. The total assets acquired, excluding goodwill and intangible</w:t>
      </w:r>
      <w:r>
        <w:rPr>
          <w:rFonts w:ascii="Arial" w:eastAsia="Times New Roman" w:hAnsi="Arial" w:cs="Arial"/>
          <w:color w:val="000000"/>
          <w:sz w:val="20"/>
          <w:szCs w:val="20"/>
        </w:rPr>
        <w:t xml:space="preserve">s, and liabilities assumed amounted to $49.3 million and $44.5 million, respectively. </w:t>
      </w:r>
    </w:p>
    <w:p w:rsidR="00000000" w:rsidRDefault="007557F0">
      <w:pPr>
        <w:ind w:firstLine="720"/>
        <w:jc w:val="both"/>
        <w:divId w:val="1379664857"/>
        <w:rPr>
          <w:rFonts w:eastAsia="Times New Roman"/>
        </w:rPr>
      </w:pPr>
      <w:r>
        <w:rPr>
          <w:rFonts w:ascii="Arial" w:eastAsia="Times New Roman" w:hAnsi="Arial" w:cs="Arial"/>
          <w:color w:val="000000"/>
          <w:sz w:val="20"/>
          <w:szCs w:val="20"/>
        </w:rPr>
        <w:t>The unaudited Consolidated Statements of Comprehensive Income for the three months ended January 31, 2023, include revenues attributable to RavenVolt of $18.3 million, a</w:t>
      </w:r>
      <w:r>
        <w:rPr>
          <w:rFonts w:ascii="Arial" w:eastAsia="Times New Roman" w:hAnsi="Arial" w:cs="Arial"/>
          <w:color w:val="000000"/>
          <w:sz w:val="20"/>
          <w:szCs w:val="20"/>
        </w:rPr>
        <w:t xml:space="preserve">nd operating loss of $2.1 million. </w:t>
      </w:r>
    </w:p>
    <w:p w:rsidR="00000000" w:rsidRDefault="007557F0">
      <w:pPr>
        <w:ind w:hanging="180"/>
        <w:jc w:val="both"/>
        <w:divId w:val="653221918"/>
        <w:rPr>
          <w:rFonts w:eastAsia="Times New Roman"/>
        </w:rPr>
      </w:pPr>
      <w:r>
        <w:rPr>
          <w:rFonts w:ascii="Arial" w:eastAsia="Times New Roman" w:hAnsi="Arial" w:cs="Arial"/>
          <w:b/>
          <w:bCs/>
          <w:color w:val="0046AD"/>
          <w:sz w:val="20"/>
          <w:szCs w:val="20"/>
        </w:rPr>
        <w:t>Acquisition of Momentum</w:t>
      </w:r>
    </w:p>
    <w:p w:rsidR="00000000" w:rsidRDefault="007557F0">
      <w:pPr>
        <w:ind w:firstLine="720"/>
        <w:jc w:val="both"/>
        <w:divId w:val="2130317845"/>
        <w:rPr>
          <w:rFonts w:eastAsia="Times New Roman"/>
        </w:rPr>
      </w:pPr>
      <w:r>
        <w:rPr>
          <w:rFonts w:ascii="Arial" w:eastAsia="Times New Roman" w:hAnsi="Arial" w:cs="Arial"/>
          <w:color w:val="000000"/>
          <w:sz w:val="20"/>
          <w:szCs w:val="20"/>
        </w:rPr>
        <w:t>Effective April 7, 2022, we acquired Maybin Support Services Limited, Momentum Support Limited (UK), and Momentum Property Support Services Limited (collectively “Momentum”), a leading independent</w:t>
      </w:r>
      <w:r>
        <w:rPr>
          <w:rFonts w:ascii="Arial" w:eastAsia="Times New Roman" w:hAnsi="Arial" w:cs="Arial"/>
          <w:color w:val="000000"/>
          <w:sz w:val="20"/>
          <w:szCs w:val="20"/>
        </w:rPr>
        <w:t xml:space="preserve"> provider of facility services, primarily janitorial, across the Republic of Ireland and Northern Ireland, for a purchase price of approximately $54.8 million. The acquisition was accounted for under the acquisition method</w:t>
      </w:r>
      <w:r>
        <w:rPr>
          <w:rFonts w:ascii="Calibri" w:eastAsia="Times New Roman" w:hAnsi="Calibri" w:cs="Calibri"/>
          <w:color w:val="000000"/>
          <w:sz w:val="22"/>
          <w:szCs w:val="22"/>
        </w:rPr>
        <w:t xml:space="preserve">. </w:t>
      </w:r>
      <w:r>
        <w:rPr>
          <w:rFonts w:ascii="Arial" w:eastAsia="Times New Roman" w:hAnsi="Arial" w:cs="Arial"/>
          <w:color w:val="000000"/>
          <w:sz w:val="20"/>
          <w:szCs w:val="20"/>
        </w:rPr>
        <w:t>Accordingly, the assets acquired</w:t>
      </w:r>
      <w:r>
        <w:rPr>
          <w:rFonts w:ascii="Arial" w:eastAsia="Times New Roman" w:hAnsi="Arial" w:cs="Arial"/>
          <w:color w:val="000000"/>
          <w:sz w:val="20"/>
          <w:szCs w:val="20"/>
        </w:rPr>
        <w:t xml:space="preserve"> and liabilities assumed were recognized on the date of acquisition at their estimated fair values, with the excess of the purchase price recorded as goodwill, which is not deductible for income tax purposes. As of January 31, 2023, we recorded preliminary</w:t>
      </w:r>
      <w:r>
        <w:rPr>
          <w:rFonts w:ascii="Arial" w:eastAsia="Times New Roman" w:hAnsi="Arial" w:cs="Arial"/>
          <w:color w:val="000000"/>
          <w:sz w:val="20"/>
          <w:szCs w:val="20"/>
        </w:rPr>
        <w:t xml:space="preserve"> goodwill and intangibles of $41.6 million and $10.4 million, respectively. The total assets acquired, excluding goodwill and intangibles, and liabilities assumed amounted to $20.4 million and $17.6 million, respectively. The purchase price allocation is s</w:t>
      </w:r>
      <w:r>
        <w:rPr>
          <w:rFonts w:ascii="Arial" w:eastAsia="Times New Roman" w:hAnsi="Arial" w:cs="Arial"/>
          <w:color w:val="000000"/>
          <w:sz w:val="20"/>
          <w:szCs w:val="20"/>
        </w:rPr>
        <w:t xml:space="preserve">ubject to adjustments within the measurement period not to exceed one year from the acquisition date. </w:t>
      </w:r>
    </w:p>
    <w:p w:rsidR="00000000" w:rsidRDefault="007557F0">
      <w:pPr>
        <w:ind w:firstLine="720"/>
        <w:jc w:val="both"/>
        <w:divId w:val="859010812"/>
        <w:rPr>
          <w:rFonts w:eastAsia="Times New Roman"/>
        </w:rPr>
      </w:pPr>
      <w:r>
        <w:rPr>
          <w:rFonts w:ascii="Arial" w:eastAsia="Times New Roman" w:hAnsi="Arial" w:cs="Arial"/>
          <w:color w:val="000000"/>
          <w:sz w:val="20"/>
          <w:szCs w:val="20"/>
        </w:rPr>
        <w:t>The unaudited Consolidated Statements of Comprehensive Income for the three months ended January 31, 2023, include revenues attributable to Momentum of $</w:t>
      </w:r>
      <w:r>
        <w:rPr>
          <w:rFonts w:ascii="Arial" w:eastAsia="Times New Roman" w:hAnsi="Arial" w:cs="Arial"/>
          <w:color w:val="000000"/>
          <w:sz w:val="20"/>
          <w:szCs w:val="20"/>
        </w:rPr>
        <w:t>19.2 million, and operating profit of $0.9 million.</w:t>
      </w:r>
    </w:p>
    <w:p w:rsidR="00000000" w:rsidRDefault="007557F0">
      <w:pPr>
        <w:jc w:val="both"/>
        <w:divId w:val="1591163125"/>
        <w:rPr>
          <w:rFonts w:eastAsia="Times New Roman"/>
        </w:rPr>
      </w:pPr>
      <w:r>
        <w:rPr>
          <w:rFonts w:ascii="Arial" w:eastAsia="Times New Roman" w:hAnsi="Arial" w:cs="Arial"/>
          <w:b/>
          <w:bCs/>
          <w:color w:val="0046AD"/>
          <w:sz w:val="20"/>
          <w:szCs w:val="20"/>
        </w:rPr>
        <w:t>Disposition of Assets</w:t>
      </w:r>
    </w:p>
    <w:p w:rsidR="00000000" w:rsidRDefault="007557F0">
      <w:pPr>
        <w:ind w:firstLine="720"/>
        <w:jc w:val="both"/>
        <w:divId w:val="652607537"/>
        <w:rPr>
          <w:rFonts w:eastAsia="Times New Roman"/>
        </w:rPr>
      </w:pPr>
      <w:r>
        <w:rPr>
          <w:rFonts w:ascii="Arial" w:eastAsia="Times New Roman" w:hAnsi="Arial" w:cs="Arial"/>
          <w:color w:val="000000"/>
          <w:sz w:val="20"/>
          <w:szCs w:val="20"/>
        </w:rPr>
        <w:t>On January 31, 2022, the Company sold a group of customer contracts for healthcare technology management within our Technical Solutions segment for $8.5 million and recognized a gain</w:t>
      </w:r>
      <w:r>
        <w:rPr>
          <w:rFonts w:ascii="Arial" w:eastAsia="Times New Roman" w:hAnsi="Arial" w:cs="Arial"/>
          <w:color w:val="000000"/>
          <w:sz w:val="20"/>
          <w:szCs w:val="20"/>
        </w:rPr>
        <w:t xml:space="preserve"> of $7.7 million during the three months ended January 31, 2022, which is included in </w:t>
      </w:r>
      <w:r>
        <w:rPr>
          <w:rFonts w:ascii="Arial" w:eastAsia="Times New Roman" w:hAnsi="Arial" w:cs="Arial"/>
          <w:color w:val="000000"/>
          <w:sz w:val="20"/>
          <w:szCs w:val="20"/>
        </w:rPr>
        <w:t>“</w:t>
      </w:r>
      <w:r>
        <w:rPr>
          <w:rFonts w:ascii="Arial" w:eastAsia="Times New Roman" w:hAnsi="Arial" w:cs="Arial"/>
          <w:color w:val="000000"/>
          <w:sz w:val="20"/>
          <w:szCs w:val="20"/>
        </w:rPr>
        <w:t>Selling, general and administrative expense</w:t>
      </w:r>
      <w:r>
        <w:rPr>
          <w:rFonts w:ascii="Arial" w:eastAsia="Times New Roman" w:hAnsi="Arial" w:cs="Arial"/>
          <w:color w:val="000000"/>
          <w:sz w:val="20"/>
          <w:szCs w:val="20"/>
        </w:rPr>
        <w:t>s</w:t>
      </w:r>
      <w:r>
        <w:rPr>
          <w:rFonts w:ascii="Arial" w:eastAsia="Times New Roman" w:hAnsi="Arial" w:cs="Arial"/>
          <w:color w:val="000000"/>
          <w:sz w:val="20"/>
          <w:szCs w:val="20"/>
        </w:rPr>
        <w:t>” in the accompanying unaudited Consolidated Statements of Comprehensive Income.</w:t>
      </w:r>
    </w:p>
    <w:p w:rsidR="00000000" w:rsidRDefault="007557F0">
      <w:pPr>
        <w:jc w:val="center"/>
        <w:divId w:val="1393385654"/>
        <w:rPr>
          <w:rFonts w:eastAsia="Times New Roman"/>
        </w:rPr>
      </w:pPr>
      <w:r>
        <w:rPr>
          <w:rFonts w:ascii="Arial" w:eastAsia="Times New Roman" w:hAnsi="Arial" w:cs="Arial"/>
          <w:color w:val="000000"/>
          <w:sz w:val="20"/>
          <w:szCs w:val="20"/>
        </w:rPr>
        <w:t>9</w:t>
      </w:r>
    </w:p>
    <w:p w:rsidR="00000000" w:rsidRDefault="007557F0">
      <w:pPr>
        <w:rPr>
          <w:rFonts w:eastAsia="Times New Roman"/>
        </w:rPr>
      </w:pPr>
      <w:r>
        <w:rPr>
          <w:rFonts w:eastAsia="Times New Roman"/>
        </w:rPr>
        <w:pict>
          <v:rect id="_x0000_i1038" style="width:0;height:1.5pt" o:hralign="center" o:hrstd="t" o:hr="t" fillcolor="#a0a0a0" stroked="f"/>
        </w:pict>
      </w:r>
    </w:p>
    <w:p w:rsidR="00000000" w:rsidRDefault="007557F0">
      <w:pPr>
        <w:jc w:val="both"/>
        <w:divId w:val="1278567742"/>
        <w:rPr>
          <w:rFonts w:eastAsia="Times New Roman"/>
        </w:rPr>
      </w:pPr>
    </w:p>
    <w:p w:rsidR="00000000" w:rsidRDefault="007557F0">
      <w:pPr>
        <w:divId w:val="501775266"/>
        <w:rPr>
          <w:rFonts w:eastAsia="Times New Roman"/>
        </w:rPr>
      </w:pPr>
      <w:r>
        <w:rPr>
          <w:rFonts w:ascii="Arial" w:eastAsia="Times New Roman" w:hAnsi="Arial" w:cs="Arial"/>
          <w:b/>
          <w:bCs/>
          <w:color w:val="0046AD"/>
          <w:sz w:val="20"/>
          <w:szCs w:val="20"/>
        </w:rPr>
        <w:t>4. R</w:t>
      </w:r>
      <w:r>
        <w:rPr>
          <w:rFonts w:ascii="Arial" w:eastAsia="Times New Roman" w:hAnsi="Arial" w:cs="Arial"/>
          <w:b/>
          <w:bCs/>
          <w:color w:val="0046AD"/>
          <w:sz w:val="20"/>
          <w:szCs w:val="20"/>
        </w:rPr>
        <w:t>EVENUES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295792346"/>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295792346"/>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divId w:val="159925644"/>
        <w:rPr>
          <w:rFonts w:eastAsia="Times New Roman"/>
        </w:rPr>
      </w:pPr>
      <w:r>
        <w:rPr>
          <w:rFonts w:ascii="Arial" w:eastAsia="Times New Roman" w:hAnsi="Arial" w:cs="Arial"/>
          <w:b/>
          <w:bCs/>
          <w:color w:val="0046AD"/>
          <w:sz w:val="20"/>
          <w:szCs w:val="20"/>
        </w:rPr>
        <w:t>Disaggregation of Revenues</w:t>
      </w:r>
    </w:p>
    <w:p w:rsidR="00000000" w:rsidRDefault="007557F0">
      <w:pPr>
        <w:ind w:firstLine="720"/>
        <w:jc w:val="both"/>
        <w:divId w:val="737747756"/>
        <w:rPr>
          <w:rFonts w:eastAsia="Times New Roman"/>
        </w:rPr>
      </w:pPr>
      <w:r>
        <w:rPr>
          <w:rFonts w:ascii="Arial" w:eastAsia="Times New Roman" w:hAnsi="Arial" w:cs="Arial"/>
          <w:color w:val="000000"/>
          <w:sz w:val="20"/>
          <w:szCs w:val="20"/>
        </w:rPr>
        <w:t>We generate revenues under several types of contracts, which are further explained below. Generally, the type of contract is determined by the nature of the services provided by each of our major service lines throughout our reportable segments; therefore,</w:t>
      </w:r>
      <w:r>
        <w:rPr>
          <w:rFonts w:ascii="Arial" w:eastAsia="Times New Roman" w:hAnsi="Arial" w:cs="Arial"/>
          <w:color w:val="000000"/>
          <w:sz w:val="20"/>
          <w:szCs w:val="20"/>
        </w:rPr>
        <w:t xml:space="preserve"> we disaggregate revenues from contracts with customers into major service lines. We have determined that disaggregating revenues into these categories best depicts how the nature, amount, timing, and uncertainty of revenues and cash flows are affected by </w:t>
      </w:r>
      <w:r>
        <w:rPr>
          <w:rFonts w:ascii="Arial" w:eastAsia="Times New Roman" w:hAnsi="Arial" w:cs="Arial"/>
          <w:color w:val="000000"/>
          <w:sz w:val="20"/>
          <w:szCs w:val="20"/>
        </w:rPr>
        <w:t>economic factors. Our reportable segments are B&amp;I, M&amp;D, Education, Aviation, and Technical Solutions, as described in Note 12, “Segment Information.”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218"/>
        <w:gridCol w:w="37"/>
        <w:gridCol w:w="36"/>
        <w:gridCol w:w="36"/>
        <w:gridCol w:w="36"/>
        <w:gridCol w:w="104"/>
        <w:gridCol w:w="643"/>
        <w:gridCol w:w="36"/>
        <w:gridCol w:w="36"/>
        <w:gridCol w:w="36"/>
        <w:gridCol w:w="36"/>
        <w:gridCol w:w="104"/>
        <w:gridCol w:w="643"/>
        <w:gridCol w:w="36"/>
        <w:gridCol w:w="36"/>
        <w:gridCol w:w="36"/>
        <w:gridCol w:w="36"/>
        <w:gridCol w:w="105"/>
        <w:gridCol w:w="687"/>
        <w:gridCol w:w="36"/>
        <w:gridCol w:w="36"/>
        <w:gridCol w:w="36"/>
        <w:gridCol w:w="36"/>
        <w:gridCol w:w="105"/>
        <w:gridCol w:w="599"/>
        <w:gridCol w:w="36"/>
        <w:gridCol w:w="36"/>
        <w:gridCol w:w="36"/>
        <w:gridCol w:w="36"/>
        <w:gridCol w:w="105"/>
        <w:gridCol w:w="657"/>
        <w:gridCol w:w="36"/>
        <w:gridCol w:w="36"/>
        <w:gridCol w:w="36"/>
        <w:gridCol w:w="36"/>
        <w:gridCol w:w="104"/>
        <w:gridCol w:w="57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780302202"/>
        </w:trPr>
        <w:tc>
          <w:tcPr>
            <w:tcW w:w="50" w:type="pct"/>
            <w:vAlign w:val="center"/>
            <w:hideMark/>
          </w:tcPr>
          <w:p w:rsidR="00000000" w:rsidRDefault="007557F0">
            <w:pPr>
              <w:ind w:firstLine="720"/>
              <w:jc w:val="both"/>
              <w:rPr>
                <w:rFonts w:eastAsia="Times New Roman"/>
              </w:rPr>
            </w:pPr>
          </w:p>
        </w:tc>
        <w:tc>
          <w:tcPr>
            <w:tcW w:w="154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41"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780302202"/>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Three Months Ended January 31, 2023</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780302202"/>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Total</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780302202"/>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780302202"/>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7557F0">
        <w:trPr>
          <w:divId w:val="780302202"/>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1851797917"/>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687.0 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329.3 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187.7 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35.9 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1,239.9 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780302202"/>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1546216054"/>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96.9 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10.7 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0.3 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74.8 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182.6 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780302202"/>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2067215879"/>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252.6 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40.5 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27.0 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8.8 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328.8 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780302202"/>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818352216"/>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147.0 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147.0 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780302202"/>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226382504"/>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92.8 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92.8 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7557F0">
        <w:trPr>
          <w:divId w:val="780302202"/>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1,036.6 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380.5 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214.9 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212.3 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147.0 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1,991.3 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780302202"/>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780302202"/>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495"/>
        <w:gridCol w:w="144"/>
        <w:gridCol w:w="144"/>
        <w:gridCol w:w="144"/>
        <w:gridCol w:w="144"/>
        <w:gridCol w:w="144"/>
        <w:gridCol w:w="794"/>
        <w:gridCol w:w="144"/>
        <w:gridCol w:w="144"/>
        <w:gridCol w:w="144"/>
        <w:gridCol w:w="144"/>
        <w:gridCol w:w="144"/>
        <w:gridCol w:w="794"/>
        <w:gridCol w:w="144"/>
        <w:gridCol w:w="144"/>
        <w:gridCol w:w="144"/>
        <w:gridCol w:w="144"/>
        <w:gridCol w:w="144"/>
        <w:gridCol w:w="794"/>
        <w:gridCol w:w="144"/>
        <w:gridCol w:w="144"/>
        <w:gridCol w:w="144"/>
        <w:gridCol w:w="144"/>
        <w:gridCol w:w="144"/>
        <w:gridCol w:w="794"/>
        <w:gridCol w:w="144"/>
        <w:gridCol w:w="144"/>
        <w:gridCol w:w="144"/>
        <w:gridCol w:w="144"/>
        <w:gridCol w:w="144"/>
        <w:gridCol w:w="818"/>
        <w:gridCol w:w="144"/>
        <w:gridCol w:w="144"/>
        <w:gridCol w:w="144"/>
        <w:gridCol w:w="144"/>
        <w:gridCol w:w="144"/>
        <w:gridCol w:w="880"/>
        <w:gridCol w:w="144"/>
        <w:gridCol w:w="480"/>
        <w:gridCol w:w="144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c>
          <w:tcPr>
            <w:tcW w:w="50" w:type="pct"/>
            <w:vAlign w:val="center"/>
            <w:hideMark/>
          </w:tcPr>
          <w:p w:rsidR="00000000" w:rsidRDefault="007557F0">
            <w:pPr>
              <w:rPr>
                <w:rFonts w:eastAsia="Times New Roman"/>
              </w:rPr>
            </w:pPr>
          </w:p>
        </w:tc>
        <w:tc>
          <w:tcPr>
            <w:tcW w:w="150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93"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530"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Three Months Ended January 31, 2022</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5"/>
                <w:szCs w:val="15"/>
              </w:rPr>
              <w:t>Total</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681011739"/>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677.9 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304.2 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178.3 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29.8 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1,190.2 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969164298"/>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83.2 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10.7 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0.3 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77.7 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172.0 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374156637"/>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268.4 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44.1 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27.1 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6.5 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346.0 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1644626978"/>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141.8 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141.8 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101196467"/>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86.3 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86.3 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1,029.5 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359.1 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205.7 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200.3 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141.8 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5"/>
                <w:szCs w:val="15"/>
              </w:rPr>
              <w:t>1,936.2 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2"/>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bl>
    <w:p w:rsidR="00000000" w:rsidRDefault="007557F0">
      <w:pPr>
        <w:ind w:hanging="180"/>
        <w:jc w:val="both"/>
        <w:divId w:val="13175394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Janitorial arrangement</w:t>
      </w:r>
      <w:r>
        <w:rPr>
          <w:rFonts w:ascii="Arial" w:eastAsia="Times New Roman" w:hAnsi="Arial" w:cs="Arial"/>
          <w:color w:val="000000"/>
          <w:sz w:val="18"/>
          <w:szCs w:val="18"/>
        </w:rPr>
        <w:t>s provide a wide range of essential cleaning services for commercial office buildings, airports and other transportation centers, educational institutions, government buildings, health facilities, industrial buildings, retail stores, and stadiums and arena</w:t>
      </w:r>
      <w:r>
        <w:rPr>
          <w:rFonts w:ascii="Arial" w:eastAsia="Times New Roman" w:hAnsi="Arial" w:cs="Arial"/>
          <w:color w:val="000000"/>
          <w:sz w:val="18"/>
          <w:szCs w:val="18"/>
        </w:rPr>
        <w:t xml:space="preserve">s. These arrangements are often structured as monthly fixed-price, square-foot, cost-plus, and work order contracts. </w:t>
      </w:r>
    </w:p>
    <w:p w:rsidR="00000000" w:rsidRDefault="007557F0">
      <w:pPr>
        <w:ind w:hanging="180"/>
        <w:jc w:val="both"/>
        <w:divId w:val="1525822438"/>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Parking arrangements provide parking and transportation services for clients at various locations, including airports and other transp</w:t>
      </w:r>
      <w:r>
        <w:rPr>
          <w:rFonts w:ascii="Arial" w:eastAsia="Times New Roman" w:hAnsi="Arial" w:cs="Arial"/>
          <w:color w:val="000000"/>
          <w:sz w:val="18"/>
          <w:szCs w:val="18"/>
        </w:rPr>
        <w:t>ortation centers, commercial office buildings, educational institutions, health facilities, hotels, and stadiums and arenas. These arrangements are structured as management reimbursement, leased location, and allowance contracts. Certain of these arrangeme</w:t>
      </w:r>
      <w:r>
        <w:rPr>
          <w:rFonts w:ascii="Arial" w:eastAsia="Times New Roman" w:hAnsi="Arial" w:cs="Arial"/>
          <w:color w:val="000000"/>
          <w:sz w:val="18"/>
          <w:szCs w:val="18"/>
        </w:rPr>
        <w:t>nts are considered service concession agreements and are accounted for under the guidance of Topic 853; accordingly, rent expense related to these arrangements is recorded as a reduction of the related parking service revenues.</w:t>
      </w:r>
    </w:p>
    <w:p w:rsidR="00000000" w:rsidRDefault="007557F0">
      <w:pPr>
        <w:ind w:hanging="180"/>
        <w:jc w:val="both"/>
        <w:divId w:val="320623621"/>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Facility Services arrang</w:t>
      </w:r>
      <w:r>
        <w:rPr>
          <w:rFonts w:ascii="Arial" w:eastAsia="Times New Roman" w:hAnsi="Arial" w:cs="Arial"/>
          <w:color w:val="000000"/>
          <w:sz w:val="18"/>
          <w:szCs w:val="18"/>
        </w:rPr>
        <w:t>ements provide onsite mechanical engineering and technical services and solutions relating to a broad range of facilities and infrastructure systems that are designed to extend the useful life of facility fixed assets, improve equipment operating efficienc</w:t>
      </w:r>
      <w:r>
        <w:rPr>
          <w:rFonts w:ascii="Arial" w:eastAsia="Times New Roman" w:hAnsi="Arial" w:cs="Arial"/>
          <w:color w:val="000000"/>
          <w:sz w:val="18"/>
          <w:szCs w:val="18"/>
        </w:rPr>
        <w:t>ies, reduce energy consumption, lower overall operational costs for clients, and enhance the sustainability of client locations. These arrangements are generally structured as monthly fixed-price, cost-plus, and work order contracts.</w:t>
      </w:r>
    </w:p>
    <w:p w:rsidR="00000000" w:rsidRDefault="007557F0">
      <w:pPr>
        <w:ind w:hanging="180"/>
        <w:jc w:val="both"/>
        <w:divId w:val="2001806851"/>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Building &amp; Energy </w:t>
      </w:r>
      <w:r>
        <w:rPr>
          <w:rFonts w:ascii="Arial" w:eastAsia="Times New Roman" w:hAnsi="Arial" w:cs="Arial"/>
          <w:color w:val="000000"/>
          <w:sz w:val="18"/>
          <w:szCs w:val="18"/>
        </w:rPr>
        <w:t>Solutions arrangements provide custom energy solutions, including microgrid systems installation, electrical, HVAC, lighting, electric vehicle charging station installation, and other general maintenance and repair services for clients in the public and pr</w:t>
      </w:r>
      <w:r>
        <w:rPr>
          <w:rFonts w:ascii="Arial" w:eastAsia="Times New Roman" w:hAnsi="Arial" w:cs="Arial"/>
          <w:color w:val="000000"/>
          <w:sz w:val="18"/>
          <w:szCs w:val="18"/>
        </w:rPr>
        <w:t xml:space="preserve">ivate sectors and are generally structured as energy savings, fixed-price repair and refurbishment contracts. We also franchise certain operations under franchise agreements relating to our Linc Network and TEGG brands pursuant to franchise contracts. </w:t>
      </w:r>
    </w:p>
    <w:p w:rsidR="00000000" w:rsidRDefault="007557F0">
      <w:pPr>
        <w:ind w:hanging="180"/>
        <w:jc w:val="both"/>
        <w:divId w:val="1210847803"/>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Airline Services arrangements support airlines and airports with services such as passenger assistance, catering logistics, and airplane cabin maintenance. These arrangements are often structured as monthly fixed-price, cost-plus, transaction price, and h</w:t>
      </w:r>
      <w:r>
        <w:rPr>
          <w:rFonts w:ascii="Arial" w:eastAsia="Times New Roman" w:hAnsi="Arial" w:cs="Arial"/>
          <w:color w:val="000000"/>
          <w:sz w:val="18"/>
          <w:szCs w:val="18"/>
        </w:rPr>
        <w:t>ourly contracts.</w:t>
      </w:r>
    </w:p>
    <w:p w:rsidR="00000000" w:rsidRDefault="007557F0">
      <w:pPr>
        <w:jc w:val="center"/>
        <w:divId w:val="2035422701"/>
        <w:rPr>
          <w:rFonts w:eastAsia="Times New Roman"/>
        </w:rPr>
      </w:pPr>
      <w:r>
        <w:rPr>
          <w:rFonts w:ascii="Arial" w:eastAsia="Times New Roman" w:hAnsi="Arial" w:cs="Arial"/>
          <w:color w:val="000000"/>
          <w:sz w:val="20"/>
          <w:szCs w:val="20"/>
        </w:rPr>
        <w:t>10</w:t>
      </w:r>
    </w:p>
    <w:p w:rsidR="00000000" w:rsidRDefault="007557F0">
      <w:pPr>
        <w:rPr>
          <w:rFonts w:eastAsia="Times New Roman"/>
        </w:rPr>
      </w:pPr>
      <w:r>
        <w:rPr>
          <w:rFonts w:eastAsia="Times New Roman"/>
        </w:rPr>
        <w:pict>
          <v:rect id="_x0000_i1039" style="width:0;height:1.5pt" o:hralign="center" o:hrstd="t" o:hr="t" fillcolor="#a0a0a0" stroked="f"/>
        </w:pict>
      </w:r>
    </w:p>
    <w:p w:rsidR="00000000" w:rsidRDefault="007557F0">
      <w:pPr>
        <w:jc w:val="both"/>
        <w:divId w:val="1234973294"/>
        <w:rPr>
          <w:rFonts w:eastAsia="Times New Roman"/>
        </w:rPr>
      </w:pPr>
    </w:p>
    <w:p w:rsidR="00000000" w:rsidRDefault="007557F0">
      <w:pPr>
        <w:jc w:val="both"/>
        <w:divId w:val="1871844753"/>
        <w:rPr>
          <w:rFonts w:eastAsia="Times New Roman"/>
        </w:rPr>
      </w:pPr>
      <w:r>
        <w:rPr>
          <w:rFonts w:ascii="Arial" w:eastAsia="Times New Roman" w:hAnsi="Arial" w:cs="Arial"/>
          <w:b/>
          <w:bCs/>
          <w:color w:val="0046AD"/>
          <w:sz w:val="20"/>
          <w:szCs w:val="20"/>
        </w:rPr>
        <w:t>Contract Types</w:t>
      </w:r>
    </w:p>
    <w:p w:rsidR="00000000" w:rsidRDefault="007557F0">
      <w:pPr>
        <w:ind w:firstLine="720"/>
        <w:jc w:val="both"/>
        <w:divId w:val="1827238530"/>
        <w:rPr>
          <w:rFonts w:eastAsia="Times New Roman"/>
        </w:rPr>
      </w:pPr>
      <w:r>
        <w:rPr>
          <w:rFonts w:ascii="Arial" w:eastAsia="Times New Roman" w:hAnsi="Arial" w:cs="Arial"/>
          <w:color w:val="000000"/>
          <w:sz w:val="20"/>
          <w:szCs w:val="20"/>
        </w:rPr>
        <w:t>We have arrangements under various contract types, as described in Note 2, “</w:t>
      </w:r>
      <w:r>
        <w:rPr>
          <w:rFonts w:ascii="Arial" w:eastAsia="Times New Roman" w:hAnsi="Arial" w:cs="Arial"/>
          <w:color w:val="000000"/>
          <w:sz w:val="20"/>
          <w:szCs w:val="20"/>
        </w:rPr>
        <w:t>Basis of Presentation and Significant Accounting Policies,” in our Annual Report on Form 10-K for the year ended October 31, 2022.</w:t>
      </w:r>
    </w:p>
    <w:p w:rsidR="00000000" w:rsidRDefault="007557F0">
      <w:pPr>
        <w:ind w:firstLine="720"/>
        <w:jc w:val="both"/>
        <w:divId w:val="225409679"/>
        <w:rPr>
          <w:rFonts w:eastAsia="Times New Roman"/>
        </w:rPr>
      </w:pPr>
      <w:r>
        <w:rPr>
          <w:rFonts w:ascii="Arial" w:eastAsia="Times New Roman" w:hAnsi="Arial" w:cs="Arial"/>
          <w:color w:val="000000"/>
          <w:sz w:val="20"/>
          <w:szCs w:val="20"/>
        </w:rPr>
        <w:t>Certain arrangements involve variable consideration (primarily per transaction fees, reimbursable expenses, and sales-based r</w:t>
      </w:r>
      <w:r>
        <w:rPr>
          <w:rFonts w:ascii="Arial" w:eastAsia="Times New Roman" w:hAnsi="Arial" w:cs="Arial"/>
          <w:color w:val="000000"/>
          <w:sz w:val="20"/>
          <w:szCs w:val="20"/>
        </w:rPr>
        <w:t>oyalties). We do not estimate the variable consideration for these arrangements; rather, we recognize these variable fees as they are earned. Some of our contracts, often related to Airline Services, may also include performance incentives based on variabl</w:t>
      </w:r>
      <w:r>
        <w:rPr>
          <w:rFonts w:ascii="Arial" w:eastAsia="Times New Roman" w:hAnsi="Arial" w:cs="Arial"/>
          <w:color w:val="000000"/>
          <w:sz w:val="20"/>
          <w:szCs w:val="20"/>
        </w:rPr>
        <w:t>e performance measures that are ascertained exclusively by future performance and therefore cannot be estimated at contract inception and are recognized as revenue once known and mutually agreed upon. We include estimated amounts in the transaction price t</w:t>
      </w:r>
      <w:r>
        <w:rPr>
          <w:rFonts w:ascii="Arial" w:eastAsia="Times New Roman" w:hAnsi="Arial" w:cs="Arial"/>
          <w:color w:val="000000"/>
          <w:sz w:val="20"/>
          <w:szCs w:val="20"/>
        </w:rPr>
        <w:t>o the extent it is probable that a significant reversal of cumulative revenue recognized will not occur when the uncertainty associated with the variable consideration is resolved. Our estimates of variable consideration and determination of whether to inc</w:t>
      </w:r>
      <w:r>
        <w:rPr>
          <w:rFonts w:ascii="Arial" w:eastAsia="Times New Roman" w:hAnsi="Arial" w:cs="Arial"/>
          <w:color w:val="000000"/>
          <w:sz w:val="20"/>
          <w:szCs w:val="20"/>
        </w:rPr>
        <w:t xml:space="preserve">lude estimated amounts in the transaction price are based largely on an assessment of our anticipated performance and all information (historical, current, and forecasted) that is reasonably available to us. </w:t>
      </w:r>
    </w:p>
    <w:p w:rsidR="00000000" w:rsidRDefault="007557F0">
      <w:pPr>
        <w:ind w:firstLine="720"/>
        <w:jc w:val="both"/>
        <w:divId w:val="1702198989"/>
        <w:rPr>
          <w:rFonts w:eastAsia="Times New Roman"/>
        </w:rPr>
      </w:pPr>
      <w:r>
        <w:rPr>
          <w:rFonts w:ascii="Arial" w:eastAsia="Times New Roman" w:hAnsi="Arial" w:cs="Arial"/>
          <w:color w:val="000000"/>
          <w:sz w:val="20"/>
          <w:szCs w:val="20"/>
        </w:rPr>
        <w:t>The majority of our contracts include performan</w:t>
      </w:r>
      <w:r>
        <w:rPr>
          <w:rFonts w:ascii="Arial" w:eastAsia="Times New Roman" w:hAnsi="Arial" w:cs="Arial"/>
          <w:color w:val="000000"/>
          <w:sz w:val="20"/>
          <w:szCs w:val="20"/>
        </w:rPr>
        <w:t>ce obligations that are primarily satisfied over time as we provide the related services. These contract types include: monthly fixed-price; square-foot; cost-plus; work orders; transaction-price; hourly; management reimbursement; leased location; allowanc</w:t>
      </w:r>
      <w:r>
        <w:rPr>
          <w:rFonts w:ascii="Arial" w:eastAsia="Times New Roman" w:hAnsi="Arial" w:cs="Arial"/>
          <w:color w:val="000000"/>
          <w:sz w:val="20"/>
          <w:szCs w:val="20"/>
        </w:rPr>
        <w:t xml:space="preserve">e; energy savings contracts; and fixed-price repair and refurbishment contracts, as well as our franchise and royalty fee arrangements. We recognize revenue as the services are performed using a measure of progress that is determined by the contract type. </w:t>
      </w:r>
      <w:r>
        <w:rPr>
          <w:rFonts w:ascii="Arial" w:eastAsia="Times New Roman" w:hAnsi="Arial" w:cs="Arial"/>
          <w:color w:val="000000"/>
          <w:sz w:val="20"/>
          <w:szCs w:val="20"/>
        </w:rPr>
        <w:t xml:space="preserve">Generally, most of our contracts are cancelable by either party without a substantive penalty, and the majority have a notification period of 30 to 60 days. </w:t>
      </w:r>
    </w:p>
    <w:p w:rsidR="00000000" w:rsidRDefault="007557F0">
      <w:pPr>
        <w:ind w:firstLine="720"/>
        <w:jc w:val="both"/>
        <w:divId w:val="652367217"/>
        <w:rPr>
          <w:rFonts w:eastAsia="Times New Roman"/>
        </w:rPr>
      </w:pPr>
      <w:r>
        <w:rPr>
          <w:rFonts w:ascii="Arial" w:eastAsia="Times New Roman" w:hAnsi="Arial" w:cs="Arial"/>
          <w:color w:val="000000"/>
          <w:sz w:val="20"/>
          <w:szCs w:val="20"/>
        </w:rPr>
        <w:t>We primarily account for our performance obligations under the series guidance, using the as-invoi</w:t>
      </w:r>
      <w:r>
        <w:rPr>
          <w:rFonts w:ascii="Arial" w:eastAsia="Times New Roman" w:hAnsi="Arial" w:cs="Arial"/>
          <w:color w:val="000000"/>
          <w:sz w:val="20"/>
          <w:szCs w:val="20"/>
        </w:rPr>
        <w:t xml:space="preserve">ced practical expedient when applicable. We apply the as-invoiced practical expedient to record revenue as the services are provided, given the nature of the services provided and the frequency of billing under the customer contracts. Under this practical </w:t>
      </w:r>
      <w:r>
        <w:rPr>
          <w:rFonts w:ascii="Arial" w:eastAsia="Times New Roman" w:hAnsi="Arial" w:cs="Arial"/>
          <w:color w:val="000000"/>
          <w:sz w:val="20"/>
          <w:szCs w:val="20"/>
        </w:rPr>
        <w:t xml:space="preserve">expedient, we recognize revenue in an amount that corresponds directly with the value to the customer of our performance completed to date and for which we have the right to invoice the customer. </w:t>
      </w:r>
    </w:p>
    <w:p w:rsidR="00000000" w:rsidRDefault="007557F0">
      <w:pPr>
        <w:jc w:val="both"/>
        <w:divId w:val="1598364089"/>
        <w:rPr>
          <w:rFonts w:eastAsia="Times New Roman"/>
        </w:rPr>
      </w:pPr>
      <w:r>
        <w:rPr>
          <w:rFonts w:ascii="Arial" w:eastAsia="Times New Roman" w:hAnsi="Arial" w:cs="Arial"/>
          <w:b/>
          <w:bCs/>
          <w:color w:val="0046AD"/>
          <w:sz w:val="20"/>
          <w:szCs w:val="20"/>
        </w:rPr>
        <w:t>Remaining Performance Obligations</w:t>
      </w:r>
    </w:p>
    <w:p w:rsidR="00000000" w:rsidRDefault="007557F0">
      <w:pPr>
        <w:ind w:firstLine="720"/>
        <w:jc w:val="both"/>
        <w:divId w:val="1850022742"/>
        <w:rPr>
          <w:rFonts w:eastAsia="Times New Roman"/>
        </w:rPr>
      </w:pPr>
      <w:r>
        <w:rPr>
          <w:rFonts w:ascii="Arial" w:eastAsia="Times New Roman" w:hAnsi="Arial" w:cs="Arial"/>
          <w:color w:val="000000"/>
          <w:sz w:val="20"/>
          <w:szCs w:val="20"/>
        </w:rPr>
        <w:t>At January 31, 2023</w:t>
      </w:r>
      <w:r>
        <w:rPr>
          <w:rFonts w:ascii="Arial" w:eastAsia="Times New Roman" w:hAnsi="Arial" w:cs="Arial"/>
          <w:color w:val="000000"/>
          <w:sz w:val="20"/>
          <w:szCs w:val="20"/>
          <w:shd w:val="clear" w:color="auto" w:fill="FFFFFF"/>
        </w:rPr>
        <w:t>, perf</w:t>
      </w:r>
      <w:r>
        <w:rPr>
          <w:rFonts w:ascii="Arial" w:eastAsia="Times New Roman" w:hAnsi="Arial" w:cs="Arial"/>
          <w:color w:val="000000"/>
          <w:sz w:val="20"/>
          <w:szCs w:val="20"/>
          <w:shd w:val="clear" w:color="auto" w:fill="FFFFFF"/>
        </w:rPr>
        <w:t xml:space="preserve">ormance obligations that were unsatisfied for which we expect to recognize revenue totaled </w:t>
      </w:r>
      <w:r>
        <w:rPr>
          <w:rFonts w:ascii="Arial" w:eastAsia="Times New Roman" w:hAnsi="Arial" w:cs="Arial"/>
          <w:color w:val="000000"/>
          <w:sz w:val="20"/>
          <w:szCs w:val="20"/>
        </w:rPr>
        <w:t>$234.5 million. We expect to recognize revenue on approximately 75%</w:t>
      </w:r>
      <w:r>
        <w:rPr>
          <w:rFonts w:ascii="Arial" w:eastAsia="Times New Roman" w:hAnsi="Arial" w:cs="Arial"/>
          <w:color w:val="000000"/>
          <w:sz w:val="20"/>
          <w:szCs w:val="20"/>
          <w:shd w:val="clear" w:color="auto" w:fill="FFFFFF"/>
        </w:rPr>
        <w:t xml:space="preserve"> of the remaining performance obligations over the next 12 months, with the remainder recognized t</w:t>
      </w:r>
      <w:r>
        <w:rPr>
          <w:rFonts w:ascii="Arial" w:eastAsia="Times New Roman" w:hAnsi="Arial" w:cs="Arial"/>
          <w:color w:val="000000"/>
          <w:sz w:val="20"/>
          <w:szCs w:val="20"/>
          <w:shd w:val="clear" w:color="auto" w:fill="FFFFFF"/>
        </w:rPr>
        <w:t>hereafter, based on our estimates of project timing.</w:t>
      </w:r>
    </w:p>
    <w:p w:rsidR="00000000" w:rsidRDefault="007557F0">
      <w:pPr>
        <w:ind w:firstLine="720"/>
        <w:jc w:val="both"/>
        <w:divId w:val="1123960066"/>
        <w:rPr>
          <w:rFonts w:eastAsia="Times New Roman"/>
        </w:rPr>
      </w:pPr>
      <w:r>
        <w:rPr>
          <w:rFonts w:ascii="Arial" w:eastAsia="Times New Roman" w:hAnsi="Arial" w:cs="Arial"/>
          <w:color w:val="000000"/>
          <w:sz w:val="20"/>
          <w:szCs w:val="20"/>
          <w:shd w:val="clear" w:color="auto" w:fill="FFFFFF"/>
        </w:rPr>
        <w:t>These amounts exclude variable consideration primarily related to: (i) contr</w:t>
      </w:r>
      <w:r>
        <w:rPr>
          <w:rFonts w:ascii="Arial" w:eastAsia="Times New Roman" w:hAnsi="Arial" w:cs="Arial"/>
          <w:color w:val="000000"/>
          <w:sz w:val="20"/>
          <w:szCs w:val="20"/>
        </w:rPr>
        <w:t>acts where we have determined that the contract consists of a series of distinct service periods and revenues are based on futu</w:t>
      </w:r>
      <w:r>
        <w:rPr>
          <w:rFonts w:ascii="Arial" w:eastAsia="Times New Roman" w:hAnsi="Arial" w:cs="Arial"/>
          <w:color w:val="000000"/>
          <w:sz w:val="20"/>
          <w:szCs w:val="20"/>
        </w:rPr>
        <w:t xml:space="preserve">re performance that cannot be estimated at contract inception; (ii) parking contracts where we and the customer share the gross revenues or operating profit for the location; and (iii) contracts where transaction prices include performance incentives that </w:t>
      </w:r>
      <w:r>
        <w:rPr>
          <w:rFonts w:ascii="Arial" w:eastAsia="Times New Roman" w:hAnsi="Arial" w:cs="Arial"/>
          <w:color w:val="000000"/>
          <w:sz w:val="20"/>
          <w:szCs w:val="20"/>
        </w:rPr>
        <w:t>are based on future performance and therefore cannot be estimated at contract inception. We apply the practical expedient that permits exclusion of information about the remaining performance obligations with original expected durations of one year or less</w:t>
      </w:r>
      <w:r>
        <w:rPr>
          <w:rFonts w:ascii="Arial" w:eastAsia="Times New Roman" w:hAnsi="Arial" w:cs="Arial"/>
          <w:color w:val="000000"/>
          <w:sz w:val="20"/>
          <w:szCs w:val="20"/>
        </w:rPr>
        <w:t>.</w:t>
      </w:r>
    </w:p>
    <w:p w:rsidR="00000000" w:rsidRDefault="007557F0">
      <w:pPr>
        <w:divId w:val="2114402440"/>
        <w:rPr>
          <w:rFonts w:eastAsia="Times New Roman"/>
        </w:rPr>
      </w:pPr>
      <w:r>
        <w:rPr>
          <w:rFonts w:ascii="Arial" w:eastAsia="Times New Roman" w:hAnsi="Arial" w:cs="Arial"/>
          <w:b/>
          <w:bCs/>
          <w:color w:val="164FA2"/>
          <w:sz w:val="20"/>
          <w:szCs w:val="20"/>
        </w:rPr>
        <w:t xml:space="preserve">Contract Balances </w:t>
      </w:r>
    </w:p>
    <w:p w:rsidR="00000000" w:rsidRDefault="007557F0">
      <w:pPr>
        <w:ind w:firstLine="720"/>
        <w:jc w:val="both"/>
        <w:divId w:val="1258370776"/>
        <w:rPr>
          <w:rFonts w:eastAsia="Times New Roman"/>
        </w:rPr>
      </w:pPr>
      <w:r>
        <w:rPr>
          <w:rFonts w:ascii="Arial" w:eastAsia="Times New Roman" w:hAnsi="Arial" w:cs="Arial"/>
          <w:color w:val="000000"/>
          <w:sz w:val="20"/>
          <w:szCs w:val="20"/>
        </w:rPr>
        <w:t>The timing of revenue recognition, billings, and cash collections results in contract assets and contract liabilities, as further explained below. The timing of revenue recognition may differ from the timing of invoicing to customers.</w:t>
      </w:r>
    </w:p>
    <w:p w:rsidR="00000000" w:rsidRDefault="007557F0">
      <w:pPr>
        <w:ind w:firstLine="720"/>
        <w:jc w:val="both"/>
        <w:divId w:val="441345880"/>
        <w:rPr>
          <w:rFonts w:eastAsia="Times New Roman"/>
        </w:rPr>
      </w:pPr>
      <w:r>
        <w:rPr>
          <w:rFonts w:ascii="Arial" w:eastAsia="Times New Roman" w:hAnsi="Arial" w:cs="Arial"/>
          <w:color w:val="000000"/>
          <w:sz w:val="20"/>
          <w:szCs w:val="20"/>
        </w:rPr>
        <w:t>Contract assets primarily consist of billed trade receivables, unbilled trade receivables, and costs incurred in excess of amounts billed. Billed and unbilled trade receivables represent amounts from work completed in which we have an unconditional right t</w:t>
      </w:r>
      <w:r>
        <w:rPr>
          <w:rFonts w:ascii="Arial" w:eastAsia="Times New Roman" w:hAnsi="Arial" w:cs="Arial"/>
          <w:color w:val="000000"/>
          <w:sz w:val="20"/>
          <w:szCs w:val="20"/>
        </w:rPr>
        <w:t>o bill our customer. Costs incurred in excess of amounts billed typically arise when the revenue recognized on projects exceeds the amount billed to the customer. These amounts are transferred to billed trade receivables when the rights become unconditiona</w:t>
      </w:r>
      <w:r>
        <w:rPr>
          <w:rFonts w:ascii="Arial" w:eastAsia="Times New Roman" w:hAnsi="Arial" w:cs="Arial"/>
          <w:color w:val="000000"/>
          <w:sz w:val="20"/>
          <w:szCs w:val="20"/>
        </w:rPr>
        <w:t>l. Contract assets also include the capitalization of incremental costs of obtaining a contract with a customer, primarily commissions. Commissions expense is recognized on a straight-line basis over a weighted average expected customer relationship period</w:t>
      </w:r>
      <w:r>
        <w:rPr>
          <w:rFonts w:ascii="Arial" w:eastAsia="Times New Roman" w:hAnsi="Arial" w:cs="Arial"/>
          <w:color w:val="000000"/>
          <w:sz w:val="20"/>
          <w:szCs w:val="20"/>
        </w:rPr>
        <w:t>.</w:t>
      </w:r>
    </w:p>
    <w:p w:rsidR="00000000" w:rsidRDefault="007557F0">
      <w:pPr>
        <w:ind w:firstLine="720"/>
        <w:jc w:val="both"/>
        <w:divId w:val="803625291"/>
        <w:rPr>
          <w:rFonts w:eastAsia="Times New Roman"/>
        </w:rPr>
      </w:pPr>
      <w:r>
        <w:rPr>
          <w:rFonts w:ascii="Arial" w:eastAsia="Times New Roman" w:hAnsi="Arial" w:cs="Arial"/>
          <w:color w:val="000000"/>
          <w:sz w:val="20"/>
          <w:szCs w:val="20"/>
        </w:rPr>
        <w:t xml:space="preserve">Contract liabilities consist of deferred revenue and advance payments and billings in excess of revenue recognized. We generally classify contract liabilities as current since the related contracts are generally for a period </w:t>
      </w:r>
    </w:p>
    <w:p w:rsidR="00000000" w:rsidRDefault="007557F0">
      <w:pPr>
        <w:jc w:val="center"/>
        <w:divId w:val="1031565729"/>
        <w:rPr>
          <w:rFonts w:eastAsia="Times New Roman"/>
        </w:rPr>
      </w:pPr>
      <w:r>
        <w:rPr>
          <w:rFonts w:ascii="Arial" w:eastAsia="Times New Roman" w:hAnsi="Arial" w:cs="Arial"/>
          <w:color w:val="000000"/>
          <w:sz w:val="20"/>
          <w:szCs w:val="20"/>
        </w:rPr>
        <w:t>11</w:t>
      </w:r>
    </w:p>
    <w:p w:rsidR="00000000" w:rsidRDefault="007557F0">
      <w:pPr>
        <w:rPr>
          <w:rFonts w:eastAsia="Times New Roman"/>
        </w:rPr>
      </w:pPr>
      <w:r>
        <w:rPr>
          <w:rFonts w:eastAsia="Times New Roman"/>
        </w:rPr>
        <w:pict>
          <v:rect id="_x0000_i1040" style="width:0;height:1.5pt" o:hralign="center" o:hrstd="t" o:hr="t" fillcolor="#a0a0a0" stroked="f"/>
        </w:pict>
      </w:r>
    </w:p>
    <w:p w:rsidR="00000000" w:rsidRDefault="007557F0">
      <w:pPr>
        <w:jc w:val="both"/>
        <w:divId w:val="1459564812"/>
        <w:rPr>
          <w:rFonts w:eastAsia="Times New Roman"/>
        </w:rPr>
      </w:pPr>
    </w:p>
    <w:p w:rsidR="00000000" w:rsidRDefault="007557F0">
      <w:pPr>
        <w:jc w:val="both"/>
        <w:divId w:val="2023817518"/>
        <w:rPr>
          <w:rFonts w:eastAsia="Times New Roman"/>
        </w:rPr>
      </w:pPr>
      <w:r>
        <w:rPr>
          <w:rFonts w:ascii="Arial" w:eastAsia="Times New Roman" w:hAnsi="Arial" w:cs="Arial"/>
          <w:color w:val="000000"/>
          <w:sz w:val="20"/>
          <w:szCs w:val="20"/>
        </w:rPr>
        <w:t>of one year or less. Contract liabilities decrease as we recognize revenue from the satisfaction of the related performance obligation.</w:t>
      </w:r>
    </w:p>
    <w:p w:rsidR="00000000" w:rsidRDefault="007557F0">
      <w:pPr>
        <w:ind w:firstLine="720"/>
        <w:jc w:val="both"/>
        <w:divId w:val="1297030097"/>
        <w:rPr>
          <w:rFonts w:eastAsia="Times New Roman"/>
        </w:rPr>
      </w:pPr>
      <w:r>
        <w:rPr>
          <w:rFonts w:ascii="Arial" w:eastAsia="Times New Roman" w:hAnsi="Arial" w:cs="Arial"/>
          <w:color w:val="000000"/>
          <w:sz w:val="20"/>
          <w:szCs w:val="20"/>
        </w:rPr>
        <w:t xml:space="preserve">The following tables present the balances in our contract assets and contract liabilities: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68"/>
        <w:gridCol w:w="39"/>
        <w:gridCol w:w="36"/>
        <w:gridCol w:w="36"/>
        <w:gridCol w:w="36"/>
        <w:gridCol w:w="121"/>
        <w:gridCol w:w="1464"/>
        <w:gridCol w:w="36"/>
        <w:gridCol w:w="36"/>
        <w:gridCol w:w="36"/>
        <w:gridCol w:w="36"/>
        <w:gridCol w:w="121"/>
        <w:gridCol w:w="1465"/>
        <w:gridCol w:w="36"/>
      </w:tblGrid>
      <w:tr w:rsidR="00000000">
        <w:trPr>
          <w:divId w:val="330984724"/>
          <w:jc w:val="center"/>
        </w:trPr>
        <w:tc>
          <w:tcPr>
            <w:tcW w:w="50" w:type="pct"/>
            <w:vAlign w:val="center"/>
            <w:hideMark/>
          </w:tcPr>
          <w:p w:rsidR="00000000" w:rsidRDefault="007557F0">
            <w:pPr>
              <w:ind w:firstLine="720"/>
              <w:jc w:val="both"/>
              <w:rPr>
                <w:rFonts w:eastAsia="Times New Roman"/>
              </w:rPr>
            </w:pPr>
          </w:p>
        </w:tc>
        <w:tc>
          <w:tcPr>
            <w:tcW w:w="289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931"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93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330984724"/>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20"/>
                <w:szCs w:val="20"/>
              </w:rPr>
              <w:t>January 31, 2023</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20"/>
                <w:szCs w:val="20"/>
              </w:rPr>
              <w:t>October 31, 2022</w:t>
            </w:r>
          </w:p>
        </w:tc>
      </w:tr>
      <w:tr w:rsidR="00000000">
        <w:trPr>
          <w:divId w:val="330984724"/>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Contract assets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330984724"/>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647635971"/>
              <w:rPr>
                <w:rFonts w:eastAsia="Times New Roman"/>
              </w:rPr>
            </w:pPr>
            <w:r>
              <w:rPr>
                <w:rFonts w:ascii="Arial" w:eastAsia="Times New Roman" w:hAnsi="Arial" w:cs="Arial"/>
                <w:color w:val="000000"/>
                <w:sz w:val="18"/>
                <w:szCs w:val="18"/>
              </w:rPr>
              <w:t>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1,175.7 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1,138.8 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30984724"/>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655691309"/>
              <w:rPr>
                <w:rFonts w:eastAsia="Times New Roman"/>
              </w:rPr>
            </w:pPr>
            <w:r>
              <w:rPr>
                <w:rFonts w:ascii="Arial" w:eastAsia="Times New Roman" w:hAnsi="Arial" w:cs="Arial"/>
                <w:color w:val="000000"/>
                <w:sz w:val="18"/>
                <w:szCs w:val="18"/>
              </w:rPr>
              <w:t>Unbilled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166.9 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162.5 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30984724"/>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1902212291"/>
              <w:rPr>
                <w:rFonts w:eastAsia="Times New Roman"/>
              </w:rPr>
            </w:pPr>
            <w:r>
              <w:rPr>
                <w:rFonts w:ascii="Arial" w:eastAsia="Times New Roman" w:hAnsi="Arial" w:cs="Arial"/>
                <w:color w:val="000000"/>
                <w:sz w:val="18"/>
                <w:szCs w:val="18"/>
              </w:rPr>
              <w:t>Costs incurred in excess of amounts bille</w:t>
            </w:r>
            <w:r>
              <w:rPr>
                <w:rFonts w:ascii="Arial" w:eastAsia="Times New Roman" w:hAnsi="Arial" w:cs="Arial"/>
                <w:color w:val="000000"/>
                <w:sz w:val="18"/>
                <w:szCs w:val="18"/>
              </w:rPr>
              <w:t>d</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87.2 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75.8 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30984724"/>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264580450"/>
              <w:rPr>
                <w:rFonts w:eastAsia="Times New Roman"/>
              </w:rPr>
            </w:pPr>
            <w:r>
              <w:rPr>
                <w:rFonts w:ascii="Arial" w:eastAsia="Times New Roman" w:hAnsi="Arial" w:cs="Arial"/>
                <w:color w:val="000000"/>
                <w:sz w:val="18"/>
                <w:szCs w:val="18"/>
              </w:rPr>
              <w:t>Capitalized commission</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31.0 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30.9 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bl>
    <w:p w:rsidR="00000000" w:rsidRDefault="007557F0">
      <w:pPr>
        <w:ind w:hanging="180"/>
        <w:jc w:val="both"/>
        <w:divId w:val="900217472"/>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trade accounts receivable, net, on the unaudited Consolidated Balance Sheets. The fluctuations correlate directly to the execution of new customer contracts and to invoicing and collections from customers in the normal course of business. </w:t>
      </w:r>
    </w:p>
    <w:p w:rsidR="00000000" w:rsidRDefault="007557F0">
      <w:pPr>
        <w:ind w:hanging="180"/>
        <w:jc w:val="both"/>
        <w:divId w:val="138702678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Fluctuation is primarily due to the timing of payments on our contracts measured using the cost-to-cost method of revenue recognition. </w:t>
      </w:r>
    </w:p>
    <w:p w:rsidR="00000000" w:rsidRDefault="007557F0">
      <w:pPr>
        <w:ind w:hanging="180"/>
        <w:jc w:val="both"/>
        <w:divId w:val="38649331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Included in other current assets and other noncurrent assets on the unaudited Consolidated Balance Sheets. During th</w:t>
      </w:r>
      <w:r>
        <w:rPr>
          <w:rFonts w:ascii="Arial" w:eastAsia="Times New Roman" w:hAnsi="Arial" w:cs="Arial"/>
          <w:color w:val="000000"/>
          <w:sz w:val="18"/>
          <w:szCs w:val="18"/>
        </w:rPr>
        <w:t>e three months ended January 31, 2023, we capitalized $4.0 million of new costs and amortized $3.9 million of previously capitalized costs. There was no impairment loss recorded on the costs capitalized.</w:t>
      </w:r>
    </w:p>
    <w:tbl>
      <w:tblPr>
        <w:tblW w:w="5000" w:type="pct"/>
        <w:tblCellMar>
          <w:top w:w="15" w:type="dxa"/>
          <w:left w:w="15" w:type="dxa"/>
          <w:bottom w:w="15" w:type="dxa"/>
          <w:right w:w="15" w:type="dxa"/>
        </w:tblCellMar>
        <w:tblLook w:val="04A0" w:firstRow="1" w:lastRow="0" w:firstColumn="1" w:lastColumn="0" w:noHBand="0" w:noVBand="1"/>
      </w:tblPr>
      <w:tblGrid>
        <w:gridCol w:w="45"/>
        <w:gridCol w:w="6333"/>
        <w:gridCol w:w="37"/>
        <w:gridCol w:w="36"/>
        <w:gridCol w:w="36"/>
        <w:gridCol w:w="36"/>
        <w:gridCol w:w="122"/>
        <w:gridCol w:w="1625"/>
        <w:gridCol w:w="36"/>
      </w:tblGrid>
      <w:tr w:rsidR="00000000">
        <w:trPr>
          <w:divId w:val="1340546653"/>
        </w:trPr>
        <w:tc>
          <w:tcPr>
            <w:tcW w:w="50" w:type="pct"/>
            <w:vAlign w:val="center"/>
            <w:hideMark/>
          </w:tcPr>
          <w:p w:rsidR="00000000" w:rsidRDefault="007557F0">
            <w:pPr>
              <w:ind w:hanging="180"/>
              <w:jc w:val="both"/>
              <w:rPr>
                <w:rFonts w:eastAsia="Times New Roman"/>
              </w:rPr>
            </w:pPr>
          </w:p>
        </w:tc>
        <w:tc>
          <w:tcPr>
            <w:tcW w:w="3833"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0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340546653"/>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w:t>
            </w:r>
            <w:r>
              <w:rPr>
                <w:rFonts w:ascii="Arial" w:eastAsia="Times New Roman" w:hAnsi="Arial" w:cs="Arial"/>
                <w:b/>
                <w:bCs/>
                <w:color w:val="000000"/>
                <w:sz w:val="18"/>
                <w:szCs w:val="18"/>
              </w:rPr>
              <w:br/>
              <w:t>January 31, 2023</w:t>
            </w:r>
          </w:p>
        </w:tc>
      </w:tr>
      <w:tr w:rsidR="00000000">
        <w:trPr>
          <w:divId w:val="1340546653"/>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1067151800"/>
              <w:rPr>
                <w:rFonts w:eastAsia="Times New Roman"/>
              </w:rPr>
            </w:pPr>
            <w:r>
              <w:rPr>
                <w:rFonts w:ascii="Arial" w:eastAsia="Times New Roman" w:hAnsi="Arial" w:cs="Arial"/>
                <w:b/>
                <w:bCs/>
                <w:color w:val="000000"/>
                <w:sz w:val="18"/>
                <w:szCs w:val="18"/>
              </w:rPr>
              <w:t>Contract liabilitie</w:t>
            </w:r>
            <w:r>
              <w:rPr>
                <w:rFonts w:ascii="Arial" w:eastAsia="Times New Roman" w:hAnsi="Arial" w:cs="Arial"/>
                <w:b/>
                <w:bCs/>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340546653"/>
        </w:trPr>
        <w:tc>
          <w:tcPr>
            <w:tcW w:w="0" w:type="auto"/>
            <w:gridSpan w:val="3"/>
            <w:shd w:val="clear" w:color="auto" w:fill="FFFFFF"/>
            <w:tcMar>
              <w:top w:w="30" w:type="dxa"/>
              <w:left w:w="24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Balance at beginning of period</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79.6 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40546653"/>
        </w:trPr>
        <w:tc>
          <w:tcPr>
            <w:tcW w:w="0" w:type="auto"/>
            <w:gridSpan w:val="3"/>
            <w:shd w:val="clear" w:color="auto" w:fill="DCE2EF"/>
            <w:tcMar>
              <w:top w:w="30" w:type="dxa"/>
              <w:left w:w="24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Additional contract liabilities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76.8 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40546653"/>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ind w:hanging="180"/>
              <w:divId w:val="1041397814"/>
              <w:rPr>
                <w:rFonts w:eastAsia="Times New Roman"/>
              </w:rPr>
            </w:pPr>
            <w:r>
              <w:rPr>
                <w:rFonts w:ascii="Arial" w:eastAsia="Times New Roman" w:hAnsi="Arial" w:cs="Arial"/>
                <w:color w:val="000000"/>
                <w:sz w:val="18"/>
                <w:szCs w:val="18"/>
              </w:rPr>
              <w:t>Recognition of deferred revenue</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(44.0)</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340546653"/>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ind w:hanging="180"/>
              <w:divId w:val="1482192014"/>
              <w:rPr>
                <w:rFonts w:eastAsia="Times New Roman"/>
              </w:rPr>
            </w:pPr>
            <w:r>
              <w:rPr>
                <w:rFonts w:ascii="Arial" w:eastAsia="Times New Roman" w:hAnsi="Arial" w:cs="Arial"/>
                <w:color w:val="000000"/>
                <w:sz w:val="18"/>
                <w:szCs w:val="18"/>
              </w:rPr>
              <w:t>Balance at end of period</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ind w:hanging="18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112.4 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bl>
    <w:p w:rsidR="00000000" w:rsidRDefault="007557F0">
      <w:pPr>
        <w:ind w:hanging="180"/>
        <w:jc w:val="both"/>
        <w:divId w:val="1591506579"/>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other accrued liabilities on the unaudited Consolidated Balance Sheets. </w:t>
      </w:r>
    </w:p>
    <w:p w:rsidR="00000000" w:rsidRDefault="007557F0">
      <w:pPr>
        <w:jc w:val="center"/>
        <w:divId w:val="488206753"/>
        <w:rPr>
          <w:rFonts w:eastAsia="Times New Roman"/>
        </w:rPr>
      </w:pPr>
      <w:r>
        <w:rPr>
          <w:rFonts w:ascii="Arial" w:eastAsia="Times New Roman" w:hAnsi="Arial" w:cs="Arial"/>
          <w:color w:val="000000"/>
          <w:sz w:val="20"/>
          <w:szCs w:val="20"/>
        </w:rPr>
        <w:t>12</w:t>
      </w:r>
    </w:p>
    <w:p w:rsidR="00000000" w:rsidRDefault="007557F0">
      <w:pPr>
        <w:rPr>
          <w:rFonts w:eastAsia="Times New Roman"/>
        </w:rPr>
      </w:pPr>
      <w:r>
        <w:rPr>
          <w:rFonts w:eastAsia="Times New Roman"/>
        </w:rPr>
        <w:pict>
          <v:rect id="_x0000_i1041" style="width:0;height:1.5pt" o:hralign="center" o:hrstd="t" o:hr="t" fillcolor="#a0a0a0" stroked="f"/>
        </w:pict>
      </w:r>
    </w:p>
    <w:p w:rsidR="00000000" w:rsidRDefault="007557F0">
      <w:pPr>
        <w:jc w:val="both"/>
        <w:divId w:val="280575952"/>
        <w:rPr>
          <w:rFonts w:eastAsia="Times New Roman"/>
        </w:rPr>
      </w:pPr>
    </w:p>
    <w:p w:rsidR="00000000" w:rsidRDefault="007557F0">
      <w:pPr>
        <w:divId w:val="911043913"/>
        <w:rPr>
          <w:rFonts w:eastAsia="Times New Roman"/>
        </w:rPr>
      </w:pPr>
      <w:r>
        <w:rPr>
          <w:rFonts w:ascii="Arial" w:eastAsia="Times New Roman" w:hAnsi="Arial" w:cs="Arial"/>
          <w:b/>
          <w:bCs/>
          <w:color w:val="0046AD"/>
          <w:sz w:val="20"/>
          <w:szCs w:val="20"/>
        </w:rPr>
        <w:t>5. NET INCOME PER COMMON SHARE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265991459"/>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265991459"/>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jc w:val="both"/>
        <w:divId w:val="179123112"/>
        <w:rPr>
          <w:rFonts w:eastAsia="Times New Roman"/>
        </w:rPr>
      </w:pPr>
      <w:r>
        <w:rPr>
          <w:rFonts w:ascii="Arial" w:eastAsia="Times New Roman" w:hAnsi="Arial" w:cs="Arial"/>
          <w:b/>
          <w:bCs/>
          <w:color w:val="0046AD"/>
          <w:sz w:val="20"/>
          <w:szCs w:val="20"/>
        </w:rPr>
        <w:t>Basic and Diluted Net Income Per Common Share Calculations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847"/>
        <w:gridCol w:w="38"/>
        <w:gridCol w:w="121"/>
        <w:gridCol w:w="1355"/>
        <w:gridCol w:w="36"/>
        <w:gridCol w:w="36"/>
        <w:gridCol w:w="36"/>
        <w:gridCol w:w="36"/>
        <w:gridCol w:w="121"/>
        <w:gridCol w:w="1317"/>
        <w:gridCol w:w="36"/>
        <w:gridCol w:w="36"/>
        <w:gridCol w:w="36"/>
        <w:gridCol w:w="36"/>
        <w:gridCol w:w="36"/>
        <w:gridCol w:w="36"/>
        <w:gridCol w:w="36"/>
        <w:gridCol w:w="36"/>
        <w:gridCol w:w="36"/>
      </w:tblGrid>
      <w:tr w:rsidR="00000000">
        <w:trPr>
          <w:divId w:val="1679965365"/>
        </w:trPr>
        <w:tc>
          <w:tcPr>
            <w:tcW w:w="50" w:type="pct"/>
            <w:vAlign w:val="center"/>
            <w:hideMark/>
          </w:tcPr>
          <w:p w:rsidR="00000000" w:rsidRDefault="007557F0">
            <w:pPr>
              <w:jc w:val="both"/>
              <w:rPr>
                <w:rFonts w:eastAsia="Times New Roman"/>
              </w:rPr>
            </w:pPr>
          </w:p>
        </w:tc>
        <w:tc>
          <w:tcPr>
            <w:tcW w:w="3051"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873"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873"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8"/>
                <w:szCs w:val="18"/>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 xml:space="preserve">Net income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38.5 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Height w:val="280"/>
        </w:trPr>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943731876"/>
              <w:rPr>
                <w:rFonts w:eastAsia="Times New Roman"/>
              </w:rPr>
            </w:pPr>
            <w:r>
              <w:rPr>
                <w:rFonts w:ascii="Arial" w:eastAsia="Times New Roman" w:hAnsi="Arial" w:cs="Arial"/>
                <w:b/>
                <w:bCs/>
                <w:color w:val="000000"/>
                <w:sz w:val="18"/>
                <w:szCs w:val="18"/>
              </w:rPr>
              <w:t xml:space="preserve">Weighted-average common and common </w:t>
            </w:r>
          </w:p>
          <w:p w:rsidR="00000000" w:rsidRDefault="007557F0">
            <w:pPr>
              <w:spacing w:after="100"/>
              <w:ind w:firstLine="180"/>
              <w:divId w:val="168105784"/>
              <w:rPr>
                <w:rFonts w:eastAsia="Times New Roman"/>
              </w:rPr>
            </w:pPr>
            <w:r>
              <w:rPr>
                <w:rFonts w:ascii="Arial" w:eastAsia="Times New Roman" w:hAnsi="Arial" w:cs="Arial"/>
                <w:b/>
                <w:bCs/>
                <w:color w:val="000000"/>
                <w:sz w:val="18"/>
                <w:szCs w:val="18"/>
              </w:rPr>
              <w:t>  equivalent shares outstanding — Basic</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66.3 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67.9 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1449616485"/>
              <w:rPr>
                <w:rFonts w:eastAsia="Times New Roman"/>
              </w:rPr>
            </w:pPr>
            <w:r>
              <w:rPr>
                <w:rFonts w:ascii="Arial" w:eastAsia="Times New Roman" w:hAnsi="Arial" w:cs="Arial"/>
                <w:color w:val="000000"/>
                <w:sz w:val="18"/>
                <w:szCs w:val="18"/>
              </w:rPr>
              <w:t>Effect of dilutive securitie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Restricted stock units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Performance shares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586351539"/>
              <w:rPr>
                <w:rFonts w:eastAsia="Times New Roman"/>
              </w:rPr>
            </w:pPr>
            <w:r>
              <w:rPr>
                <w:rFonts w:ascii="Arial" w:eastAsia="Times New Roman" w:hAnsi="Arial" w:cs="Arial"/>
                <w:b/>
                <w:bCs/>
                <w:color w:val="000000"/>
                <w:sz w:val="18"/>
                <w:szCs w:val="18"/>
              </w:rPr>
              <w:t>Weighted-average common and common</w:t>
            </w:r>
          </w:p>
          <w:p w:rsidR="00000000" w:rsidRDefault="007557F0">
            <w:pPr>
              <w:spacing w:after="100"/>
              <w:ind w:firstLine="180"/>
              <w:divId w:val="2131044790"/>
              <w:rPr>
                <w:rFonts w:eastAsia="Times New Roman"/>
              </w:rPr>
            </w:pPr>
            <w:r>
              <w:rPr>
                <w:rFonts w:ascii="Arial" w:eastAsia="Times New Roman" w:hAnsi="Arial" w:cs="Arial"/>
                <w:b/>
                <w:bCs/>
                <w:color w:val="000000"/>
                <w:sz w:val="18"/>
                <w:szCs w:val="18"/>
              </w:rPr>
              <w:t>  </w:t>
            </w:r>
            <w:r>
              <w:rPr>
                <w:rFonts w:ascii="Arial" w:eastAsia="Times New Roman" w:hAnsi="Arial" w:cs="Arial"/>
                <w:b/>
                <w:bCs/>
                <w:color w:val="000000"/>
                <w:sz w:val="18"/>
                <w:szCs w:val="18"/>
              </w:rPr>
              <w:t>equivalent shares outstanding — Diluted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66.8 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Height w:val="280"/>
        </w:trPr>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Net income per common share</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xml:space="preserve">Basic </w:t>
            </w: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0.58 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79965365"/>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Diluted</w:t>
            </w: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0.58 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1.11 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bl>
    <w:p w:rsidR="00000000" w:rsidRDefault="007557F0">
      <w:pPr>
        <w:ind w:hanging="180"/>
        <w:jc w:val="both"/>
        <w:divId w:val="1985432668"/>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Excludes the impact of potentially dilutive outstanding share-based securities that are excluded from the calculation of diluted loss per share in periods when we have a loss, as their inclusion would have an anti-dilutive effect. Such impact is includ</w:t>
      </w:r>
      <w:r>
        <w:rPr>
          <w:rFonts w:ascii="Arial" w:eastAsia="Times New Roman" w:hAnsi="Arial" w:cs="Arial"/>
          <w:color w:val="000000"/>
          <w:sz w:val="18"/>
          <w:szCs w:val="18"/>
        </w:rPr>
        <w:t xml:space="preserve">ed in the table below. </w:t>
      </w:r>
    </w:p>
    <w:p w:rsidR="00000000" w:rsidRDefault="007557F0">
      <w:pPr>
        <w:jc w:val="both"/>
        <w:divId w:val="324631608"/>
        <w:rPr>
          <w:rFonts w:eastAsia="Times New Roman"/>
        </w:rPr>
      </w:pPr>
      <w:r>
        <w:rPr>
          <w:rFonts w:ascii="Arial" w:eastAsia="Times New Roman" w:hAnsi="Arial" w:cs="Arial"/>
          <w:b/>
          <w:bCs/>
          <w:color w:val="0046AD"/>
          <w:sz w:val="20"/>
          <w:szCs w:val="20"/>
        </w:rPr>
        <w:t>Anti-Dilutive Outstanding Stock Awards Issued Under Share-Based Compensation Plans</w:t>
      </w:r>
    </w:p>
    <w:tbl>
      <w:tblPr>
        <w:tblW w:w="4890" w:type="pct"/>
        <w:jc w:val="center"/>
        <w:tblCellMar>
          <w:top w:w="15" w:type="dxa"/>
          <w:left w:w="15" w:type="dxa"/>
          <w:bottom w:w="15" w:type="dxa"/>
          <w:right w:w="15" w:type="dxa"/>
        </w:tblCellMar>
        <w:tblLook w:val="04A0" w:firstRow="1" w:lastRow="0" w:firstColumn="1" w:lastColumn="0" w:noHBand="0" w:noVBand="1"/>
      </w:tblPr>
      <w:tblGrid>
        <w:gridCol w:w="52"/>
        <w:gridCol w:w="4234"/>
        <w:gridCol w:w="36"/>
        <w:gridCol w:w="53"/>
        <w:gridCol w:w="1611"/>
        <w:gridCol w:w="38"/>
        <w:gridCol w:w="37"/>
        <w:gridCol w:w="37"/>
        <w:gridCol w:w="36"/>
        <w:gridCol w:w="53"/>
        <w:gridCol w:w="1611"/>
        <w:gridCol w:w="37"/>
        <w:gridCol w:w="36"/>
        <w:gridCol w:w="36"/>
        <w:gridCol w:w="36"/>
        <w:gridCol w:w="36"/>
        <w:gridCol w:w="36"/>
        <w:gridCol w:w="36"/>
        <w:gridCol w:w="36"/>
        <w:gridCol w:w="36"/>
      </w:tblGrid>
      <w:tr w:rsidR="00000000">
        <w:trPr>
          <w:divId w:val="873813663"/>
          <w:jc w:val="center"/>
        </w:trPr>
        <w:tc>
          <w:tcPr>
            <w:tcW w:w="50" w:type="pct"/>
            <w:vAlign w:val="center"/>
            <w:hideMark/>
          </w:tcPr>
          <w:p w:rsidR="00000000" w:rsidRDefault="007557F0">
            <w:pPr>
              <w:jc w:val="both"/>
              <w:rPr>
                <w:rFonts w:eastAsia="Times New Roman"/>
              </w:rPr>
            </w:pPr>
          </w:p>
        </w:tc>
        <w:tc>
          <w:tcPr>
            <w:tcW w:w="271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043"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043"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73813663"/>
          <w:jc w:val="center"/>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873813663"/>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8"/>
                <w:szCs w:val="18"/>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873813663"/>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Anti-dilutive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bl>
    <w:p w:rsidR="00000000" w:rsidRDefault="007557F0">
      <w:pPr>
        <w:ind w:hanging="180"/>
        <w:jc w:val="both"/>
        <w:divId w:val="969016887"/>
        <w:rPr>
          <w:rFonts w:eastAsia="Times New Roman"/>
        </w:rPr>
      </w:pPr>
    </w:p>
    <w:p w:rsidR="00000000" w:rsidRDefault="007557F0">
      <w:pPr>
        <w:jc w:val="center"/>
        <w:divId w:val="1901016150"/>
        <w:rPr>
          <w:rFonts w:eastAsia="Times New Roman"/>
        </w:rPr>
      </w:pPr>
      <w:r>
        <w:rPr>
          <w:rFonts w:ascii="Arial" w:eastAsia="Times New Roman" w:hAnsi="Arial" w:cs="Arial"/>
          <w:color w:val="000000"/>
          <w:sz w:val="20"/>
          <w:szCs w:val="20"/>
        </w:rPr>
        <w:t>13</w:t>
      </w:r>
    </w:p>
    <w:p w:rsidR="00000000" w:rsidRDefault="007557F0">
      <w:pPr>
        <w:rPr>
          <w:rFonts w:eastAsia="Times New Roman"/>
        </w:rPr>
      </w:pPr>
      <w:r>
        <w:rPr>
          <w:rFonts w:eastAsia="Times New Roman"/>
        </w:rPr>
        <w:pict>
          <v:rect id="_x0000_i1042" style="width:0;height:1.5pt" o:hralign="center" o:hrstd="t" o:hr="t" fillcolor="#a0a0a0" stroked="f"/>
        </w:pict>
      </w:r>
    </w:p>
    <w:p w:rsidR="00000000" w:rsidRDefault="007557F0">
      <w:pPr>
        <w:jc w:val="both"/>
        <w:divId w:val="407924733"/>
        <w:rPr>
          <w:rFonts w:eastAsia="Times New Roman"/>
        </w:rPr>
      </w:pPr>
    </w:p>
    <w:p w:rsidR="00000000" w:rsidRDefault="007557F0">
      <w:pPr>
        <w:jc w:val="both"/>
        <w:divId w:val="2023820117"/>
        <w:rPr>
          <w:rFonts w:eastAsia="Times New Roman"/>
        </w:rPr>
      </w:pPr>
      <w:r>
        <w:rPr>
          <w:rFonts w:ascii="Arial" w:eastAsia="Times New Roman" w:hAnsi="Arial" w:cs="Arial"/>
          <w:b/>
          <w:bCs/>
          <w:color w:val="0046AD"/>
          <w:sz w:val="20"/>
          <w:szCs w:val="20"/>
        </w:rPr>
        <w:t>6. FAIR VALUE OF FINANCIAL INSTRUMENTS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549224635"/>
        </w:trPr>
        <w:tc>
          <w:tcPr>
            <w:tcW w:w="5" w:type="pct"/>
            <w:vAlign w:val="center"/>
            <w:hideMark/>
          </w:tcPr>
          <w:p w:rsidR="00000000" w:rsidRDefault="007557F0">
            <w:pPr>
              <w:jc w:val="both"/>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549224635"/>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divId w:val="1934390156"/>
        <w:rPr>
          <w:rFonts w:eastAsia="Times New Roman"/>
        </w:rPr>
      </w:pPr>
      <w:r>
        <w:rPr>
          <w:rFonts w:ascii="Arial" w:eastAsia="Times New Roman" w:hAnsi="Arial" w:cs="Arial"/>
          <w:b/>
          <w:bCs/>
          <w:color w:val="0046AD"/>
          <w:sz w:val="20"/>
          <w:szCs w:val="20"/>
        </w:rPr>
        <w:t>Fair Value Hierarchy of Our Financial Instruments</w:t>
      </w:r>
    </w:p>
    <w:p w:rsidR="00000000" w:rsidRDefault="007557F0">
      <w:pPr>
        <w:jc w:val="both"/>
        <w:divId w:val="1571963647"/>
        <w:rPr>
          <w:rFonts w:eastAsia="Times New Roman"/>
        </w:rPr>
      </w:pPr>
      <w:r>
        <w:rPr>
          <w:rFonts w:ascii="Arial" w:eastAsia="Times New Roman" w:hAnsi="Arial" w:cs="Arial"/>
          <w:b/>
          <w:bCs/>
          <w:i/>
          <w:iCs/>
          <w:color w:val="0046AD"/>
          <w:sz w:val="20"/>
          <w:szCs w:val="20"/>
        </w:rPr>
        <w:t xml:space="preserve">Financial Assets and Liabilities Measured at Fair Value on a Recurring Basis </w:t>
      </w:r>
    </w:p>
    <w:tbl>
      <w:tblPr>
        <w:tblW w:w="5000" w:type="pct"/>
        <w:tblCellMar>
          <w:top w:w="15" w:type="dxa"/>
          <w:left w:w="15" w:type="dxa"/>
          <w:bottom w:w="15" w:type="dxa"/>
          <w:right w:w="15" w:type="dxa"/>
        </w:tblCellMar>
        <w:tblLook w:val="04A0" w:firstRow="1" w:lastRow="0" w:firstColumn="1" w:lastColumn="0" w:noHBand="0" w:noVBand="1"/>
      </w:tblPr>
      <w:tblGrid>
        <w:gridCol w:w="45"/>
        <w:gridCol w:w="4135"/>
        <w:gridCol w:w="38"/>
        <w:gridCol w:w="65"/>
        <w:gridCol w:w="979"/>
        <w:gridCol w:w="36"/>
        <w:gridCol w:w="36"/>
        <w:gridCol w:w="36"/>
        <w:gridCol w:w="36"/>
        <w:gridCol w:w="122"/>
        <w:gridCol w:w="1237"/>
        <w:gridCol w:w="36"/>
        <w:gridCol w:w="36"/>
        <w:gridCol w:w="36"/>
        <w:gridCol w:w="36"/>
        <w:gridCol w:w="122"/>
        <w:gridCol w:w="1239"/>
        <w:gridCol w:w="36"/>
      </w:tblGrid>
      <w:tr w:rsidR="00000000">
        <w:trPr>
          <w:divId w:val="258871499"/>
        </w:trPr>
        <w:tc>
          <w:tcPr>
            <w:tcW w:w="50" w:type="pct"/>
            <w:vAlign w:val="center"/>
            <w:hideMark/>
          </w:tcPr>
          <w:p w:rsidR="00000000" w:rsidRDefault="007557F0">
            <w:pPr>
              <w:jc w:val="both"/>
              <w:rPr>
                <w:rFonts w:eastAsia="Times New Roman"/>
              </w:rPr>
            </w:pPr>
          </w:p>
        </w:tc>
        <w:tc>
          <w:tcPr>
            <w:tcW w:w="2510"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624"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8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8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258871499"/>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8"/>
                <w:szCs w:val="18"/>
                <w:u w:val="single"/>
              </w:rPr>
              <w:t>(in millions)</w:t>
            </w: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Fair Value Hierarchy</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January 31, 2023</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October 31, 2022</w:t>
            </w:r>
          </w:p>
        </w:tc>
      </w:tr>
      <w:tr w:rsidR="00000000">
        <w:trPr>
          <w:divId w:val="258871499"/>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1222131069"/>
              <w:rPr>
                <w:rFonts w:eastAsia="Times New Roman"/>
              </w:rPr>
            </w:pPr>
            <w:r>
              <w:rPr>
                <w:rFonts w:ascii="Arial" w:eastAsia="Times New Roman" w:hAnsi="Arial" w:cs="Arial"/>
                <w:color w:val="000000"/>
                <w:sz w:val="18"/>
                <w:szCs w:val="18"/>
              </w:rPr>
              <w:t>Cash and cash equivalent</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1</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258871499"/>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1819298211"/>
              <w:rPr>
                <w:rFonts w:eastAsia="Times New Roman"/>
              </w:rPr>
            </w:pPr>
            <w:r>
              <w:rPr>
                <w:rFonts w:ascii="Arial" w:eastAsia="Times New Roman" w:hAnsi="Arial" w:cs="Arial"/>
                <w:color w:val="000000"/>
                <w:sz w:val="18"/>
                <w:szCs w:val="18"/>
              </w:rPr>
              <w:t>Insurance deposit</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258871499"/>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29499838"/>
              <w:rPr>
                <w:rFonts w:eastAsia="Times New Roman"/>
              </w:rPr>
            </w:pPr>
            <w:r>
              <w:rPr>
                <w:rFonts w:ascii="Arial" w:eastAsia="Times New Roman" w:hAnsi="Arial" w:cs="Arial"/>
                <w:color w:val="000000"/>
                <w:sz w:val="18"/>
                <w:szCs w:val="18"/>
              </w:rPr>
              <w:t>Assets held in funded deferred compensation pla</w:t>
            </w:r>
            <w:r>
              <w:rPr>
                <w:rFonts w:ascii="Arial" w:eastAsia="Times New Roman" w:hAnsi="Arial" w:cs="Arial"/>
                <w:color w:val="000000"/>
                <w:sz w:val="18"/>
                <w:szCs w:val="18"/>
              </w:rPr>
              <w:t>n</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1</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4.1 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258871499"/>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2015960009"/>
              <w:rPr>
                <w:rFonts w:eastAsia="Times New Roman"/>
              </w:rPr>
            </w:pPr>
            <w:r>
              <w:rPr>
                <w:rFonts w:ascii="Arial" w:eastAsia="Times New Roman" w:hAnsi="Arial" w:cs="Arial"/>
                <w:color w:val="000000"/>
                <w:sz w:val="18"/>
                <w:szCs w:val="18"/>
              </w:rPr>
              <w:t>Debt facilitie</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1,388.1 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1,271.3 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258871499"/>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22635877"/>
              <w:rPr>
                <w:rFonts w:eastAsia="Times New Roman"/>
              </w:rPr>
            </w:pPr>
            <w:r>
              <w:rPr>
                <w:rFonts w:ascii="Arial" w:eastAsia="Times New Roman" w:hAnsi="Arial" w:cs="Arial"/>
                <w:color w:val="000000"/>
                <w:sz w:val="18"/>
                <w:szCs w:val="18"/>
              </w:rPr>
              <w:t>Interest rate swap asset</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2</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24.9 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36.9 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258871499"/>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2096198900"/>
              <w:rPr>
                <w:rFonts w:eastAsia="Times New Roman"/>
              </w:rPr>
            </w:pPr>
            <w:r>
              <w:rPr>
                <w:rFonts w:ascii="Arial" w:eastAsia="Times New Roman" w:hAnsi="Arial" w:cs="Arial"/>
                <w:color w:val="000000"/>
                <w:sz w:val="18"/>
                <w:szCs w:val="18"/>
              </w:rPr>
              <w:t>Interest rate swap liabilitie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258871499"/>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1812676334"/>
              <w:rPr>
                <w:rFonts w:eastAsia="Times New Roman"/>
              </w:rPr>
            </w:pPr>
            <w:r>
              <w:rPr>
                <w:rFonts w:ascii="Arial" w:eastAsia="Times New Roman" w:hAnsi="Arial" w:cs="Arial"/>
                <w:color w:val="000000"/>
                <w:sz w:val="18"/>
                <w:szCs w:val="18"/>
              </w:rPr>
              <w:t>Preferred equity investmen</w:t>
            </w:r>
            <w:r>
              <w:rPr>
                <w:rFonts w:ascii="Arial" w:eastAsia="Times New Roman" w:hAnsi="Arial" w:cs="Arial"/>
                <w:color w:val="000000"/>
                <w:sz w:val="18"/>
                <w:szCs w:val="18"/>
              </w:rPr>
              <w:t>t</w:t>
            </w:r>
            <w:r>
              <w:rPr>
                <w:rFonts w:ascii="Arial" w:eastAsia="Times New Roman" w:hAnsi="Arial" w:cs="Arial"/>
                <w:color w:val="000000"/>
                <w:sz w:val="12"/>
                <w:szCs w:val="12"/>
              </w:rPr>
              <w:t>(6</w:t>
            </w:r>
            <w:r>
              <w:rPr>
                <w:rFonts w:ascii="Arial" w:eastAsia="Times New Roman" w:hAnsi="Arial" w:cs="Arial"/>
                <w:color w:val="000000"/>
                <w:sz w:val="12"/>
                <w:szCs w:val="12"/>
              </w:rPr>
              <w:t>)</w:t>
            </w: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3</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258871499"/>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1025524827"/>
              <w:rPr>
                <w:rFonts w:eastAsia="Times New Roman"/>
              </w:rPr>
            </w:pPr>
            <w:r>
              <w:rPr>
                <w:rFonts w:ascii="Arial" w:eastAsia="Times New Roman" w:hAnsi="Arial" w:cs="Arial"/>
                <w:color w:val="000000"/>
                <w:sz w:val="18"/>
                <w:szCs w:val="18"/>
              </w:rPr>
              <w:t>Contingent Consideratio</w:t>
            </w:r>
            <w:r>
              <w:rPr>
                <w:rFonts w:ascii="Arial" w:eastAsia="Times New Roman" w:hAnsi="Arial" w:cs="Arial"/>
                <w:color w:val="000000"/>
                <w:sz w:val="18"/>
                <w:szCs w:val="18"/>
              </w:rPr>
              <w:t>n</w:t>
            </w:r>
            <w:r>
              <w:rPr>
                <w:rFonts w:ascii="Arial" w:eastAsia="Times New Roman" w:hAnsi="Arial" w:cs="Arial"/>
                <w:color w:val="000000"/>
                <w:sz w:val="12"/>
                <w:szCs w:val="12"/>
              </w:rPr>
              <w:t>(7</w:t>
            </w:r>
            <w:r>
              <w:rPr>
                <w:rFonts w:ascii="Arial" w:eastAsia="Times New Roman" w:hAnsi="Arial" w:cs="Arial"/>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59.0</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59.0 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bl>
    <w:p w:rsidR="00000000" w:rsidRDefault="007557F0">
      <w:pPr>
        <w:ind w:hanging="180"/>
        <w:jc w:val="both"/>
        <w:divId w:val="1319268988"/>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Cash and cash equivalents are stated at nominal value, which equals fair value.</w:t>
      </w:r>
    </w:p>
    <w:p w:rsidR="00000000" w:rsidRDefault="007557F0">
      <w:pPr>
        <w:ind w:hanging="180"/>
        <w:jc w:val="both"/>
        <w:divId w:val="635647277"/>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Represents restricted deposits that are used to collateralize our insurance obligations and are stated at nominal value, which equals fair value. These insurance deposits are included in “Other noncurrent assets” on the accompanying unaudited Consolidated </w:t>
      </w:r>
      <w:r>
        <w:rPr>
          <w:rFonts w:ascii="Arial" w:eastAsia="Times New Roman" w:hAnsi="Arial" w:cs="Arial"/>
          <w:color w:val="000000"/>
          <w:sz w:val="18"/>
          <w:szCs w:val="18"/>
        </w:rPr>
        <w:t>Balance Sheets. See Note 7, “Insurance,” for further information.</w:t>
      </w:r>
    </w:p>
    <w:p w:rsidR="00000000" w:rsidRDefault="007557F0">
      <w:pPr>
        <w:ind w:hanging="180"/>
        <w:jc w:val="both"/>
        <w:divId w:val="224032379"/>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investments held in a Rabbi trust associated with one of our deferred compensation plans, which we include in “Other noncurrent assets” on the accompanying unaudited Consolida</w:t>
      </w:r>
      <w:r>
        <w:rPr>
          <w:rFonts w:ascii="Arial" w:eastAsia="Times New Roman" w:hAnsi="Arial" w:cs="Arial"/>
          <w:color w:val="000000"/>
          <w:sz w:val="18"/>
          <w:szCs w:val="18"/>
        </w:rPr>
        <w:t xml:space="preserve">ted Balance Sheets. The fair value of the assets held in the funded deferred compensation plan is based on quoted market prices. </w:t>
      </w:r>
    </w:p>
    <w:p w:rsidR="00000000" w:rsidRDefault="007557F0">
      <w:pPr>
        <w:ind w:hanging="180"/>
        <w:jc w:val="both"/>
        <w:divId w:val="2135785260"/>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gross outstanding borrowings under our Credit and Receivables Facilities. Due to variable interest rates, the c</w:t>
      </w:r>
      <w:r>
        <w:rPr>
          <w:rFonts w:ascii="Arial" w:eastAsia="Times New Roman" w:hAnsi="Arial" w:cs="Arial"/>
          <w:color w:val="000000"/>
          <w:sz w:val="18"/>
          <w:szCs w:val="18"/>
        </w:rPr>
        <w:t>arrying value of outstanding borrowings under these facilities approximates the fair value. See Note 8, “Debt,” for further information.</w:t>
      </w:r>
    </w:p>
    <w:p w:rsidR="00000000" w:rsidRDefault="007557F0">
      <w:pPr>
        <w:ind w:hanging="180"/>
        <w:jc w:val="both"/>
        <w:divId w:val="1975939465"/>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interest rate swap derivatives designated as cash flow hedges. The fair values of the interest rate swap</w:t>
      </w:r>
      <w:r>
        <w:rPr>
          <w:rFonts w:ascii="Arial" w:eastAsia="Times New Roman" w:hAnsi="Arial" w:cs="Arial"/>
          <w:color w:val="000000"/>
          <w:sz w:val="18"/>
          <w:szCs w:val="18"/>
        </w:rPr>
        <w:t>s are estimated based on the present value of the difference between expected cash flows calculated at the contracted interest rates and the expected cash flows at current market interest rates using observable benchmarks for the Secured Overnight Financin</w:t>
      </w:r>
      <w:r>
        <w:rPr>
          <w:rFonts w:ascii="Arial" w:eastAsia="Times New Roman" w:hAnsi="Arial" w:cs="Arial"/>
          <w:color w:val="000000"/>
          <w:sz w:val="18"/>
          <w:szCs w:val="18"/>
        </w:rPr>
        <w:t>g Rate (“SOFR”) forward rates at the end of the period. Our interest rate swap assets and liabilities are included in “Other noncurrent assets” and “Other noncurrent liabilities,” respectively, on the accompanying unaudited Consolidated Balance Sheets. See</w:t>
      </w:r>
      <w:r>
        <w:rPr>
          <w:rFonts w:ascii="Arial" w:eastAsia="Times New Roman" w:hAnsi="Arial" w:cs="Arial"/>
          <w:color w:val="000000"/>
          <w:sz w:val="18"/>
          <w:szCs w:val="18"/>
        </w:rPr>
        <w:t xml:space="preserve"> Note 8, “Debt,” for further information.</w:t>
      </w:r>
    </w:p>
    <w:p w:rsidR="00000000" w:rsidRDefault="007557F0">
      <w:pPr>
        <w:ind w:hanging="180"/>
        <w:jc w:val="both"/>
        <w:divId w:val="822623812"/>
        <w:rPr>
          <w:rFonts w:eastAsia="Times New Roman"/>
        </w:rPr>
      </w:pPr>
      <w:r>
        <w:rPr>
          <w:rFonts w:ascii="Arial" w:eastAsia="Times New Roman" w:hAnsi="Arial" w:cs="Arial"/>
          <w:color w:val="000000"/>
          <w:sz w:val="12"/>
          <w:szCs w:val="12"/>
        </w:rPr>
        <w:t>(6</w:t>
      </w:r>
      <w:r>
        <w:rPr>
          <w:rFonts w:ascii="Arial" w:eastAsia="Times New Roman" w:hAnsi="Arial" w:cs="Arial"/>
          <w:color w:val="000000"/>
          <w:sz w:val="12"/>
          <w:szCs w:val="12"/>
        </w:rPr>
        <w:t>)</w:t>
      </w:r>
      <w:r>
        <w:rPr>
          <w:rFonts w:ascii="Arial" w:eastAsia="Times New Roman" w:hAnsi="Arial" w:cs="Arial"/>
          <w:color w:val="000000"/>
          <w:sz w:val="18"/>
          <w:szCs w:val="18"/>
        </w:rPr>
        <w:t xml:space="preserve"> We purcha</w:t>
      </w:r>
      <w:r>
        <w:rPr>
          <w:rFonts w:ascii="Arial" w:eastAsia="Times New Roman" w:hAnsi="Arial" w:cs="Arial"/>
          <w:color w:val="000000"/>
          <w:sz w:val="18"/>
          <w:szCs w:val="18"/>
          <w:shd w:val="clear" w:color="auto" w:fill="FFFFFF"/>
        </w:rPr>
        <w:t>sed $3.0 million i</w:t>
      </w:r>
      <w:r>
        <w:rPr>
          <w:rFonts w:ascii="Arial" w:eastAsia="Times New Roman" w:hAnsi="Arial" w:cs="Arial"/>
          <w:color w:val="000000"/>
          <w:sz w:val="18"/>
          <w:szCs w:val="18"/>
        </w:rPr>
        <w:t>n a preferred equity investment of a privately held company during the first quarter of 2022, which we include in “Other investments” on the accompanying unaudited Consolidated Balanc</w:t>
      </w:r>
      <w:r>
        <w:rPr>
          <w:rFonts w:ascii="Arial" w:eastAsia="Times New Roman" w:hAnsi="Arial" w:cs="Arial"/>
          <w:color w:val="000000"/>
          <w:sz w:val="18"/>
          <w:szCs w:val="18"/>
        </w:rPr>
        <w:t>e Sheet. Our investment does not have a readily determinable fair value; therefore, we account for the investment using the measurement alternative under Topic 321 and measure the investment at initial cost less impairment, if any.</w:t>
      </w:r>
    </w:p>
    <w:p w:rsidR="00000000" w:rsidRDefault="007557F0">
      <w:pPr>
        <w:ind w:hanging="180"/>
        <w:jc w:val="both"/>
        <w:divId w:val="1349716313"/>
        <w:rPr>
          <w:rFonts w:eastAsia="Times New Roman"/>
        </w:rPr>
      </w:pPr>
      <w:r>
        <w:rPr>
          <w:rFonts w:ascii="Arial" w:eastAsia="Times New Roman" w:hAnsi="Arial" w:cs="Arial"/>
          <w:color w:val="000000"/>
          <w:sz w:val="12"/>
          <w:szCs w:val="12"/>
        </w:rPr>
        <w:t>(7)</w:t>
      </w:r>
      <w:r>
        <w:rPr>
          <w:rFonts w:ascii="Arial" w:eastAsia="Times New Roman" w:hAnsi="Arial" w:cs="Arial"/>
          <w:color w:val="000000"/>
          <w:sz w:val="12"/>
          <w:szCs w:val="12"/>
        </w:rPr>
        <w:t xml:space="preserve"> </w:t>
      </w:r>
      <w:r>
        <w:rPr>
          <w:rFonts w:ascii="Arial" w:eastAsia="Times New Roman" w:hAnsi="Arial" w:cs="Arial"/>
          <w:color w:val="000000"/>
          <w:sz w:val="18"/>
          <w:szCs w:val="18"/>
        </w:rPr>
        <w:t>Our contingent consi</w:t>
      </w:r>
      <w:r>
        <w:rPr>
          <w:rFonts w:ascii="Arial" w:eastAsia="Times New Roman" w:hAnsi="Arial" w:cs="Arial"/>
          <w:color w:val="000000"/>
          <w:sz w:val="18"/>
          <w:szCs w:val="18"/>
        </w:rPr>
        <w:t>deration payable related to the RavenVolt Acquisition is remeasured at each reporting date, based on significant inputs not observable in the market, which represents a Level 3 measurement within the fair value hierarchy. After the acquisition date and unt</w:t>
      </w:r>
      <w:r>
        <w:rPr>
          <w:rFonts w:ascii="Arial" w:eastAsia="Times New Roman" w:hAnsi="Arial" w:cs="Arial"/>
          <w:color w:val="000000"/>
          <w:sz w:val="18"/>
          <w:szCs w:val="18"/>
        </w:rPr>
        <w:t>il the contingency is resolved, the fair value of contingent consideration payable is adjusted each reporting period based primarily on the expected probability of achievement of the contingency targets which are subject to our estimate. These changes in f</w:t>
      </w:r>
      <w:r>
        <w:rPr>
          <w:rFonts w:ascii="Arial" w:eastAsia="Times New Roman" w:hAnsi="Arial" w:cs="Arial"/>
          <w:color w:val="000000"/>
          <w:sz w:val="18"/>
          <w:szCs w:val="18"/>
        </w:rPr>
        <w:t xml:space="preserve">air value are recognized within “Operating expenses” of the unaudited Consolidated Statements of Comprehensive Income. </w:t>
      </w:r>
    </w:p>
    <w:p w:rsidR="00000000" w:rsidRDefault="007557F0">
      <w:pPr>
        <w:jc w:val="both"/>
        <w:divId w:val="698240198"/>
        <w:rPr>
          <w:rFonts w:eastAsia="Times New Roman"/>
        </w:rPr>
      </w:pPr>
      <w:r>
        <w:rPr>
          <w:rFonts w:ascii="Arial" w:eastAsia="Times New Roman" w:hAnsi="Arial" w:cs="Arial"/>
          <w:b/>
          <w:bCs/>
          <w:i/>
          <w:iCs/>
          <w:color w:val="0046AD"/>
          <w:sz w:val="20"/>
          <w:szCs w:val="20"/>
        </w:rPr>
        <w:t>Non-Financial Assets Measured at Fair Value on a Non-Recurring Basis</w:t>
      </w:r>
    </w:p>
    <w:p w:rsidR="00000000" w:rsidRDefault="007557F0">
      <w:pPr>
        <w:ind w:firstLine="720"/>
        <w:jc w:val="both"/>
        <w:divId w:val="1423262642"/>
        <w:rPr>
          <w:rFonts w:eastAsia="Times New Roman"/>
        </w:rPr>
      </w:pPr>
      <w:r>
        <w:rPr>
          <w:rFonts w:ascii="Arial" w:eastAsia="Times New Roman" w:hAnsi="Arial" w:cs="Arial"/>
          <w:color w:val="000000"/>
          <w:sz w:val="20"/>
          <w:szCs w:val="20"/>
        </w:rPr>
        <w:t>In addition to assets and liabilities that are measured at fair value on a recurring basis, we are also required to measure certain items at fair value on a non-recurring basis. These assets can include: goodwill; intangible assets; property, plant and equ</w:t>
      </w:r>
      <w:r>
        <w:rPr>
          <w:rFonts w:ascii="Arial" w:eastAsia="Times New Roman" w:hAnsi="Arial" w:cs="Arial"/>
          <w:color w:val="000000"/>
          <w:sz w:val="20"/>
          <w:szCs w:val="20"/>
        </w:rPr>
        <w:t>ipment; lease-related ROU assets; and long-lived assets that have been reduced to fair value when they are held for sale. If certain triggering events occur, or if an annual impairment test is required, then we would evaluate these non-financial assets for</w:t>
      </w:r>
      <w:r>
        <w:rPr>
          <w:rFonts w:ascii="Arial" w:eastAsia="Times New Roman" w:hAnsi="Arial" w:cs="Arial"/>
          <w:color w:val="000000"/>
          <w:sz w:val="20"/>
          <w:szCs w:val="20"/>
        </w:rPr>
        <w:t xml:space="preserve"> impairment. If an impairment were to occur, then the asset would be recorded at the estimated fair value, using primarily unobservable Level 3 inputs.</w:t>
      </w:r>
    </w:p>
    <w:p w:rsidR="00000000" w:rsidRDefault="007557F0">
      <w:pPr>
        <w:ind w:firstLine="720"/>
        <w:jc w:val="both"/>
        <w:divId w:val="654574068"/>
        <w:rPr>
          <w:rFonts w:eastAsia="Times New Roman"/>
        </w:rPr>
      </w:pPr>
    </w:p>
    <w:p w:rsidR="00000000" w:rsidRDefault="007557F0">
      <w:pPr>
        <w:divId w:val="2098860796"/>
        <w:rPr>
          <w:rFonts w:eastAsia="Times New Roman"/>
        </w:rPr>
      </w:pPr>
    </w:p>
    <w:p w:rsidR="00000000" w:rsidRDefault="007557F0">
      <w:pPr>
        <w:jc w:val="center"/>
        <w:divId w:val="1690062432"/>
        <w:rPr>
          <w:rFonts w:eastAsia="Times New Roman"/>
        </w:rPr>
      </w:pPr>
      <w:r>
        <w:rPr>
          <w:rFonts w:ascii="Arial" w:eastAsia="Times New Roman" w:hAnsi="Arial" w:cs="Arial"/>
          <w:color w:val="000000"/>
          <w:sz w:val="20"/>
          <w:szCs w:val="20"/>
        </w:rPr>
        <w:t>14</w:t>
      </w:r>
    </w:p>
    <w:p w:rsidR="00000000" w:rsidRDefault="007557F0">
      <w:pPr>
        <w:rPr>
          <w:rFonts w:eastAsia="Times New Roman"/>
        </w:rPr>
      </w:pPr>
      <w:r>
        <w:rPr>
          <w:rFonts w:eastAsia="Times New Roman"/>
        </w:rPr>
        <w:pict>
          <v:rect id="_x0000_i1043" style="width:0;height:1.5pt" o:hralign="center" o:hrstd="t" o:hr="t" fillcolor="#a0a0a0" stroked="f"/>
        </w:pict>
      </w:r>
    </w:p>
    <w:p w:rsidR="00000000" w:rsidRDefault="007557F0">
      <w:pPr>
        <w:jc w:val="both"/>
        <w:divId w:val="82336445"/>
        <w:rPr>
          <w:rFonts w:eastAsia="Times New Roman"/>
        </w:rPr>
      </w:pPr>
    </w:p>
    <w:p w:rsidR="00000000" w:rsidRDefault="007557F0">
      <w:pPr>
        <w:divId w:val="1409307527"/>
        <w:rPr>
          <w:rFonts w:eastAsia="Times New Roman"/>
        </w:rPr>
      </w:pPr>
      <w:r>
        <w:rPr>
          <w:rFonts w:ascii="Arial" w:eastAsia="Times New Roman" w:hAnsi="Arial" w:cs="Arial"/>
          <w:b/>
          <w:bCs/>
          <w:color w:val="0046AD"/>
          <w:sz w:val="20"/>
          <w:szCs w:val="20"/>
        </w:rPr>
        <w:t>7. INSURANCE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488132277"/>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48813227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652638094"/>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property damage, and other insurable risks. For the majority of these insurance programs, we retain the initial $1.0 millio</w:t>
      </w:r>
      <w:r>
        <w:rPr>
          <w:rFonts w:ascii="Arial" w:eastAsia="Times New Roman" w:hAnsi="Arial" w:cs="Arial"/>
          <w:color w:val="000000"/>
          <w:sz w:val="20"/>
          <w:szCs w:val="20"/>
        </w:rPr>
        <w:t>n to $1.5 million of exposure on a per-occurrence basis, either through deductibles or self-insured retentions. Beyond the retained exposures, we have varying primary policy limits ranging between $1.0 million and $5.0 million per occurrence. To cover gene</w:t>
      </w:r>
      <w:r>
        <w:rPr>
          <w:rFonts w:ascii="Arial" w:eastAsia="Times New Roman" w:hAnsi="Arial" w:cs="Arial"/>
          <w:color w:val="000000"/>
          <w:sz w:val="20"/>
          <w:szCs w:val="20"/>
        </w:rPr>
        <w:t>ral liability and automobile liability losses above these primary limits, we maintain commercial umbrella insurance policies that provide aggregate limits of $200.0 million. Our insurance policies generally cover workers’ compensation losses to the full ex</w:t>
      </w:r>
      <w:r>
        <w:rPr>
          <w:rFonts w:ascii="Arial" w:eastAsia="Times New Roman" w:hAnsi="Arial" w:cs="Arial"/>
          <w:color w:val="000000"/>
          <w:sz w:val="20"/>
          <w:szCs w:val="20"/>
        </w:rPr>
        <w:t>tent of statutory requirements. Additionally, to cover property damage risks above our retained limits, we maintain policies that provide per occurrence limits of $75.0 million. We are also self-insured for certain employee medical and dental plans. We mai</w:t>
      </w:r>
      <w:r>
        <w:rPr>
          <w:rFonts w:ascii="Arial" w:eastAsia="Times New Roman" w:hAnsi="Arial" w:cs="Arial"/>
          <w:color w:val="000000"/>
          <w:sz w:val="20"/>
          <w:szCs w:val="20"/>
        </w:rPr>
        <w:t>ntain stop-loss insurance for our self-insured medical plan under which we retain up to $0.5 million of exposure on a per-participant, per-year basis with respect to claims.</w:t>
      </w:r>
    </w:p>
    <w:p w:rsidR="00000000" w:rsidRDefault="007557F0">
      <w:pPr>
        <w:ind w:firstLine="720"/>
        <w:jc w:val="both"/>
        <w:divId w:val="964309207"/>
        <w:rPr>
          <w:rFonts w:eastAsia="Times New Roman"/>
        </w:rPr>
      </w:pPr>
      <w:r>
        <w:rPr>
          <w:rFonts w:ascii="Arial" w:eastAsia="Times New Roman" w:hAnsi="Arial" w:cs="Arial"/>
          <w:color w:val="000000"/>
          <w:sz w:val="20"/>
          <w:szCs w:val="20"/>
        </w:rPr>
        <w:t xml:space="preserve">We maintain our reserves for workers’ compensation, general liability, automobile </w:t>
      </w:r>
      <w:r>
        <w:rPr>
          <w:rFonts w:ascii="Arial" w:eastAsia="Times New Roman" w:hAnsi="Arial" w:cs="Arial"/>
          <w:color w:val="000000"/>
          <w:sz w:val="20"/>
          <w:szCs w:val="20"/>
        </w:rPr>
        <w:t xml:space="preserve">liability, and property damage insurance claims based upon known trends and events and the actuarial estimates of required reserves considering the most recently completed actuarial reports. We use all available information to develop our best estimate of </w:t>
      </w:r>
      <w:r>
        <w:rPr>
          <w:rFonts w:ascii="Arial" w:eastAsia="Times New Roman" w:hAnsi="Arial" w:cs="Arial"/>
          <w:color w:val="000000"/>
          <w:sz w:val="20"/>
          <w:szCs w:val="20"/>
        </w:rPr>
        <w:t>insurance claims reserves as information is obtained. The results of actuarial reviews are used to estimate our insurance rates and insurance reserves for future periods and to adjust reserves, if appropriate, for prior years.</w:t>
      </w:r>
    </w:p>
    <w:p w:rsidR="00000000" w:rsidRDefault="007557F0">
      <w:pPr>
        <w:jc w:val="both"/>
        <w:divId w:val="784929380"/>
        <w:rPr>
          <w:rFonts w:eastAsia="Times New Roman"/>
        </w:rPr>
      </w:pPr>
      <w:r>
        <w:rPr>
          <w:rFonts w:ascii="Arial" w:eastAsia="Times New Roman" w:hAnsi="Arial" w:cs="Arial"/>
          <w:b/>
          <w:bCs/>
          <w:color w:val="0046AD"/>
          <w:sz w:val="20"/>
          <w:szCs w:val="20"/>
        </w:rPr>
        <w:t>Actuarial Review Performed Du</w:t>
      </w:r>
      <w:r>
        <w:rPr>
          <w:rFonts w:ascii="Arial" w:eastAsia="Times New Roman" w:hAnsi="Arial" w:cs="Arial"/>
          <w:b/>
          <w:bCs/>
          <w:color w:val="0046AD"/>
          <w:sz w:val="20"/>
          <w:szCs w:val="20"/>
        </w:rPr>
        <w:t>ring First Quarter 2023</w:t>
      </w:r>
    </w:p>
    <w:p w:rsidR="00000000" w:rsidRDefault="007557F0">
      <w:pPr>
        <w:ind w:firstLine="720"/>
        <w:jc w:val="both"/>
        <w:divId w:val="405081060"/>
        <w:rPr>
          <w:rFonts w:eastAsia="Times New Roman"/>
        </w:rPr>
      </w:pPr>
      <w:r>
        <w:rPr>
          <w:rFonts w:ascii="Arial" w:eastAsia="Times New Roman" w:hAnsi="Arial" w:cs="Arial"/>
          <w:color w:val="000000"/>
          <w:sz w:val="20"/>
          <w:szCs w:val="20"/>
        </w:rPr>
        <w:t>We review our self-insurance liabilities on a regular basis and adjust our accruals accordingly. Actual claims activity or development may vary from our assumptions and estimates, which may result in material losses or gains. As we obtain additional inform</w:t>
      </w:r>
      <w:r>
        <w:rPr>
          <w:rFonts w:ascii="Arial" w:eastAsia="Times New Roman" w:hAnsi="Arial" w:cs="Arial"/>
          <w:color w:val="000000"/>
          <w:sz w:val="20"/>
          <w:szCs w:val="20"/>
        </w:rPr>
        <w:t xml:space="preserve">ation that affects the assumptions and estimates used in our reserve liability calculations, we adjust our self-insurance rates and reserves for future periods and, if appropriate, adjust our reserves for claims incurred in prior accounting periods. </w:t>
      </w:r>
    </w:p>
    <w:p w:rsidR="00000000" w:rsidRDefault="007557F0">
      <w:pPr>
        <w:ind w:firstLine="720"/>
        <w:jc w:val="both"/>
        <w:divId w:val="639654458"/>
        <w:rPr>
          <w:rFonts w:eastAsia="Times New Roman"/>
        </w:rPr>
      </w:pPr>
      <w:r>
        <w:rPr>
          <w:rFonts w:ascii="Arial" w:eastAsia="Times New Roman" w:hAnsi="Arial" w:cs="Arial"/>
          <w:color w:val="000000"/>
          <w:sz w:val="20"/>
          <w:szCs w:val="20"/>
        </w:rPr>
        <w:t>Durin</w:t>
      </w:r>
      <w:r>
        <w:rPr>
          <w:rFonts w:ascii="Arial" w:eastAsia="Times New Roman" w:hAnsi="Arial" w:cs="Arial"/>
          <w:color w:val="000000"/>
          <w:sz w:val="20"/>
          <w:szCs w:val="20"/>
        </w:rPr>
        <w:t>g the first quarter of 2023, we performed a comprehensive actuarial review of the majority of our casualty insurance programs to evaluate changes made to claims reserves and claims payment activity for the period of May 1, 2022, through October 31, 2022 (t</w:t>
      </w:r>
      <w:r>
        <w:rPr>
          <w:rFonts w:ascii="Arial" w:eastAsia="Times New Roman" w:hAnsi="Arial" w:cs="Arial"/>
          <w:color w:val="000000"/>
          <w:sz w:val="20"/>
          <w:szCs w:val="20"/>
        </w:rPr>
        <w:t>he “Actuarial Review”). The Actuarial Review was comprehensive in nature and was based on loss development patterns, trend assumptions, and underlying expected loss costs during the period analyzed.</w:t>
      </w:r>
    </w:p>
    <w:p w:rsidR="00000000" w:rsidRDefault="007557F0">
      <w:pPr>
        <w:ind w:firstLine="720"/>
        <w:jc w:val="both"/>
        <w:divId w:val="1993364120"/>
        <w:rPr>
          <w:rFonts w:eastAsia="Times New Roman"/>
        </w:rPr>
      </w:pPr>
      <w:r>
        <w:rPr>
          <w:rFonts w:ascii="Arial" w:eastAsia="Times New Roman" w:hAnsi="Arial" w:cs="Arial"/>
          <w:color w:val="000000"/>
          <w:sz w:val="20"/>
          <w:szCs w:val="20"/>
        </w:rPr>
        <w:t>Based on the results of the Actuarial Review, it was dete</w:t>
      </w:r>
      <w:r>
        <w:rPr>
          <w:rFonts w:ascii="Arial" w:eastAsia="Times New Roman" w:hAnsi="Arial" w:cs="Arial"/>
          <w:color w:val="000000"/>
          <w:sz w:val="20"/>
          <w:szCs w:val="20"/>
        </w:rPr>
        <w:t>rmined that there was no adjustment required for our total reserves related to prior years during the three months ended January 31, 2023. During the three months ended January 31, 2022, we decreased our total reserves related to prior years by $25.2 milli</w:t>
      </w:r>
      <w:r>
        <w:rPr>
          <w:rFonts w:ascii="Arial" w:eastAsia="Times New Roman" w:hAnsi="Arial" w:cs="Arial"/>
          <w:color w:val="000000"/>
          <w:sz w:val="20"/>
          <w:szCs w:val="20"/>
        </w:rPr>
        <w:t>on. We will continue to assess ongoing developments, which may result in further adjustments to reserves.</w:t>
      </w:r>
    </w:p>
    <w:p w:rsidR="00000000" w:rsidRDefault="007557F0">
      <w:pPr>
        <w:divId w:val="585958988"/>
        <w:rPr>
          <w:rFonts w:eastAsia="Times New Roman"/>
        </w:rPr>
      </w:pPr>
      <w:r>
        <w:rPr>
          <w:rFonts w:ascii="Arial" w:eastAsia="Times New Roman" w:hAnsi="Arial" w:cs="Arial"/>
          <w:b/>
          <w:bCs/>
          <w:color w:val="0046AD"/>
          <w:sz w:val="20"/>
          <w:szCs w:val="20"/>
        </w:rPr>
        <w:t xml:space="preserve">Insurance-Related Balances and Activity </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2"/>
        <w:gridCol w:w="1322"/>
        <w:gridCol w:w="36"/>
        <w:gridCol w:w="36"/>
        <w:gridCol w:w="36"/>
        <w:gridCol w:w="36"/>
        <w:gridCol w:w="122"/>
        <w:gridCol w:w="1286"/>
        <w:gridCol w:w="36"/>
      </w:tblGrid>
      <w:tr w:rsidR="00000000">
        <w:trPr>
          <w:divId w:val="325941291"/>
        </w:trPr>
        <w:tc>
          <w:tcPr>
            <w:tcW w:w="50" w:type="pct"/>
            <w:vAlign w:val="center"/>
            <w:hideMark/>
          </w:tcPr>
          <w:p w:rsidR="00000000" w:rsidRDefault="007557F0">
            <w:pPr>
              <w:rPr>
                <w:rFonts w:eastAsia="Times New Roman"/>
              </w:rPr>
            </w:pPr>
          </w:p>
        </w:tc>
        <w:tc>
          <w:tcPr>
            <w:tcW w:w="3154"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82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82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325941291"/>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January 31, 2023</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October 31, 2022</w:t>
            </w:r>
          </w:p>
        </w:tc>
      </w:tr>
      <w:tr w:rsidR="00000000">
        <w:trPr>
          <w:divId w:val="325941291"/>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Insurance claim reserves, excluding medical and dental</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564.7 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551.1 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25941291"/>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Medical and dental claim reserves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7.0 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25941291"/>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Insurance recoverables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71.0 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71.0 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bl>
    <w:p w:rsidR="00000000" w:rsidRDefault="007557F0">
      <w:pPr>
        <w:ind w:firstLine="720"/>
        <w:jc w:val="both"/>
        <w:divId w:val="942765064"/>
        <w:rPr>
          <w:rFonts w:eastAsia="Times New Roman"/>
        </w:rPr>
      </w:pPr>
      <w:r>
        <w:rPr>
          <w:rFonts w:ascii="Arial" w:eastAsia="Times New Roman" w:hAnsi="Arial" w:cs="Arial"/>
          <w:color w:val="000000"/>
          <w:sz w:val="20"/>
          <w:szCs w:val="20"/>
        </w:rPr>
        <w:t>At January 31, 2023, and October </w:t>
      </w:r>
      <w:r>
        <w:rPr>
          <w:rFonts w:ascii="Arial" w:eastAsia="Times New Roman" w:hAnsi="Arial" w:cs="Arial"/>
          <w:color w:val="000000"/>
          <w:sz w:val="20"/>
          <w:szCs w:val="20"/>
        </w:rPr>
        <w:t>31, 2022, insurance recoverables are included in both “Other current assets” and “Other noncurrent assets” on the accompanying unaudited Consolidated Balance Sheets.</w:t>
      </w:r>
    </w:p>
    <w:p w:rsidR="00000000" w:rsidRDefault="007557F0">
      <w:pPr>
        <w:jc w:val="both"/>
        <w:divId w:val="302737131"/>
        <w:rPr>
          <w:rFonts w:eastAsia="Times New Roman"/>
        </w:rPr>
      </w:pPr>
      <w:r>
        <w:rPr>
          <w:rFonts w:ascii="Arial" w:eastAsia="Times New Roman" w:hAnsi="Arial" w:cs="Arial"/>
          <w:b/>
          <w:bCs/>
          <w:i/>
          <w:iCs/>
          <w:color w:val="0046AD"/>
          <w:sz w:val="20"/>
          <w:szCs w:val="20"/>
        </w:rPr>
        <w:t>Instruments Used to Collateralize Our Insurance 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2"/>
        <w:gridCol w:w="1322"/>
        <w:gridCol w:w="36"/>
        <w:gridCol w:w="36"/>
        <w:gridCol w:w="36"/>
        <w:gridCol w:w="36"/>
        <w:gridCol w:w="122"/>
        <w:gridCol w:w="1286"/>
        <w:gridCol w:w="36"/>
      </w:tblGrid>
      <w:tr w:rsidR="00000000">
        <w:trPr>
          <w:divId w:val="123502090"/>
        </w:trPr>
        <w:tc>
          <w:tcPr>
            <w:tcW w:w="50" w:type="pct"/>
            <w:vAlign w:val="center"/>
            <w:hideMark/>
          </w:tcPr>
          <w:p w:rsidR="00000000" w:rsidRDefault="007557F0">
            <w:pPr>
              <w:jc w:val="both"/>
              <w:rPr>
                <w:rFonts w:eastAsia="Times New Roman"/>
              </w:rPr>
            </w:pPr>
          </w:p>
        </w:tc>
        <w:tc>
          <w:tcPr>
            <w:tcW w:w="3154"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82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82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23502090"/>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January 31, 2023</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October 31, 2022</w:t>
            </w:r>
          </w:p>
        </w:tc>
      </w:tr>
      <w:tr w:rsidR="00000000">
        <w:trPr>
          <w:divId w:val="123502090"/>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xml:space="preserve">Standby letters of credit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153.7 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23502090"/>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Surety bonds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148.8 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73.2 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23502090"/>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Restricted insurance deposits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23502090"/>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228.7 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227.8 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bl>
    <w:p w:rsidR="00000000" w:rsidRDefault="007557F0">
      <w:pPr>
        <w:jc w:val="center"/>
        <w:divId w:val="1720547772"/>
        <w:rPr>
          <w:rFonts w:eastAsia="Times New Roman"/>
        </w:rPr>
      </w:pPr>
      <w:r>
        <w:rPr>
          <w:rFonts w:ascii="Arial" w:eastAsia="Times New Roman" w:hAnsi="Arial" w:cs="Arial"/>
          <w:color w:val="000000"/>
          <w:sz w:val="20"/>
          <w:szCs w:val="20"/>
        </w:rPr>
        <w:t>15</w:t>
      </w:r>
    </w:p>
    <w:p w:rsidR="00000000" w:rsidRDefault="007557F0">
      <w:pPr>
        <w:rPr>
          <w:rFonts w:eastAsia="Times New Roman"/>
        </w:rPr>
      </w:pPr>
      <w:r>
        <w:rPr>
          <w:rFonts w:eastAsia="Times New Roman"/>
        </w:rPr>
        <w:pict>
          <v:rect id="_x0000_i1044" style="width:0;height:1.5pt" o:hralign="center" o:hrstd="t" o:hr="t" fillcolor="#a0a0a0" stroked="f"/>
        </w:pict>
      </w:r>
    </w:p>
    <w:p w:rsidR="00000000" w:rsidRDefault="007557F0">
      <w:pPr>
        <w:jc w:val="both"/>
        <w:divId w:val="605117235"/>
        <w:rPr>
          <w:rFonts w:eastAsia="Times New Roman"/>
        </w:rPr>
      </w:pPr>
    </w:p>
    <w:p w:rsidR="00000000" w:rsidRDefault="007557F0">
      <w:pPr>
        <w:jc w:val="both"/>
        <w:divId w:val="1932546608"/>
        <w:rPr>
          <w:rFonts w:eastAsia="Times New Roman"/>
        </w:rPr>
      </w:pPr>
    </w:p>
    <w:p w:rsidR="00000000" w:rsidRDefault="007557F0">
      <w:pPr>
        <w:jc w:val="both"/>
        <w:divId w:val="279607780"/>
        <w:rPr>
          <w:rFonts w:eastAsia="Times New Roman"/>
        </w:rPr>
      </w:pPr>
      <w:r>
        <w:rPr>
          <w:rFonts w:ascii="Arial" w:eastAsia="Times New Roman" w:hAnsi="Arial" w:cs="Arial"/>
          <w:b/>
          <w:bCs/>
          <w:color w:val="0046AD"/>
          <w:sz w:val="20"/>
          <w:szCs w:val="20"/>
        </w:rPr>
        <w:t>8. DEBT</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945693611"/>
        </w:trPr>
        <w:tc>
          <w:tcPr>
            <w:tcW w:w="5" w:type="pct"/>
            <w:vAlign w:val="center"/>
            <w:hideMark/>
          </w:tcPr>
          <w:p w:rsidR="00000000" w:rsidRDefault="007557F0">
            <w:pPr>
              <w:jc w:val="both"/>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945693611"/>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divId w:val="2044624095"/>
        <w:rPr>
          <w:rFonts w:eastAsia="Times New Roman"/>
        </w:rPr>
      </w:pPr>
      <w:r>
        <w:rPr>
          <w:rFonts w:ascii="Arial" w:eastAsia="Times New Roman" w:hAnsi="Arial" w:cs="Arial"/>
          <w:b/>
          <w:bCs/>
          <w:color w:val="0046AD"/>
          <w:sz w:val="20"/>
          <w:szCs w:val="20"/>
        </w:rPr>
        <w:t>Components of Debt</w:t>
      </w:r>
    </w:p>
    <w:tbl>
      <w:tblPr>
        <w:tblW w:w="5000" w:type="pct"/>
        <w:tblCellMar>
          <w:top w:w="15" w:type="dxa"/>
          <w:left w:w="15" w:type="dxa"/>
          <w:bottom w:w="15" w:type="dxa"/>
          <w:right w:w="15" w:type="dxa"/>
        </w:tblCellMar>
        <w:tblLook w:val="04A0" w:firstRow="1" w:lastRow="0" w:firstColumn="1" w:lastColumn="0" w:noHBand="0" w:noVBand="1"/>
      </w:tblPr>
      <w:tblGrid>
        <w:gridCol w:w="40"/>
        <w:gridCol w:w="5131"/>
        <w:gridCol w:w="39"/>
        <w:gridCol w:w="36"/>
        <w:gridCol w:w="36"/>
        <w:gridCol w:w="36"/>
        <w:gridCol w:w="121"/>
        <w:gridCol w:w="1283"/>
        <w:gridCol w:w="36"/>
        <w:gridCol w:w="36"/>
        <w:gridCol w:w="36"/>
        <w:gridCol w:w="36"/>
        <w:gridCol w:w="121"/>
        <w:gridCol w:w="1283"/>
        <w:gridCol w:w="36"/>
      </w:tblGrid>
      <w:tr w:rsidR="00000000">
        <w:trPr>
          <w:divId w:val="392393259"/>
        </w:trPr>
        <w:tc>
          <w:tcPr>
            <w:tcW w:w="50" w:type="pct"/>
            <w:vAlign w:val="center"/>
            <w:hideMark/>
          </w:tcPr>
          <w:p w:rsidR="00000000" w:rsidRDefault="007557F0">
            <w:pPr>
              <w:rPr>
                <w:rFonts w:eastAsia="Times New Roman"/>
              </w:rPr>
            </w:pPr>
          </w:p>
        </w:tc>
        <w:tc>
          <w:tcPr>
            <w:tcW w:w="311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82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82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392393259"/>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January 31, 2023</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October 31, 2022</w:t>
            </w:r>
          </w:p>
        </w:tc>
      </w:tr>
      <w:tr w:rsidR="00000000">
        <w:trPr>
          <w:divId w:val="392393259"/>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Current portion of debt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392393259"/>
        </w:trPr>
        <w:tc>
          <w:tcPr>
            <w:tcW w:w="0" w:type="auto"/>
            <w:gridSpan w:val="3"/>
            <w:shd w:val="clear" w:color="auto" w:fill="FFFFFF"/>
            <w:tcMar>
              <w:top w:w="30" w:type="dxa"/>
              <w:left w:w="24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Gross term loan</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32.5 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32.5 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92393259"/>
        </w:trPr>
        <w:tc>
          <w:tcPr>
            <w:tcW w:w="0" w:type="auto"/>
            <w:gridSpan w:val="3"/>
            <w:shd w:val="clear" w:color="auto" w:fill="DCE2EF"/>
            <w:tcMar>
              <w:top w:w="30" w:type="dxa"/>
              <w:left w:w="24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92393259"/>
        </w:trPr>
        <w:tc>
          <w:tcPr>
            <w:tcW w:w="0" w:type="auto"/>
            <w:gridSpan w:val="3"/>
            <w:shd w:val="clear" w:color="auto" w:fill="FFFFFF"/>
            <w:tcMar>
              <w:top w:w="30" w:type="dxa"/>
              <w:left w:w="51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Current portion of term loan</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92393259"/>
        </w:trPr>
        <w:tc>
          <w:tcPr>
            <w:tcW w:w="0" w:type="auto"/>
            <w:gridSpan w:val="3"/>
            <w:shd w:val="clear" w:color="auto" w:fill="DCE2EF"/>
            <w:tcMar>
              <w:top w:w="30" w:type="dxa"/>
              <w:left w:w="24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Receivables facility</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150.0 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150.0 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92393259"/>
        </w:trPr>
        <w:tc>
          <w:tcPr>
            <w:tcW w:w="0" w:type="auto"/>
            <w:gridSpan w:val="3"/>
            <w:shd w:val="clear" w:color="auto" w:fill="FFFFFF"/>
            <w:tcMar>
              <w:top w:w="30" w:type="dxa"/>
              <w:left w:w="27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Current portion of debt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92393259"/>
          <w:trHeight w:val="280"/>
        </w:trPr>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392393259"/>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392393259"/>
        </w:trPr>
        <w:tc>
          <w:tcPr>
            <w:tcW w:w="0" w:type="auto"/>
            <w:gridSpan w:val="3"/>
            <w:shd w:val="clear" w:color="auto" w:fill="DCE2EF"/>
            <w:tcMar>
              <w:top w:w="30" w:type="dxa"/>
              <w:left w:w="24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Gross term loan</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560.6 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568.8 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92393259"/>
        </w:trPr>
        <w:tc>
          <w:tcPr>
            <w:tcW w:w="0" w:type="auto"/>
            <w:gridSpan w:val="3"/>
            <w:shd w:val="clear" w:color="auto" w:fill="FFFFFF"/>
            <w:tcMar>
              <w:top w:w="30" w:type="dxa"/>
              <w:left w:w="24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(2.2)</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92393259"/>
        </w:trPr>
        <w:tc>
          <w:tcPr>
            <w:tcW w:w="0" w:type="auto"/>
            <w:gridSpan w:val="3"/>
            <w:shd w:val="clear" w:color="auto" w:fill="DCE2EF"/>
            <w:tcMar>
              <w:top w:w="30" w:type="dxa"/>
              <w:left w:w="51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Total noncurrent portion of term loan</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558.4 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566.3 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92393259"/>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divId w:val="846599738"/>
              <w:rPr>
                <w:rFonts w:eastAsia="Times New Roman"/>
              </w:rPr>
            </w:pPr>
            <w:r>
              <w:rPr>
                <w:rFonts w:ascii="Arial" w:eastAsia="Times New Roman" w:hAnsi="Arial" w:cs="Arial"/>
                <w:color w:val="000000"/>
                <w:sz w:val="18"/>
                <w:szCs w:val="18"/>
              </w:rPr>
              <w:t>Revolving line of credi</w:t>
            </w:r>
            <w:r>
              <w:rPr>
                <w:rFonts w:ascii="Arial" w:eastAsia="Times New Roman" w:hAnsi="Arial" w:cs="Arial"/>
                <w:color w:val="000000"/>
                <w:sz w:val="18"/>
                <w:szCs w:val="18"/>
              </w:rPr>
              <w:t>t</w:t>
            </w:r>
            <w:r>
              <w:rPr>
                <w:rFonts w:ascii="Arial" w:eastAsia="Times New Roman" w:hAnsi="Arial" w:cs="Arial"/>
                <w:color w:val="000000"/>
                <w:sz w:val="12"/>
                <w:szCs w:val="12"/>
              </w:rPr>
              <w:t>(1)(2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645.0 </w:t>
            </w:r>
          </w:p>
        </w:tc>
        <w:tc>
          <w:tcPr>
            <w:tcW w:w="0" w:type="auto"/>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520.0 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392393259"/>
        </w:trPr>
        <w:tc>
          <w:tcPr>
            <w:tcW w:w="0" w:type="auto"/>
            <w:gridSpan w:val="3"/>
            <w:shd w:val="clear" w:color="auto" w:fill="DCE2EF"/>
            <w:tcMar>
              <w:top w:w="30" w:type="dxa"/>
              <w:left w:w="24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Long-term debt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1,203.4 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1,086.3 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bl>
    <w:p w:rsidR="00000000" w:rsidRDefault="007557F0">
      <w:pPr>
        <w:ind w:hanging="180"/>
        <w:jc w:val="both"/>
        <w:divId w:val="28655150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Standby letters of credit amounted to $83.6 million at January 31, 2023. </w:t>
      </w:r>
    </w:p>
    <w:p w:rsidR="00000000" w:rsidRDefault="007557F0">
      <w:pPr>
        <w:ind w:hanging="180"/>
        <w:jc w:val="both"/>
        <w:divId w:val="138067069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At January 31, 2023, we had borrowing capacity of $563.3 million.</w:t>
      </w:r>
    </w:p>
    <w:p w:rsidR="00000000" w:rsidRDefault="007557F0">
      <w:pPr>
        <w:ind w:hanging="180"/>
        <w:jc w:val="both"/>
        <w:divId w:val="1204975707"/>
        <w:rPr>
          <w:rFonts w:eastAsia="Times New Roman"/>
        </w:rPr>
      </w:pPr>
      <w:r>
        <w:rPr>
          <w:rFonts w:ascii="Arial" w:eastAsia="Times New Roman" w:hAnsi="Arial" w:cs="Arial"/>
          <w:color w:val="000000"/>
          <w:sz w:val="18"/>
          <w:szCs w:val="18"/>
        </w:rPr>
        <w:t>At January 31, 2023, and October 31, 2022, the weighted average interest rate on all outstanding borrowings</w:t>
      </w:r>
      <w:r>
        <w:rPr>
          <w:rFonts w:ascii="Arial" w:eastAsia="Times New Roman" w:hAnsi="Arial" w:cs="Arial"/>
          <w:color w:val="000000"/>
          <w:sz w:val="18"/>
          <w:szCs w:val="18"/>
        </w:rPr>
        <w:t xml:space="preserve">, not including letters of credit, was 6.17% and 4.97%, respectively. </w:t>
      </w:r>
    </w:p>
    <w:p w:rsidR="00000000" w:rsidRDefault="007557F0">
      <w:pPr>
        <w:ind w:firstLine="720"/>
        <w:jc w:val="both"/>
        <w:divId w:val="1974018527"/>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(the “Credit Facility”)</w:t>
      </w:r>
      <w:r>
        <w:rPr>
          <w:rFonts w:ascii="Arial" w:eastAsia="Times New Roman" w:hAnsi="Arial" w:cs="Arial"/>
          <w:color w:val="000000"/>
          <w:sz w:val="20"/>
          <w:szCs w:val="20"/>
        </w:rPr>
        <w:t>, consisting of a $900.0 million revolving line of credit (the “revolver”) and an $800.0 million amortizing term loan, both of which were scheduled to mature on September 1, 2022. In accordance with terms of the Credit Facility, the revolver was reduced to</w:t>
      </w:r>
      <w:r>
        <w:rPr>
          <w:rFonts w:ascii="Arial" w:eastAsia="Times New Roman" w:hAnsi="Arial" w:cs="Arial"/>
          <w:color w:val="000000"/>
          <w:sz w:val="20"/>
          <w:szCs w:val="20"/>
        </w:rPr>
        <w:t xml:space="preserve"> $800.0 million on September 1, 2018.</w:t>
      </w:r>
    </w:p>
    <w:p w:rsidR="00000000" w:rsidRDefault="007557F0">
      <w:pPr>
        <w:ind w:firstLine="720"/>
        <w:jc w:val="both"/>
        <w:divId w:val="1783760782"/>
        <w:rPr>
          <w:rFonts w:eastAsia="Times New Roman"/>
        </w:rPr>
      </w:pPr>
      <w:r>
        <w:rPr>
          <w:rFonts w:ascii="Arial" w:eastAsia="Times New Roman" w:hAnsi="Arial" w:cs="Arial"/>
          <w:color w:val="000000"/>
          <w:sz w:val="20"/>
          <w:szCs w:val="20"/>
        </w:rPr>
        <w:t>On June 28, 2021, the Company amended and restated the Credit Facility (the “Amended Credit Facility”</w:t>
      </w:r>
      <w:r>
        <w:rPr>
          <w:rFonts w:ascii="Arial" w:eastAsia="Times New Roman" w:hAnsi="Arial" w:cs="Arial"/>
          <w:color w:val="000000"/>
          <w:sz w:val="20"/>
          <w:szCs w:val="20"/>
        </w:rPr>
        <w:t>), extending the maturity date to June 28, 2026, and increasing the capacity of the revolving credit facility from $800.0 million to $1.3 billion and the then-remaining term loan outstanding from $620.0 million to $650.0 million. The Amended Credit Facilit</w:t>
      </w:r>
      <w:r>
        <w:rPr>
          <w:rFonts w:ascii="Arial" w:eastAsia="Times New Roman" w:hAnsi="Arial" w:cs="Arial"/>
          <w:color w:val="000000"/>
          <w:sz w:val="20"/>
          <w:szCs w:val="20"/>
        </w:rPr>
        <w:t>y provides for the issuance of up to $350.0 million for standby letters of credit and the issuance of up to $75.0 million in swingline advances. The obligations under the Amended Credit Facility are secured on a first-priority basis by a lien on substantia</w:t>
      </w:r>
      <w:r>
        <w:rPr>
          <w:rFonts w:ascii="Arial" w:eastAsia="Times New Roman" w:hAnsi="Arial" w:cs="Arial"/>
          <w:color w:val="000000"/>
          <w:sz w:val="20"/>
          <w:szCs w:val="20"/>
        </w:rPr>
        <w:t xml:space="preserve">lly all of our assets and properties, subject to certain exceptions. Additionally, we may repay amounts borrowed under the Amended Credit Facility at any time without penalty. </w:t>
      </w:r>
    </w:p>
    <w:p w:rsidR="00000000" w:rsidRDefault="007557F0">
      <w:pPr>
        <w:ind w:firstLine="720"/>
        <w:jc w:val="both"/>
        <w:divId w:val="1257207711"/>
        <w:rPr>
          <w:rFonts w:eastAsia="Times New Roman"/>
        </w:rPr>
      </w:pPr>
      <w:r>
        <w:rPr>
          <w:rFonts w:ascii="Arial" w:eastAsia="Times New Roman" w:hAnsi="Arial" w:cs="Arial"/>
          <w:color w:val="000000"/>
          <w:sz w:val="20"/>
          <w:szCs w:val="20"/>
        </w:rPr>
        <w:t>At November 1, 2022, we amended our Amended Credit Facility pursuant to the LIB</w:t>
      </w:r>
      <w:r>
        <w:rPr>
          <w:rFonts w:ascii="Arial" w:eastAsia="Times New Roman" w:hAnsi="Arial" w:cs="Arial"/>
          <w:color w:val="000000"/>
          <w:sz w:val="20"/>
          <w:szCs w:val="20"/>
        </w:rPr>
        <w:t>OR Transition Amendment and the Fifth Amendment to replace the benchmark rate at which U.S.-dollar-denominated borrowings bear interest from LIBOR to the forward-looking SOFR term rate administered by CME Group Benchmark Administration Limited. As a result</w:t>
      </w:r>
      <w:r>
        <w:rPr>
          <w:rFonts w:ascii="Arial" w:eastAsia="Times New Roman" w:hAnsi="Arial" w:cs="Arial"/>
          <w:color w:val="000000"/>
          <w:sz w:val="20"/>
          <w:szCs w:val="20"/>
        </w:rPr>
        <w:t xml:space="preserve"> of these amendments, we can borrow at Term SOFR plus a credit spread adjustment of 0.10% subject to a floor of zero. </w:t>
      </w:r>
    </w:p>
    <w:p w:rsidR="00000000" w:rsidRDefault="007557F0">
      <w:pPr>
        <w:ind w:firstLine="720"/>
        <w:jc w:val="both"/>
        <w:divId w:val="1169298195"/>
        <w:rPr>
          <w:rFonts w:eastAsia="Times New Roman"/>
        </w:rPr>
      </w:pPr>
      <w:r>
        <w:rPr>
          <w:rFonts w:ascii="Arial" w:eastAsia="Times New Roman" w:hAnsi="Arial" w:cs="Arial"/>
          <w:color w:val="000000"/>
          <w:sz w:val="20"/>
          <w:szCs w:val="20"/>
        </w:rPr>
        <w:t>The Amended Credit Facility contains certain covenants, including a maximum total net leverage ratio of 5.00 to 1.00, a maximum secured n</w:t>
      </w:r>
      <w:r>
        <w:rPr>
          <w:rFonts w:ascii="Arial" w:eastAsia="Times New Roman" w:hAnsi="Arial" w:cs="Arial"/>
          <w:color w:val="000000"/>
          <w:sz w:val="20"/>
          <w:szCs w:val="20"/>
        </w:rPr>
        <w:t>et leverage ratio of 4.00 to 1.00, and a minimum interest coverage ratio of 1.50 to 1.00, as well as other financial and non-financial covenants. In the event of a material acquisition, as defined in the Amended Credit Facility, we may elect to increase th</w:t>
      </w:r>
      <w:r>
        <w:rPr>
          <w:rFonts w:ascii="Arial" w:eastAsia="Times New Roman" w:hAnsi="Arial" w:cs="Arial"/>
          <w:color w:val="000000"/>
          <w:sz w:val="20"/>
          <w:szCs w:val="20"/>
        </w:rPr>
        <w:t>e maximum total net leverage ratio to 5.50 to 1.00 for a total of four fiscal quarters and increase the maximum secured net leverage ratio to 4.50 to 1.00 for a total of four fiscal quarters. Our borrowing capacity is subject to, and limited by, compliance</w:t>
      </w:r>
      <w:r>
        <w:rPr>
          <w:rFonts w:ascii="Arial" w:eastAsia="Times New Roman" w:hAnsi="Arial" w:cs="Arial"/>
          <w:color w:val="000000"/>
          <w:sz w:val="20"/>
          <w:szCs w:val="20"/>
        </w:rPr>
        <w:t xml:space="preserve"> with the covenants described above. At January 31, 2023, we were in compliance with these covenants. </w:t>
      </w:r>
    </w:p>
    <w:p w:rsidR="00000000" w:rsidRDefault="007557F0">
      <w:pPr>
        <w:jc w:val="center"/>
        <w:divId w:val="1418402587"/>
        <w:rPr>
          <w:rFonts w:eastAsia="Times New Roman"/>
        </w:rPr>
      </w:pPr>
      <w:r>
        <w:rPr>
          <w:rFonts w:ascii="Arial" w:eastAsia="Times New Roman" w:hAnsi="Arial" w:cs="Arial"/>
          <w:color w:val="000000"/>
          <w:sz w:val="20"/>
          <w:szCs w:val="20"/>
        </w:rPr>
        <w:t>16</w:t>
      </w:r>
    </w:p>
    <w:p w:rsidR="00000000" w:rsidRDefault="007557F0">
      <w:pPr>
        <w:rPr>
          <w:rFonts w:eastAsia="Times New Roman"/>
        </w:rPr>
      </w:pPr>
      <w:r>
        <w:rPr>
          <w:rFonts w:eastAsia="Times New Roman"/>
        </w:rPr>
        <w:pict>
          <v:rect id="_x0000_i1045" style="width:0;height:1.5pt" o:hralign="center" o:hrstd="t" o:hr="t" fillcolor="#a0a0a0" stroked="f"/>
        </w:pict>
      </w:r>
    </w:p>
    <w:p w:rsidR="00000000" w:rsidRDefault="007557F0">
      <w:pPr>
        <w:jc w:val="both"/>
        <w:divId w:val="828865223"/>
        <w:rPr>
          <w:rFonts w:eastAsia="Times New Roman"/>
        </w:rPr>
      </w:pPr>
    </w:p>
    <w:p w:rsidR="00000000" w:rsidRDefault="007557F0">
      <w:pPr>
        <w:ind w:firstLine="720"/>
        <w:jc w:val="both"/>
        <w:divId w:val="283779613"/>
        <w:rPr>
          <w:rFonts w:eastAsia="Times New Roman"/>
        </w:rPr>
      </w:pPr>
      <w:r>
        <w:rPr>
          <w:rFonts w:ascii="Arial" w:eastAsia="Times New Roman" w:hAnsi="Arial" w:cs="Arial"/>
          <w:color w:val="000000"/>
          <w:sz w:val="20"/>
          <w:szCs w:val="20"/>
        </w:rPr>
        <w:t>The Amended Credit Facility also includes customary events of default, including: failure to pay principal, inte</w:t>
      </w:r>
      <w:r>
        <w:rPr>
          <w:rFonts w:ascii="Arial" w:eastAsia="Times New Roman" w:hAnsi="Arial" w:cs="Arial"/>
          <w:color w:val="000000"/>
          <w:sz w:val="20"/>
          <w:szCs w:val="20"/>
        </w:rPr>
        <w:t>rest, or fees when due; failure to comply with covenants; the occurrence of certain material judgments; and a change in control of the Company. If certain events of default occur, including certain cross-defaults, insolvency, change in control, or violatio</w:t>
      </w:r>
      <w:r>
        <w:rPr>
          <w:rFonts w:ascii="Arial" w:eastAsia="Times New Roman" w:hAnsi="Arial" w:cs="Arial"/>
          <w:color w:val="000000"/>
          <w:sz w:val="20"/>
          <w:szCs w:val="20"/>
        </w:rPr>
        <w:t>n of specific covenants, then the lenders can terminate or suspend our access to the Amended Credit Facility, declare all amounts outstanding (including all accrued interest and unpaid fees) to be immediately due and payable, and require that we cash colla</w:t>
      </w:r>
      <w:r>
        <w:rPr>
          <w:rFonts w:ascii="Arial" w:eastAsia="Times New Roman" w:hAnsi="Arial" w:cs="Arial"/>
          <w:color w:val="000000"/>
          <w:sz w:val="20"/>
          <w:szCs w:val="20"/>
        </w:rPr>
        <w:t xml:space="preserve">teralize the outstanding standby letters of credit. </w:t>
      </w:r>
    </w:p>
    <w:p w:rsidR="00000000" w:rsidRDefault="007557F0">
      <w:pPr>
        <w:ind w:firstLine="720"/>
        <w:jc w:val="both"/>
        <w:divId w:val="833304337"/>
        <w:rPr>
          <w:rFonts w:eastAsia="Times New Roman"/>
        </w:rPr>
      </w:pPr>
      <w:r>
        <w:rPr>
          <w:rFonts w:ascii="Arial" w:eastAsia="Times New Roman" w:hAnsi="Arial" w:cs="Arial"/>
          <w:color w:val="000000"/>
          <w:sz w:val="20"/>
          <w:szCs w:val="20"/>
        </w:rPr>
        <w:t>We incurred deferred financing costs of $6.4 million in conjunction with the execution of the Amended Credit Facility and carried over $6.2 million of unamortized deferred financing from initial executio</w:t>
      </w:r>
      <w:r>
        <w:rPr>
          <w:rFonts w:ascii="Arial" w:eastAsia="Times New Roman" w:hAnsi="Arial" w:cs="Arial"/>
          <w:color w:val="000000"/>
          <w:sz w:val="20"/>
          <w:szCs w:val="20"/>
        </w:rPr>
        <w:t>n and previous amendments of the Credit Facility. Total deferred financing costs of $12.6 million, consisting of $4.9 million related to the term loan and $7.7 million related to the revolver, are being amortized to interest expense over the term of the Am</w:t>
      </w:r>
      <w:r>
        <w:rPr>
          <w:rFonts w:ascii="Arial" w:eastAsia="Times New Roman" w:hAnsi="Arial" w:cs="Arial"/>
          <w:color w:val="000000"/>
          <w:sz w:val="20"/>
          <w:szCs w:val="20"/>
        </w:rPr>
        <w:t>ended Credit Facility.</w:t>
      </w:r>
    </w:p>
    <w:p w:rsidR="00000000" w:rsidRDefault="007557F0">
      <w:pPr>
        <w:ind w:firstLine="720"/>
        <w:jc w:val="both"/>
        <w:divId w:val="456148455"/>
        <w:rPr>
          <w:rFonts w:eastAsia="Times New Roman"/>
        </w:rPr>
      </w:pPr>
      <w:r>
        <w:rPr>
          <w:rFonts w:ascii="Arial" w:eastAsia="Times New Roman" w:hAnsi="Arial" w:cs="Arial"/>
          <w:color w:val="000000"/>
          <w:sz w:val="20"/>
          <w:szCs w:val="20"/>
        </w:rPr>
        <w:t>On March 1, 2022, we entered into an uncommitted receivable repurchase facility (the “Receivables Facility”) of up to $150 million, which got extended through March 30, 2023. The Receivables Facility allows the Company to sell a port</w:t>
      </w:r>
      <w:r>
        <w:rPr>
          <w:rFonts w:ascii="Arial" w:eastAsia="Times New Roman" w:hAnsi="Arial" w:cs="Arial"/>
          <w:color w:val="000000"/>
          <w:sz w:val="20"/>
          <w:szCs w:val="20"/>
        </w:rPr>
        <w:t>folio of available and eligible outstanding U.S. trade accounts receivable to a participating institution and simultaneously agree to repurchase them generally on a monthly basis. Under this arrangement, we make floating rate interest payments equal to the</w:t>
      </w:r>
      <w:r>
        <w:rPr>
          <w:rFonts w:ascii="Arial" w:eastAsia="Times New Roman" w:hAnsi="Arial" w:cs="Arial"/>
          <w:color w:val="000000"/>
          <w:sz w:val="20"/>
          <w:szCs w:val="20"/>
        </w:rPr>
        <w:t xml:space="preserve"> forward-looking term rate based on Secured Overnight Financing Rate (“SOFR”) plus 1.05%. These interest payments are payable monthly in arrears. The repurchase price of the receivables in the facility is the original face value. Outstanding receivables mu</w:t>
      </w:r>
      <w:r>
        <w:rPr>
          <w:rFonts w:ascii="Arial" w:eastAsia="Times New Roman" w:hAnsi="Arial" w:cs="Arial"/>
          <w:color w:val="000000"/>
          <w:sz w:val="20"/>
          <w:szCs w:val="20"/>
        </w:rPr>
        <w:t>st be repurchased on a date agreed upon by both the buyer and seller, generally on a monthly basis, and on the termination date of the repurchase facility. This facility is considered a secured borrowing and provides the buyer with customary rights of term</w:t>
      </w:r>
      <w:r>
        <w:rPr>
          <w:rFonts w:ascii="Arial" w:eastAsia="Times New Roman" w:hAnsi="Arial" w:cs="Arial"/>
          <w:color w:val="000000"/>
          <w:sz w:val="20"/>
          <w:szCs w:val="20"/>
        </w:rPr>
        <w:t>ination upon the occurrence of certain events of default. We have guaranteed all of the sellers’ obligations under the facility.</w:t>
      </w:r>
    </w:p>
    <w:p w:rsidR="00000000" w:rsidRDefault="007557F0">
      <w:pPr>
        <w:ind w:firstLine="720"/>
        <w:jc w:val="both"/>
        <w:divId w:val="1448960925"/>
        <w:rPr>
          <w:rFonts w:eastAsia="Times New Roman"/>
        </w:rPr>
      </w:pPr>
      <w:r>
        <w:rPr>
          <w:rFonts w:ascii="Arial" w:eastAsia="Times New Roman" w:hAnsi="Arial" w:cs="Arial"/>
          <w:color w:val="000000"/>
          <w:sz w:val="20"/>
          <w:szCs w:val="20"/>
        </w:rPr>
        <w:t xml:space="preserve">We account for the sale of receivables under the Receivables Facility as short-term debt and continue to carry the receivables </w:t>
      </w:r>
      <w:r>
        <w:rPr>
          <w:rFonts w:ascii="Arial" w:eastAsia="Times New Roman" w:hAnsi="Arial" w:cs="Arial"/>
          <w:color w:val="000000"/>
          <w:sz w:val="20"/>
          <w:szCs w:val="20"/>
        </w:rPr>
        <w:t xml:space="preserve">on the unaudited Consolidated Balance Sheets, primarily as a result of the requirement to repurchase receivables sold. As of January 31, 2023, there were $150.0 million in borrowings on receivables pledged as collateral under the Receivables Facility. </w:t>
      </w:r>
    </w:p>
    <w:p w:rsidR="00000000" w:rsidRDefault="007557F0">
      <w:pPr>
        <w:divId w:val="388723023"/>
        <w:rPr>
          <w:rFonts w:eastAsia="Times New Roman"/>
        </w:rPr>
      </w:pPr>
      <w:r>
        <w:rPr>
          <w:rFonts w:ascii="Arial" w:eastAsia="Times New Roman" w:hAnsi="Arial" w:cs="Arial"/>
          <w:b/>
          <w:bCs/>
          <w:color w:val="0046AD"/>
          <w:sz w:val="20"/>
          <w:szCs w:val="20"/>
        </w:rPr>
        <w:t>Lon</w:t>
      </w:r>
      <w:r>
        <w:rPr>
          <w:rFonts w:ascii="Arial" w:eastAsia="Times New Roman" w:hAnsi="Arial" w:cs="Arial"/>
          <w:b/>
          <w:bCs/>
          <w:color w:val="0046AD"/>
          <w:sz w:val="20"/>
          <w:szCs w:val="20"/>
        </w:rPr>
        <w:t>g-Term Debt Maturities</w:t>
      </w:r>
    </w:p>
    <w:p w:rsidR="00000000" w:rsidRDefault="007557F0">
      <w:pPr>
        <w:ind w:firstLine="720"/>
        <w:jc w:val="both"/>
        <w:divId w:val="312372444"/>
        <w:rPr>
          <w:rFonts w:eastAsia="Times New Roman"/>
        </w:rPr>
      </w:pPr>
      <w:r>
        <w:rPr>
          <w:rFonts w:ascii="Arial" w:eastAsia="Times New Roman" w:hAnsi="Arial" w:cs="Arial"/>
          <w:color w:val="000000"/>
          <w:sz w:val="20"/>
          <w:szCs w:val="20"/>
        </w:rPr>
        <w:t>During the three months ended January 31, 2023, we made principal payments under the term loan of $8.1 million. As of January 31, 2023, the following principal payments are required under the term loan.</w:t>
      </w:r>
    </w:p>
    <w:tbl>
      <w:tblPr>
        <w:tblW w:w="5000" w:type="pct"/>
        <w:tblCellMar>
          <w:top w:w="15" w:type="dxa"/>
          <w:left w:w="15" w:type="dxa"/>
          <w:bottom w:w="15" w:type="dxa"/>
          <w:right w:w="15" w:type="dxa"/>
        </w:tblCellMar>
        <w:tblLook w:val="04A0" w:firstRow="1" w:lastRow="0" w:firstColumn="1" w:lastColumn="0" w:noHBand="0" w:noVBand="1"/>
      </w:tblPr>
      <w:tblGrid>
        <w:gridCol w:w="38"/>
        <w:gridCol w:w="2561"/>
        <w:gridCol w:w="37"/>
        <w:gridCol w:w="36"/>
        <w:gridCol w:w="36"/>
        <w:gridCol w:w="36"/>
        <w:gridCol w:w="121"/>
        <w:gridCol w:w="808"/>
        <w:gridCol w:w="36"/>
        <w:gridCol w:w="36"/>
        <w:gridCol w:w="36"/>
        <w:gridCol w:w="36"/>
        <w:gridCol w:w="121"/>
        <w:gridCol w:w="883"/>
        <w:gridCol w:w="36"/>
        <w:gridCol w:w="36"/>
        <w:gridCol w:w="36"/>
        <w:gridCol w:w="36"/>
        <w:gridCol w:w="121"/>
        <w:gridCol w:w="883"/>
        <w:gridCol w:w="36"/>
        <w:gridCol w:w="36"/>
        <w:gridCol w:w="36"/>
        <w:gridCol w:w="36"/>
        <w:gridCol w:w="121"/>
        <w:gridCol w:w="884"/>
        <w:gridCol w:w="36"/>
        <w:gridCol w:w="36"/>
        <w:gridCol w:w="36"/>
        <w:gridCol w:w="36"/>
        <w:gridCol w:w="122"/>
        <w:gridCol w:w="886"/>
        <w:gridCol w:w="36"/>
      </w:tblGrid>
      <w:tr w:rsidR="00000000">
        <w:trPr>
          <w:divId w:val="840386408"/>
        </w:trPr>
        <w:tc>
          <w:tcPr>
            <w:tcW w:w="50" w:type="pct"/>
            <w:vAlign w:val="center"/>
            <w:hideMark/>
          </w:tcPr>
          <w:p w:rsidR="00000000" w:rsidRDefault="007557F0">
            <w:pPr>
              <w:ind w:firstLine="720"/>
              <w:jc w:val="both"/>
              <w:rPr>
                <w:rFonts w:eastAsia="Times New Roman"/>
              </w:rPr>
            </w:pPr>
          </w:p>
        </w:tc>
        <w:tc>
          <w:tcPr>
            <w:tcW w:w="1611"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580"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580"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580"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580"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581"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840386408"/>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2024</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2025</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2026</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2027</w:t>
            </w:r>
          </w:p>
        </w:tc>
      </w:tr>
      <w:tr w:rsidR="00000000">
        <w:trPr>
          <w:divId w:val="840386408"/>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Debt maturities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24.4 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1,148.8 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bl>
    <w:p w:rsidR="00000000" w:rsidRDefault="007557F0">
      <w:pPr>
        <w:divId w:val="2004890810"/>
        <w:rPr>
          <w:rFonts w:eastAsia="Times New Roman"/>
        </w:rPr>
      </w:pPr>
      <w:r>
        <w:rPr>
          <w:rFonts w:ascii="Arial" w:eastAsia="Times New Roman" w:hAnsi="Arial" w:cs="Arial"/>
          <w:b/>
          <w:bCs/>
          <w:color w:val="0046AD"/>
          <w:sz w:val="20"/>
          <w:szCs w:val="20"/>
        </w:rPr>
        <w:t>Int</w:t>
      </w:r>
      <w:r>
        <w:rPr>
          <w:rFonts w:ascii="Arial" w:eastAsia="Times New Roman" w:hAnsi="Arial" w:cs="Arial"/>
          <w:b/>
          <w:bCs/>
          <w:color w:val="0046AD"/>
          <w:sz w:val="20"/>
          <w:szCs w:val="20"/>
        </w:rPr>
        <w:t>erest Rate Swaps</w:t>
      </w:r>
    </w:p>
    <w:p w:rsidR="00000000" w:rsidRDefault="007557F0">
      <w:pPr>
        <w:ind w:firstLine="720"/>
        <w:jc w:val="both"/>
        <w:divId w:val="1474326855"/>
        <w:rPr>
          <w:rFonts w:eastAsia="Times New Roman"/>
        </w:rPr>
      </w:pPr>
      <w:r>
        <w:rPr>
          <w:rFonts w:ascii="Arial" w:eastAsia="Times New Roman" w:hAnsi="Arial" w:cs="Arial"/>
          <w:color w:val="000000"/>
          <w:sz w:val="20"/>
          <w:szCs w:val="20"/>
        </w:rPr>
        <w:t>We utilize interest rate swap agreements to fix the variable interest rates on portions of our debt. The purpose of using these derivatives is to reduce our exposure to the interest rate risk associated with variable borrowings. Under thes</w:t>
      </w:r>
      <w:r>
        <w:rPr>
          <w:rFonts w:ascii="Arial" w:eastAsia="Times New Roman" w:hAnsi="Arial" w:cs="Arial"/>
          <w:color w:val="000000"/>
          <w:sz w:val="20"/>
          <w:szCs w:val="20"/>
        </w:rPr>
        <w:t>e agreements, we typically pay a fixed interest rate in exchange for a SOFR-based variable interest rate on a given notional amount. All of our interest rate swaps are designated and accounted for as cash flow hedges. Changes in the fair value of these der</w:t>
      </w:r>
      <w:r>
        <w:rPr>
          <w:rFonts w:ascii="Arial" w:eastAsia="Times New Roman" w:hAnsi="Arial" w:cs="Arial"/>
          <w:color w:val="000000"/>
          <w:sz w:val="20"/>
          <w:szCs w:val="20"/>
        </w:rPr>
        <w:t>ivatives are reported as a component of other comprehensive income and are reclassified into earnings in the period or periods in which the hedged transaction affects earnings. For information regarding the valuation of our interest rate swaps, see Note 6,</w:t>
      </w:r>
      <w:r>
        <w:rPr>
          <w:rFonts w:ascii="Arial" w:eastAsia="Times New Roman" w:hAnsi="Arial" w:cs="Arial"/>
          <w:color w:val="000000"/>
          <w:sz w:val="20"/>
          <w:szCs w:val="20"/>
        </w:rPr>
        <w:t xml:space="preserve"> “Fair Value of Financial Instruments.”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7"/>
        <w:gridCol w:w="36"/>
        <w:gridCol w:w="36"/>
        <w:gridCol w:w="36"/>
        <w:gridCol w:w="39"/>
        <w:gridCol w:w="1912"/>
        <w:gridCol w:w="36"/>
        <w:gridCol w:w="36"/>
        <w:gridCol w:w="36"/>
        <w:gridCol w:w="36"/>
        <w:gridCol w:w="40"/>
        <w:gridCol w:w="1912"/>
        <w:gridCol w:w="37"/>
        <w:gridCol w:w="36"/>
        <w:gridCol w:w="36"/>
        <w:gridCol w:w="36"/>
        <w:gridCol w:w="40"/>
        <w:gridCol w:w="1912"/>
        <w:gridCol w:w="36"/>
      </w:tblGrid>
      <w:tr w:rsidR="00000000">
        <w:trPr>
          <w:divId w:val="1643267750"/>
        </w:trPr>
        <w:tc>
          <w:tcPr>
            <w:tcW w:w="50" w:type="pct"/>
            <w:vAlign w:val="center"/>
            <w:hideMark/>
          </w:tcPr>
          <w:p w:rsidR="00000000" w:rsidRDefault="007557F0">
            <w:pPr>
              <w:ind w:firstLine="720"/>
              <w:jc w:val="both"/>
              <w:rPr>
                <w:rFonts w:eastAsia="Times New Roman"/>
              </w:rPr>
            </w:pPr>
          </w:p>
        </w:tc>
        <w:tc>
          <w:tcPr>
            <w:tcW w:w="116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16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16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16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643267750"/>
        </w:trPr>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Notional Amount</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Fixed Interest Rate</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Effective Date</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Maturity Date</w:t>
            </w:r>
          </w:p>
        </w:tc>
      </w:tr>
      <w:tr w:rsidR="00000000">
        <w:trPr>
          <w:divId w:val="1643267750"/>
        </w:trPr>
        <w:tc>
          <w:tcPr>
            <w:tcW w:w="0" w:type="auto"/>
            <w:gridSpan w:val="3"/>
            <w:vAlign w:val="center"/>
            <w:hideMark/>
          </w:tcPr>
          <w:p w:rsidR="00000000" w:rsidRDefault="007557F0">
            <w:pPr>
              <w:spacing w:after="100"/>
              <w:jc w:val="center"/>
              <w:rPr>
                <w:rFonts w:eastAsia="Times New Roman"/>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43267750"/>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43267750"/>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43267750"/>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43267750"/>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$100.0 million</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1.72%</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February 9, 2022</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June 28, 2026</w:t>
            </w:r>
          </w:p>
        </w:tc>
      </w:tr>
      <w:tr w:rsidR="00000000">
        <w:trPr>
          <w:divId w:val="1643267750"/>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$150.0 million</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1.85%</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February 25, 2022</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June 28, 2026</w:t>
            </w:r>
          </w:p>
        </w:tc>
      </w:tr>
      <w:tr w:rsidR="00000000">
        <w:trPr>
          <w:divId w:val="1643267750"/>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$100.0 million</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2.88%</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May 4, 2022</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June 28, 2026</w:t>
            </w:r>
          </w:p>
        </w:tc>
      </w:tr>
      <w:tr w:rsidR="00000000">
        <w:trPr>
          <w:divId w:val="1643267750"/>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     $243.1 million</w:t>
            </w:r>
            <w:r>
              <w:rPr>
                <w:rFonts w:ascii="Arial" w:eastAsia="Times New Roman" w:hAnsi="Arial" w:cs="Arial"/>
                <w:color w:val="000000"/>
                <w:sz w:val="18"/>
                <w:szCs w:val="18"/>
              </w:rPr>
              <w:t xml:space="preserve"> </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2.83%</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July 7, 2022</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June 28, 2026</w:t>
            </w:r>
          </w:p>
        </w:tc>
      </w:tr>
      <w:tr w:rsidR="00000000">
        <w:trPr>
          <w:divId w:val="1643267750"/>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     $56.9 million</w:t>
            </w:r>
            <w:r>
              <w:rPr>
                <w:rFonts w:ascii="Arial" w:eastAsia="Times New Roman" w:hAnsi="Arial" w:cs="Arial"/>
                <w:color w:val="000000"/>
                <w:sz w:val="18"/>
                <w:szCs w:val="18"/>
              </w:rPr>
              <w:t xml:space="preserve"> </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2.79%</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July 18, 2022</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June 28, 2026</w:t>
            </w:r>
          </w:p>
        </w:tc>
      </w:tr>
      <w:tr w:rsidR="00000000">
        <w:trPr>
          <w:divId w:val="1643267750"/>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$170.0 million</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3.81%</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November 1, 2022</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June 28, 2026</w:t>
            </w:r>
          </w:p>
        </w:tc>
      </w:tr>
    </w:tbl>
    <w:p w:rsidR="00000000" w:rsidRDefault="007557F0">
      <w:pPr>
        <w:ind w:hanging="180"/>
        <w:jc w:val="both"/>
        <w:divId w:val="156005000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6"/>
          <w:szCs w:val="16"/>
        </w:rPr>
        <w:t>In July 2022, we entered into interest rate swap agreements with notional values totaling $300.0 million at inception. The notional amount reduces to $250.0 million in April 2024, $175.0 million in October 2024, and $100.0 million in October 2025 before ma</w:t>
      </w:r>
      <w:r>
        <w:rPr>
          <w:rFonts w:ascii="Arial" w:eastAsia="Times New Roman" w:hAnsi="Arial" w:cs="Arial"/>
          <w:color w:val="000000"/>
          <w:sz w:val="16"/>
          <w:szCs w:val="16"/>
        </w:rPr>
        <w:t xml:space="preserve">turing on June 28, 2026. </w:t>
      </w:r>
    </w:p>
    <w:p w:rsidR="00000000" w:rsidRDefault="007557F0">
      <w:pPr>
        <w:jc w:val="center"/>
        <w:divId w:val="663432419"/>
        <w:rPr>
          <w:rFonts w:eastAsia="Times New Roman"/>
        </w:rPr>
      </w:pPr>
      <w:r>
        <w:rPr>
          <w:rFonts w:ascii="Arial" w:eastAsia="Times New Roman" w:hAnsi="Arial" w:cs="Arial"/>
          <w:color w:val="000000"/>
          <w:sz w:val="20"/>
          <w:szCs w:val="20"/>
        </w:rPr>
        <w:t>17</w:t>
      </w:r>
    </w:p>
    <w:p w:rsidR="00000000" w:rsidRDefault="007557F0">
      <w:pPr>
        <w:rPr>
          <w:rFonts w:eastAsia="Times New Roman"/>
        </w:rPr>
      </w:pPr>
      <w:r>
        <w:rPr>
          <w:rFonts w:eastAsia="Times New Roman"/>
        </w:rPr>
        <w:pict>
          <v:rect id="_x0000_i1046" style="width:0;height:1.5pt" o:hralign="center" o:hrstd="t" o:hr="t" fillcolor="#a0a0a0" stroked="f"/>
        </w:pict>
      </w:r>
    </w:p>
    <w:p w:rsidR="00000000" w:rsidRDefault="007557F0">
      <w:pPr>
        <w:jc w:val="both"/>
        <w:divId w:val="1402678937"/>
        <w:rPr>
          <w:rFonts w:eastAsia="Times New Roman"/>
        </w:rPr>
      </w:pPr>
    </w:p>
    <w:p w:rsidR="00000000" w:rsidRDefault="007557F0">
      <w:pPr>
        <w:ind w:firstLine="720"/>
        <w:jc w:val="both"/>
        <w:divId w:val="803499035"/>
        <w:rPr>
          <w:rFonts w:eastAsia="Times New Roman"/>
        </w:rPr>
      </w:pPr>
      <w:r>
        <w:rPr>
          <w:rFonts w:ascii="Arial" w:eastAsia="Times New Roman" w:hAnsi="Arial" w:cs="Arial"/>
          <w:color w:val="000000"/>
          <w:sz w:val="20"/>
          <w:szCs w:val="20"/>
          <w:shd w:val="clear" w:color="auto" w:fill="FFFFFF"/>
        </w:rPr>
        <w:t xml:space="preserve">At January 31, 2023, and October 31, 2022, amounts recorded in accumulated other comprehensive loss (“AOCL”) for interest rate swaps were a gain of </w:t>
      </w:r>
      <w:r>
        <w:rPr>
          <w:rFonts w:ascii="Arial" w:eastAsia="Times New Roman" w:hAnsi="Arial" w:cs="Arial"/>
          <w:color w:val="000000"/>
          <w:sz w:val="20"/>
          <w:szCs w:val="20"/>
        </w:rPr>
        <w:t>$16.9 million, net of taxes of $7.0 mill</w:t>
      </w:r>
      <w:r>
        <w:rPr>
          <w:rFonts w:ascii="Arial" w:eastAsia="Times New Roman" w:hAnsi="Arial" w:cs="Arial"/>
          <w:color w:val="000000"/>
          <w:sz w:val="20"/>
          <w:szCs w:val="20"/>
        </w:rPr>
        <w:t>ion, and a loss of $26.8 million, net of taxes of $10.1 million, respectively. At January 31, 2023, the total amount expected to be reclassified from AOCL to earnings during the next 12 months is a gain of $5.0 million, net of taxes of $2.0 million.</w:t>
      </w:r>
    </w:p>
    <w:p w:rsidR="00000000" w:rsidRDefault="007557F0">
      <w:pPr>
        <w:jc w:val="both"/>
        <w:divId w:val="1744404010"/>
        <w:rPr>
          <w:rFonts w:eastAsia="Times New Roman"/>
        </w:rPr>
      </w:pPr>
    </w:p>
    <w:p w:rsidR="00000000" w:rsidRDefault="007557F0">
      <w:pPr>
        <w:jc w:val="both"/>
        <w:divId w:val="824737081"/>
        <w:rPr>
          <w:rFonts w:eastAsia="Times New Roman"/>
        </w:rPr>
      </w:pPr>
    </w:p>
    <w:p w:rsidR="00000000" w:rsidRDefault="007557F0">
      <w:pPr>
        <w:jc w:val="both"/>
        <w:divId w:val="736435164"/>
        <w:rPr>
          <w:rFonts w:eastAsia="Times New Roman"/>
        </w:rPr>
      </w:pPr>
    </w:p>
    <w:p w:rsidR="00000000" w:rsidRDefault="007557F0">
      <w:pPr>
        <w:jc w:val="center"/>
        <w:divId w:val="1187908703"/>
        <w:rPr>
          <w:rFonts w:eastAsia="Times New Roman"/>
        </w:rPr>
      </w:pPr>
      <w:r>
        <w:rPr>
          <w:rFonts w:ascii="Arial" w:eastAsia="Times New Roman" w:hAnsi="Arial" w:cs="Arial"/>
          <w:color w:val="000000"/>
          <w:sz w:val="20"/>
          <w:szCs w:val="20"/>
        </w:rPr>
        <w:t>18</w:t>
      </w:r>
    </w:p>
    <w:p w:rsidR="00000000" w:rsidRDefault="007557F0">
      <w:pPr>
        <w:rPr>
          <w:rFonts w:eastAsia="Times New Roman"/>
        </w:rPr>
      </w:pPr>
      <w:r>
        <w:rPr>
          <w:rFonts w:eastAsia="Times New Roman"/>
        </w:rPr>
        <w:pict>
          <v:rect id="_x0000_i1047" style="width:0;height:1.5pt" o:hralign="center" o:hrstd="t" o:hr="t" fillcolor="#a0a0a0" stroked="f"/>
        </w:pict>
      </w:r>
    </w:p>
    <w:p w:rsidR="00000000" w:rsidRDefault="007557F0">
      <w:pPr>
        <w:jc w:val="both"/>
        <w:divId w:val="1242527053"/>
        <w:rPr>
          <w:rFonts w:eastAsia="Times New Roman"/>
        </w:rPr>
      </w:pPr>
    </w:p>
    <w:p w:rsidR="00000000" w:rsidRDefault="007557F0">
      <w:pPr>
        <w:divId w:val="1301184462"/>
        <w:rPr>
          <w:rFonts w:eastAsia="Times New Roman"/>
        </w:rPr>
      </w:pPr>
      <w:r>
        <w:rPr>
          <w:rFonts w:ascii="Arial" w:eastAsia="Times New Roman" w:hAnsi="Arial" w:cs="Arial"/>
          <w:b/>
          <w:bCs/>
          <w:color w:val="0046AD"/>
          <w:sz w:val="20"/>
          <w:szCs w:val="20"/>
        </w:rPr>
        <w:t xml:space="preserve">9. COMMON STOCK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217399411"/>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217399411"/>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1938948781"/>
        <w:rPr>
          <w:rFonts w:eastAsia="Times New Roman"/>
        </w:rPr>
      </w:pPr>
      <w:r>
        <w:rPr>
          <w:rFonts w:ascii="Arial" w:eastAsia="Times New Roman" w:hAnsi="Arial" w:cs="Arial"/>
          <w:color w:val="000000"/>
          <w:sz w:val="20"/>
          <w:szCs w:val="20"/>
        </w:rPr>
        <w:t>Effective December 9, 2022, our Board of Directors expanded our existing share repurchase program by an additional $150.0 million. We did not repurchase shares under our share repurchase program during the first quarter of 2023. The repurchases made in the</w:t>
      </w:r>
      <w:r>
        <w:rPr>
          <w:rFonts w:ascii="Arial" w:eastAsia="Times New Roman" w:hAnsi="Arial" w:cs="Arial"/>
          <w:color w:val="000000"/>
          <w:sz w:val="20"/>
          <w:szCs w:val="20"/>
        </w:rPr>
        <w:t xml:space="preserve"> first quarter of 2022 are summarized below. At January 31, 2023, authorization for $197.4 million of repurchases remained under our share repurchase program.</w:t>
      </w:r>
      <w:r>
        <w:rPr>
          <w:rFonts w:ascii="Arial" w:eastAsia="Times New Roman" w:hAnsi="Arial" w:cs="Arial"/>
          <w:b/>
          <w:bCs/>
          <w:i/>
          <w:iCs/>
          <w:color w:val="0046AD"/>
          <w:sz w:val="20"/>
          <w:szCs w:val="20"/>
        </w:rPr>
        <w:t xml:space="preserve"> </w:t>
      </w:r>
    </w:p>
    <w:p w:rsidR="00000000" w:rsidRDefault="007557F0">
      <w:pPr>
        <w:jc w:val="both"/>
        <w:divId w:val="746344587"/>
        <w:rPr>
          <w:rFonts w:eastAsia="Times New Roman"/>
        </w:rPr>
      </w:pPr>
      <w:r>
        <w:rPr>
          <w:rFonts w:ascii="Arial" w:eastAsia="Times New Roman" w:hAnsi="Arial" w:cs="Arial"/>
          <w:b/>
          <w:bCs/>
          <w:i/>
          <w:iCs/>
          <w:color w:val="0046AD"/>
          <w:sz w:val="20"/>
          <w:szCs w:val="20"/>
        </w:rPr>
        <w:t>Repurchase Activity</w:t>
      </w:r>
    </w:p>
    <w:tbl>
      <w:tblPr>
        <w:tblW w:w="5000" w:type="pct"/>
        <w:tblCellMar>
          <w:top w:w="15" w:type="dxa"/>
          <w:left w:w="15" w:type="dxa"/>
          <w:bottom w:w="15" w:type="dxa"/>
          <w:right w:w="15" w:type="dxa"/>
        </w:tblCellMar>
        <w:tblLook w:val="04A0" w:firstRow="1" w:lastRow="0" w:firstColumn="1" w:lastColumn="0" w:noHBand="0" w:noVBand="1"/>
      </w:tblPr>
      <w:tblGrid>
        <w:gridCol w:w="39"/>
        <w:gridCol w:w="4568"/>
        <w:gridCol w:w="38"/>
        <w:gridCol w:w="36"/>
        <w:gridCol w:w="36"/>
        <w:gridCol w:w="36"/>
        <w:gridCol w:w="122"/>
        <w:gridCol w:w="1503"/>
        <w:gridCol w:w="36"/>
        <w:gridCol w:w="36"/>
        <w:gridCol w:w="36"/>
        <w:gridCol w:w="36"/>
        <w:gridCol w:w="122"/>
        <w:gridCol w:w="1554"/>
        <w:gridCol w:w="36"/>
        <w:gridCol w:w="36"/>
        <w:gridCol w:w="36"/>
      </w:tblGrid>
      <w:tr w:rsidR="00000000">
        <w:trPr>
          <w:divId w:val="17780850"/>
        </w:trPr>
        <w:tc>
          <w:tcPr>
            <w:tcW w:w="50" w:type="pct"/>
            <w:vAlign w:val="center"/>
            <w:hideMark/>
          </w:tcPr>
          <w:p w:rsidR="00000000" w:rsidRDefault="007557F0">
            <w:pPr>
              <w:jc w:val="both"/>
              <w:rPr>
                <w:rFonts w:eastAsia="Times New Roman"/>
              </w:rPr>
            </w:pPr>
          </w:p>
        </w:tc>
        <w:tc>
          <w:tcPr>
            <w:tcW w:w="281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97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97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17780850"/>
          <w:trHeight w:val="220"/>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17780850"/>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 2023</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 2022</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r>
      <w:tr w:rsidR="00000000">
        <w:trPr>
          <w:divId w:val="17780850"/>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Total number of shares purchased</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17780850"/>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Average price paid per share</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44.23 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17780850"/>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Total cash paid for share repurchases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13.3 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bl>
    <w:p w:rsidR="00000000" w:rsidRDefault="007557F0">
      <w:pPr>
        <w:divId w:val="1279800820"/>
        <w:rPr>
          <w:rFonts w:eastAsia="Times New Roman"/>
        </w:rPr>
      </w:pPr>
      <w:r>
        <w:rPr>
          <w:rFonts w:ascii="Arial" w:eastAsia="Times New Roman" w:hAnsi="Arial" w:cs="Arial"/>
          <w:b/>
          <w:bCs/>
          <w:color w:val="0046AD"/>
          <w:sz w:val="20"/>
          <w:szCs w:val="20"/>
        </w:rPr>
        <w:t xml:space="preserve">10. COMMITMENTS AND CONTINGENCIES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905295198"/>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905295198"/>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divId w:val="1479803346"/>
        <w:rPr>
          <w:rFonts w:eastAsia="Times New Roman"/>
        </w:rPr>
      </w:pPr>
      <w:r>
        <w:rPr>
          <w:rFonts w:ascii="Arial" w:eastAsia="Times New Roman" w:hAnsi="Arial" w:cs="Arial"/>
          <w:b/>
          <w:bCs/>
          <w:color w:val="0046AD"/>
          <w:sz w:val="20"/>
          <w:szCs w:val="20"/>
        </w:rPr>
        <w:t>Letters of Credit and Surety Bonds</w:t>
      </w:r>
    </w:p>
    <w:p w:rsidR="00000000" w:rsidRDefault="007557F0">
      <w:pPr>
        <w:ind w:firstLine="720"/>
        <w:jc w:val="both"/>
        <w:divId w:val="1790584513"/>
        <w:rPr>
          <w:rFonts w:eastAsia="Times New Roman"/>
        </w:rPr>
      </w:pPr>
      <w:r>
        <w:rPr>
          <w:rFonts w:ascii="Arial" w:eastAsia="Times New Roman" w:hAnsi="Arial" w:cs="Arial"/>
          <w:color w:val="000000"/>
          <w:sz w:val="20"/>
          <w:szCs w:val="20"/>
        </w:rPr>
        <w:t xml:space="preserve">We use letters of credit and surety bonds to secure certain commitments related to insurance programs and for other purposes. As of January 31, 2023, these letters of credit and surety bonds totaled $83.6 million and $678.9 million, respectively. </w:t>
      </w:r>
    </w:p>
    <w:p w:rsidR="00000000" w:rsidRDefault="007557F0">
      <w:pPr>
        <w:jc w:val="both"/>
        <w:divId w:val="1491558134"/>
        <w:rPr>
          <w:rFonts w:eastAsia="Times New Roman"/>
        </w:rPr>
      </w:pPr>
      <w:r>
        <w:rPr>
          <w:rFonts w:ascii="Arial" w:eastAsia="Times New Roman" w:hAnsi="Arial" w:cs="Arial"/>
          <w:b/>
          <w:bCs/>
          <w:color w:val="0046AD"/>
          <w:sz w:val="20"/>
          <w:szCs w:val="20"/>
        </w:rPr>
        <w:t>Guarante</w:t>
      </w:r>
      <w:r>
        <w:rPr>
          <w:rFonts w:ascii="Arial" w:eastAsia="Times New Roman" w:hAnsi="Arial" w:cs="Arial"/>
          <w:b/>
          <w:bCs/>
          <w:color w:val="0046AD"/>
          <w:sz w:val="20"/>
          <w:szCs w:val="20"/>
        </w:rPr>
        <w:t>es</w:t>
      </w:r>
    </w:p>
    <w:p w:rsidR="00000000" w:rsidRDefault="007557F0">
      <w:pPr>
        <w:ind w:firstLine="720"/>
        <w:jc w:val="both"/>
        <w:divId w:val="681585893"/>
        <w:rPr>
          <w:rFonts w:eastAsia="Times New Roman"/>
        </w:rPr>
      </w:pPr>
      <w:r>
        <w:rPr>
          <w:rFonts w:ascii="Arial" w:eastAsia="Times New Roman" w:hAnsi="Arial" w:cs="Arial"/>
          <w:color w:val="000000"/>
          <w:sz w:val="20"/>
          <w:szCs w:val="20"/>
        </w:rPr>
        <w:t>In some instances, we offer clients guaranteed energy savings under certain energy savings contracts. At January 31, 2023, total guarantees were $239.5 million and extend through 2043. We include the estimated costs of guarantees in the transaction pric</w:t>
      </w:r>
      <w:r>
        <w:rPr>
          <w:rFonts w:ascii="Arial" w:eastAsia="Times New Roman" w:hAnsi="Arial" w:cs="Arial"/>
          <w:color w:val="000000"/>
          <w:sz w:val="20"/>
          <w:szCs w:val="20"/>
        </w:rPr>
        <w:t xml:space="preserve">e to the extent it is probable that a significant reversal of cumulative revenue recognized will not occur when the uncertainty associated with the variable consideration is resolved. Our estimates of variable consideration and determination of whether to </w:t>
      </w:r>
      <w:r>
        <w:rPr>
          <w:rFonts w:ascii="Arial" w:eastAsia="Times New Roman" w:hAnsi="Arial" w:cs="Arial"/>
          <w:color w:val="000000"/>
          <w:sz w:val="20"/>
          <w:szCs w:val="20"/>
        </w:rPr>
        <w:t>include estimated amounts in the transaction price are based largely on an assessment of our anticipated performance and all information (historical, current, and forecasted) that is reasonably available to us. Historically, we have not incurred any materi</w:t>
      </w:r>
      <w:r>
        <w:rPr>
          <w:rFonts w:ascii="Arial" w:eastAsia="Times New Roman" w:hAnsi="Arial" w:cs="Arial"/>
          <w:color w:val="000000"/>
          <w:sz w:val="20"/>
          <w:szCs w:val="20"/>
        </w:rPr>
        <w:t xml:space="preserve">al losses in connection with these guarantees. </w:t>
      </w:r>
    </w:p>
    <w:p w:rsidR="00000000" w:rsidRDefault="007557F0">
      <w:pPr>
        <w:jc w:val="both"/>
        <w:divId w:val="1832476593"/>
        <w:rPr>
          <w:rFonts w:eastAsia="Times New Roman"/>
        </w:rPr>
      </w:pPr>
      <w:r>
        <w:rPr>
          <w:rFonts w:ascii="Arial" w:eastAsia="Times New Roman" w:hAnsi="Arial" w:cs="Arial"/>
          <w:b/>
          <w:bCs/>
          <w:color w:val="0046AD"/>
          <w:sz w:val="20"/>
          <w:szCs w:val="20"/>
        </w:rPr>
        <w:t>Sales Taxes</w:t>
      </w:r>
    </w:p>
    <w:p w:rsidR="00000000" w:rsidRDefault="007557F0">
      <w:pPr>
        <w:ind w:firstLine="720"/>
        <w:jc w:val="both"/>
        <w:divId w:val="923337652"/>
        <w:rPr>
          <w:rFonts w:eastAsia="Times New Roman"/>
        </w:rPr>
      </w:pPr>
      <w:r>
        <w:rPr>
          <w:rFonts w:ascii="Arial" w:eastAsia="Times New Roman" w:hAnsi="Arial" w:cs="Arial"/>
          <w:color w:val="000000"/>
          <w:sz w:val="20"/>
          <w:szCs w:val="20"/>
        </w:rPr>
        <w:t>We collect sales tax from clients and remit those collections to the applicable states. In some cases when clients fail to pay their invoices, including the amount of any sales tax that we paid on</w:t>
      </w:r>
      <w:r>
        <w:rPr>
          <w:rFonts w:ascii="Arial" w:eastAsia="Times New Roman" w:hAnsi="Arial" w:cs="Arial"/>
          <w:color w:val="000000"/>
          <w:sz w:val="20"/>
          <w:szCs w:val="20"/>
        </w:rPr>
        <w:t xml:space="preserve"> their behalf, we may be entitled to seek a refund of that amount of sales tax from the applicable state. </w:t>
      </w:r>
    </w:p>
    <w:p w:rsidR="00000000" w:rsidRDefault="007557F0">
      <w:pPr>
        <w:ind w:firstLine="720"/>
        <w:jc w:val="both"/>
        <w:divId w:val="574513769"/>
        <w:rPr>
          <w:rFonts w:eastAsia="Times New Roman"/>
        </w:rPr>
      </w:pPr>
      <w:r>
        <w:rPr>
          <w:rFonts w:ascii="Arial" w:eastAsia="Times New Roman" w:hAnsi="Arial" w:cs="Arial"/>
          <w:color w:val="000000"/>
          <w:sz w:val="20"/>
          <w:szCs w:val="20"/>
        </w:rPr>
        <w:t>Sales tax laws and regulations enacted by the various states are subject to interpretation, and our compliance with such laws is routinely subject to</w:t>
      </w:r>
      <w:r>
        <w:rPr>
          <w:rFonts w:ascii="Arial" w:eastAsia="Times New Roman" w:hAnsi="Arial" w:cs="Arial"/>
          <w:color w:val="000000"/>
          <w:sz w:val="20"/>
          <w:szCs w:val="20"/>
        </w:rPr>
        <w:t xml:space="preserve"> audit and review by such states. Audit risk is concentrated in several states that are conducting ongoing audits. The outcomes of ongoing and any future audits and changes in the states’ interpretation of the sales tax laws and regulations could materiall</w:t>
      </w:r>
      <w:r>
        <w:rPr>
          <w:rFonts w:ascii="Arial" w:eastAsia="Times New Roman" w:hAnsi="Arial" w:cs="Arial"/>
          <w:color w:val="000000"/>
          <w:sz w:val="20"/>
          <w:szCs w:val="20"/>
        </w:rPr>
        <w:t>y adversely impact our results of operations</w:t>
      </w:r>
      <w:r>
        <w:rPr>
          <w:rFonts w:ascii="Arial" w:eastAsia="Times New Roman" w:hAnsi="Arial" w:cs="Arial"/>
          <w:b/>
          <w:bCs/>
          <w:color w:val="0046AD"/>
          <w:sz w:val="20"/>
          <w:szCs w:val="20"/>
        </w:rPr>
        <w:t>.</w:t>
      </w:r>
    </w:p>
    <w:p w:rsidR="00000000" w:rsidRDefault="007557F0">
      <w:pPr>
        <w:jc w:val="both"/>
        <w:divId w:val="1908413841"/>
        <w:rPr>
          <w:rFonts w:eastAsia="Times New Roman"/>
        </w:rPr>
      </w:pPr>
      <w:r>
        <w:rPr>
          <w:rFonts w:ascii="Arial" w:eastAsia="Times New Roman" w:hAnsi="Arial" w:cs="Arial"/>
          <w:b/>
          <w:bCs/>
          <w:color w:val="0046AD"/>
          <w:sz w:val="20"/>
          <w:szCs w:val="20"/>
        </w:rPr>
        <w:t>Legal Matters</w:t>
      </w:r>
    </w:p>
    <w:p w:rsidR="00000000" w:rsidRDefault="007557F0">
      <w:pPr>
        <w:ind w:firstLine="720"/>
        <w:jc w:val="both"/>
        <w:divId w:val="1819684578"/>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employment, contracts, personal injury, and other</w:t>
      </w:r>
      <w:r>
        <w:rPr>
          <w:rFonts w:ascii="Arial" w:eastAsia="Times New Roman" w:hAnsi="Arial" w:cs="Arial"/>
          <w:color w:val="000000"/>
          <w:sz w:val="20"/>
          <w:szCs w:val="20"/>
        </w:rPr>
        <w:t xml:space="preserve"> matters, some of which allege substantial monetary damages. Some of these actions may be brought as class actions on behalf of a class or purported class of employees.</w:t>
      </w:r>
    </w:p>
    <w:p w:rsidR="00000000" w:rsidRDefault="007557F0">
      <w:pPr>
        <w:ind w:firstLine="720"/>
        <w:jc w:val="both"/>
        <w:divId w:val="910429309"/>
        <w:rPr>
          <w:rFonts w:eastAsia="Times New Roman"/>
        </w:rPr>
      </w:pPr>
      <w:r>
        <w:rPr>
          <w:rFonts w:ascii="Arial" w:eastAsia="Times New Roman" w:hAnsi="Arial" w:cs="Arial"/>
          <w:color w:val="000000"/>
          <w:sz w:val="20"/>
          <w:szCs w:val="20"/>
        </w:rPr>
        <w:t>At January 31, 2023, the total amount accrued for probable litigation losses where a re</w:t>
      </w:r>
      <w:r>
        <w:rPr>
          <w:rFonts w:ascii="Arial" w:eastAsia="Times New Roman" w:hAnsi="Arial" w:cs="Arial"/>
          <w:color w:val="000000"/>
          <w:sz w:val="20"/>
          <w:szCs w:val="20"/>
        </w:rPr>
        <w:t xml:space="preserve">asonable estimate of the loss could be made was $29.8 million. We do not accrue for contingent losses that, in our judgment, are considered to be reasonably possible but not probable. The estimation of reasonably possible losses also requires the analysis </w:t>
      </w:r>
      <w:r>
        <w:rPr>
          <w:rFonts w:ascii="Arial" w:eastAsia="Times New Roman" w:hAnsi="Arial" w:cs="Arial"/>
          <w:color w:val="000000"/>
          <w:sz w:val="20"/>
          <w:szCs w:val="20"/>
        </w:rPr>
        <w:t xml:space="preserve">of multiple possible outcomes that often depend on judgments about potential actions by third parties. Our management currently estimates the range of loss for all reasonably possible losses for which a reasonable </w:t>
      </w:r>
    </w:p>
    <w:p w:rsidR="00000000" w:rsidRDefault="007557F0">
      <w:pPr>
        <w:jc w:val="center"/>
        <w:divId w:val="854729344"/>
        <w:rPr>
          <w:rFonts w:eastAsia="Times New Roman"/>
        </w:rPr>
      </w:pPr>
      <w:r>
        <w:rPr>
          <w:rFonts w:ascii="Arial" w:eastAsia="Times New Roman" w:hAnsi="Arial" w:cs="Arial"/>
          <w:color w:val="000000"/>
          <w:sz w:val="20"/>
          <w:szCs w:val="20"/>
        </w:rPr>
        <w:t>19</w:t>
      </w:r>
    </w:p>
    <w:p w:rsidR="00000000" w:rsidRDefault="007557F0">
      <w:pPr>
        <w:rPr>
          <w:rFonts w:eastAsia="Times New Roman"/>
        </w:rPr>
      </w:pPr>
      <w:r>
        <w:rPr>
          <w:rFonts w:eastAsia="Times New Roman"/>
        </w:rPr>
        <w:pict>
          <v:rect id="_x0000_i1048" style="width:0;height:1.5pt" o:hralign="center" o:hrstd="t" o:hr="t" fillcolor="#a0a0a0" stroked="f"/>
        </w:pict>
      </w:r>
    </w:p>
    <w:p w:rsidR="00000000" w:rsidRDefault="007557F0">
      <w:pPr>
        <w:jc w:val="both"/>
        <w:divId w:val="1864979110"/>
        <w:rPr>
          <w:rFonts w:eastAsia="Times New Roman"/>
        </w:rPr>
      </w:pPr>
    </w:p>
    <w:p w:rsidR="00000000" w:rsidRDefault="007557F0">
      <w:pPr>
        <w:jc w:val="both"/>
        <w:divId w:val="1725373646"/>
        <w:rPr>
          <w:rFonts w:eastAsia="Times New Roman"/>
        </w:rPr>
      </w:pPr>
      <w:r>
        <w:rPr>
          <w:rFonts w:ascii="Arial" w:eastAsia="Times New Roman" w:hAnsi="Arial" w:cs="Arial"/>
          <w:color w:val="000000"/>
          <w:sz w:val="20"/>
          <w:szCs w:val="20"/>
        </w:rPr>
        <w:t>estimate of the loss can be made is between zero and $4 million. Factors underlying this estimated range of loss may change from time to time, and actual results may vary significantly from this estimate.</w:t>
      </w:r>
    </w:p>
    <w:p w:rsidR="00000000" w:rsidRDefault="007557F0">
      <w:pPr>
        <w:ind w:firstLine="720"/>
        <w:jc w:val="both"/>
        <w:divId w:val="672221630"/>
        <w:rPr>
          <w:rFonts w:eastAsia="Times New Roman"/>
        </w:rPr>
      </w:pPr>
      <w:r>
        <w:rPr>
          <w:rFonts w:ascii="Arial" w:eastAsia="Times New Roman" w:hAnsi="Arial" w:cs="Arial"/>
          <w:color w:val="000000"/>
          <w:sz w:val="20"/>
          <w:szCs w:val="20"/>
        </w:rPr>
        <w:t>Litigation outcomes are difficult to predict, and t</w:t>
      </w:r>
      <w:r>
        <w:rPr>
          <w:rFonts w:ascii="Arial" w:eastAsia="Times New Roman" w:hAnsi="Arial" w:cs="Arial"/>
          <w:color w:val="000000"/>
          <w:sz w:val="20"/>
          <w:szCs w:val="20"/>
        </w:rPr>
        <w:t>he estimation of probable losses requires the analysis of multiple possible outcomes that often depend on judgments about potential actions by third parties. If one or more matters are resolved in a particular period in an amount in excess of or in a manne</w:t>
      </w:r>
      <w:r>
        <w:rPr>
          <w:rFonts w:ascii="Arial" w:eastAsia="Times New Roman" w:hAnsi="Arial" w:cs="Arial"/>
          <w:color w:val="000000"/>
          <w:sz w:val="20"/>
          <w:szCs w:val="20"/>
        </w:rPr>
        <w:t>r different than what we anticipated, this could have a material adverse effect on our financial position, results of operations, or cash flows.</w:t>
      </w:r>
    </w:p>
    <w:p w:rsidR="00000000" w:rsidRDefault="007557F0">
      <w:pPr>
        <w:ind w:firstLine="720"/>
        <w:jc w:val="both"/>
        <w:divId w:val="783958572"/>
        <w:rPr>
          <w:rFonts w:eastAsia="Times New Roman"/>
        </w:rPr>
      </w:pPr>
      <w:r>
        <w:rPr>
          <w:rFonts w:ascii="Arial" w:eastAsia="Times New Roman" w:hAnsi="Arial" w:cs="Arial"/>
          <w:color w:val="000000"/>
          <w:sz w:val="20"/>
          <w:szCs w:val="20"/>
        </w:rPr>
        <w:t>In some cases, although a loss is probable or reasonably possible, we cannot reasonably estimate the maximum po</w:t>
      </w:r>
      <w:r>
        <w:rPr>
          <w:rFonts w:ascii="Arial" w:eastAsia="Times New Roman" w:hAnsi="Arial" w:cs="Arial"/>
          <w:color w:val="000000"/>
          <w:sz w:val="20"/>
          <w:szCs w:val="20"/>
        </w:rPr>
        <w:t>tential losses for probable matters or the range of losses for reasonably possible matters. Therefore, our accrual for probable losses and our estimated range of loss for reasonably possible losses do not represent our maximum possible exposure.</w:t>
      </w:r>
    </w:p>
    <w:p w:rsidR="00000000" w:rsidRDefault="007557F0">
      <w:pPr>
        <w:ind w:firstLine="720"/>
        <w:jc w:val="both"/>
        <w:divId w:val="518204162"/>
        <w:rPr>
          <w:rFonts w:eastAsia="Times New Roman"/>
        </w:rPr>
      </w:pPr>
      <w:r>
        <w:rPr>
          <w:rFonts w:ascii="Arial" w:eastAsia="Times New Roman" w:hAnsi="Arial" w:cs="Arial"/>
          <w:color w:val="000000"/>
          <w:sz w:val="20"/>
          <w:szCs w:val="20"/>
        </w:rPr>
        <w:t>In determi</w:t>
      </w:r>
      <w:r>
        <w:rPr>
          <w:rFonts w:ascii="Arial" w:eastAsia="Times New Roman" w:hAnsi="Arial" w:cs="Arial"/>
          <w:color w:val="000000"/>
          <w:sz w:val="20"/>
          <w:szCs w:val="20"/>
        </w:rPr>
        <w:t>ning whether to include any particular lawsuit or other proceeding in our disclosure, we consider both quantitative and qualitative factors. These factors include, but are not limited to: the amount of damages and the nature of any other relief sought in t</w:t>
      </w:r>
      <w:r>
        <w:rPr>
          <w:rFonts w:ascii="Arial" w:eastAsia="Times New Roman" w:hAnsi="Arial" w:cs="Arial"/>
          <w:color w:val="000000"/>
          <w:sz w:val="20"/>
          <w:szCs w:val="20"/>
        </w:rPr>
        <w:t>he proceeding; if such damages and other relief are specified, our view of the merits of the claims; whether the action is or purports to be a class action, and our view of the likelihood that a class will be certified by the court; the jurisdiction in whi</w:t>
      </w:r>
      <w:r>
        <w:rPr>
          <w:rFonts w:ascii="Arial" w:eastAsia="Times New Roman" w:hAnsi="Arial" w:cs="Arial"/>
          <w:color w:val="000000"/>
          <w:sz w:val="20"/>
          <w:szCs w:val="20"/>
        </w:rPr>
        <w:t>ch the proceeding is pending; and the potential impact of the proceeding on our reputation.</w:t>
      </w:r>
    </w:p>
    <w:p w:rsidR="00000000" w:rsidRDefault="007557F0">
      <w:pPr>
        <w:ind w:firstLine="720"/>
        <w:jc w:val="both"/>
        <w:divId w:val="262419526"/>
        <w:rPr>
          <w:rFonts w:eastAsia="Times New Roman"/>
        </w:rPr>
      </w:pPr>
      <w:r>
        <w:rPr>
          <w:rFonts w:ascii="Arial" w:eastAsia="Times New Roman" w:hAnsi="Arial" w:cs="Arial"/>
          <w:color w:val="000000"/>
          <w:sz w:val="20"/>
          <w:szCs w:val="20"/>
        </w:rPr>
        <w:t>We are not currently a party to any material legal proceedings, and we are not aware of filings of any pending or contemplated litigation, claims, or assessments. T</w:t>
      </w:r>
      <w:r>
        <w:rPr>
          <w:rFonts w:ascii="Arial" w:eastAsia="Times New Roman" w:hAnsi="Arial" w:cs="Arial"/>
          <w:color w:val="000000"/>
          <w:sz w:val="20"/>
          <w:szCs w:val="20"/>
        </w:rPr>
        <w:t>here can be no assurance that future legal proceedings arising in the ordinary course of business or otherwise will not have a material adverse effect on our financial position, results of operations, or cash flows.</w:t>
      </w:r>
    </w:p>
    <w:p w:rsidR="00000000" w:rsidRDefault="007557F0">
      <w:pPr>
        <w:jc w:val="both"/>
        <w:divId w:val="2082366079"/>
        <w:rPr>
          <w:rFonts w:eastAsia="Times New Roman"/>
        </w:rPr>
      </w:pPr>
      <w:r>
        <w:rPr>
          <w:rFonts w:ascii="Arial" w:eastAsia="Times New Roman" w:hAnsi="Arial" w:cs="Arial"/>
          <w:b/>
          <w:bCs/>
          <w:color w:val="0046AD"/>
          <w:sz w:val="20"/>
          <w:szCs w:val="20"/>
        </w:rPr>
        <w:t xml:space="preserve">11. INCOME TAXES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380520583"/>
        </w:trPr>
        <w:tc>
          <w:tcPr>
            <w:tcW w:w="5" w:type="pct"/>
            <w:vAlign w:val="center"/>
            <w:hideMark/>
          </w:tcPr>
          <w:p w:rsidR="00000000" w:rsidRDefault="007557F0">
            <w:pPr>
              <w:jc w:val="both"/>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380520583"/>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1189833262"/>
        <w:rPr>
          <w:rFonts w:eastAsia="Times New Roman"/>
        </w:rPr>
      </w:pPr>
      <w:r>
        <w:rPr>
          <w:rFonts w:ascii="Arial" w:eastAsia="Times New Roman" w:hAnsi="Arial" w:cs="Arial"/>
          <w:color w:val="000000"/>
          <w:sz w:val="20"/>
          <w:szCs w:val="20"/>
        </w:rPr>
        <w:t xml:space="preserve">Our quarterly tax provision is calculated using an estimated annual tax rate that is adjusted for discrete items occurring during the period to arrive at our effective tax rate. During the three months ended January 31, 2023 and 2022, we had effective tax </w:t>
      </w:r>
      <w:r>
        <w:rPr>
          <w:rFonts w:ascii="Arial" w:eastAsia="Times New Roman" w:hAnsi="Arial" w:cs="Arial"/>
          <w:color w:val="000000"/>
          <w:sz w:val="20"/>
          <w:szCs w:val="20"/>
        </w:rPr>
        <w:t>rates of 26.9% and 24.2%, respectively, resulting in provisions for taxes of $14.2 million and $24.3 million, respectively. The difference between the effective tax rate and statutory rate is primarily related to state income taxes and non-deductible compe</w:t>
      </w:r>
      <w:r>
        <w:rPr>
          <w:rFonts w:ascii="Arial" w:eastAsia="Times New Roman" w:hAnsi="Arial" w:cs="Arial"/>
          <w:color w:val="000000"/>
          <w:sz w:val="20"/>
          <w:szCs w:val="20"/>
        </w:rPr>
        <w:t xml:space="preserve">nsation. </w:t>
      </w:r>
    </w:p>
    <w:p w:rsidR="00000000" w:rsidRDefault="007557F0">
      <w:pPr>
        <w:ind w:firstLine="720"/>
        <w:jc w:val="both"/>
        <w:divId w:val="2111966763"/>
        <w:rPr>
          <w:rFonts w:eastAsia="Times New Roman"/>
        </w:rPr>
      </w:pPr>
      <w:r>
        <w:rPr>
          <w:rFonts w:ascii="Arial" w:eastAsia="Times New Roman" w:hAnsi="Arial" w:cs="Arial"/>
          <w:color w:val="000000"/>
          <w:sz w:val="20"/>
          <w:szCs w:val="20"/>
        </w:rPr>
        <w:t>Our effective tax rate for the three months ended January 31, 2023, benefited by a $1.3 million for share-based compensation. Our effective tax rate for the three months ended January 31, 2022, benefited by a $3.5 million change in tax reserves.</w:t>
      </w:r>
    </w:p>
    <w:p w:rsidR="00000000" w:rsidRDefault="007557F0">
      <w:pPr>
        <w:ind w:firstLine="720"/>
        <w:jc w:val="both"/>
        <w:divId w:val="209004966"/>
        <w:rPr>
          <w:rFonts w:eastAsia="Times New Roman"/>
        </w:rPr>
      </w:pPr>
      <w:r>
        <w:rPr>
          <w:rFonts w:ascii="Arial" w:eastAsia="Times New Roman" w:hAnsi="Arial" w:cs="Arial"/>
          <w:color w:val="000000"/>
          <w:sz w:val="20"/>
          <w:szCs w:val="20"/>
        </w:rPr>
        <w:t>In 2020, Congress enacted the Coronavirus Aid, Relief, and Economic Security Act (“CARES Act”) which included various payroll tax provisions. Through December 2020, we deferred approximately $132 million of payroll tax. The deferred payroll tax has been re</w:t>
      </w:r>
      <w:r>
        <w:rPr>
          <w:rFonts w:ascii="Arial" w:eastAsia="Times New Roman" w:hAnsi="Arial" w:cs="Arial"/>
          <w:color w:val="000000"/>
          <w:sz w:val="20"/>
          <w:szCs w:val="20"/>
        </w:rPr>
        <w:t xml:space="preserve">mitted in full: $66 million was paid in December 2021 and the remaining $66 million was paid in December 2022. </w:t>
      </w:r>
    </w:p>
    <w:p w:rsidR="00000000" w:rsidRDefault="007557F0">
      <w:pPr>
        <w:ind w:firstLine="720"/>
        <w:jc w:val="both"/>
        <w:divId w:val="1587154483"/>
        <w:rPr>
          <w:rFonts w:eastAsia="Times New Roman"/>
        </w:rPr>
      </w:pPr>
      <w:r>
        <w:rPr>
          <w:rFonts w:ascii="Arial" w:eastAsia="Times New Roman" w:hAnsi="Arial" w:cs="Arial"/>
          <w:color w:val="000000"/>
          <w:sz w:val="20"/>
          <w:szCs w:val="20"/>
        </w:rPr>
        <w:t>We plan to reinvest our foreign earnings to fund future non-U.S. growth and expansion, and we do not anticipate remitting such earnings to the U</w:t>
      </w:r>
      <w:r>
        <w:rPr>
          <w:rFonts w:ascii="Arial" w:eastAsia="Times New Roman" w:hAnsi="Arial" w:cs="Arial"/>
          <w:color w:val="000000"/>
          <w:sz w:val="20"/>
          <w:szCs w:val="20"/>
        </w:rPr>
        <w:t xml:space="preserve">nited States. While U.S. federal tax expense has been recognized as a result of the Tax Cuts and Jobs Act of 2017, no deferred tax liabilities with respect to federal and state income taxes or foreign withholding taxes have been recognized. </w:t>
      </w:r>
    </w:p>
    <w:p w:rsidR="00000000" w:rsidRDefault="007557F0">
      <w:pPr>
        <w:divId w:val="960266045"/>
        <w:rPr>
          <w:rFonts w:eastAsia="Times New Roman"/>
        </w:rPr>
      </w:pPr>
    </w:p>
    <w:p w:rsidR="00000000" w:rsidRDefault="007557F0">
      <w:pPr>
        <w:jc w:val="center"/>
        <w:divId w:val="1784571998"/>
        <w:rPr>
          <w:rFonts w:eastAsia="Times New Roman"/>
        </w:rPr>
      </w:pPr>
      <w:r>
        <w:rPr>
          <w:rFonts w:ascii="Arial" w:eastAsia="Times New Roman" w:hAnsi="Arial" w:cs="Arial"/>
          <w:color w:val="000000"/>
          <w:sz w:val="20"/>
          <w:szCs w:val="20"/>
        </w:rPr>
        <w:t>20</w:t>
      </w:r>
    </w:p>
    <w:p w:rsidR="00000000" w:rsidRDefault="007557F0">
      <w:pPr>
        <w:rPr>
          <w:rFonts w:eastAsia="Times New Roman"/>
        </w:rPr>
      </w:pPr>
      <w:r>
        <w:rPr>
          <w:rFonts w:eastAsia="Times New Roman"/>
        </w:rPr>
        <w:pict>
          <v:rect id="_x0000_i1049" style="width:0;height:1.5pt" o:hralign="center" o:hrstd="t" o:hr="t" fillcolor="#a0a0a0" stroked="f"/>
        </w:pict>
      </w:r>
    </w:p>
    <w:p w:rsidR="00000000" w:rsidRDefault="007557F0">
      <w:pPr>
        <w:jc w:val="both"/>
        <w:divId w:val="71855533"/>
        <w:rPr>
          <w:rFonts w:eastAsia="Times New Roman"/>
        </w:rPr>
      </w:pPr>
    </w:p>
    <w:p w:rsidR="00000000" w:rsidRDefault="007557F0">
      <w:pPr>
        <w:divId w:val="464540468"/>
        <w:rPr>
          <w:rFonts w:eastAsia="Times New Roman"/>
        </w:rPr>
      </w:pPr>
      <w:r>
        <w:rPr>
          <w:rFonts w:ascii="Arial" w:eastAsia="Times New Roman" w:hAnsi="Arial" w:cs="Arial"/>
          <w:b/>
          <w:bCs/>
          <w:color w:val="0046AD"/>
          <w:sz w:val="20"/>
          <w:szCs w:val="20"/>
        </w:rPr>
        <w:t xml:space="preserve">12. SEGMENT INFORMATION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330871142"/>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330871142"/>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452483906"/>
        <w:rPr>
          <w:rFonts w:eastAsia="Times New Roman"/>
        </w:rPr>
      </w:pPr>
      <w:r>
        <w:rPr>
          <w:rFonts w:ascii="Arial" w:eastAsia="Times New Roman" w:hAnsi="Arial" w:cs="Arial"/>
          <w:color w:val="000000"/>
          <w:sz w:val="20"/>
          <w:szCs w:val="20"/>
        </w:rPr>
        <w:t>Our current reportable segments consist of B&amp;I, M&amp;</w:t>
      </w:r>
      <w:r>
        <w:rPr>
          <w:rFonts w:ascii="Arial" w:eastAsia="Times New Roman" w:hAnsi="Arial" w:cs="Arial"/>
          <w:color w:val="000000"/>
          <w:sz w:val="20"/>
          <w:szCs w:val="20"/>
        </w:rPr>
        <w:t xml:space="preserve">D, Education, Aviation, and Technical Solutions, as further described below. </w:t>
      </w:r>
    </w:p>
    <w:tbl>
      <w:tblPr>
        <w:tblW w:w="5000" w:type="pct"/>
        <w:tblCellMar>
          <w:top w:w="15" w:type="dxa"/>
          <w:left w:w="15" w:type="dxa"/>
          <w:bottom w:w="15" w:type="dxa"/>
          <w:right w:w="15" w:type="dxa"/>
        </w:tblCellMar>
        <w:tblLook w:val="04A0" w:firstRow="1" w:lastRow="0" w:firstColumn="1" w:lastColumn="0" w:noHBand="0" w:noVBand="1"/>
      </w:tblPr>
      <w:tblGrid>
        <w:gridCol w:w="68"/>
        <w:gridCol w:w="2261"/>
        <w:gridCol w:w="38"/>
        <w:gridCol w:w="68"/>
        <w:gridCol w:w="5833"/>
        <w:gridCol w:w="38"/>
      </w:tblGrid>
      <w:tr w:rsidR="00000000">
        <w:trPr>
          <w:divId w:val="117182254"/>
        </w:trPr>
        <w:tc>
          <w:tcPr>
            <w:tcW w:w="50" w:type="pct"/>
            <w:vAlign w:val="center"/>
            <w:hideMark/>
          </w:tcPr>
          <w:p w:rsidR="00000000" w:rsidRDefault="007557F0">
            <w:pPr>
              <w:ind w:firstLine="720"/>
              <w:jc w:val="both"/>
              <w:rPr>
                <w:rFonts w:eastAsia="Times New Roman"/>
              </w:rPr>
            </w:pPr>
          </w:p>
        </w:tc>
        <w:tc>
          <w:tcPr>
            <w:tcW w:w="1370"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35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17182254"/>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46AD"/>
                <w:sz w:val="18"/>
                <w:szCs w:val="18"/>
              </w:rPr>
              <w:t>REPORTABLE SEGMENTS AND DESCRIPTIONS</w:t>
            </w:r>
          </w:p>
        </w:tc>
      </w:tr>
      <w:tr w:rsidR="00000000">
        <w:trPr>
          <w:divId w:val="11718225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7557F0">
            <w:pPr>
              <w:spacing w:after="100"/>
              <w:jc w:val="center"/>
              <w:divId w:val="112947236"/>
              <w:rPr>
                <w:rFonts w:eastAsia="Times New Roman"/>
              </w:rPr>
            </w:pPr>
            <w:r>
              <w:rPr>
                <w:rFonts w:ascii="Arial" w:eastAsia="Times New Roman" w:hAnsi="Arial" w:cs="Arial"/>
                <w:color w:val="000000"/>
                <w:sz w:val="18"/>
                <w:szCs w:val="18"/>
              </w:rPr>
              <w:t>B&amp;I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7557F0">
            <w:pPr>
              <w:spacing w:after="100"/>
              <w:jc w:val="both"/>
              <w:divId w:val="1229221093"/>
              <w:rPr>
                <w:rFonts w:eastAsia="Times New Roman"/>
              </w:rPr>
            </w:pPr>
            <w:r>
              <w:rPr>
                <w:rFonts w:ascii="Arial" w:eastAsia="Times New Roman" w:hAnsi="Arial" w:cs="Arial"/>
                <w:color w:val="000000"/>
                <w:sz w:val="18"/>
                <w:szCs w:val="18"/>
              </w:rPr>
              <w:t>B&amp;</w:t>
            </w:r>
            <w:r>
              <w:rPr>
                <w:rFonts w:ascii="Arial" w:eastAsia="Times New Roman" w:hAnsi="Arial" w:cs="Arial"/>
                <w:color w:val="000000"/>
                <w:sz w:val="18"/>
                <w:szCs w:val="18"/>
              </w:rPr>
              <w:t>I, our largest reportable segment, encompasses janitorial, facilities engineering, and parking services for commercial real estate properties (including corporate offices for high-tech clients), sports and entertainment venues, and traditional hospitals an</w:t>
            </w:r>
            <w:r>
              <w:rPr>
                <w:rFonts w:ascii="Arial" w:eastAsia="Times New Roman" w:hAnsi="Arial" w:cs="Arial"/>
                <w:color w:val="000000"/>
                <w:sz w:val="18"/>
                <w:szCs w:val="18"/>
              </w:rPr>
              <w:t>d non-acute healthcare facilities. B&amp;I also provides vehicle maintenance and other services to rental car providers.</w:t>
            </w:r>
          </w:p>
        </w:tc>
      </w:tr>
      <w:tr w:rsidR="00000000">
        <w:trPr>
          <w:divId w:val="11718225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7557F0">
            <w:pPr>
              <w:spacing w:after="100"/>
              <w:jc w:val="center"/>
              <w:divId w:val="1120731448"/>
              <w:rPr>
                <w:rFonts w:eastAsia="Times New Roman"/>
              </w:rPr>
            </w:pPr>
            <w:r>
              <w:rPr>
                <w:rFonts w:ascii="Arial" w:eastAsia="Times New Roman" w:hAnsi="Arial" w:cs="Arial"/>
                <w:color w:val="000000"/>
                <w:sz w:val="18"/>
                <w:szCs w:val="18"/>
              </w:rPr>
              <w:t>M&amp;D</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7557F0">
            <w:pPr>
              <w:spacing w:after="100"/>
              <w:jc w:val="both"/>
              <w:rPr>
                <w:rFonts w:eastAsia="Times New Roman"/>
              </w:rPr>
            </w:pPr>
            <w:r>
              <w:rPr>
                <w:rFonts w:ascii="Arial" w:eastAsia="Times New Roman" w:hAnsi="Arial" w:cs="Arial"/>
                <w:color w:val="000000"/>
                <w:sz w:val="18"/>
                <w:szCs w:val="18"/>
              </w:rPr>
              <w:t>M&amp;</w:t>
            </w:r>
            <w:r>
              <w:rPr>
                <w:rFonts w:ascii="Arial" w:eastAsia="Times New Roman" w:hAnsi="Arial" w:cs="Arial"/>
                <w:color w:val="000000"/>
                <w:sz w:val="18"/>
                <w:szCs w:val="18"/>
              </w:rPr>
              <w:t xml:space="preserve">D provides integrated facility services, engineering, janitorial, and other specialized services in different types of manufacturing, distribution, and data center facilities. Manufacturing facilities include traditional motor vehicles, electric vehicles, </w:t>
            </w:r>
            <w:r>
              <w:rPr>
                <w:rFonts w:ascii="Arial" w:eastAsia="Times New Roman" w:hAnsi="Arial" w:cs="Arial"/>
                <w:color w:val="000000"/>
                <w:sz w:val="18"/>
                <w:szCs w:val="18"/>
              </w:rPr>
              <w:t xml:space="preserve">batteries, pharmaceuticals, steel, semiconductors, chemicals, and many others. Distribution facilities include e-commerce, cold storage, logistics, general warehousing, and others. </w:t>
            </w:r>
          </w:p>
        </w:tc>
      </w:tr>
      <w:tr w:rsidR="00000000">
        <w:trPr>
          <w:divId w:val="11718225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7557F0">
            <w:pPr>
              <w:spacing w:after="100"/>
              <w:jc w:val="center"/>
              <w:divId w:val="1466703714"/>
              <w:rPr>
                <w:rFonts w:eastAsia="Times New Roman"/>
              </w:rPr>
            </w:pPr>
            <w:r>
              <w:rPr>
                <w:rFonts w:ascii="Arial" w:eastAsia="Times New Roman" w:hAnsi="Arial" w:cs="Arial"/>
                <w:color w:val="000000"/>
                <w:sz w:val="18"/>
                <w:szCs w:val="18"/>
              </w:rPr>
              <w:t>Education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7557F0">
            <w:pPr>
              <w:spacing w:after="100"/>
              <w:jc w:val="both"/>
              <w:divId w:val="1936357559"/>
              <w:rPr>
                <w:rFonts w:eastAsia="Times New Roman"/>
              </w:rPr>
            </w:pPr>
            <w:r>
              <w:rPr>
                <w:rFonts w:ascii="Arial" w:eastAsia="Times New Roman" w:hAnsi="Arial" w:cs="Arial"/>
                <w:color w:val="000000"/>
                <w:sz w:val="18"/>
                <w:szCs w:val="18"/>
              </w:rPr>
              <w:t>Education delivers janitorial, custodial, landscaping and g</w:t>
            </w:r>
            <w:r>
              <w:rPr>
                <w:rFonts w:ascii="Arial" w:eastAsia="Times New Roman" w:hAnsi="Arial" w:cs="Arial"/>
                <w:color w:val="000000"/>
                <w:sz w:val="18"/>
                <w:szCs w:val="18"/>
              </w:rPr>
              <w:t>rounds, facilities engineering, and parking services for public school districts, private schools, colleges, and universities.</w:t>
            </w:r>
          </w:p>
        </w:tc>
      </w:tr>
      <w:tr w:rsidR="00000000">
        <w:trPr>
          <w:divId w:val="11718225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7557F0">
            <w:pPr>
              <w:spacing w:after="100"/>
              <w:jc w:val="center"/>
              <w:divId w:val="868027217"/>
              <w:rPr>
                <w:rFonts w:eastAsia="Times New Roman"/>
              </w:rPr>
            </w:pPr>
            <w:r>
              <w:rPr>
                <w:rFonts w:ascii="Arial" w:eastAsia="Times New Roman" w:hAnsi="Arial" w:cs="Arial"/>
                <w:color w:val="000000"/>
                <w:sz w:val="18"/>
                <w:szCs w:val="18"/>
              </w:rPr>
              <w:t>Aviation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7557F0">
            <w:pPr>
              <w:spacing w:after="100"/>
              <w:jc w:val="both"/>
              <w:divId w:val="723991681"/>
              <w:rPr>
                <w:rFonts w:eastAsia="Times New Roman"/>
              </w:rPr>
            </w:pPr>
            <w:r>
              <w:rPr>
                <w:rFonts w:ascii="Arial" w:eastAsia="Times New Roman" w:hAnsi="Arial" w:cs="Arial"/>
                <w:color w:val="000000"/>
                <w:sz w:val="18"/>
                <w:szCs w:val="18"/>
              </w:rPr>
              <w:t xml:space="preserve">Aviation supports airlines and airports with services ranging from parking and janitorial to passenger assistance, </w:t>
            </w:r>
            <w:r>
              <w:rPr>
                <w:rFonts w:ascii="Arial" w:eastAsia="Times New Roman" w:hAnsi="Arial" w:cs="Arial"/>
                <w:color w:val="000000"/>
                <w:sz w:val="18"/>
                <w:szCs w:val="18"/>
              </w:rPr>
              <w:t>catering logistics, air cabin maintenance, and transportation.</w:t>
            </w:r>
          </w:p>
        </w:tc>
      </w:tr>
      <w:tr w:rsidR="00000000">
        <w:trPr>
          <w:divId w:val="117182254"/>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7557F0">
            <w:pPr>
              <w:spacing w:after="100"/>
              <w:jc w:val="center"/>
              <w:divId w:val="991979729"/>
              <w:rPr>
                <w:rFonts w:eastAsia="Times New Roman"/>
              </w:rPr>
            </w:pPr>
            <w:r>
              <w:rPr>
                <w:rFonts w:ascii="Arial" w:eastAsia="Times New Roman" w:hAnsi="Arial" w:cs="Arial"/>
                <w:color w:val="000000"/>
                <w:sz w:val="18"/>
                <w:szCs w:val="18"/>
              </w:rPr>
              <w:t>Technical Solutions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7557F0">
            <w:pPr>
              <w:spacing w:after="100"/>
              <w:jc w:val="both"/>
              <w:divId w:val="1389263193"/>
              <w:rPr>
                <w:rFonts w:eastAsia="Times New Roman"/>
              </w:rPr>
            </w:pPr>
            <w:r>
              <w:rPr>
                <w:rFonts w:ascii="Arial" w:eastAsia="Times New Roman" w:hAnsi="Arial" w:cs="Arial"/>
                <w:color w:val="000000"/>
                <w:sz w:val="18"/>
                <w:szCs w:val="18"/>
              </w:rPr>
              <w:t>Technical Solutions specializes in facility infrastructure, mechanical, and electrical services, including power design, installation, and maintenance, as well as micro</w:t>
            </w:r>
            <w:r>
              <w:rPr>
                <w:rFonts w:ascii="Arial" w:eastAsia="Times New Roman" w:hAnsi="Arial" w:cs="Arial"/>
                <w:color w:val="000000"/>
                <w:sz w:val="18"/>
                <w:szCs w:val="18"/>
              </w:rPr>
              <w:t>grid systems installations. These services can also be leveraged for cross-selling across all of our industry groups, both domestically and internationally.</w:t>
            </w:r>
          </w:p>
        </w:tc>
      </w:tr>
    </w:tbl>
    <w:p w:rsidR="00000000" w:rsidRDefault="007557F0">
      <w:pPr>
        <w:jc w:val="center"/>
        <w:divId w:val="1846357171"/>
        <w:rPr>
          <w:rFonts w:eastAsia="Times New Roman"/>
        </w:rPr>
      </w:pPr>
      <w:r>
        <w:rPr>
          <w:rFonts w:ascii="Arial" w:eastAsia="Times New Roman" w:hAnsi="Arial" w:cs="Arial"/>
          <w:color w:val="000000"/>
          <w:sz w:val="20"/>
          <w:szCs w:val="20"/>
        </w:rPr>
        <w:t>21</w:t>
      </w:r>
    </w:p>
    <w:p w:rsidR="00000000" w:rsidRDefault="007557F0">
      <w:pPr>
        <w:rPr>
          <w:rFonts w:eastAsia="Times New Roman"/>
        </w:rPr>
      </w:pPr>
      <w:r>
        <w:rPr>
          <w:rFonts w:eastAsia="Times New Roman"/>
        </w:rPr>
        <w:pict>
          <v:rect id="_x0000_i1050" style="width:0;height:1.5pt" o:hralign="center" o:hrstd="t" o:hr="t" fillcolor="#a0a0a0" stroked="f"/>
        </w:pict>
      </w:r>
    </w:p>
    <w:p w:rsidR="00000000" w:rsidRDefault="007557F0">
      <w:pPr>
        <w:jc w:val="both"/>
        <w:divId w:val="808476932"/>
        <w:rPr>
          <w:rFonts w:eastAsia="Times New Roman"/>
        </w:rPr>
      </w:pPr>
    </w:p>
    <w:p w:rsidR="00000000" w:rsidRDefault="007557F0">
      <w:pPr>
        <w:jc w:val="both"/>
        <w:divId w:val="1781950761"/>
        <w:rPr>
          <w:rFonts w:eastAsia="Times New Roman"/>
        </w:rPr>
      </w:pPr>
      <w:r>
        <w:rPr>
          <w:rFonts w:ascii="Arial" w:eastAsia="Times New Roman" w:hAnsi="Arial" w:cs="Arial"/>
          <w:b/>
          <w:bCs/>
          <w:i/>
          <w:iCs/>
          <w:color w:val="0046AD"/>
          <w:sz w:val="20"/>
          <w:szCs w:val="20"/>
        </w:rPr>
        <w:t>Financial Information by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4362"/>
        <w:gridCol w:w="38"/>
        <w:gridCol w:w="121"/>
        <w:gridCol w:w="1578"/>
        <w:gridCol w:w="36"/>
        <w:gridCol w:w="36"/>
        <w:gridCol w:w="36"/>
        <w:gridCol w:w="36"/>
        <w:gridCol w:w="121"/>
        <w:gridCol w:w="1578"/>
        <w:gridCol w:w="36"/>
        <w:gridCol w:w="36"/>
        <w:gridCol w:w="36"/>
        <w:gridCol w:w="36"/>
        <w:gridCol w:w="36"/>
        <w:gridCol w:w="36"/>
        <w:gridCol w:w="36"/>
        <w:gridCol w:w="36"/>
        <w:gridCol w:w="36"/>
      </w:tblGrid>
      <w:tr w:rsidR="00000000">
        <w:trPr>
          <w:divId w:val="1974015738"/>
        </w:trPr>
        <w:tc>
          <w:tcPr>
            <w:tcW w:w="50" w:type="pct"/>
            <w:vAlign w:val="center"/>
            <w:hideMark/>
          </w:tcPr>
          <w:p w:rsidR="00000000" w:rsidRDefault="007557F0">
            <w:pPr>
              <w:jc w:val="both"/>
              <w:rPr>
                <w:rFonts w:eastAsia="Times New Roman"/>
              </w:rPr>
            </w:pPr>
          </w:p>
        </w:tc>
        <w:tc>
          <w:tcPr>
            <w:tcW w:w="276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0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01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1,036.6 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1,029.5 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380.5 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359.1 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214.9 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205.7 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212.3 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200.3 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147.0 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141.8 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1,991.3 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 xml:space="preserve">Operating profit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75.9 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83.3 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40.9 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12.6 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divId w:val="9724789"/>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16.9 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(71.5)</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(55.8)</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FFFFFF"/>
            <w:tcMar>
              <w:top w:w="30" w:type="dxa"/>
              <w:left w:w="200" w:type="dxa"/>
              <w:bottom w:w="30" w:type="dxa"/>
              <w:right w:w="20" w:type="dxa"/>
            </w:tcMar>
            <w:hideMark/>
          </w:tcPr>
          <w:p w:rsidR="00000000" w:rsidRDefault="007557F0">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DCE2EF"/>
            <w:tcMar>
              <w:top w:w="30" w:type="dxa"/>
              <w:left w:w="200" w:type="dxa"/>
              <w:bottom w:w="30" w:type="dxa"/>
              <w:right w:w="20" w:type="dxa"/>
            </w:tcMar>
            <w:hideMark/>
          </w:tcPr>
          <w:p w:rsidR="00000000" w:rsidRDefault="007557F0">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(19.8)</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(6.2)</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974015738"/>
        </w:trPr>
        <w:tc>
          <w:tcPr>
            <w:tcW w:w="0" w:type="auto"/>
            <w:gridSpan w:val="3"/>
            <w:shd w:val="clear" w:color="auto" w:fill="DCE2EF"/>
            <w:tcMar>
              <w:top w:w="30" w:type="dxa"/>
              <w:left w:w="200" w:type="dxa"/>
              <w:bottom w:w="30" w:type="dxa"/>
              <w:right w:w="20" w:type="dxa"/>
            </w:tcMar>
            <w:hideMark/>
          </w:tcPr>
          <w:p w:rsidR="00000000" w:rsidRDefault="007557F0">
            <w:pPr>
              <w:spacing w:after="100"/>
              <w:ind w:hanging="180"/>
              <w:rPr>
                <w:rFonts w:eastAsia="Times New Roman"/>
              </w:rPr>
            </w:pPr>
            <w:r>
              <w:rPr>
                <w:rFonts w:ascii="Arial" w:eastAsia="Times New Roman" w:hAnsi="Arial" w:cs="Arial"/>
                <w:color w:val="000000"/>
                <w:sz w:val="18"/>
                <w:szCs w:val="18"/>
              </w:rPr>
              <w:t>Income before income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52.7 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bl>
    <w:p w:rsidR="00000000" w:rsidRDefault="007557F0">
      <w:pPr>
        <w:ind w:hanging="180"/>
        <w:jc w:val="both"/>
        <w:divId w:val="203615687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6"/>
          <w:szCs w:val="16"/>
        </w:rPr>
        <w:t>Reflects a $7.7 </w:t>
      </w:r>
      <w:r>
        <w:rPr>
          <w:rFonts w:ascii="Arial" w:eastAsia="Times New Roman" w:hAnsi="Arial" w:cs="Arial"/>
          <w:color w:val="000000"/>
          <w:sz w:val="16"/>
          <w:szCs w:val="16"/>
        </w:rPr>
        <w:t>million gain on the sale of assets during the three months ended January 31, 2022.</w:t>
      </w:r>
    </w:p>
    <w:p w:rsidR="00000000" w:rsidRDefault="007557F0">
      <w:pPr>
        <w:ind w:firstLine="720"/>
        <w:jc w:val="both"/>
        <w:divId w:val="1039356824"/>
        <w:rPr>
          <w:rFonts w:eastAsia="Times New Roman"/>
        </w:rPr>
      </w:pPr>
      <w:r>
        <w:rPr>
          <w:rFonts w:ascii="Arial" w:eastAsia="Times New Roman" w:hAnsi="Arial" w:cs="Arial"/>
          <w:color w:val="000000"/>
          <w:sz w:val="20"/>
          <w:szCs w:val="20"/>
        </w:rPr>
        <w:t xml:space="preserve">The accounting policies for our segments are the same as those disclosed within our significant accounting policies in Note 2, “Basis of Presentation and Significant Accounting Policies.” Our management evaluates the performance of each reportable segment </w:t>
      </w:r>
      <w:r>
        <w:rPr>
          <w:rFonts w:ascii="Arial" w:eastAsia="Times New Roman" w:hAnsi="Arial" w:cs="Arial"/>
          <w:color w:val="000000"/>
          <w:sz w:val="20"/>
          <w:szCs w:val="20"/>
        </w:rPr>
        <w:t>based on its respective operating profit results, which include the allocation of certain centrally incurred costs. Corporate expenses not allocated to segments include certain CEO and other finance and human resource departmental expenses, certain informa</w:t>
      </w:r>
      <w:r>
        <w:rPr>
          <w:rFonts w:ascii="Arial" w:eastAsia="Times New Roman" w:hAnsi="Arial" w:cs="Arial"/>
          <w:color w:val="000000"/>
          <w:sz w:val="20"/>
          <w:szCs w:val="20"/>
        </w:rPr>
        <w:t xml:space="preserve">tion technology costs, share-based compensation, certain legal costs and settlements, certain actuarial adjustments to self-insurance reserves, and acquisition and integration costs. Management does not review asset information by segment, therefore we do </w:t>
      </w:r>
      <w:r>
        <w:rPr>
          <w:rFonts w:ascii="Arial" w:eastAsia="Times New Roman" w:hAnsi="Arial" w:cs="Arial"/>
          <w:color w:val="000000"/>
          <w:sz w:val="20"/>
          <w:szCs w:val="20"/>
        </w:rPr>
        <w:t>not present assets in this note.</w:t>
      </w:r>
    </w:p>
    <w:p w:rsidR="00000000" w:rsidRDefault="007557F0">
      <w:pPr>
        <w:jc w:val="center"/>
        <w:divId w:val="346564632"/>
        <w:rPr>
          <w:rFonts w:eastAsia="Times New Roman"/>
        </w:rPr>
      </w:pPr>
      <w:r>
        <w:rPr>
          <w:rFonts w:ascii="Arial" w:eastAsia="Times New Roman" w:hAnsi="Arial" w:cs="Arial"/>
          <w:color w:val="000000"/>
          <w:sz w:val="20"/>
          <w:szCs w:val="20"/>
        </w:rPr>
        <w:t>22</w:t>
      </w:r>
    </w:p>
    <w:p w:rsidR="00000000" w:rsidRDefault="007557F0">
      <w:pPr>
        <w:rPr>
          <w:rFonts w:eastAsia="Times New Roman"/>
        </w:rPr>
      </w:pPr>
      <w:r>
        <w:rPr>
          <w:rFonts w:eastAsia="Times New Roman"/>
        </w:rPr>
        <w:pict>
          <v:rect id="_x0000_i1051" style="width:0;height:1.5pt" o:hralign="center" o:hrstd="t" o:hr="t" fillcolor="#a0a0a0" stroked="f"/>
        </w:pict>
      </w:r>
    </w:p>
    <w:p w:rsidR="00000000" w:rsidRDefault="007557F0">
      <w:pPr>
        <w:jc w:val="both"/>
        <w:divId w:val="1702242141"/>
        <w:rPr>
          <w:rFonts w:eastAsia="Times New Roman"/>
        </w:rPr>
      </w:pPr>
    </w:p>
    <w:p w:rsidR="00000000" w:rsidRDefault="007557F0">
      <w:pPr>
        <w:jc w:val="both"/>
        <w:divId w:val="1681082412"/>
        <w:rPr>
          <w:rFonts w:eastAsia="Times New Roman"/>
        </w:rPr>
      </w:pPr>
      <w:r>
        <w:rPr>
          <w:rFonts w:ascii="Arial" w:eastAsia="Times New Roman" w:hAnsi="Arial" w:cs="Arial"/>
          <w:b/>
          <w:bCs/>
          <w:color w:val="0046AD"/>
          <w:sz w:val="20"/>
          <w:szCs w:val="20"/>
        </w:rPr>
        <w:t>ITEM 2. MANAGEMENT’S DISCUSSION AND ANALYSIS OF FINANCIAL CONDITION AND RESULTS OF OPERATIONS.</w:t>
      </w:r>
    </w:p>
    <w:p w:rsidR="00000000" w:rsidRDefault="007557F0">
      <w:pPr>
        <w:ind w:firstLine="720"/>
        <w:jc w:val="both"/>
        <w:divId w:val="1371347017"/>
        <w:rPr>
          <w:rFonts w:eastAsia="Times New Roman"/>
        </w:rPr>
      </w:pPr>
      <w:r>
        <w:rPr>
          <w:rFonts w:ascii="Arial" w:eastAsia="Times New Roman" w:hAnsi="Arial" w:cs="Arial"/>
          <w:color w:val="000000"/>
          <w:sz w:val="20"/>
          <w:szCs w:val="20"/>
        </w:rPr>
        <w:t>The following Management’s Discussion and Analysis of Financial Condition and Results o</w:t>
      </w:r>
      <w:r>
        <w:rPr>
          <w:rFonts w:ascii="Arial" w:eastAsia="Times New Roman" w:hAnsi="Arial" w:cs="Arial"/>
          <w:color w:val="000000"/>
          <w:sz w:val="20"/>
          <w:szCs w:val="20"/>
        </w:rPr>
        <w:t>f Operations (“MD&amp;A”) is intended to facilitate an understanding of the results of operations and financial condition of ABM. This MD&amp;A is provided as a supplement to, and should be read in conjunction with, our Financial Statements and our Annual Report o</w:t>
      </w:r>
      <w:r>
        <w:rPr>
          <w:rFonts w:ascii="Arial" w:eastAsia="Times New Roman" w:hAnsi="Arial" w:cs="Arial"/>
          <w:color w:val="000000"/>
          <w:sz w:val="20"/>
          <w:szCs w:val="20"/>
        </w:rPr>
        <w:t>n Form 10-K for the year ended October 31, 2022, which has been filed with the SEC. This MD&amp;A contains forward-looking statements about our business, operations, and industry that involve risks and uncertainties, such as statements regarding our plans, obj</w:t>
      </w:r>
      <w:r>
        <w:rPr>
          <w:rFonts w:ascii="Arial" w:eastAsia="Times New Roman" w:hAnsi="Arial" w:cs="Arial"/>
          <w:color w:val="000000"/>
          <w:sz w:val="20"/>
          <w:szCs w:val="20"/>
        </w:rPr>
        <w:t>ectives, expectations, and intentions. Our future results and financial condition may be materially different from those we currently anticipate. See “Forward-Looking Statements” for more information.</w:t>
      </w:r>
    </w:p>
    <w:p w:rsidR="00000000" w:rsidRDefault="007557F0">
      <w:pPr>
        <w:ind w:firstLine="720"/>
        <w:jc w:val="both"/>
        <w:divId w:val="626132275"/>
        <w:rPr>
          <w:rFonts w:eastAsia="Times New Roman"/>
        </w:rPr>
      </w:pPr>
      <w:r>
        <w:rPr>
          <w:rFonts w:ascii="Arial" w:eastAsia="Times New Roman" w:hAnsi="Arial" w:cs="Arial"/>
          <w:color w:val="000000"/>
          <w:sz w:val="20"/>
          <w:szCs w:val="20"/>
        </w:rPr>
        <w:t>Throughout the MD&amp;A, amounts and percentages may not re</w:t>
      </w:r>
      <w:r>
        <w:rPr>
          <w:rFonts w:ascii="Arial" w:eastAsia="Times New Roman" w:hAnsi="Arial" w:cs="Arial"/>
          <w:color w:val="000000"/>
          <w:sz w:val="20"/>
          <w:szCs w:val="20"/>
        </w:rPr>
        <w:t xml:space="preserve">calculate due to rounding. Unless otherwise indicated, all information in the MD&amp;A and references to years are based on our fiscal years, which end on October 31. </w:t>
      </w:r>
    </w:p>
    <w:p w:rsidR="00000000" w:rsidRDefault="007557F0">
      <w:pPr>
        <w:divId w:val="175078899"/>
        <w:rPr>
          <w:rFonts w:eastAsia="Times New Roman"/>
        </w:rPr>
      </w:pPr>
      <w:r>
        <w:rPr>
          <w:rFonts w:ascii="Arial" w:eastAsia="Times New Roman" w:hAnsi="Arial" w:cs="Arial"/>
          <w:b/>
          <w:bCs/>
          <w:color w:val="0046AD"/>
          <w:sz w:val="20"/>
          <w:szCs w:val="20"/>
        </w:rPr>
        <w:t>Business Overview</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747381161"/>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747381161"/>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1860199776"/>
        <w:rPr>
          <w:rFonts w:eastAsia="Times New Roman"/>
        </w:rPr>
      </w:pPr>
      <w:r>
        <w:rPr>
          <w:rFonts w:ascii="Arial" w:eastAsia="Times New Roman" w:hAnsi="Arial" w:cs="Arial"/>
          <w:color w:val="000000"/>
          <w:sz w:val="20"/>
          <w:szCs w:val="20"/>
        </w:rPr>
        <w:t xml:space="preserve">ABM is a leading provider of integrated facility solutions, customized by industry,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060471491"/>
        </w:trPr>
        <w:tc>
          <w:tcPr>
            <w:tcW w:w="5" w:type="pct"/>
            <w:vAlign w:val="center"/>
            <w:hideMark/>
          </w:tcPr>
          <w:p w:rsidR="00000000" w:rsidRDefault="007557F0">
            <w:pPr>
              <w:ind w:firstLine="720"/>
              <w:jc w:val="both"/>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2060471491"/>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jc w:val="both"/>
        <w:divId w:val="1811240836"/>
        <w:rPr>
          <w:rFonts w:eastAsia="Times New Roman"/>
        </w:rPr>
      </w:pPr>
      <w:r>
        <w:rPr>
          <w:rFonts w:ascii="Arial" w:eastAsia="Times New Roman" w:hAnsi="Arial" w:cs="Arial"/>
          <w:b/>
          <w:bCs/>
          <w:color w:val="E98300"/>
          <w:sz w:val="20"/>
          <w:szCs w:val="20"/>
        </w:rPr>
        <w:t>ELEVATE</w:t>
      </w:r>
      <w:r>
        <w:rPr>
          <w:rFonts w:ascii="Arial" w:eastAsia="Times New Roman" w:hAnsi="Arial" w:cs="Arial"/>
          <w:b/>
          <w:bCs/>
          <w:color w:val="0046AD"/>
          <w:sz w:val="20"/>
          <w:szCs w:val="20"/>
        </w:rPr>
        <w:t xml:space="preserve"> Strategy</w:t>
      </w:r>
    </w:p>
    <w:p w:rsidR="00000000" w:rsidRDefault="007557F0">
      <w:pPr>
        <w:ind w:firstLine="720"/>
        <w:jc w:val="both"/>
        <w:divId w:val="1927183631"/>
        <w:rPr>
          <w:rFonts w:eastAsia="Times New Roman"/>
        </w:rPr>
      </w:pPr>
      <w:r>
        <w:rPr>
          <w:rFonts w:ascii="Arial" w:eastAsia="Times New Roman" w:hAnsi="Arial" w:cs="Arial"/>
          <w:color w:val="000000"/>
          <w:sz w:val="20"/>
          <w:szCs w:val="20"/>
        </w:rPr>
        <w:t xml:space="preserve">In December 2021, we announced our multiyear strategic plan called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The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is designed to strengthen our industry leadership position through end-market repositioning and build on our core services, which we expect will drive signific</w:t>
      </w:r>
      <w:r>
        <w:rPr>
          <w:rFonts w:ascii="Arial" w:eastAsia="Times New Roman" w:hAnsi="Arial" w:cs="Arial"/>
          <w:color w:val="000000"/>
          <w:sz w:val="20"/>
          <w:szCs w:val="20"/>
        </w:rPr>
        <w:t>ant long-term value for our stakeholders.</w:t>
      </w:r>
    </w:p>
    <w:p w:rsidR="00000000" w:rsidRDefault="007557F0">
      <w:pPr>
        <w:ind w:firstLine="720"/>
        <w:jc w:val="both"/>
        <w:divId w:val="1528060632"/>
        <w:rPr>
          <w:rFonts w:eastAsia="Times New Roman"/>
        </w:rPr>
      </w:pPr>
      <w:r>
        <w:rPr>
          <w:rFonts w:ascii="Arial" w:eastAsia="Times New Roman" w:hAnsi="Arial" w:cs="Arial"/>
          <w:color w:val="000000"/>
          <w:sz w:val="20"/>
          <w:szCs w:val="20"/>
        </w:rPr>
        <w:t xml:space="preserve">We will continue to make significant investments, which, as previously stated, are expected to total $150 – $175 million over the life of the program and we will continue to implement various measures with the aim </w:t>
      </w:r>
      <w:r>
        <w:rPr>
          <w:rFonts w:ascii="Arial" w:eastAsia="Times New Roman" w:hAnsi="Arial" w:cs="Arial"/>
          <w:color w:val="000000"/>
          <w:sz w:val="20"/>
          <w:szCs w:val="20"/>
        </w:rPr>
        <w:t xml:space="preserve">to </w:t>
      </w:r>
      <w:r>
        <w:rPr>
          <w:rFonts w:ascii="Arial" w:eastAsia="Times New Roman" w:hAnsi="Arial" w:cs="Arial"/>
          <w:b/>
          <w:bCs/>
          <w:color w:val="E98300"/>
          <w:sz w:val="20"/>
          <w:szCs w:val="20"/>
        </w:rPr>
        <w:t>ELEVATE</w:t>
      </w:r>
      <w:r>
        <w:rPr>
          <w:rFonts w:ascii="Arial" w:eastAsia="Times New Roman" w:hAnsi="Arial" w:cs="Arial"/>
          <w:color w:val="000000"/>
          <w:sz w:val="20"/>
          <w:szCs w:val="20"/>
        </w:rPr>
        <w:t>:</w:t>
      </w:r>
    </w:p>
    <w:p w:rsidR="00000000" w:rsidRDefault="007557F0">
      <w:pPr>
        <w:ind w:hanging="360"/>
        <w:jc w:val="both"/>
        <w:divId w:val="908461886"/>
        <w:rPr>
          <w:rFonts w:eastAsia="Times New Roman"/>
        </w:rPr>
      </w:pPr>
      <w:r>
        <w:rPr>
          <w:rFonts w:ascii="Arial" w:eastAsia="Times New Roman" w:hAnsi="Arial" w:cs="Arial"/>
          <w:color w:val="000000"/>
          <w:sz w:val="20"/>
          <w:szCs w:val="20"/>
        </w:rPr>
        <w:t>•the client experience, by serving as a trusted advisor who can provide innovative multiservice solutions and consistent service delivery;</w:t>
      </w:r>
    </w:p>
    <w:p w:rsidR="00000000" w:rsidRDefault="007557F0">
      <w:pPr>
        <w:ind w:hanging="360"/>
        <w:jc w:val="both"/>
        <w:divId w:val="1906329811"/>
        <w:rPr>
          <w:rFonts w:eastAsia="Times New Roman"/>
        </w:rPr>
      </w:pPr>
      <w:r>
        <w:rPr>
          <w:rFonts w:ascii="Arial" w:eastAsia="Times New Roman" w:hAnsi="Arial" w:cs="Arial"/>
          <w:color w:val="000000"/>
          <w:sz w:val="20"/>
          <w:szCs w:val="20"/>
        </w:rPr>
        <w:t>•the team member experience, by investing in workforce management, training, developing the next generati</w:t>
      </w:r>
      <w:r>
        <w:rPr>
          <w:rFonts w:ascii="Arial" w:eastAsia="Times New Roman" w:hAnsi="Arial" w:cs="Arial"/>
          <w:color w:val="000000"/>
          <w:sz w:val="20"/>
          <w:szCs w:val="20"/>
        </w:rPr>
        <w:t>on of ABM leaders, and building on our inclusive culture; and</w:t>
      </w:r>
    </w:p>
    <w:p w:rsidR="00000000" w:rsidRDefault="007557F0">
      <w:pPr>
        <w:ind w:hanging="360"/>
        <w:jc w:val="both"/>
        <w:divId w:val="1932741813"/>
        <w:rPr>
          <w:rFonts w:eastAsia="Times New Roman"/>
        </w:rPr>
      </w:pPr>
      <w:r>
        <w:rPr>
          <w:rFonts w:ascii="Arial" w:eastAsia="Times New Roman" w:hAnsi="Arial" w:cs="Arial"/>
          <w:color w:val="000000"/>
          <w:sz w:val="20"/>
          <w:szCs w:val="20"/>
        </w:rPr>
        <w:t>•our use of technology and data to power client and employee experiences with cutting-edge data and analytics, processes, and tools that will fundamentally change how we operate our business.</w:t>
      </w:r>
    </w:p>
    <w:p w:rsidR="00000000" w:rsidRDefault="007557F0">
      <w:pPr>
        <w:jc w:val="both"/>
        <w:divId w:val="1600873125"/>
        <w:rPr>
          <w:rFonts w:eastAsia="Times New Roman"/>
        </w:rPr>
      </w:pPr>
      <w:r>
        <w:rPr>
          <w:rFonts w:ascii="Arial" w:eastAsia="Times New Roman" w:hAnsi="Arial" w:cs="Arial"/>
          <w:b/>
          <w:bCs/>
          <w:color w:val="0046AD"/>
          <w:sz w:val="20"/>
          <w:szCs w:val="20"/>
        </w:rPr>
        <w:t>Se</w:t>
      </w:r>
      <w:r>
        <w:rPr>
          <w:rFonts w:ascii="Arial" w:eastAsia="Times New Roman" w:hAnsi="Arial" w:cs="Arial"/>
          <w:b/>
          <w:bCs/>
          <w:color w:val="0046AD"/>
          <w:sz w:val="20"/>
          <w:szCs w:val="20"/>
        </w:rPr>
        <w:t xml:space="preserve">gment Reporting </w:t>
      </w:r>
    </w:p>
    <w:p w:rsidR="00000000" w:rsidRDefault="007557F0">
      <w:pPr>
        <w:ind w:firstLine="720"/>
        <w:jc w:val="both"/>
        <w:divId w:val="1930459699"/>
        <w:rPr>
          <w:rFonts w:eastAsia="Times New Roman"/>
        </w:rPr>
      </w:pPr>
      <w:r>
        <w:rPr>
          <w:rFonts w:ascii="Arial" w:eastAsia="Times New Roman" w:hAnsi="Arial" w:cs="Arial"/>
          <w:color w:val="000000"/>
          <w:sz w:val="20"/>
          <w:szCs w:val="20"/>
        </w:rPr>
        <w:t>Our current reportable segments consist of B&amp;I, M&amp;D, Education, Aviation, and Technical Solutions, as further described below.</w:t>
      </w:r>
    </w:p>
    <w:p w:rsidR="00000000" w:rsidRDefault="007557F0">
      <w:pPr>
        <w:jc w:val="center"/>
        <w:divId w:val="688141970"/>
        <w:rPr>
          <w:rFonts w:eastAsia="Times New Roman"/>
        </w:rPr>
      </w:pPr>
      <w:r>
        <w:rPr>
          <w:rFonts w:ascii="Arial" w:eastAsia="Times New Roman" w:hAnsi="Arial" w:cs="Arial"/>
          <w:color w:val="000000"/>
          <w:sz w:val="20"/>
          <w:szCs w:val="20"/>
        </w:rPr>
        <w:t>23</w:t>
      </w:r>
    </w:p>
    <w:p w:rsidR="00000000" w:rsidRDefault="007557F0">
      <w:pPr>
        <w:rPr>
          <w:rFonts w:eastAsia="Times New Roman"/>
        </w:rPr>
      </w:pPr>
      <w:r>
        <w:rPr>
          <w:rFonts w:eastAsia="Times New Roman"/>
        </w:rPr>
        <w:pict>
          <v:rect id="_x0000_i1052" style="width:0;height:1.5pt" o:hralign="center" o:hrstd="t" o:hr="t" fillcolor="#a0a0a0" stroked="f"/>
        </w:pict>
      </w:r>
    </w:p>
    <w:p w:rsidR="00000000" w:rsidRDefault="007557F0">
      <w:pPr>
        <w:jc w:val="both"/>
        <w:divId w:val="83244885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1836"/>
        <w:gridCol w:w="38"/>
        <w:gridCol w:w="68"/>
        <w:gridCol w:w="6258"/>
        <w:gridCol w:w="38"/>
      </w:tblGrid>
      <w:tr w:rsidR="00000000">
        <w:trPr>
          <w:divId w:val="1241402605"/>
        </w:trPr>
        <w:tc>
          <w:tcPr>
            <w:tcW w:w="50" w:type="pct"/>
            <w:vAlign w:val="center"/>
            <w:hideMark/>
          </w:tcPr>
          <w:p w:rsidR="00000000" w:rsidRDefault="007557F0">
            <w:pPr>
              <w:jc w:val="both"/>
              <w:rPr>
                <w:rFonts w:eastAsia="Times New Roman"/>
              </w:rPr>
            </w:pPr>
          </w:p>
        </w:tc>
        <w:tc>
          <w:tcPr>
            <w:tcW w:w="1114"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377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241402605"/>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46AD"/>
                <w:sz w:val="18"/>
                <w:szCs w:val="18"/>
              </w:rPr>
              <w:t>REPORTABLE SEGMENTS AND DESCRIPTIONS</w:t>
            </w:r>
          </w:p>
        </w:tc>
      </w:tr>
      <w:tr w:rsidR="00000000">
        <w:trPr>
          <w:divId w:val="1241402605"/>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r>
              <w:rPr>
                <w:rFonts w:eastAsia="Times New Roman"/>
                <w:noProof/>
              </w:rPr>
              <w:drawing>
                <wp:inline distT="0" distB="0" distL="0" distR="0">
                  <wp:extent cx="304800"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7557F0">
            <w:pPr>
              <w:spacing w:after="100"/>
              <w:jc w:val="both"/>
              <w:divId w:val="1085688053"/>
              <w:rPr>
                <w:rFonts w:eastAsia="Times New Roman"/>
              </w:rPr>
            </w:pPr>
            <w:r>
              <w:rPr>
                <w:rFonts w:ascii="Arial" w:eastAsia="Times New Roman" w:hAnsi="Arial" w:cs="Arial"/>
                <w:color w:val="000000"/>
                <w:sz w:val="18"/>
                <w:szCs w:val="18"/>
              </w:rPr>
              <w:t>B&amp;</w:t>
            </w:r>
            <w:r>
              <w:rPr>
                <w:rFonts w:ascii="Arial" w:eastAsia="Times New Roman" w:hAnsi="Arial" w:cs="Arial"/>
                <w:color w:val="000000"/>
                <w:sz w:val="18"/>
                <w:szCs w:val="18"/>
              </w:rPr>
              <w:t>I, our largest reportable segment, encompasses janitorial, facilities engineering, and parking services for commercial real estate properties (including corporate offices for high tech clients), sports and entertainment venues, and traditional hospitals an</w:t>
            </w:r>
            <w:r>
              <w:rPr>
                <w:rFonts w:ascii="Arial" w:eastAsia="Times New Roman" w:hAnsi="Arial" w:cs="Arial"/>
                <w:color w:val="000000"/>
                <w:sz w:val="18"/>
                <w:szCs w:val="18"/>
              </w:rPr>
              <w:t>d non-acute healthcare facilities. B&amp;I also provides vehicle maintenance and other services to rental car providers.</w:t>
            </w:r>
          </w:p>
        </w:tc>
      </w:tr>
      <w:tr w:rsidR="00000000">
        <w:trPr>
          <w:divId w:val="1241402605"/>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r>
              <w:rPr>
                <w:rFonts w:eastAsia="Times New Roman"/>
                <w:noProof/>
              </w:rPr>
              <w:drawing>
                <wp:inline distT="0" distB="0" distL="0" distR="0">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7557F0">
            <w:pPr>
              <w:spacing w:after="100"/>
              <w:jc w:val="both"/>
              <w:rPr>
                <w:rFonts w:eastAsia="Times New Roman"/>
              </w:rPr>
            </w:pPr>
            <w:r>
              <w:rPr>
                <w:rFonts w:ascii="Arial" w:eastAsia="Times New Roman" w:hAnsi="Arial" w:cs="Arial"/>
                <w:color w:val="000000"/>
                <w:sz w:val="18"/>
                <w:szCs w:val="18"/>
              </w:rPr>
              <w:t xml:space="preserve">M&amp;D </w:t>
            </w:r>
            <w:r>
              <w:rPr>
                <w:rFonts w:ascii="Arial" w:eastAsia="Times New Roman" w:hAnsi="Arial" w:cs="Arial"/>
                <w:color w:val="000000"/>
                <w:sz w:val="18"/>
                <w:szCs w:val="18"/>
              </w:rPr>
              <w:t>provides integrated facility services, engineering, janitorial, and other specialized services in different types of manufacturing, distribution, and data center facilities. Manufacturing facilities include traditional motor vehicles, electric vehicles, ba</w:t>
            </w:r>
            <w:r>
              <w:rPr>
                <w:rFonts w:ascii="Arial" w:eastAsia="Times New Roman" w:hAnsi="Arial" w:cs="Arial"/>
                <w:color w:val="000000"/>
                <w:sz w:val="18"/>
                <w:szCs w:val="18"/>
              </w:rPr>
              <w:t xml:space="preserve">tteries, pharmaceuticals, steel, semiconductors, chemicals, and many others. Distribution facilities include e-commerce, cold storage, logistics, general warehousing, and others. </w:t>
            </w:r>
          </w:p>
        </w:tc>
      </w:tr>
      <w:tr w:rsidR="00000000">
        <w:trPr>
          <w:divId w:val="1241402605"/>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r>
              <w:rPr>
                <w:rFonts w:eastAsia="Times New Roman"/>
                <w:noProof/>
              </w:rPr>
              <w:drawing>
                <wp:inline distT="0" distB="0" distL="0" distR="0">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7557F0">
            <w:pPr>
              <w:spacing w:after="100"/>
              <w:jc w:val="both"/>
              <w:divId w:val="198325962"/>
              <w:rPr>
                <w:rFonts w:eastAsia="Times New Roman"/>
              </w:rPr>
            </w:pPr>
            <w:r>
              <w:rPr>
                <w:rFonts w:ascii="Arial" w:eastAsia="Times New Roman" w:hAnsi="Arial" w:cs="Arial"/>
                <w:color w:val="000000"/>
                <w:sz w:val="18"/>
                <w:szCs w:val="18"/>
              </w:rPr>
              <w:t>Education delivers janitorial, custodial, landscaping and grounds, facilities engineering, and parking services for public school districts, private schools, colleges, and universities.</w:t>
            </w:r>
          </w:p>
        </w:tc>
      </w:tr>
      <w:tr w:rsidR="00000000">
        <w:trPr>
          <w:divId w:val="1241402605"/>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7557F0">
            <w:pPr>
              <w:spacing w:after="100"/>
              <w:jc w:val="both"/>
              <w:divId w:val="228732847"/>
              <w:rPr>
                <w:rFonts w:eastAsia="Times New Roman"/>
              </w:rPr>
            </w:pPr>
            <w:r>
              <w:rPr>
                <w:rFonts w:ascii="Arial" w:eastAsia="Times New Roman" w:hAnsi="Arial" w:cs="Arial"/>
                <w:color w:val="000000"/>
                <w:sz w:val="18"/>
                <w:szCs w:val="18"/>
              </w:rPr>
              <w:t>Aviation supports airlines and airports with services ranging from parking and janitorial to passenger assistance, catering logistics, air cabin maintenance, and transportation.</w:t>
            </w:r>
          </w:p>
        </w:tc>
      </w:tr>
      <w:tr w:rsidR="00000000">
        <w:trPr>
          <w:divId w:val="1241402605"/>
        </w:trPr>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r>
              <w:rPr>
                <w:rFonts w:eastAsia="Times New Roman"/>
                <w:noProof/>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7557F0">
            <w:pPr>
              <w:spacing w:after="100"/>
              <w:jc w:val="both"/>
              <w:divId w:val="1629164358"/>
              <w:rPr>
                <w:rFonts w:eastAsia="Times New Roman"/>
              </w:rPr>
            </w:pPr>
            <w:r>
              <w:rPr>
                <w:rFonts w:ascii="Arial" w:eastAsia="Times New Roman" w:hAnsi="Arial" w:cs="Arial"/>
                <w:color w:val="000000"/>
                <w:sz w:val="18"/>
                <w:szCs w:val="18"/>
              </w:rPr>
              <w:t xml:space="preserve">Technical Solutions specializes in facility infrastructure, mechanical and electrical services, including power design, installation and maintenance, as well as microgrid systems installations. These </w:t>
            </w:r>
            <w:r>
              <w:rPr>
                <w:rFonts w:ascii="Arial" w:eastAsia="Times New Roman" w:hAnsi="Arial" w:cs="Arial"/>
                <w:color w:val="000000"/>
                <w:sz w:val="18"/>
                <w:szCs w:val="18"/>
              </w:rPr>
              <w:t>services can also be leveraged for cross-selling across all of our industry groups, both domestically and internationally.</w:t>
            </w:r>
          </w:p>
        </w:tc>
      </w:tr>
    </w:tbl>
    <w:p w:rsidR="00000000" w:rsidRDefault="007557F0">
      <w:pPr>
        <w:jc w:val="both"/>
        <w:divId w:val="784887152"/>
        <w:rPr>
          <w:rFonts w:eastAsia="Times New Roman"/>
        </w:rPr>
      </w:pPr>
    </w:p>
    <w:p w:rsidR="00000000" w:rsidRDefault="007557F0">
      <w:pPr>
        <w:jc w:val="both"/>
        <w:divId w:val="351617029"/>
        <w:rPr>
          <w:rFonts w:eastAsia="Times New Roman"/>
        </w:rPr>
      </w:pPr>
    </w:p>
    <w:p w:rsidR="00000000" w:rsidRDefault="007557F0">
      <w:pPr>
        <w:jc w:val="center"/>
        <w:divId w:val="726757594"/>
        <w:rPr>
          <w:rFonts w:eastAsia="Times New Roman"/>
        </w:rPr>
      </w:pPr>
      <w:r>
        <w:rPr>
          <w:rFonts w:ascii="Arial" w:eastAsia="Times New Roman" w:hAnsi="Arial" w:cs="Arial"/>
          <w:color w:val="000000"/>
          <w:sz w:val="20"/>
          <w:szCs w:val="20"/>
        </w:rPr>
        <w:t>24</w:t>
      </w:r>
    </w:p>
    <w:p w:rsidR="00000000" w:rsidRDefault="007557F0">
      <w:pPr>
        <w:rPr>
          <w:rFonts w:eastAsia="Times New Roman"/>
        </w:rPr>
      </w:pPr>
      <w:r>
        <w:rPr>
          <w:rFonts w:eastAsia="Times New Roman"/>
        </w:rPr>
        <w:pict>
          <v:rect id="_x0000_i1058" style="width:0;height:1.5pt" o:hralign="center" o:hrstd="t" o:hr="t" fillcolor="#a0a0a0" stroked="f"/>
        </w:pict>
      </w:r>
    </w:p>
    <w:p w:rsidR="00000000" w:rsidRDefault="007557F0">
      <w:pPr>
        <w:jc w:val="both"/>
        <w:divId w:val="1911845992"/>
        <w:rPr>
          <w:rFonts w:eastAsia="Times New Roman"/>
        </w:rPr>
      </w:pPr>
    </w:p>
    <w:p w:rsidR="00000000" w:rsidRDefault="007557F0">
      <w:pPr>
        <w:jc w:val="both"/>
        <w:divId w:val="284121090"/>
        <w:rPr>
          <w:rFonts w:eastAsia="Times New Roman"/>
        </w:rPr>
      </w:pPr>
      <w:r>
        <w:rPr>
          <w:rFonts w:ascii="Arial" w:eastAsia="Times New Roman" w:hAnsi="Arial" w:cs="Arial"/>
          <w:b/>
          <w:bCs/>
          <w:color w:val="0046AD"/>
          <w:sz w:val="20"/>
          <w:szCs w:val="20"/>
        </w:rPr>
        <w:t>Key Financial Highlights</w:t>
      </w:r>
    </w:p>
    <w:p w:rsidR="00000000" w:rsidRDefault="007557F0">
      <w:pPr>
        <w:ind w:hanging="360"/>
        <w:jc w:val="both"/>
        <w:divId w:val="168686342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Revenues increased by $55.1 million, or 2.8%, to $1,991.3 million during the three months ended January 31, 2023, as compared to the prior year period. Revenue growth was comprised of acquisition growth of 1.9% and organic growth of 0.6%. Acquisition growt</w:t>
      </w:r>
      <w:r>
        <w:rPr>
          <w:rFonts w:ascii="Arial" w:eastAsia="Times New Roman" w:hAnsi="Arial" w:cs="Arial"/>
          <w:color w:val="000000"/>
          <w:sz w:val="20"/>
          <w:szCs w:val="20"/>
        </w:rPr>
        <w:t xml:space="preserve">h was driven by a $37.5 million revenue increase from the Momentum and RavenVolt acquisitions, completed in 2022. Organic growth was primarily driven by expansion of business with existing customers as well as new business within M&amp;D and Education and the </w:t>
      </w:r>
      <w:r>
        <w:rPr>
          <w:rFonts w:ascii="Arial" w:eastAsia="Times New Roman" w:hAnsi="Arial" w:cs="Arial"/>
          <w:color w:val="000000"/>
          <w:sz w:val="20"/>
          <w:szCs w:val="20"/>
        </w:rPr>
        <w:t xml:space="preserve">recovery in volume of our business in Aviation. The increase in revenues was partially offset by a decrease in work orders for disinfection-related demands (primarily in M&amp;D and B&amp;I). </w:t>
      </w:r>
    </w:p>
    <w:p w:rsidR="00000000" w:rsidRDefault="007557F0">
      <w:pPr>
        <w:ind w:hanging="360"/>
        <w:jc w:val="both"/>
        <w:divId w:val="494732175"/>
        <w:rPr>
          <w:rFonts w:eastAsia="Times New Roman"/>
        </w:rPr>
      </w:pPr>
      <w:r>
        <w:rPr>
          <w:rFonts w:ascii="Arial" w:eastAsia="Times New Roman" w:hAnsi="Arial" w:cs="Arial"/>
          <w:color w:val="000000"/>
          <w:sz w:val="20"/>
          <w:szCs w:val="20"/>
        </w:rPr>
        <w:t>•We had a decrease in operating profit of $34.6 million, to $71.4 milli</w:t>
      </w:r>
      <w:r>
        <w:rPr>
          <w:rFonts w:ascii="Arial" w:eastAsia="Times New Roman" w:hAnsi="Arial" w:cs="Arial"/>
          <w:color w:val="000000"/>
          <w:sz w:val="20"/>
          <w:szCs w:val="20"/>
        </w:rPr>
        <w:t>on during the three months ended January 31, 2023, as compared to the prior year period. The decrease was primarily attributed to:</w:t>
      </w:r>
    </w:p>
    <w:p w:rsidR="00000000" w:rsidRDefault="007557F0">
      <w:pPr>
        <w:spacing w:before="180"/>
        <w:ind w:hanging="360"/>
        <w:jc w:val="both"/>
        <w:divId w:val="207519824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increase in direct labor and related expenses due to higher wages and limited labor supply in certain markets (primarily in </w:t>
      </w:r>
      <w:r>
        <w:rPr>
          <w:rFonts w:ascii="Arial" w:eastAsia="Times New Roman" w:hAnsi="Arial" w:cs="Arial"/>
          <w:color w:val="000000"/>
          <w:sz w:val="20"/>
          <w:szCs w:val="20"/>
        </w:rPr>
        <w:t>Aviation and Education);</w:t>
      </w:r>
    </w:p>
    <w:p w:rsidR="00000000" w:rsidRDefault="007557F0">
      <w:pPr>
        <w:spacing w:before="180"/>
        <w:ind w:hanging="360"/>
        <w:jc w:val="both"/>
        <w:divId w:val="1246422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favorable self-insurance adjustments related to prior year claims as the result of actuarial evaluations completed. Based on the results of the Actuarial Review or the period of May 1, 2022, through October 31, 2022</w:t>
      </w:r>
      <w:r>
        <w:rPr>
          <w:rFonts w:ascii="Arial" w:eastAsia="Times New Roman" w:hAnsi="Arial" w:cs="Arial"/>
          <w:color w:val="000000"/>
          <w:sz w:val="20"/>
          <w:szCs w:val="20"/>
        </w:rPr>
        <w:t>, it was determined that there was no adjustment required for our total reserves related to prior years during the three months ended January 31, 2023; and</w:t>
      </w:r>
    </w:p>
    <w:p w:rsidR="00000000" w:rsidRDefault="007557F0">
      <w:pPr>
        <w:spacing w:before="180"/>
        <w:ind w:hanging="360"/>
        <w:jc w:val="both"/>
        <w:divId w:val="142345219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amortization of intangibles related to the RavenVolt Acquisition of $3.1 million.</w:t>
      </w:r>
    </w:p>
    <w:p w:rsidR="00000000" w:rsidRDefault="007557F0">
      <w:pPr>
        <w:jc w:val="both"/>
        <w:divId w:val="970985600"/>
        <w:rPr>
          <w:rFonts w:eastAsia="Times New Roman"/>
        </w:rPr>
      </w:pPr>
      <w:r>
        <w:rPr>
          <w:rFonts w:ascii="Arial" w:eastAsia="Times New Roman" w:hAnsi="Arial" w:cs="Arial"/>
          <w:color w:val="000000"/>
          <w:sz w:val="20"/>
          <w:szCs w:val="20"/>
        </w:rPr>
        <w:t>This decrease was</w:t>
      </w:r>
      <w:r>
        <w:rPr>
          <w:rFonts w:ascii="Arial" w:eastAsia="Times New Roman" w:hAnsi="Arial" w:cs="Arial"/>
          <w:color w:val="000000"/>
          <w:sz w:val="20"/>
          <w:szCs w:val="20"/>
        </w:rPr>
        <w:t xml:space="preserve"> partially offset by an increase in revenues during the three months ended January 31, 2023, as compared to the prior year period. </w:t>
      </w:r>
    </w:p>
    <w:p w:rsidR="00000000" w:rsidRDefault="007557F0">
      <w:pPr>
        <w:ind w:hanging="360"/>
        <w:jc w:val="both"/>
        <w:divId w:val="151718724"/>
        <w:rPr>
          <w:rFonts w:eastAsia="Times New Roman"/>
        </w:rPr>
      </w:pPr>
      <w:r>
        <w:rPr>
          <w:rFonts w:ascii="Arial" w:eastAsia="Times New Roman" w:hAnsi="Arial" w:cs="Arial"/>
          <w:color w:val="000000"/>
          <w:sz w:val="20"/>
          <w:szCs w:val="20"/>
        </w:rPr>
        <w:t>•Interest expense increased by $13.6 million, to $19.8 million during the three months ended January 31, 2023, as compared t</w:t>
      </w:r>
      <w:r>
        <w:rPr>
          <w:rFonts w:ascii="Arial" w:eastAsia="Times New Roman" w:hAnsi="Arial" w:cs="Arial"/>
          <w:color w:val="000000"/>
          <w:sz w:val="20"/>
          <w:szCs w:val="20"/>
        </w:rPr>
        <w:t>o the prior year period, and was primarily driven by increased indebtedness from 2022 acquisitions, and higher interest rates on our debt borrowings.</w:t>
      </w:r>
    </w:p>
    <w:p w:rsidR="00000000" w:rsidRDefault="007557F0">
      <w:pPr>
        <w:ind w:hanging="360"/>
        <w:jc w:val="both"/>
        <w:divId w:val="1131368036"/>
        <w:rPr>
          <w:rFonts w:eastAsia="Times New Roman"/>
        </w:rPr>
      </w:pPr>
      <w:r>
        <w:rPr>
          <w:rFonts w:ascii="Arial" w:eastAsia="Times New Roman" w:hAnsi="Arial" w:cs="Arial"/>
          <w:color w:val="000000"/>
          <w:sz w:val="20"/>
          <w:szCs w:val="20"/>
        </w:rPr>
        <w:t>•Our effective tax rate on income from operations was 26.9% for the three months ended January 31, 2023, a</w:t>
      </w:r>
      <w:r>
        <w:rPr>
          <w:rFonts w:ascii="Arial" w:eastAsia="Times New Roman" w:hAnsi="Arial" w:cs="Arial"/>
          <w:color w:val="000000"/>
          <w:sz w:val="20"/>
          <w:szCs w:val="20"/>
        </w:rPr>
        <w:t xml:space="preserve">s compared to 24.2% for the three months ended January 31, 2022. </w:t>
      </w:r>
    </w:p>
    <w:p w:rsidR="00000000" w:rsidRDefault="007557F0">
      <w:pPr>
        <w:ind w:hanging="360"/>
        <w:jc w:val="both"/>
        <w:divId w:val="1605261183"/>
        <w:rPr>
          <w:rFonts w:eastAsia="Times New Roman"/>
        </w:rPr>
      </w:pPr>
      <w:r>
        <w:rPr>
          <w:rFonts w:ascii="Arial" w:eastAsia="Times New Roman" w:hAnsi="Arial" w:cs="Arial"/>
          <w:color w:val="000000"/>
          <w:sz w:val="20"/>
          <w:szCs w:val="20"/>
        </w:rPr>
        <w:t>•Net cash used in operating activities wa</w:t>
      </w:r>
      <w:r>
        <w:rPr>
          <w:rFonts w:ascii="Arial" w:eastAsia="Times New Roman" w:hAnsi="Arial" w:cs="Arial"/>
          <w:color w:val="000000"/>
          <w:sz w:val="20"/>
          <w:szCs w:val="20"/>
          <w:shd w:val="clear" w:color="auto" w:fill="FFFFFF"/>
        </w:rPr>
        <w:t>s $70.9 million during the three months ended January 31, 2023. Our total operating cash flows were lower, primarily due to the timing of certain wor</w:t>
      </w:r>
      <w:r>
        <w:rPr>
          <w:rFonts w:ascii="Arial" w:eastAsia="Times New Roman" w:hAnsi="Arial" w:cs="Arial"/>
          <w:color w:val="000000"/>
          <w:sz w:val="20"/>
          <w:szCs w:val="20"/>
          <w:shd w:val="clear" w:color="auto" w:fill="FFFFFF"/>
        </w:rPr>
        <w:t xml:space="preserve">king capital requirements. </w:t>
      </w:r>
    </w:p>
    <w:p w:rsidR="00000000" w:rsidRDefault="007557F0">
      <w:pPr>
        <w:ind w:hanging="360"/>
        <w:jc w:val="both"/>
        <w:divId w:val="936016989"/>
        <w:rPr>
          <w:rFonts w:eastAsia="Times New Roman"/>
        </w:rPr>
      </w:pPr>
      <w:r>
        <w:rPr>
          <w:rFonts w:ascii="Arial" w:eastAsia="Times New Roman" w:hAnsi="Arial" w:cs="Arial"/>
          <w:color w:val="000000"/>
          <w:sz w:val="20"/>
          <w:szCs w:val="20"/>
          <w:shd w:val="clear" w:color="auto" w:fill="FFFFFF"/>
        </w:rPr>
        <w:t>•Dividends of $14.4 million were paid to shareholders, and dividends total</w:t>
      </w:r>
      <w:r>
        <w:rPr>
          <w:rFonts w:ascii="Arial" w:eastAsia="Times New Roman" w:hAnsi="Arial" w:cs="Arial"/>
          <w:color w:val="000000"/>
          <w:sz w:val="20"/>
          <w:szCs w:val="20"/>
        </w:rPr>
        <w:t>ing $0.220 p</w:t>
      </w:r>
      <w:r>
        <w:rPr>
          <w:rFonts w:ascii="Arial" w:eastAsia="Times New Roman" w:hAnsi="Arial" w:cs="Arial"/>
          <w:color w:val="000000"/>
          <w:sz w:val="20"/>
          <w:szCs w:val="20"/>
          <w:shd w:val="clear" w:color="auto" w:fill="FFFFFF"/>
        </w:rPr>
        <w:t>er common share were declared during the three months ended January 31, 2023.</w:t>
      </w:r>
    </w:p>
    <w:p w:rsidR="00000000" w:rsidRDefault="007557F0">
      <w:pPr>
        <w:ind w:hanging="360"/>
        <w:jc w:val="both"/>
        <w:divId w:val="985890082"/>
        <w:rPr>
          <w:rFonts w:eastAsia="Times New Roman"/>
        </w:rPr>
      </w:pPr>
      <w:r>
        <w:rPr>
          <w:rFonts w:ascii="Arial" w:eastAsia="Times New Roman" w:hAnsi="Arial" w:cs="Arial"/>
          <w:color w:val="000000"/>
          <w:sz w:val="20"/>
          <w:szCs w:val="20"/>
          <w:shd w:val="clear" w:color="auto" w:fill="FFFFFF"/>
        </w:rPr>
        <w:t>•At January 31, 2023, total outstanding borrowings under our Ame</w:t>
      </w:r>
      <w:r>
        <w:rPr>
          <w:rFonts w:ascii="Arial" w:eastAsia="Times New Roman" w:hAnsi="Arial" w:cs="Arial"/>
          <w:color w:val="000000"/>
          <w:sz w:val="20"/>
          <w:szCs w:val="20"/>
          <w:shd w:val="clear" w:color="auto" w:fill="FFFFFF"/>
        </w:rPr>
        <w:t>nded Credit Facility and Receivables Facility were $1.4 billion. At January 31, 2023, we had up to $563.3 million of borrowing capa</w:t>
      </w:r>
      <w:r>
        <w:rPr>
          <w:rFonts w:ascii="Arial" w:eastAsia="Times New Roman" w:hAnsi="Arial" w:cs="Arial"/>
          <w:color w:val="000000"/>
          <w:sz w:val="20"/>
          <w:szCs w:val="20"/>
        </w:rPr>
        <w:t>city.</w:t>
      </w:r>
    </w:p>
    <w:p w:rsidR="00000000" w:rsidRDefault="007557F0">
      <w:pPr>
        <w:jc w:val="center"/>
        <w:divId w:val="1096363071"/>
        <w:rPr>
          <w:rFonts w:eastAsia="Times New Roman"/>
        </w:rPr>
      </w:pPr>
      <w:r>
        <w:rPr>
          <w:rFonts w:ascii="Arial" w:eastAsia="Times New Roman" w:hAnsi="Arial" w:cs="Arial"/>
          <w:color w:val="000000"/>
          <w:sz w:val="20"/>
          <w:szCs w:val="20"/>
        </w:rPr>
        <w:t>25</w:t>
      </w:r>
    </w:p>
    <w:p w:rsidR="00000000" w:rsidRDefault="007557F0">
      <w:pPr>
        <w:rPr>
          <w:rFonts w:eastAsia="Times New Roman"/>
        </w:rPr>
      </w:pPr>
      <w:r>
        <w:rPr>
          <w:rFonts w:eastAsia="Times New Roman"/>
        </w:rPr>
        <w:pict>
          <v:rect id="_x0000_i1059" style="width:0;height:1.5pt" o:hralign="center" o:hrstd="t" o:hr="t" fillcolor="#a0a0a0" stroked="f"/>
        </w:pict>
      </w:r>
    </w:p>
    <w:p w:rsidR="00000000" w:rsidRDefault="007557F0">
      <w:pPr>
        <w:jc w:val="both"/>
        <w:divId w:val="2017535485"/>
        <w:rPr>
          <w:rFonts w:eastAsia="Times New Roman"/>
        </w:rPr>
      </w:pPr>
    </w:p>
    <w:p w:rsidR="00000000" w:rsidRDefault="007557F0">
      <w:pPr>
        <w:divId w:val="1096563049"/>
        <w:rPr>
          <w:rFonts w:eastAsia="Times New Roman"/>
        </w:rPr>
      </w:pPr>
      <w:r>
        <w:rPr>
          <w:rFonts w:ascii="Arial" w:eastAsia="Times New Roman" w:hAnsi="Arial" w:cs="Arial"/>
          <w:b/>
          <w:bCs/>
          <w:color w:val="0046AD"/>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125124721"/>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125124721"/>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jc w:val="both"/>
        <w:divId w:val="589044346"/>
        <w:rPr>
          <w:rFonts w:eastAsia="Times New Roman"/>
        </w:rPr>
      </w:pPr>
      <w:r>
        <w:rPr>
          <w:rFonts w:ascii="Arial" w:eastAsia="Times New Roman" w:hAnsi="Arial" w:cs="Arial"/>
          <w:b/>
          <w:bCs/>
          <w:i/>
          <w:iCs/>
          <w:color w:val="0046AD"/>
          <w:sz w:val="20"/>
          <w:szCs w:val="20"/>
          <w:shd w:val="clear" w:color="auto" w:fill="FFFFFF"/>
        </w:rPr>
        <w:t>Three Months Ended January 31, 2023 Compared with the Three Months Ended January 31, 2022</w:t>
      </w:r>
    </w:p>
    <w:p w:rsidR="00000000" w:rsidRDefault="007557F0">
      <w:pPr>
        <w:divId w:val="935400302"/>
        <w:rPr>
          <w:rFonts w:eastAsia="Times New Roman"/>
        </w:rPr>
      </w:pPr>
      <w:r>
        <w:rPr>
          <w:rFonts w:ascii="Arial" w:eastAsia="Times New Roman" w:hAnsi="Arial" w:cs="Arial"/>
          <w:b/>
          <w:bCs/>
          <w:i/>
          <w:iCs/>
          <w:color w:val="0046AD"/>
          <w:sz w:val="20"/>
          <w:szCs w:val="20"/>
          <w:shd w:val="clear" w:color="auto" w:fill="FFFFFF"/>
        </w:rPr>
        <w:t>Consolidated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3861"/>
        <w:gridCol w:w="40"/>
        <w:gridCol w:w="121"/>
        <w:gridCol w:w="995"/>
        <w:gridCol w:w="163"/>
        <w:gridCol w:w="36"/>
        <w:gridCol w:w="36"/>
        <w:gridCol w:w="36"/>
        <w:gridCol w:w="121"/>
        <w:gridCol w:w="934"/>
        <w:gridCol w:w="163"/>
        <w:gridCol w:w="36"/>
        <w:gridCol w:w="36"/>
        <w:gridCol w:w="36"/>
        <w:gridCol w:w="122"/>
        <w:gridCol w:w="665"/>
        <w:gridCol w:w="37"/>
        <w:gridCol w:w="37"/>
        <w:gridCol w:w="37"/>
        <w:gridCol w:w="36"/>
        <w:gridCol w:w="63"/>
        <w:gridCol w:w="616"/>
        <w:gridCol w:w="38"/>
      </w:tblGrid>
      <w:tr w:rsidR="00000000">
        <w:trPr>
          <w:divId w:val="546917282"/>
        </w:trPr>
        <w:tc>
          <w:tcPr>
            <w:tcW w:w="50" w:type="pct"/>
            <w:vAlign w:val="center"/>
            <w:hideMark/>
          </w:tcPr>
          <w:p w:rsidR="00000000" w:rsidRDefault="007557F0">
            <w:pPr>
              <w:rPr>
                <w:rFonts w:eastAsia="Times New Roman"/>
              </w:rPr>
            </w:pPr>
          </w:p>
        </w:tc>
        <w:tc>
          <w:tcPr>
            <w:tcW w:w="237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63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639"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546917282"/>
        </w:trPr>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546917282"/>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546917282"/>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1,991.3 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55.1 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2.8%</w:t>
            </w:r>
          </w:p>
        </w:tc>
      </w:tr>
      <w:tr w:rsidR="00000000">
        <w:trPr>
          <w:divId w:val="546917282"/>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1,749.8 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1,659.6 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90.2 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5.4%</w:t>
            </w:r>
          </w:p>
        </w:tc>
      </w:tr>
      <w:tr w:rsidR="00000000">
        <w:trPr>
          <w:divId w:val="546917282"/>
        </w:trPr>
        <w:tc>
          <w:tcPr>
            <w:tcW w:w="0" w:type="auto"/>
            <w:gridSpan w:val="3"/>
            <w:shd w:val="clear" w:color="auto" w:fill="DCE2EF"/>
            <w:tcMar>
              <w:top w:w="30" w:type="dxa"/>
              <w:left w:w="14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8"/>
                <w:szCs w:val="18"/>
              </w:rPr>
              <w:t>Gross margin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12.1 </w:t>
            </w:r>
          </w:p>
        </w:tc>
        <w:tc>
          <w:tcPr>
            <w:tcW w:w="0" w:type="auto"/>
            <w:shd w:val="clear" w:color="auto" w:fill="DCE2E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14.3 </w:t>
            </w:r>
          </w:p>
        </w:tc>
        <w:tc>
          <w:tcPr>
            <w:tcW w:w="0" w:type="auto"/>
            <w:shd w:val="clear" w:color="auto" w:fill="DCE2E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(216) bps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546917282"/>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150.6 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153.1 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(2.5)</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(1.6)%</w:t>
            </w:r>
          </w:p>
        </w:tc>
      </w:tr>
      <w:tr w:rsidR="00000000">
        <w:trPr>
          <w:divId w:val="546917282"/>
        </w:trPr>
        <w:tc>
          <w:tcPr>
            <w:tcW w:w="0" w:type="auto"/>
            <w:gridSpan w:val="3"/>
            <w:vAlign w:val="center"/>
            <w:hideMark/>
          </w:tcPr>
          <w:p w:rsidR="00000000" w:rsidRDefault="007557F0">
            <w:pPr>
              <w:spacing w:after="100"/>
              <w:jc w:val="center"/>
              <w:rPr>
                <w:rFonts w:eastAsia="Times New Roman"/>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546917282"/>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17.5 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11.0%</w:t>
            </w:r>
          </w:p>
        </w:tc>
      </w:tr>
      <w:tr w:rsidR="00000000">
        <w:trPr>
          <w:divId w:val="546917282"/>
        </w:trPr>
        <w:tc>
          <w:tcPr>
            <w:tcW w:w="0" w:type="auto"/>
            <w:gridSpan w:val="3"/>
            <w:vAlign w:val="center"/>
            <w:hideMark/>
          </w:tcPr>
          <w:p w:rsidR="00000000" w:rsidRDefault="007557F0">
            <w:pPr>
              <w:spacing w:after="100"/>
              <w:jc w:val="center"/>
              <w:rPr>
                <w:rFonts w:eastAsia="Times New Roman"/>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546917282"/>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 xml:space="preserve">Operating profit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(32.6)%</w:t>
            </w:r>
          </w:p>
        </w:tc>
      </w:tr>
      <w:tr w:rsidR="00000000">
        <w:trPr>
          <w:divId w:val="546917282"/>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NM*</w:t>
            </w:r>
          </w:p>
        </w:tc>
      </w:tr>
      <w:tr w:rsidR="00000000">
        <w:trPr>
          <w:divId w:val="546917282"/>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(19.8)</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(6.2)</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(13.6)</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NM*</w:t>
            </w:r>
          </w:p>
        </w:tc>
      </w:tr>
      <w:tr w:rsidR="00000000">
        <w:trPr>
          <w:divId w:val="546917282"/>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Income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52.7 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(47.6)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(47.5)%</w:t>
            </w:r>
          </w:p>
        </w:tc>
      </w:tr>
      <w:tr w:rsidR="00000000">
        <w:trPr>
          <w:divId w:val="546917282"/>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(14.2)</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(24.3)</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41.6%</w:t>
            </w:r>
          </w:p>
        </w:tc>
      </w:tr>
      <w:tr w:rsidR="00000000">
        <w:trPr>
          <w:divId w:val="546917282"/>
        </w:trPr>
        <w:tc>
          <w:tcPr>
            <w:tcW w:w="0" w:type="auto"/>
            <w:gridSpan w:val="3"/>
            <w:vAlign w:val="center"/>
            <w:hideMark/>
          </w:tcPr>
          <w:p w:rsidR="00000000" w:rsidRDefault="007557F0">
            <w:pPr>
              <w:spacing w:after="100"/>
              <w:jc w:val="center"/>
              <w:rPr>
                <w:rFonts w:eastAsia="Times New Roman"/>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546917282"/>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546917282"/>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Net income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38.5 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(37.5)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(49.4)%</w:t>
            </w:r>
          </w:p>
        </w:tc>
      </w:tr>
      <w:tr w:rsidR="00000000">
        <w:trPr>
          <w:divId w:val="546917282"/>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Other comprehensive income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546917282"/>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(13.1)</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(13.7)</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NM*</w:t>
            </w:r>
          </w:p>
        </w:tc>
      </w:tr>
      <w:tr w:rsidR="00000000">
        <w:trPr>
          <w:divId w:val="546917282"/>
        </w:trPr>
        <w:tc>
          <w:tcPr>
            <w:tcW w:w="0" w:type="auto"/>
            <w:gridSpan w:val="3"/>
            <w:shd w:val="clear" w:color="auto" w:fill="FFFFF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12.9 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NM*</w:t>
            </w:r>
          </w:p>
        </w:tc>
      </w:tr>
      <w:tr w:rsidR="00000000">
        <w:trPr>
          <w:divId w:val="546917282"/>
        </w:trPr>
        <w:tc>
          <w:tcPr>
            <w:tcW w:w="0" w:type="auto"/>
            <w:gridSpan w:val="3"/>
            <w:shd w:val="clear" w:color="auto" w:fill="DCE2EF"/>
            <w:tcMar>
              <w:top w:w="30" w:type="dxa"/>
              <w:left w:w="38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Income tax benefit (provision)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NM*</w:t>
            </w:r>
          </w:p>
        </w:tc>
      </w:tr>
      <w:tr w:rsidR="00000000">
        <w:trPr>
          <w:divId w:val="546917282"/>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(46.5)%</w:t>
            </w:r>
          </w:p>
        </w:tc>
      </w:tr>
    </w:tbl>
    <w:p w:rsidR="00000000" w:rsidRDefault="007557F0">
      <w:pPr>
        <w:divId w:val="298726717"/>
        <w:rPr>
          <w:rFonts w:eastAsia="Times New Roman"/>
        </w:rPr>
      </w:pPr>
      <w:r>
        <w:rPr>
          <w:rFonts w:ascii="Arial" w:eastAsia="Times New Roman" w:hAnsi="Arial" w:cs="Arial"/>
          <w:color w:val="000000"/>
          <w:sz w:val="18"/>
          <w:szCs w:val="18"/>
        </w:rPr>
        <w:t>*Not meaningful</w:t>
      </w:r>
    </w:p>
    <w:p w:rsidR="00000000" w:rsidRDefault="007557F0">
      <w:pPr>
        <w:divId w:val="1870415993"/>
        <w:rPr>
          <w:rFonts w:eastAsia="Times New Roman"/>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rsidR="00000000" w:rsidRDefault="007557F0">
      <w:pPr>
        <w:ind w:firstLine="720"/>
        <w:jc w:val="both"/>
        <w:divId w:val="1423377356"/>
        <w:rPr>
          <w:rFonts w:eastAsia="Times New Roman"/>
        </w:rPr>
      </w:pPr>
      <w:r>
        <w:rPr>
          <w:rFonts w:ascii="Arial" w:eastAsia="Times New Roman" w:hAnsi="Arial" w:cs="Arial"/>
          <w:color w:val="000000"/>
          <w:sz w:val="20"/>
          <w:szCs w:val="20"/>
        </w:rPr>
        <w:t>Revenues increased by $55.1 million, or 2.8%, to $</w:t>
      </w:r>
      <w:r>
        <w:rPr>
          <w:rFonts w:ascii="Arial" w:eastAsia="Times New Roman" w:hAnsi="Arial" w:cs="Arial"/>
          <w:color w:val="000000"/>
          <w:sz w:val="20"/>
          <w:szCs w:val="20"/>
        </w:rPr>
        <w:t>1,991.3 million during the three months ended January 31, 2023, as compared to the prior year period. Revenue growth was comprised of acquisition growth of 1.9% and organic growth of 0.9%. Acquisition growth was driven by a $37.5 million revenue increase f</w:t>
      </w:r>
      <w:r>
        <w:rPr>
          <w:rFonts w:ascii="Arial" w:eastAsia="Times New Roman" w:hAnsi="Arial" w:cs="Arial"/>
          <w:color w:val="000000"/>
          <w:sz w:val="20"/>
          <w:szCs w:val="20"/>
        </w:rPr>
        <w:t>rom the Momentum and RavenVolt acquisitions, completed in 2022. Organic growth was primarily driven by expansion of business with existing customers as well as new business within M&amp;D and Education and the recovery in volume of our business in Aviation. Th</w:t>
      </w:r>
      <w:r>
        <w:rPr>
          <w:rFonts w:ascii="Arial" w:eastAsia="Times New Roman" w:hAnsi="Arial" w:cs="Arial"/>
          <w:color w:val="000000"/>
          <w:sz w:val="20"/>
          <w:szCs w:val="20"/>
        </w:rPr>
        <w:t xml:space="preserve">e increase in revenues was partially offset by a decrease in work orders for disinfection-related demands (primarily in M&amp;D and B&amp;I). </w:t>
      </w:r>
    </w:p>
    <w:p w:rsidR="00000000" w:rsidRDefault="007557F0">
      <w:pPr>
        <w:jc w:val="both"/>
        <w:divId w:val="821190497"/>
        <w:rPr>
          <w:rFonts w:eastAsia="Times New Roman"/>
        </w:rPr>
      </w:pPr>
      <w:r>
        <w:rPr>
          <w:rFonts w:ascii="Arial" w:eastAsia="Times New Roman" w:hAnsi="Arial" w:cs="Arial"/>
          <w:b/>
          <w:bCs/>
          <w:i/>
          <w:iCs/>
          <w:color w:val="0046AD"/>
          <w:sz w:val="20"/>
          <w:szCs w:val="20"/>
        </w:rPr>
        <w:t>Operating Expenses</w:t>
      </w:r>
    </w:p>
    <w:p w:rsidR="00000000" w:rsidRDefault="007557F0">
      <w:pPr>
        <w:ind w:firstLine="720"/>
        <w:jc w:val="both"/>
        <w:divId w:val="527450605"/>
        <w:rPr>
          <w:rFonts w:eastAsia="Times New Roman"/>
        </w:rPr>
      </w:pPr>
      <w:r>
        <w:rPr>
          <w:rFonts w:ascii="Arial" w:eastAsia="Times New Roman" w:hAnsi="Arial" w:cs="Arial"/>
          <w:color w:val="000000"/>
          <w:sz w:val="20"/>
          <w:szCs w:val="20"/>
        </w:rPr>
        <w:t>Operating expenses increased by $90.2 million, or 5.4%, to $1,749.8 million during the three months ended January 31, 2023, as compared to the prior year period. Gross margin decreased by 216 bps to 12.1% in the three months ended January 31, 2023, from 14</w:t>
      </w:r>
      <w:r>
        <w:rPr>
          <w:rFonts w:ascii="Arial" w:eastAsia="Times New Roman" w:hAnsi="Arial" w:cs="Arial"/>
          <w:color w:val="000000"/>
          <w:sz w:val="20"/>
          <w:szCs w:val="20"/>
        </w:rPr>
        <w:t>.3% in the prior year period. The decrease in gross margin was primarily driven by the decrease in cleaning services for disinfection-related demands (primarily in M&amp;D and B&amp;I), which have higher margins, the absence of favorable self-insurance adjustments</w:t>
      </w:r>
      <w:r>
        <w:rPr>
          <w:rFonts w:ascii="Arial" w:eastAsia="Times New Roman" w:hAnsi="Arial" w:cs="Arial"/>
          <w:color w:val="000000"/>
          <w:sz w:val="20"/>
          <w:szCs w:val="20"/>
        </w:rPr>
        <w:t xml:space="preserve"> related to prior year claims as the result of actuarial evaluations completed, and changes in contract mix. In addition, gross margin was negatively impacted by an increase in direct labor and related costs (primarily in Aviation and Education).</w:t>
      </w:r>
    </w:p>
    <w:p w:rsidR="00000000" w:rsidRDefault="007557F0">
      <w:pPr>
        <w:divId w:val="1099368679"/>
        <w:rPr>
          <w:rFonts w:eastAsia="Times New Roman"/>
        </w:rPr>
      </w:pPr>
      <w:r>
        <w:rPr>
          <w:rFonts w:ascii="Arial" w:eastAsia="Times New Roman" w:hAnsi="Arial" w:cs="Arial"/>
          <w:b/>
          <w:bCs/>
          <w:i/>
          <w:iCs/>
          <w:color w:val="0046AD"/>
          <w:sz w:val="20"/>
          <w:szCs w:val="20"/>
        </w:rPr>
        <w:t xml:space="preserve">Selling, </w:t>
      </w:r>
      <w:r>
        <w:rPr>
          <w:rFonts w:ascii="Arial" w:eastAsia="Times New Roman" w:hAnsi="Arial" w:cs="Arial"/>
          <w:b/>
          <w:bCs/>
          <w:i/>
          <w:iCs/>
          <w:color w:val="0046AD"/>
          <w:sz w:val="20"/>
          <w:szCs w:val="20"/>
        </w:rPr>
        <w:t>General and Administrative Expenses</w:t>
      </w:r>
    </w:p>
    <w:p w:rsidR="00000000" w:rsidRDefault="007557F0">
      <w:pPr>
        <w:ind w:firstLine="720"/>
        <w:jc w:val="both"/>
        <w:divId w:val="29382435"/>
        <w:rPr>
          <w:rFonts w:eastAsia="Times New Roman"/>
        </w:rPr>
      </w:pPr>
      <w:r>
        <w:rPr>
          <w:rFonts w:ascii="Arial" w:eastAsia="Times New Roman" w:hAnsi="Arial" w:cs="Arial"/>
          <w:color w:val="000000"/>
          <w:sz w:val="20"/>
          <w:szCs w:val="20"/>
        </w:rPr>
        <w:t>Selling, general and administrative expenses decreased by $2.5 million to $150.6 million during the three months ended January 31, 2023, as compared to the prior year period. The decrease in selling, general and administ</w:t>
      </w:r>
      <w:r>
        <w:rPr>
          <w:rFonts w:ascii="Arial" w:eastAsia="Times New Roman" w:hAnsi="Arial" w:cs="Arial"/>
          <w:color w:val="000000"/>
          <w:sz w:val="20"/>
          <w:szCs w:val="20"/>
        </w:rPr>
        <w:t>rative expenses was primarily attributable to:</w:t>
      </w:r>
    </w:p>
    <w:p w:rsidR="00000000" w:rsidRDefault="007557F0">
      <w:pPr>
        <w:ind w:hanging="360"/>
        <w:jc w:val="both"/>
        <w:divId w:val="21535697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a $5.8 million decrease in acquisition and integration costs related to Able Acquisition, completed on September 30, 2021; </w:t>
      </w:r>
    </w:p>
    <w:p w:rsidR="00000000" w:rsidRDefault="007557F0">
      <w:pPr>
        <w:jc w:val="center"/>
        <w:divId w:val="2064979354"/>
        <w:rPr>
          <w:rFonts w:eastAsia="Times New Roman"/>
        </w:rPr>
      </w:pPr>
      <w:r>
        <w:rPr>
          <w:rFonts w:ascii="Arial" w:eastAsia="Times New Roman" w:hAnsi="Arial" w:cs="Arial"/>
          <w:color w:val="000000"/>
          <w:sz w:val="20"/>
          <w:szCs w:val="20"/>
        </w:rPr>
        <w:t>26</w:t>
      </w:r>
    </w:p>
    <w:p w:rsidR="00000000" w:rsidRDefault="007557F0">
      <w:pPr>
        <w:rPr>
          <w:rFonts w:eastAsia="Times New Roman"/>
        </w:rPr>
      </w:pPr>
      <w:r>
        <w:rPr>
          <w:rFonts w:eastAsia="Times New Roman"/>
        </w:rPr>
        <w:pict>
          <v:rect id="_x0000_i1060" style="width:0;height:1.5pt" o:hralign="center" o:hrstd="t" o:hr="t" fillcolor="#a0a0a0" stroked="f"/>
        </w:pict>
      </w:r>
    </w:p>
    <w:p w:rsidR="00000000" w:rsidRDefault="007557F0">
      <w:pPr>
        <w:jc w:val="both"/>
        <w:divId w:val="638850980"/>
        <w:rPr>
          <w:rFonts w:eastAsia="Times New Roman"/>
        </w:rPr>
      </w:pPr>
    </w:p>
    <w:p w:rsidR="00000000" w:rsidRDefault="007557F0">
      <w:pPr>
        <w:ind w:hanging="360"/>
        <w:jc w:val="both"/>
        <w:divId w:val="311369082"/>
        <w:rPr>
          <w:rFonts w:eastAsia="Times New Roman"/>
        </w:rPr>
      </w:pPr>
      <w:r>
        <w:rPr>
          <w:rFonts w:ascii="Arial" w:eastAsia="Times New Roman" w:hAnsi="Arial" w:cs="Arial"/>
          <w:color w:val="000000"/>
          <w:sz w:val="20"/>
          <w:szCs w:val="20"/>
        </w:rPr>
        <w:t>•a $3.9 million decrease in legal costs and settlements, of which $1.8 million was attribu</w:t>
      </w:r>
      <w:r>
        <w:rPr>
          <w:rFonts w:ascii="Arial" w:eastAsia="Times New Roman" w:hAnsi="Arial" w:cs="Arial"/>
          <w:color w:val="000000"/>
          <w:sz w:val="20"/>
          <w:szCs w:val="20"/>
        </w:rPr>
        <w:t xml:space="preserve">ted to a certain legal reserve during the three months ended January 31, 2022; </w:t>
      </w:r>
    </w:p>
    <w:p w:rsidR="00000000" w:rsidRDefault="007557F0">
      <w:pPr>
        <w:ind w:hanging="360"/>
        <w:jc w:val="both"/>
        <w:divId w:val="1562591641"/>
        <w:rPr>
          <w:rFonts w:eastAsia="Times New Roman"/>
        </w:rPr>
      </w:pPr>
      <w:r>
        <w:rPr>
          <w:rFonts w:ascii="Arial" w:eastAsia="Times New Roman" w:hAnsi="Arial" w:cs="Arial"/>
          <w:color w:val="000000"/>
          <w:sz w:val="20"/>
          <w:szCs w:val="20"/>
        </w:rPr>
        <w:t>•a $3.4 million decrease in outside professional costs;</w:t>
      </w:r>
    </w:p>
    <w:p w:rsidR="00000000" w:rsidRDefault="007557F0">
      <w:pPr>
        <w:ind w:hanging="360"/>
        <w:jc w:val="both"/>
        <w:divId w:val="861361529"/>
        <w:rPr>
          <w:rFonts w:eastAsia="Times New Roman"/>
        </w:rPr>
      </w:pPr>
      <w:r>
        <w:rPr>
          <w:rFonts w:ascii="Arial" w:eastAsia="Times New Roman" w:hAnsi="Arial" w:cs="Arial"/>
          <w:color w:val="000000"/>
          <w:sz w:val="20"/>
          <w:szCs w:val="20"/>
        </w:rPr>
        <w:t>•a $1.9 million decrease in compensation and related expenses primarily due to lower share-based compensation expense; a</w:t>
      </w:r>
      <w:r>
        <w:rPr>
          <w:rFonts w:ascii="Arial" w:eastAsia="Times New Roman" w:hAnsi="Arial" w:cs="Arial"/>
          <w:color w:val="000000"/>
          <w:sz w:val="20"/>
          <w:szCs w:val="20"/>
        </w:rPr>
        <w:t>nd</w:t>
      </w:r>
    </w:p>
    <w:p w:rsidR="00000000" w:rsidRDefault="007557F0">
      <w:pPr>
        <w:ind w:hanging="360"/>
        <w:jc w:val="both"/>
        <w:divId w:val="319384741"/>
        <w:rPr>
          <w:rFonts w:eastAsia="Times New Roman"/>
        </w:rPr>
      </w:pPr>
      <w:r>
        <w:rPr>
          <w:rFonts w:ascii="Arial" w:eastAsia="Times New Roman" w:hAnsi="Arial" w:cs="Arial"/>
          <w:color w:val="000000"/>
          <w:sz w:val="20"/>
          <w:szCs w:val="20"/>
        </w:rPr>
        <w:t>•a $1.8 million decrease in bad debt.</w:t>
      </w:r>
    </w:p>
    <w:p w:rsidR="00000000" w:rsidRDefault="007557F0">
      <w:pPr>
        <w:jc w:val="both"/>
        <w:divId w:val="545221014"/>
        <w:rPr>
          <w:rFonts w:eastAsia="Times New Roman"/>
        </w:rPr>
      </w:pPr>
      <w:r>
        <w:rPr>
          <w:rFonts w:ascii="Arial" w:eastAsia="Times New Roman" w:hAnsi="Arial" w:cs="Arial"/>
          <w:color w:val="000000"/>
          <w:sz w:val="20"/>
          <w:szCs w:val="20"/>
        </w:rPr>
        <w:t>This decrease was partially offset by:</w:t>
      </w:r>
    </w:p>
    <w:p w:rsidR="00000000" w:rsidRDefault="007557F0">
      <w:pPr>
        <w:ind w:hanging="360"/>
        <w:jc w:val="both"/>
        <w:divId w:val="1246108646"/>
        <w:rPr>
          <w:rFonts w:eastAsia="Times New Roman"/>
        </w:rPr>
      </w:pPr>
      <w:r>
        <w:rPr>
          <w:rFonts w:ascii="Calibri" w:eastAsia="Times New Roman" w:hAnsi="Calibri" w:cs="Calibri"/>
          <w:color w:val="0046AD"/>
          <w:sz w:val="22"/>
          <w:szCs w:val="22"/>
        </w:rPr>
        <w:t>•</w:t>
      </w:r>
      <w:r>
        <w:rPr>
          <w:rFonts w:ascii="Arial" w:eastAsia="Times New Roman" w:hAnsi="Arial" w:cs="Arial"/>
          <w:color w:val="000000"/>
          <w:sz w:val="20"/>
          <w:szCs w:val="20"/>
        </w:rPr>
        <w:t>the absence of a $7.7 million gain on the sale of a group of customer contracts related to healthcare technology management services within Technical Solutions during the thre</w:t>
      </w:r>
      <w:r>
        <w:rPr>
          <w:rFonts w:ascii="Arial" w:eastAsia="Times New Roman" w:hAnsi="Arial" w:cs="Arial"/>
          <w:color w:val="000000"/>
          <w:sz w:val="20"/>
          <w:szCs w:val="20"/>
        </w:rPr>
        <w:t xml:space="preserve">e months ended January 31, 2022; and </w:t>
      </w:r>
    </w:p>
    <w:p w:rsidR="00000000" w:rsidRDefault="007557F0">
      <w:pPr>
        <w:ind w:hanging="360"/>
        <w:jc w:val="both"/>
        <w:divId w:val="141304785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$5.7 million increase in certain technology projects primarily attributable to discrete transformational costs under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for developing the new ERP system, client-facing technology, workforce manage</w:t>
      </w:r>
      <w:r>
        <w:rPr>
          <w:rFonts w:ascii="Arial" w:eastAsia="Times New Roman" w:hAnsi="Arial" w:cs="Arial"/>
          <w:color w:val="000000"/>
          <w:sz w:val="20"/>
          <w:szCs w:val="20"/>
        </w:rPr>
        <w:t>ment tools, and data analytics.</w:t>
      </w:r>
    </w:p>
    <w:p w:rsidR="00000000" w:rsidRDefault="007557F0">
      <w:pPr>
        <w:jc w:val="both"/>
        <w:divId w:val="1110204312"/>
        <w:rPr>
          <w:rFonts w:eastAsia="Times New Roman"/>
        </w:rPr>
      </w:pPr>
      <w:r>
        <w:rPr>
          <w:rFonts w:ascii="Arial" w:eastAsia="Times New Roman" w:hAnsi="Arial" w:cs="Arial"/>
          <w:b/>
          <w:bCs/>
          <w:i/>
          <w:iCs/>
          <w:color w:val="0046AD"/>
          <w:sz w:val="20"/>
          <w:szCs w:val="20"/>
        </w:rPr>
        <w:t>Amortization of Intangible Assets</w:t>
      </w:r>
    </w:p>
    <w:p w:rsidR="00000000" w:rsidRDefault="007557F0">
      <w:pPr>
        <w:ind w:firstLine="720"/>
        <w:jc w:val="both"/>
        <w:divId w:val="1054690"/>
        <w:rPr>
          <w:rFonts w:eastAsia="Times New Roman"/>
        </w:rPr>
      </w:pPr>
      <w:r>
        <w:rPr>
          <w:rFonts w:ascii="Arial" w:eastAsia="Times New Roman" w:hAnsi="Arial" w:cs="Arial"/>
          <w:color w:val="000000"/>
          <w:sz w:val="20"/>
          <w:szCs w:val="20"/>
        </w:rPr>
        <w:t>Amortization of intangible assets increased by $2.0 million, or 11.0%, to $19.5 million during the three months ended January 31, 2023, as compared to the prior year period. The increase was</w:t>
      </w:r>
      <w:r>
        <w:rPr>
          <w:rFonts w:ascii="Arial" w:eastAsia="Times New Roman" w:hAnsi="Arial" w:cs="Arial"/>
          <w:color w:val="000000"/>
          <w:sz w:val="20"/>
          <w:szCs w:val="20"/>
        </w:rPr>
        <w:t xml:space="preserve"> primarily due to the amortization of intangibles acquired as part of the RavenVolt Acquisition.</w:t>
      </w:r>
    </w:p>
    <w:p w:rsidR="00000000" w:rsidRDefault="007557F0">
      <w:pPr>
        <w:divId w:val="993723823"/>
        <w:rPr>
          <w:rFonts w:eastAsia="Times New Roman"/>
        </w:rPr>
      </w:pPr>
      <w:r>
        <w:rPr>
          <w:rFonts w:ascii="Arial" w:eastAsia="Times New Roman" w:hAnsi="Arial" w:cs="Arial"/>
          <w:b/>
          <w:bCs/>
          <w:i/>
          <w:iCs/>
          <w:color w:val="0046AD"/>
          <w:sz w:val="20"/>
          <w:szCs w:val="20"/>
        </w:rPr>
        <w:t>Interest Expense</w:t>
      </w:r>
    </w:p>
    <w:p w:rsidR="00000000" w:rsidRDefault="007557F0">
      <w:pPr>
        <w:ind w:firstLine="720"/>
        <w:jc w:val="both"/>
        <w:divId w:val="639386114"/>
        <w:rPr>
          <w:rFonts w:eastAsia="Times New Roman"/>
        </w:rPr>
      </w:pPr>
      <w:r>
        <w:rPr>
          <w:rFonts w:ascii="Arial" w:eastAsia="Times New Roman" w:hAnsi="Arial" w:cs="Arial"/>
          <w:color w:val="000000"/>
          <w:sz w:val="20"/>
          <w:szCs w:val="20"/>
        </w:rPr>
        <w:t>Interest expense increased by $13.6 million, to $19.8 million during the three months ended January 31, 2023, as compared to the prior year pe</w:t>
      </w:r>
      <w:r>
        <w:rPr>
          <w:rFonts w:ascii="Arial" w:eastAsia="Times New Roman" w:hAnsi="Arial" w:cs="Arial"/>
          <w:color w:val="000000"/>
          <w:sz w:val="20"/>
          <w:szCs w:val="20"/>
        </w:rPr>
        <w:t>riod, and was primarily driven by increased indebtedness to fund Momentum and RavenVolt acquisitions made in 2022, and higher interest rates on our debt borrowings.</w:t>
      </w:r>
    </w:p>
    <w:p w:rsidR="00000000" w:rsidRDefault="007557F0">
      <w:pPr>
        <w:divId w:val="1701197900"/>
        <w:rPr>
          <w:rFonts w:eastAsia="Times New Roman"/>
        </w:rPr>
      </w:pPr>
      <w:r>
        <w:rPr>
          <w:rFonts w:ascii="Arial" w:eastAsia="Times New Roman" w:hAnsi="Arial" w:cs="Arial"/>
          <w:b/>
          <w:bCs/>
          <w:i/>
          <w:iCs/>
          <w:color w:val="0046AD"/>
          <w:sz w:val="20"/>
          <w:szCs w:val="20"/>
        </w:rPr>
        <w:t>Income Taxes from Operations</w:t>
      </w:r>
    </w:p>
    <w:p w:rsidR="00000000" w:rsidRDefault="007557F0">
      <w:pPr>
        <w:ind w:firstLine="720"/>
        <w:jc w:val="both"/>
        <w:divId w:val="1474440873"/>
        <w:rPr>
          <w:rFonts w:eastAsia="Times New Roman"/>
        </w:rPr>
      </w:pPr>
      <w:r>
        <w:rPr>
          <w:rFonts w:ascii="Arial" w:eastAsia="Times New Roman" w:hAnsi="Arial" w:cs="Arial"/>
          <w:color w:val="000000"/>
          <w:sz w:val="20"/>
          <w:szCs w:val="20"/>
        </w:rPr>
        <w:t>Our effective tax rates from income on operations for the thre</w:t>
      </w:r>
      <w:r>
        <w:rPr>
          <w:rFonts w:ascii="Arial" w:eastAsia="Times New Roman" w:hAnsi="Arial" w:cs="Arial"/>
          <w:color w:val="000000"/>
          <w:sz w:val="20"/>
          <w:szCs w:val="20"/>
        </w:rPr>
        <w:t xml:space="preserve">e months ended January 31, 2023, and January 31, 2022, were 26.9% and 24.2%, respectively, resulting in provisions for taxes of $14.2 million and $24.3 million, respectively. </w:t>
      </w:r>
    </w:p>
    <w:p w:rsidR="00000000" w:rsidRDefault="007557F0">
      <w:pPr>
        <w:ind w:firstLine="720"/>
        <w:jc w:val="both"/>
        <w:divId w:val="568805651"/>
        <w:rPr>
          <w:rFonts w:eastAsia="Times New Roman"/>
        </w:rPr>
      </w:pPr>
      <w:r>
        <w:rPr>
          <w:rFonts w:ascii="Arial" w:eastAsia="Times New Roman" w:hAnsi="Arial" w:cs="Arial"/>
          <w:color w:val="000000"/>
          <w:sz w:val="20"/>
          <w:szCs w:val="20"/>
        </w:rPr>
        <w:t>Our effective tax rate for the three months ended January 31, 2023, benefited by</w:t>
      </w:r>
      <w:r>
        <w:rPr>
          <w:rFonts w:ascii="Arial" w:eastAsia="Times New Roman" w:hAnsi="Arial" w:cs="Arial"/>
          <w:color w:val="000000"/>
          <w:sz w:val="20"/>
          <w:szCs w:val="20"/>
        </w:rPr>
        <w:t xml:space="preserve"> a $1.3 million for share-based compensation. Our effective tax rate for the three months ended January 31, 2022, benefited by a $3.5 million change in tax reserves.</w:t>
      </w:r>
    </w:p>
    <w:p w:rsidR="00000000" w:rsidRDefault="007557F0">
      <w:pPr>
        <w:jc w:val="both"/>
        <w:divId w:val="1949578358"/>
        <w:rPr>
          <w:rFonts w:eastAsia="Times New Roman"/>
        </w:rPr>
      </w:pPr>
      <w:r>
        <w:rPr>
          <w:rFonts w:ascii="Arial" w:eastAsia="Times New Roman" w:hAnsi="Arial" w:cs="Arial"/>
          <w:b/>
          <w:bCs/>
          <w:i/>
          <w:iCs/>
          <w:color w:val="0046AD"/>
          <w:sz w:val="20"/>
          <w:szCs w:val="20"/>
        </w:rPr>
        <w:t>Interest Rate Swaps</w:t>
      </w:r>
    </w:p>
    <w:p w:rsidR="00000000" w:rsidRDefault="007557F0">
      <w:pPr>
        <w:ind w:firstLine="720"/>
        <w:jc w:val="both"/>
        <w:divId w:val="616059616"/>
        <w:rPr>
          <w:rFonts w:eastAsia="Times New Roman"/>
        </w:rPr>
      </w:pPr>
      <w:r>
        <w:rPr>
          <w:rFonts w:ascii="Arial" w:eastAsia="Times New Roman" w:hAnsi="Arial" w:cs="Arial"/>
          <w:color w:val="000000"/>
          <w:sz w:val="20"/>
          <w:szCs w:val="20"/>
        </w:rPr>
        <w:t>We had a loss of $13.1 million on interest rate swaps during the three</w:t>
      </w:r>
      <w:r>
        <w:rPr>
          <w:rFonts w:ascii="Arial" w:eastAsia="Times New Roman" w:hAnsi="Arial" w:cs="Arial"/>
          <w:color w:val="000000"/>
          <w:sz w:val="20"/>
          <w:szCs w:val="20"/>
        </w:rPr>
        <w:t xml:space="preserve"> months ended January 31, 2023, as compared to a gain of $0.6 million during the three months ended January 31, 2022, primarily due to underlying changes in the fair value of our interest rate swaps. </w:t>
      </w:r>
    </w:p>
    <w:p w:rsidR="00000000" w:rsidRDefault="007557F0">
      <w:pPr>
        <w:jc w:val="both"/>
        <w:divId w:val="204830200"/>
        <w:rPr>
          <w:rFonts w:eastAsia="Times New Roman"/>
        </w:rPr>
      </w:pPr>
      <w:r>
        <w:rPr>
          <w:rFonts w:ascii="Arial" w:eastAsia="Times New Roman" w:hAnsi="Arial" w:cs="Arial"/>
          <w:b/>
          <w:bCs/>
          <w:i/>
          <w:iCs/>
          <w:color w:val="0046AD"/>
          <w:sz w:val="20"/>
          <w:szCs w:val="20"/>
        </w:rPr>
        <w:t>Foreign Currency Translation</w:t>
      </w:r>
    </w:p>
    <w:p w:rsidR="00000000" w:rsidRDefault="007557F0">
      <w:pPr>
        <w:ind w:firstLine="720"/>
        <w:jc w:val="both"/>
        <w:divId w:val="1561749163"/>
        <w:rPr>
          <w:rFonts w:eastAsia="Times New Roman"/>
        </w:rPr>
      </w:pPr>
      <w:r>
        <w:rPr>
          <w:rFonts w:ascii="Arial" w:eastAsia="Times New Roman" w:hAnsi="Arial" w:cs="Arial"/>
          <w:color w:val="000000"/>
          <w:sz w:val="20"/>
          <w:szCs w:val="20"/>
        </w:rPr>
        <w:t xml:space="preserve">We had a foreign currency </w:t>
      </w:r>
      <w:r>
        <w:rPr>
          <w:rFonts w:ascii="Arial" w:eastAsia="Times New Roman" w:hAnsi="Arial" w:cs="Arial"/>
          <w:color w:val="000000"/>
          <w:sz w:val="20"/>
          <w:szCs w:val="20"/>
        </w:rPr>
        <w:t>translation loss of $10.5 million during the three months ended January 31, 2023, as compared to a foreign currency translation gain of $2.4 million during the three months ended January 31, 2022. This change was due to fluctuations in the exchange rate be</w:t>
      </w:r>
      <w:r>
        <w:rPr>
          <w:rFonts w:ascii="Arial" w:eastAsia="Times New Roman" w:hAnsi="Arial" w:cs="Arial"/>
          <w:color w:val="000000"/>
          <w:sz w:val="20"/>
          <w:szCs w:val="20"/>
        </w:rPr>
        <w:t>tween the U.S. Dollar (“USD”) and the British pound sterling (“GBP”). Future gains and losses on foreign currency translation will be dependent upon changes in the relative value of foreign currencies to the USD and the extent of our foreign assets and lia</w:t>
      </w:r>
      <w:r>
        <w:rPr>
          <w:rFonts w:ascii="Arial" w:eastAsia="Times New Roman" w:hAnsi="Arial" w:cs="Arial"/>
          <w:color w:val="000000"/>
          <w:sz w:val="20"/>
          <w:szCs w:val="20"/>
        </w:rPr>
        <w:t xml:space="preserve">bilities. </w:t>
      </w:r>
    </w:p>
    <w:p w:rsidR="00000000" w:rsidRDefault="007557F0">
      <w:pPr>
        <w:jc w:val="center"/>
        <w:divId w:val="1153571531"/>
        <w:rPr>
          <w:rFonts w:eastAsia="Times New Roman"/>
        </w:rPr>
      </w:pPr>
      <w:r>
        <w:rPr>
          <w:rFonts w:ascii="Arial" w:eastAsia="Times New Roman" w:hAnsi="Arial" w:cs="Arial"/>
          <w:color w:val="000000"/>
          <w:sz w:val="20"/>
          <w:szCs w:val="20"/>
        </w:rPr>
        <w:t>27</w:t>
      </w:r>
    </w:p>
    <w:p w:rsidR="00000000" w:rsidRDefault="007557F0">
      <w:pPr>
        <w:rPr>
          <w:rFonts w:eastAsia="Times New Roman"/>
        </w:rPr>
      </w:pPr>
      <w:r>
        <w:rPr>
          <w:rFonts w:eastAsia="Times New Roman"/>
        </w:rPr>
        <w:pict>
          <v:rect id="_x0000_i1061" style="width:0;height:1.5pt" o:hralign="center" o:hrstd="t" o:hr="t" fillcolor="#a0a0a0" stroked="f"/>
        </w:pict>
      </w:r>
    </w:p>
    <w:p w:rsidR="00000000" w:rsidRDefault="007557F0">
      <w:pPr>
        <w:jc w:val="both"/>
        <w:divId w:val="454522852"/>
        <w:rPr>
          <w:rFonts w:eastAsia="Times New Roman"/>
        </w:rPr>
      </w:pPr>
    </w:p>
    <w:p w:rsidR="00000000" w:rsidRDefault="007557F0">
      <w:pPr>
        <w:divId w:val="453599174"/>
        <w:rPr>
          <w:rFonts w:eastAsia="Times New Roman"/>
        </w:rPr>
      </w:pPr>
      <w:r>
        <w:rPr>
          <w:rFonts w:ascii="Arial" w:eastAsia="Times New Roman" w:hAnsi="Arial" w:cs="Arial"/>
          <w:b/>
          <w:bCs/>
          <w:i/>
          <w:iCs/>
          <w:color w:val="0046AD"/>
          <w:sz w:val="20"/>
          <w:szCs w:val="20"/>
        </w:rPr>
        <w:t>Segment Information</w:t>
      </w:r>
    </w:p>
    <w:p w:rsidR="00000000" w:rsidRDefault="007557F0">
      <w:pPr>
        <w:jc w:val="both"/>
        <w:divId w:val="1119059152"/>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837"/>
        <w:gridCol w:w="38"/>
        <w:gridCol w:w="121"/>
        <w:gridCol w:w="1007"/>
        <w:gridCol w:w="163"/>
        <w:gridCol w:w="36"/>
        <w:gridCol w:w="36"/>
        <w:gridCol w:w="36"/>
        <w:gridCol w:w="121"/>
        <w:gridCol w:w="946"/>
        <w:gridCol w:w="163"/>
        <w:gridCol w:w="36"/>
        <w:gridCol w:w="36"/>
        <w:gridCol w:w="36"/>
        <w:gridCol w:w="122"/>
        <w:gridCol w:w="665"/>
        <w:gridCol w:w="37"/>
        <w:gridCol w:w="37"/>
        <w:gridCol w:w="37"/>
        <w:gridCol w:w="36"/>
        <w:gridCol w:w="63"/>
        <w:gridCol w:w="619"/>
        <w:gridCol w:w="38"/>
      </w:tblGrid>
      <w:tr w:rsidR="00000000">
        <w:trPr>
          <w:divId w:val="1559974954"/>
        </w:trPr>
        <w:tc>
          <w:tcPr>
            <w:tcW w:w="50" w:type="pct"/>
            <w:vAlign w:val="center"/>
            <w:hideMark/>
          </w:tcPr>
          <w:p w:rsidR="00000000" w:rsidRDefault="007557F0">
            <w:pPr>
              <w:jc w:val="both"/>
              <w:rPr>
                <w:rFonts w:eastAsia="Times New Roman"/>
              </w:rPr>
            </w:pPr>
          </w:p>
        </w:tc>
        <w:tc>
          <w:tcPr>
            <w:tcW w:w="2364"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64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64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559974954"/>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7"/>
                <w:szCs w:val="17"/>
              </w:rPr>
              <w:t> </w:t>
            </w: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559974954"/>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559974954"/>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559974954"/>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1,036.6 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1,029.5 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0.7%</w:t>
            </w:r>
          </w:p>
        </w:tc>
      </w:tr>
      <w:tr w:rsidR="00000000">
        <w:trPr>
          <w:divId w:val="1559974954"/>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380.5 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359.1 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21.4 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6.0%</w:t>
            </w:r>
          </w:p>
        </w:tc>
      </w:tr>
      <w:tr w:rsidR="00000000">
        <w:trPr>
          <w:divId w:val="1559974954"/>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214.9 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205.7 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9.2 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4.5%</w:t>
            </w:r>
          </w:p>
        </w:tc>
      </w:tr>
      <w:tr w:rsidR="00000000">
        <w:trPr>
          <w:divId w:val="1559974954"/>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212.3 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200.3 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12.0 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6.0%</w:t>
            </w:r>
          </w:p>
        </w:tc>
      </w:tr>
      <w:tr w:rsidR="00000000">
        <w:trPr>
          <w:divId w:val="1559974954"/>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147.0 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141.8 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3.7%</w:t>
            </w:r>
          </w:p>
        </w:tc>
      </w:tr>
      <w:tr w:rsidR="00000000">
        <w:trPr>
          <w:divId w:val="1559974954"/>
        </w:trPr>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1,991.3 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1,936.2 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55.1 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2.8%</w:t>
            </w:r>
          </w:p>
        </w:tc>
      </w:tr>
      <w:tr w:rsidR="00000000">
        <w:trPr>
          <w:divId w:val="1559974954"/>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color w:val="000000"/>
                <w:sz w:val="18"/>
                <w:szCs w:val="18"/>
              </w:rPr>
              <w:t>Operating profit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559974954"/>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75.9 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83.3 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(7.4)</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(8.8)%</w:t>
            </w:r>
          </w:p>
        </w:tc>
      </w:tr>
      <w:tr w:rsidR="00000000">
        <w:trPr>
          <w:divId w:val="1559974954"/>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7.3 </w:t>
            </w:r>
          </w:p>
        </w:tc>
        <w:tc>
          <w:tcPr>
            <w:tcW w:w="0" w:type="auto"/>
            <w:shd w:val="clear" w:color="auto" w:fill="FFFFF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8.1 </w:t>
            </w:r>
          </w:p>
        </w:tc>
        <w:tc>
          <w:tcPr>
            <w:tcW w:w="0" w:type="auto"/>
            <w:shd w:val="clear" w:color="auto" w:fill="FFFFF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 xml:space="preserve">(76) bps </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559974954"/>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40.9 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40.6 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0.6%</w:t>
            </w:r>
          </w:p>
        </w:tc>
      </w:tr>
      <w:tr w:rsidR="00000000">
        <w:trPr>
          <w:divId w:val="1559974954"/>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10.7 </w:t>
            </w:r>
          </w:p>
        </w:tc>
        <w:tc>
          <w:tcPr>
            <w:tcW w:w="0" w:type="auto"/>
            <w:shd w:val="clear" w:color="auto" w:fill="FFFFF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11.3 </w:t>
            </w:r>
          </w:p>
        </w:tc>
        <w:tc>
          <w:tcPr>
            <w:tcW w:w="0" w:type="auto"/>
            <w:shd w:val="clear" w:color="auto" w:fill="FFFFF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 xml:space="preserve">(58) bps </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559974954"/>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11.8 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12.6 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(0.8)</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(6.3)%</w:t>
            </w:r>
          </w:p>
        </w:tc>
      </w:tr>
      <w:tr w:rsidR="00000000">
        <w:trPr>
          <w:divId w:val="1559974954"/>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6.1 </w:t>
            </w:r>
          </w:p>
        </w:tc>
        <w:tc>
          <w:tcPr>
            <w:tcW w:w="0" w:type="auto"/>
            <w:shd w:val="clear" w:color="auto" w:fill="FFFFF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 xml:space="preserve">(63) bps </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559974954"/>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(7.2)%</w:t>
            </w:r>
          </w:p>
        </w:tc>
      </w:tr>
      <w:tr w:rsidR="00000000">
        <w:trPr>
          <w:divId w:val="1559974954"/>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3.9 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4.4 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 xml:space="preserve">(55) bps </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559974954"/>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16.9 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(9.7)</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(57.3)%</w:t>
            </w:r>
          </w:p>
        </w:tc>
      </w:tr>
      <w:tr w:rsidR="00000000">
        <w:trPr>
          <w:divId w:val="1559974954"/>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4.9 </w:t>
            </w:r>
          </w:p>
        </w:tc>
        <w:tc>
          <w:tcPr>
            <w:tcW w:w="0" w:type="auto"/>
            <w:shd w:val="clear" w:color="auto" w:fill="FFFFF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11.9 </w:t>
            </w:r>
          </w:p>
        </w:tc>
        <w:tc>
          <w:tcPr>
            <w:tcW w:w="0" w:type="auto"/>
            <w:shd w:val="clear" w:color="auto" w:fill="FFFFF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 xml:space="preserve">(699) bps </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559974954"/>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NM*</w:t>
            </w:r>
          </w:p>
        </w:tc>
      </w:tr>
      <w:tr w:rsidR="00000000">
        <w:trPr>
          <w:divId w:val="1559974954"/>
        </w:trPr>
        <w:tc>
          <w:tcPr>
            <w:tcW w:w="0" w:type="auto"/>
            <w:gridSpan w:val="3"/>
            <w:shd w:val="clear" w:color="auto" w:fill="FFFFF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Operating margin</w:t>
            </w: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559974954"/>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(71.5)</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(55.8)</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(15.7)</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(28.2)%</w:t>
            </w:r>
          </w:p>
        </w:tc>
      </w:tr>
      <w:tr w:rsidR="00000000">
        <w:trPr>
          <w:divId w:val="1559974954"/>
        </w:trPr>
        <w:tc>
          <w:tcPr>
            <w:tcW w:w="0" w:type="auto"/>
            <w:gridSpan w:val="3"/>
            <w:shd w:val="clear" w:color="auto" w:fill="FFFFFF"/>
            <w:tcMar>
              <w:top w:w="30" w:type="dxa"/>
              <w:left w:w="200" w:type="dxa"/>
              <w:bottom w:w="30" w:type="dxa"/>
              <w:right w:w="20" w:type="dxa"/>
            </w:tcMar>
            <w:vAlign w:val="bottom"/>
            <w:hideMark/>
          </w:tcPr>
          <w:p w:rsidR="00000000" w:rsidRDefault="007557F0">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NM*</w:t>
            </w:r>
          </w:p>
        </w:tc>
      </w:tr>
      <w:tr w:rsidR="00000000">
        <w:trPr>
          <w:divId w:val="1559974954"/>
        </w:trPr>
        <w:tc>
          <w:tcPr>
            <w:tcW w:w="0" w:type="auto"/>
            <w:gridSpan w:val="3"/>
            <w:shd w:val="clear" w:color="auto" w:fill="DCE2EF"/>
            <w:tcMar>
              <w:top w:w="30" w:type="dxa"/>
              <w:left w:w="200" w:type="dxa"/>
              <w:bottom w:w="30" w:type="dxa"/>
              <w:right w:w="20" w:type="dxa"/>
            </w:tcMar>
            <w:vAlign w:val="bottom"/>
            <w:hideMark/>
          </w:tcPr>
          <w:p w:rsidR="00000000" w:rsidRDefault="007557F0">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NM*</w:t>
            </w:r>
          </w:p>
        </w:tc>
      </w:tr>
      <w:tr w:rsidR="00000000">
        <w:trPr>
          <w:divId w:val="1559974954"/>
        </w:trPr>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(32.6)%</w:t>
            </w:r>
          </w:p>
        </w:tc>
      </w:tr>
    </w:tbl>
    <w:p w:rsidR="00000000" w:rsidRDefault="007557F0">
      <w:pPr>
        <w:jc w:val="both"/>
        <w:divId w:val="1968930438"/>
        <w:rPr>
          <w:rFonts w:eastAsia="Times New Roman"/>
        </w:rPr>
      </w:pPr>
      <w:r>
        <w:rPr>
          <w:rFonts w:ascii="Arial" w:eastAsia="Times New Roman" w:hAnsi="Arial" w:cs="Arial"/>
          <w:color w:val="000000"/>
          <w:sz w:val="18"/>
          <w:szCs w:val="18"/>
        </w:rPr>
        <w:t>*Not meaningful</w:t>
      </w:r>
    </w:p>
    <w:tbl>
      <w:tblPr>
        <w:tblW w:w="5000" w:type="pct"/>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trPr>
          <w:divId w:val="1678460676"/>
        </w:trPr>
        <w:tc>
          <w:tcPr>
            <w:tcW w:w="50" w:type="pct"/>
            <w:vAlign w:val="center"/>
            <w:hideMark/>
          </w:tcPr>
          <w:p w:rsidR="00000000" w:rsidRDefault="007557F0">
            <w:pPr>
              <w:jc w:val="both"/>
              <w:rPr>
                <w:rFonts w:eastAsia="Times New Roman"/>
              </w:rPr>
            </w:pPr>
          </w:p>
        </w:tc>
        <w:tc>
          <w:tcPr>
            <w:tcW w:w="17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67846067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i/>
                <w:iCs/>
                <w:color w:val="0046AD"/>
                <w:sz w:val="18"/>
                <w:szCs w:val="18"/>
              </w:rPr>
              <w:t>Business &amp; Industry</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67846067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678460676"/>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678460676"/>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1,036.6 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1,029.5 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0.7%</w:t>
            </w:r>
          </w:p>
        </w:tc>
      </w:tr>
      <w:tr w:rsidR="00000000">
        <w:trPr>
          <w:divId w:val="1678460676"/>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75.9 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83.3 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(7.4)</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(8.8)%</w:t>
            </w:r>
          </w:p>
        </w:tc>
      </w:tr>
      <w:tr w:rsidR="00000000">
        <w:trPr>
          <w:divId w:val="1678460676"/>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7.3 </w:t>
            </w:r>
          </w:p>
        </w:tc>
        <w:tc>
          <w:tcPr>
            <w:tcW w:w="0" w:type="auto"/>
            <w:shd w:val="clear" w:color="auto" w:fill="DCE2E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8.1 </w:t>
            </w:r>
          </w:p>
        </w:tc>
        <w:tc>
          <w:tcPr>
            <w:tcW w:w="0" w:type="auto"/>
            <w:shd w:val="clear" w:color="auto" w:fill="DCE2E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(76) bps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136341579"/>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revenues increased by $7.1 million, or 0.7%, to $1,036.6 million during the three months ended January 31, 2023, as compared to the prior year period. Revenue growth was comprised of acquisition growth of 1.9% partially offset by an organic decrease of 1</w:t>
      </w:r>
      <w:r>
        <w:rPr>
          <w:rFonts w:ascii="Arial" w:eastAsia="Times New Roman" w:hAnsi="Arial" w:cs="Arial"/>
          <w:color w:val="000000"/>
          <w:sz w:val="20"/>
          <w:szCs w:val="20"/>
        </w:rPr>
        <w:t xml:space="preserve">.2%. Acquisition growth was driven by a $19.2 million revenue increase from the Momentum Acquisition, completed in the second quarter of 2022. The organic revenue decrease was primarily driven by the decline in disinfection-related work orders. Management </w:t>
      </w:r>
      <w:r>
        <w:rPr>
          <w:rFonts w:ascii="Arial" w:eastAsia="Times New Roman" w:hAnsi="Arial" w:cs="Arial"/>
          <w:color w:val="000000"/>
          <w:sz w:val="20"/>
          <w:szCs w:val="20"/>
        </w:rPr>
        <w:t>reimbursement revenues for this segment totaled $64.4 million and $52.5 million for the three months ended January 31, 2023, and 2022, respectively.</w:t>
      </w:r>
    </w:p>
    <w:p w:rsidR="00000000" w:rsidRDefault="007557F0">
      <w:pPr>
        <w:ind w:firstLine="720"/>
        <w:jc w:val="both"/>
        <w:divId w:val="985007432"/>
        <w:rPr>
          <w:rFonts w:eastAsia="Times New Roman"/>
        </w:rPr>
      </w:pPr>
      <w:r>
        <w:rPr>
          <w:rFonts w:ascii="Arial" w:eastAsia="Times New Roman" w:hAnsi="Arial" w:cs="Arial"/>
          <w:color w:val="000000"/>
          <w:sz w:val="20"/>
          <w:szCs w:val="20"/>
        </w:rPr>
        <w:t>Operating profit decreased by $7.4 million, or 8.8%, to $75.9 million during the three months ended January 31, 2023, as compared to the prior year period. Operating profit margin decreased by 76 bps to 7.3% in the three months ended January 31, 2023, from</w:t>
      </w:r>
      <w:r>
        <w:rPr>
          <w:rFonts w:ascii="Arial" w:eastAsia="Times New Roman" w:hAnsi="Arial" w:cs="Arial"/>
          <w:color w:val="000000"/>
          <w:sz w:val="20"/>
          <w:szCs w:val="20"/>
        </w:rPr>
        <w:t xml:space="preserve"> 8.1% in the prior year period. The decrease in operating profit margin </w:t>
      </w:r>
    </w:p>
    <w:p w:rsidR="00000000" w:rsidRDefault="007557F0">
      <w:pPr>
        <w:jc w:val="center"/>
        <w:divId w:val="824206497"/>
        <w:rPr>
          <w:rFonts w:eastAsia="Times New Roman"/>
        </w:rPr>
      </w:pPr>
      <w:r>
        <w:rPr>
          <w:rFonts w:ascii="Arial" w:eastAsia="Times New Roman" w:hAnsi="Arial" w:cs="Arial"/>
          <w:color w:val="000000"/>
          <w:sz w:val="20"/>
          <w:szCs w:val="20"/>
        </w:rPr>
        <w:t>28</w:t>
      </w:r>
    </w:p>
    <w:p w:rsidR="00000000" w:rsidRDefault="007557F0">
      <w:pPr>
        <w:rPr>
          <w:rFonts w:eastAsia="Times New Roman"/>
        </w:rPr>
      </w:pPr>
      <w:r>
        <w:rPr>
          <w:rFonts w:eastAsia="Times New Roman"/>
        </w:rPr>
        <w:pict>
          <v:rect id="_x0000_i1062" style="width:0;height:1.5pt" o:hralign="center" o:hrstd="t" o:hr="t" fillcolor="#a0a0a0" stroked="f"/>
        </w:pict>
      </w:r>
    </w:p>
    <w:p w:rsidR="00000000" w:rsidRDefault="007557F0">
      <w:pPr>
        <w:jc w:val="both"/>
        <w:divId w:val="1225141898"/>
        <w:rPr>
          <w:rFonts w:eastAsia="Times New Roman"/>
        </w:rPr>
      </w:pPr>
    </w:p>
    <w:p w:rsidR="00000000" w:rsidRDefault="007557F0">
      <w:pPr>
        <w:jc w:val="both"/>
        <w:divId w:val="817768589"/>
        <w:rPr>
          <w:rFonts w:eastAsia="Times New Roman"/>
        </w:rPr>
      </w:pPr>
      <w:r>
        <w:rPr>
          <w:rFonts w:ascii="Arial" w:eastAsia="Times New Roman" w:hAnsi="Arial" w:cs="Arial"/>
          <w:color w:val="000000"/>
          <w:sz w:val="20"/>
          <w:szCs w:val="20"/>
        </w:rPr>
        <w:t>was primarily driven by the decrease in disinfection-related work orders, which have higher margins, and contract and service mix.</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7"/>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6"/>
        <w:gridCol w:w="1061"/>
        <w:gridCol w:w="36"/>
      </w:tblGrid>
      <w:tr w:rsidR="00000000">
        <w:trPr>
          <w:divId w:val="34932238"/>
          <w:jc w:val="center"/>
        </w:trPr>
        <w:tc>
          <w:tcPr>
            <w:tcW w:w="50" w:type="pct"/>
            <w:vAlign w:val="center"/>
            <w:hideMark/>
          </w:tcPr>
          <w:p w:rsidR="00000000" w:rsidRDefault="007557F0">
            <w:pPr>
              <w:jc w:val="both"/>
              <w:rPr>
                <w:rFonts w:eastAsia="Times New Roman"/>
              </w:rPr>
            </w:pPr>
          </w:p>
        </w:tc>
        <w:tc>
          <w:tcPr>
            <w:tcW w:w="17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34932238"/>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i/>
                <w:iCs/>
                <w:color w:val="0046AD"/>
                <w:sz w:val="18"/>
                <w:szCs w:val="18"/>
              </w:rPr>
              <w:t>Manufacturing &amp; Distribution</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34932238"/>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34932238"/>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34932238"/>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380.5 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359.1 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6.0%</w:t>
            </w:r>
          </w:p>
        </w:tc>
      </w:tr>
      <w:tr w:rsidR="00000000">
        <w:trPr>
          <w:divId w:val="34932238"/>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40.9 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0.6%</w:t>
            </w:r>
          </w:p>
        </w:tc>
      </w:tr>
      <w:tr w:rsidR="00000000">
        <w:trPr>
          <w:divId w:val="34932238"/>
          <w:jc w:val="center"/>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10.7 </w:t>
            </w:r>
          </w:p>
        </w:tc>
        <w:tc>
          <w:tcPr>
            <w:tcW w:w="0" w:type="auto"/>
            <w:shd w:val="clear" w:color="auto" w:fill="DCE2E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11.3 </w:t>
            </w:r>
          </w:p>
        </w:tc>
        <w:tc>
          <w:tcPr>
            <w:tcW w:w="0" w:type="auto"/>
            <w:shd w:val="clear" w:color="auto" w:fill="DCE2E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(58) bps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1568109457"/>
        <w:rPr>
          <w:rFonts w:eastAsia="Times New Roman"/>
        </w:rPr>
      </w:pPr>
      <w:r>
        <w:rPr>
          <w:rFonts w:ascii="Arial" w:eastAsia="Times New Roman" w:hAnsi="Arial" w:cs="Arial"/>
          <w:color w:val="000000"/>
          <w:sz w:val="20"/>
          <w:szCs w:val="20"/>
        </w:rPr>
        <w:t>M&amp;</w:t>
      </w:r>
      <w:r>
        <w:rPr>
          <w:rFonts w:ascii="Arial" w:eastAsia="Times New Roman" w:hAnsi="Arial" w:cs="Arial"/>
          <w:color w:val="000000"/>
          <w:sz w:val="20"/>
          <w:szCs w:val="20"/>
        </w:rPr>
        <w:t xml:space="preserve">D revenues increased by $21.4 million, or 6.0%, to $380.5 million during the three months ended January 31, 2023, as compared to the prior year period. The increase was primarily attributable to the expansion of business with existing customers as well as </w:t>
      </w:r>
      <w:r>
        <w:rPr>
          <w:rFonts w:ascii="Arial" w:eastAsia="Times New Roman" w:hAnsi="Arial" w:cs="Arial"/>
          <w:color w:val="000000"/>
          <w:sz w:val="20"/>
          <w:szCs w:val="20"/>
        </w:rPr>
        <w:t xml:space="preserve">new business led by customers in life sciences and semiconductor manufacturing industries, partially offset by a decrease in work orders for disinfection-related demands. </w:t>
      </w:r>
    </w:p>
    <w:p w:rsidR="00000000" w:rsidRDefault="007557F0">
      <w:pPr>
        <w:ind w:firstLine="720"/>
        <w:jc w:val="both"/>
        <w:divId w:val="1047336449"/>
        <w:rPr>
          <w:rFonts w:eastAsia="Times New Roman"/>
        </w:rPr>
      </w:pPr>
      <w:r>
        <w:rPr>
          <w:rFonts w:ascii="Arial" w:eastAsia="Times New Roman" w:hAnsi="Arial" w:cs="Arial"/>
          <w:color w:val="000000"/>
          <w:sz w:val="20"/>
          <w:szCs w:val="20"/>
        </w:rPr>
        <w:t>Operating profit increased by $0.2 million, or 0.6%, to $40.9 million during the three months ended January 31, 2023, as compared to the prior year period. Operating profit margin decreased by 58 bps to 10.7% in the three months ended January 31, 2023, fro</w:t>
      </w:r>
      <w:r>
        <w:rPr>
          <w:rFonts w:ascii="Arial" w:eastAsia="Times New Roman" w:hAnsi="Arial" w:cs="Arial"/>
          <w:color w:val="000000"/>
          <w:sz w:val="20"/>
          <w:szCs w:val="20"/>
        </w:rPr>
        <w:t>m 11.3% in the prior year period. The decrease in operating profit margin was primarily attributable to the decrease in disinfection-related work orders, which have higher margins, and contract mix.</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trPr>
          <w:divId w:val="1649479153"/>
          <w:jc w:val="center"/>
        </w:trPr>
        <w:tc>
          <w:tcPr>
            <w:tcW w:w="50" w:type="pct"/>
            <w:vAlign w:val="center"/>
            <w:hideMark/>
          </w:tcPr>
          <w:p w:rsidR="00000000" w:rsidRDefault="007557F0">
            <w:pPr>
              <w:ind w:firstLine="720"/>
              <w:jc w:val="both"/>
              <w:rPr>
                <w:rFonts w:eastAsia="Times New Roman"/>
              </w:rPr>
            </w:pPr>
          </w:p>
        </w:tc>
        <w:tc>
          <w:tcPr>
            <w:tcW w:w="17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649479153"/>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i/>
                <w:iCs/>
                <w:color w:val="0046AD"/>
                <w:sz w:val="18"/>
                <w:szCs w:val="18"/>
              </w:rPr>
              <w:t>Education</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649479153"/>
          <w:jc w:val="center"/>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649479153"/>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649479153"/>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214.9 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205.7 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4.5%</w:t>
            </w:r>
          </w:p>
        </w:tc>
      </w:tr>
      <w:tr w:rsidR="00000000">
        <w:trPr>
          <w:divId w:val="1649479153"/>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11.8 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12.6 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(0.8)</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(6.3)%</w:t>
            </w:r>
          </w:p>
        </w:tc>
      </w:tr>
      <w:tr w:rsidR="00000000">
        <w:trPr>
          <w:divId w:val="1649479153"/>
          <w:jc w:val="center"/>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5.5 </w:t>
            </w:r>
          </w:p>
        </w:tc>
        <w:tc>
          <w:tcPr>
            <w:tcW w:w="0" w:type="auto"/>
            <w:shd w:val="clear" w:color="auto" w:fill="DCE2E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6.1 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(63) bps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649479153"/>
          <w:jc w:val="center"/>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divId w:val="1649479153"/>
          <w:jc w:val="center"/>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bl>
    <w:p w:rsidR="00000000" w:rsidRDefault="007557F0">
      <w:pPr>
        <w:ind w:firstLine="720"/>
        <w:jc w:val="both"/>
        <w:divId w:val="1648824383"/>
        <w:rPr>
          <w:rFonts w:eastAsia="Times New Roman"/>
        </w:rPr>
      </w:pPr>
      <w:r>
        <w:rPr>
          <w:rFonts w:ascii="Arial" w:eastAsia="Times New Roman" w:hAnsi="Arial" w:cs="Arial"/>
          <w:color w:val="000000"/>
          <w:sz w:val="20"/>
          <w:szCs w:val="20"/>
        </w:rPr>
        <w:t>Education revenues increased by $9.2 million, or 4.5%, to $214.9 million during the three months ended January 31, 2023, as compared to the prior year period. The increase was primarily attributable to net new business partially offset by a decrease in wor</w:t>
      </w:r>
      <w:r>
        <w:rPr>
          <w:rFonts w:ascii="Arial" w:eastAsia="Times New Roman" w:hAnsi="Arial" w:cs="Arial"/>
          <w:color w:val="000000"/>
          <w:sz w:val="20"/>
          <w:szCs w:val="20"/>
        </w:rPr>
        <w:t xml:space="preserve">k orders for disinfection-related demands. </w:t>
      </w:r>
    </w:p>
    <w:p w:rsidR="00000000" w:rsidRDefault="007557F0">
      <w:pPr>
        <w:ind w:firstLine="720"/>
        <w:jc w:val="both"/>
        <w:divId w:val="1027560618"/>
        <w:rPr>
          <w:rFonts w:eastAsia="Times New Roman"/>
        </w:rPr>
      </w:pPr>
      <w:r>
        <w:rPr>
          <w:rFonts w:ascii="Arial" w:eastAsia="Times New Roman" w:hAnsi="Arial" w:cs="Arial"/>
          <w:color w:val="000000"/>
          <w:sz w:val="20"/>
          <w:szCs w:val="20"/>
        </w:rPr>
        <w:t xml:space="preserve">Operating profit decreased by $0.8 million, or 6.3%, to $11.8 million for the three months ended January 31, 2023, as compared to the prior year period. Operating profit margin decreased by 63 bps to 5.5% in the </w:t>
      </w:r>
      <w:r>
        <w:rPr>
          <w:rFonts w:ascii="Arial" w:eastAsia="Times New Roman" w:hAnsi="Arial" w:cs="Arial"/>
          <w:color w:val="000000"/>
          <w:sz w:val="20"/>
          <w:szCs w:val="20"/>
        </w:rPr>
        <w:t>three months ended January 31, 2023, from 6.1% in the prior year period. The decrease in operating margin was primarily attributable to an increase in start-up supplies to support new business growth and increase in direct labor and related costs. Operatin</w:t>
      </w:r>
      <w:r>
        <w:rPr>
          <w:rFonts w:ascii="Arial" w:eastAsia="Times New Roman" w:hAnsi="Arial" w:cs="Arial"/>
          <w:color w:val="000000"/>
          <w:sz w:val="20"/>
          <w:szCs w:val="20"/>
        </w:rPr>
        <w:t>g margin was positively impacted by lower amortization of intangible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745"/>
        <w:gridCol w:w="37"/>
        <w:gridCol w:w="121"/>
        <w:gridCol w:w="1140"/>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trPr>
          <w:divId w:val="1511094983"/>
          <w:jc w:val="center"/>
        </w:trPr>
        <w:tc>
          <w:tcPr>
            <w:tcW w:w="50" w:type="pct"/>
            <w:vAlign w:val="center"/>
            <w:hideMark/>
          </w:tcPr>
          <w:p w:rsidR="00000000" w:rsidRDefault="007557F0">
            <w:pPr>
              <w:ind w:firstLine="720"/>
              <w:jc w:val="both"/>
              <w:rPr>
                <w:rFonts w:eastAsia="Times New Roman"/>
              </w:rPr>
            </w:pPr>
          </w:p>
        </w:tc>
        <w:tc>
          <w:tcPr>
            <w:tcW w:w="17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511094983"/>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i/>
                <w:iCs/>
                <w:color w:val="0046AD"/>
                <w:sz w:val="18"/>
                <w:szCs w:val="18"/>
              </w:rPr>
              <w:t xml:space="preserve">Aviation </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511094983"/>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1511094983"/>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511094983"/>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212.3 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200.3 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6.0%</w:t>
            </w:r>
          </w:p>
        </w:tc>
      </w:tr>
      <w:tr w:rsidR="00000000">
        <w:trPr>
          <w:divId w:val="1511094983"/>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8.9 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(7.2)%</w:t>
            </w:r>
          </w:p>
        </w:tc>
      </w:tr>
      <w:tr w:rsidR="00000000">
        <w:trPr>
          <w:divId w:val="1511094983"/>
          <w:jc w:val="center"/>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3.9 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4.4 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(55) bps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1503737392"/>
        <w:rPr>
          <w:rFonts w:eastAsia="Times New Roman"/>
        </w:rPr>
      </w:pPr>
      <w:r>
        <w:rPr>
          <w:rFonts w:ascii="Arial" w:eastAsia="Times New Roman" w:hAnsi="Arial" w:cs="Arial"/>
          <w:color w:val="000000"/>
          <w:sz w:val="20"/>
          <w:szCs w:val="20"/>
        </w:rPr>
        <w:t>Aviation revenues increased by $12.0 million, or 6.0%, to $212.3 million during the three months ended January 31, 2023, as compared to the prior year period. The increase was primarily attributable to a recovery in consumer and business travel (both domes</w:t>
      </w:r>
      <w:r>
        <w:rPr>
          <w:rFonts w:ascii="Arial" w:eastAsia="Times New Roman" w:hAnsi="Arial" w:cs="Arial"/>
          <w:color w:val="000000"/>
          <w:sz w:val="20"/>
          <w:szCs w:val="20"/>
        </w:rPr>
        <w:t xml:space="preserve">tic and international). Management reimbursement revenues for this segment totaled $7.9 million and $12.3 million for the three months ended January 31, 2023 and 2022, respectively. </w:t>
      </w:r>
    </w:p>
    <w:p w:rsidR="00000000" w:rsidRDefault="007557F0">
      <w:pPr>
        <w:ind w:firstLine="720"/>
        <w:jc w:val="both"/>
        <w:divId w:val="1752312522"/>
        <w:rPr>
          <w:rFonts w:eastAsia="Times New Roman"/>
        </w:rPr>
      </w:pPr>
      <w:r>
        <w:rPr>
          <w:rFonts w:ascii="Arial" w:eastAsia="Times New Roman" w:hAnsi="Arial" w:cs="Arial"/>
          <w:color w:val="000000"/>
          <w:sz w:val="20"/>
          <w:szCs w:val="20"/>
        </w:rPr>
        <w:t>Operating profit decreased by $0.6 million, or 7.2%, to $8.3 million during the three months ended January 31, 2023, as compared to the prior year period. Operating margin decreased by 55 bps to 3.9% in the three months ended January 31, 2023, from 4.4% in</w:t>
      </w:r>
      <w:r>
        <w:rPr>
          <w:rFonts w:ascii="Arial" w:eastAsia="Times New Roman" w:hAnsi="Arial" w:cs="Arial"/>
          <w:color w:val="000000"/>
          <w:sz w:val="20"/>
          <w:szCs w:val="20"/>
        </w:rPr>
        <w:t xml:space="preserve"> the three months ended January 31, 2022. The decrease was primarily attributable to an increase in direct labor and related costs due to increased wages and headcount as travel continues to recover. </w:t>
      </w:r>
    </w:p>
    <w:p w:rsidR="00000000" w:rsidRDefault="007557F0">
      <w:pPr>
        <w:jc w:val="center"/>
        <w:divId w:val="204021874"/>
        <w:rPr>
          <w:rFonts w:eastAsia="Times New Roman"/>
        </w:rPr>
      </w:pPr>
      <w:r>
        <w:rPr>
          <w:rFonts w:ascii="Arial" w:eastAsia="Times New Roman" w:hAnsi="Arial" w:cs="Arial"/>
          <w:color w:val="000000"/>
          <w:sz w:val="20"/>
          <w:szCs w:val="20"/>
        </w:rPr>
        <w:t>29</w:t>
      </w:r>
    </w:p>
    <w:p w:rsidR="00000000" w:rsidRDefault="007557F0">
      <w:pPr>
        <w:rPr>
          <w:rFonts w:eastAsia="Times New Roman"/>
        </w:rPr>
      </w:pPr>
      <w:r>
        <w:rPr>
          <w:rFonts w:eastAsia="Times New Roman"/>
        </w:rPr>
        <w:pict>
          <v:rect id="_x0000_i1063" style="width:0;height:1.5pt" o:hralign="center" o:hrstd="t" o:hr="t" fillcolor="#a0a0a0" stroked="f"/>
        </w:pict>
      </w:r>
    </w:p>
    <w:p w:rsidR="00000000" w:rsidRDefault="007557F0">
      <w:pPr>
        <w:jc w:val="both"/>
        <w:divId w:val="167675845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43"/>
        <w:gridCol w:w="1054"/>
        <w:gridCol w:w="37"/>
      </w:tblGrid>
      <w:tr w:rsidR="00000000">
        <w:trPr>
          <w:divId w:val="585266844"/>
          <w:jc w:val="center"/>
        </w:trPr>
        <w:tc>
          <w:tcPr>
            <w:tcW w:w="50" w:type="pct"/>
            <w:vAlign w:val="center"/>
            <w:hideMark/>
          </w:tcPr>
          <w:p w:rsidR="00000000" w:rsidRDefault="007557F0">
            <w:pPr>
              <w:jc w:val="both"/>
              <w:rPr>
                <w:rFonts w:eastAsia="Times New Roman"/>
              </w:rPr>
            </w:pPr>
          </w:p>
        </w:tc>
        <w:tc>
          <w:tcPr>
            <w:tcW w:w="17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585266844"/>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i/>
                <w:iCs/>
                <w:color w:val="0046AD"/>
                <w:sz w:val="18"/>
                <w:szCs w:val="18"/>
              </w:rPr>
              <w:t>Technical Solutions</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585266844"/>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585266844"/>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585266844"/>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147.0 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141.8 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3.7%</w:t>
            </w:r>
          </w:p>
        </w:tc>
      </w:tr>
      <w:tr w:rsidR="00000000">
        <w:trPr>
          <w:divId w:val="585266844"/>
          <w:jc w:val="center"/>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xml:space="preserve">Operating profit </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7.2 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16.9 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(9.7)</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(57.3)%</w:t>
            </w:r>
          </w:p>
        </w:tc>
      </w:tr>
      <w:tr w:rsidR="00000000">
        <w:trPr>
          <w:divId w:val="585266844"/>
          <w:jc w:val="center"/>
        </w:trPr>
        <w:tc>
          <w:tcPr>
            <w:tcW w:w="0" w:type="auto"/>
            <w:gridSpan w:val="3"/>
            <w:shd w:val="clear" w:color="auto" w:fill="DCE2EF"/>
            <w:tcMar>
              <w:top w:w="30" w:type="dxa"/>
              <w:left w:w="155"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4.9 </w:t>
            </w:r>
          </w:p>
        </w:tc>
        <w:tc>
          <w:tcPr>
            <w:tcW w:w="0" w:type="auto"/>
            <w:shd w:val="clear" w:color="auto" w:fill="DCE2EF"/>
            <w:tcMar>
              <w:top w:w="30" w:type="dxa"/>
              <w:left w:w="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11.9 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jc w:val="right"/>
              <w:rPr>
                <w:rFonts w:eastAsia="Times New Roman"/>
              </w:rPr>
            </w:pPr>
            <w:r>
              <w:rPr>
                <w:rFonts w:ascii="Arial" w:eastAsia="Times New Roman" w:hAnsi="Arial" w:cs="Arial"/>
                <w:i/>
                <w:iCs/>
                <w:color w:val="000000"/>
                <w:sz w:val="16"/>
                <w:szCs w:val="16"/>
              </w:rPr>
              <w:t>(699) bps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2037461498"/>
        <w:rPr>
          <w:rFonts w:eastAsia="Times New Roman"/>
        </w:rPr>
      </w:pPr>
      <w:r>
        <w:rPr>
          <w:rFonts w:ascii="Arial" w:eastAsia="Times New Roman" w:hAnsi="Arial" w:cs="Arial"/>
          <w:color w:val="000000"/>
          <w:sz w:val="20"/>
          <w:szCs w:val="20"/>
        </w:rPr>
        <w:t>Technical Solutions revenues increased by $5.2 million, or 3.7%, to $147.0 million during the three months ended January 31, 2023, as compared to the prior year period. Revenue growth was comprised of acquisition growth of 12.9% offset by an organic decrea</w:t>
      </w:r>
      <w:r>
        <w:rPr>
          <w:rFonts w:ascii="Arial" w:eastAsia="Times New Roman" w:hAnsi="Arial" w:cs="Arial"/>
          <w:color w:val="000000"/>
          <w:sz w:val="20"/>
          <w:szCs w:val="20"/>
        </w:rPr>
        <w:t>se of 9.2%. Acquisition growth was driven by an $18.3 million revenue increase from the RavenVolt Acquisition, completed in the fourth quarter of 2022. The organic revenue decrease was primarily driven by the decline in electric vehicle charging station in</w:t>
      </w:r>
      <w:r>
        <w:rPr>
          <w:rFonts w:ascii="Arial" w:eastAsia="Times New Roman" w:hAnsi="Arial" w:cs="Arial"/>
          <w:color w:val="000000"/>
          <w:sz w:val="20"/>
          <w:szCs w:val="20"/>
        </w:rPr>
        <w:t>stallation sales as well as the sale of a group of customer contracts related to healthcare technology management services in the first quarter of 2022.</w:t>
      </w:r>
    </w:p>
    <w:p w:rsidR="00000000" w:rsidRDefault="007557F0">
      <w:pPr>
        <w:ind w:firstLine="720"/>
        <w:jc w:val="both"/>
        <w:divId w:val="1506433786"/>
        <w:rPr>
          <w:rFonts w:eastAsia="Times New Roman"/>
        </w:rPr>
      </w:pPr>
      <w:r>
        <w:rPr>
          <w:rFonts w:ascii="Arial" w:eastAsia="Times New Roman" w:hAnsi="Arial" w:cs="Arial"/>
          <w:color w:val="000000"/>
          <w:sz w:val="20"/>
          <w:szCs w:val="20"/>
        </w:rPr>
        <w:t>Operating profit decreased $9.7 million, or 57.3%, to $7.2 million during the three months ended January 31, 2023, as compared to the prior year period. Operating margin decreased by 699 bps to 4.9% in the three months ended January 31, 2023, from 11.9% in</w:t>
      </w:r>
      <w:r>
        <w:rPr>
          <w:rFonts w:ascii="Arial" w:eastAsia="Times New Roman" w:hAnsi="Arial" w:cs="Arial"/>
          <w:color w:val="000000"/>
          <w:sz w:val="20"/>
          <w:szCs w:val="20"/>
        </w:rPr>
        <w:t xml:space="preserve"> the prior year period. The decrease in operating margin was primarily attributable to the absence of the $7.7 million gain on sale of the group of customer contracts related to healthcare technology management services, unfavorable impact of supply chain </w:t>
      </w:r>
      <w:r>
        <w:rPr>
          <w:rFonts w:ascii="Arial" w:eastAsia="Times New Roman" w:hAnsi="Arial" w:cs="Arial"/>
          <w:color w:val="000000"/>
          <w:sz w:val="20"/>
          <w:szCs w:val="20"/>
        </w:rPr>
        <w:t>equipment delays, and the $3.1 million amortization of intangibles related to RavenVolt.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794"/>
        <w:gridCol w:w="36"/>
        <w:gridCol w:w="121"/>
        <w:gridCol w:w="1166"/>
        <w:gridCol w:w="36"/>
        <w:gridCol w:w="36"/>
        <w:gridCol w:w="36"/>
        <w:gridCol w:w="36"/>
        <w:gridCol w:w="121"/>
        <w:gridCol w:w="1131"/>
        <w:gridCol w:w="36"/>
        <w:gridCol w:w="36"/>
        <w:gridCol w:w="36"/>
        <w:gridCol w:w="36"/>
        <w:gridCol w:w="121"/>
        <w:gridCol w:w="1132"/>
        <w:gridCol w:w="36"/>
        <w:gridCol w:w="36"/>
        <w:gridCol w:w="36"/>
        <w:gridCol w:w="36"/>
        <w:gridCol w:w="43"/>
        <w:gridCol w:w="1132"/>
        <w:gridCol w:w="36"/>
      </w:tblGrid>
      <w:tr w:rsidR="00000000">
        <w:trPr>
          <w:divId w:val="2009013884"/>
          <w:jc w:val="center"/>
        </w:trPr>
        <w:tc>
          <w:tcPr>
            <w:tcW w:w="50" w:type="pct"/>
            <w:vAlign w:val="center"/>
            <w:hideMark/>
          </w:tcPr>
          <w:p w:rsidR="00000000" w:rsidRDefault="007557F0">
            <w:pPr>
              <w:ind w:firstLine="720"/>
              <w:jc w:val="both"/>
              <w:rPr>
                <w:rFonts w:eastAsia="Times New Roman"/>
              </w:rPr>
            </w:pPr>
          </w:p>
        </w:tc>
        <w:tc>
          <w:tcPr>
            <w:tcW w:w="17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2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2009013884"/>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b/>
                <w:bCs/>
                <w:i/>
                <w:iCs/>
                <w:color w:val="0046AD"/>
                <w:sz w:val="18"/>
                <w:szCs w:val="18"/>
              </w:rPr>
              <w:t>Corporate</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2009013884"/>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divId w:val="2009013884"/>
          <w:jc w:val="center"/>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2009013884"/>
          <w:jc w:val="center"/>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(71.5)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(55.8)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(15.7)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color w:val="000000"/>
                <w:sz w:val="18"/>
                <w:szCs w:val="18"/>
              </w:rPr>
              <w:t>(28.2)%</w:t>
            </w:r>
          </w:p>
        </w:tc>
      </w:tr>
    </w:tbl>
    <w:p w:rsidR="00000000" w:rsidRDefault="007557F0">
      <w:pPr>
        <w:ind w:firstLine="720"/>
        <w:jc w:val="both"/>
        <w:divId w:val="84806089"/>
        <w:rPr>
          <w:rFonts w:eastAsia="Times New Roman"/>
        </w:rPr>
      </w:pPr>
      <w:r>
        <w:rPr>
          <w:rFonts w:ascii="Arial" w:eastAsia="Times New Roman" w:hAnsi="Arial" w:cs="Arial"/>
          <w:color w:val="000000"/>
          <w:sz w:val="20"/>
          <w:szCs w:val="20"/>
        </w:rPr>
        <w:t xml:space="preserve">Corporate expenses increased by $15.7 million, or 28.2%, to $71.5 million during the three months ended January 31, 2023, as compared to the prior year period. The </w:t>
      </w:r>
      <w:r>
        <w:rPr>
          <w:rFonts w:ascii="Arial" w:eastAsia="Times New Roman" w:hAnsi="Arial" w:cs="Arial"/>
          <w:color w:val="000000"/>
          <w:sz w:val="20"/>
          <w:szCs w:val="20"/>
        </w:rPr>
        <w:t>increase in corporate expenses was primarily attributable to:</w:t>
      </w:r>
    </w:p>
    <w:p w:rsidR="00000000" w:rsidRDefault="007557F0">
      <w:pPr>
        <w:ind w:hanging="360"/>
        <w:divId w:val="208117212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absence of a $25.2 million favorable self-insurance reserve adjustments from actuarial evaluations completed in the three months ended January 31, 2022; and</w:t>
      </w:r>
    </w:p>
    <w:p w:rsidR="00000000" w:rsidRDefault="007557F0">
      <w:pPr>
        <w:ind w:hanging="360"/>
        <w:jc w:val="both"/>
        <w:divId w:val="133322153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$5.7 million increase in certain technology projects primarily attributable to discrete tran</w:t>
      </w:r>
      <w:r>
        <w:rPr>
          <w:rFonts w:ascii="Arial" w:eastAsia="Times New Roman" w:hAnsi="Arial" w:cs="Arial"/>
          <w:color w:val="000000"/>
          <w:sz w:val="20"/>
          <w:szCs w:val="20"/>
        </w:rPr>
        <w:t xml:space="preserve">sformational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 for developing the new ERP system, client-facing technology, workforce management tools, and data analytics.</w:t>
      </w:r>
    </w:p>
    <w:p w:rsidR="00000000" w:rsidRDefault="007557F0">
      <w:pPr>
        <w:jc w:val="both"/>
        <w:divId w:val="2040623221"/>
        <w:rPr>
          <w:rFonts w:eastAsia="Times New Roman"/>
        </w:rPr>
      </w:pPr>
      <w:r>
        <w:rPr>
          <w:rFonts w:ascii="Arial" w:eastAsia="Times New Roman" w:hAnsi="Arial" w:cs="Arial"/>
          <w:color w:val="000000"/>
          <w:sz w:val="20"/>
          <w:szCs w:val="20"/>
        </w:rPr>
        <w:t>This increase was partially offset by:</w:t>
      </w:r>
    </w:p>
    <w:p w:rsidR="00000000" w:rsidRDefault="007557F0">
      <w:pPr>
        <w:ind w:hanging="360"/>
        <w:jc w:val="both"/>
        <w:divId w:val="169341327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$5.8 million decrease in acquisition and integration costs </w:t>
      </w:r>
      <w:r>
        <w:rPr>
          <w:rFonts w:ascii="Arial" w:eastAsia="Times New Roman" w:hAnsi="Arial" w:cs="Arial"/>
          <w:color w:val="000000"/>
          <w:sz w:val="20"/>
          <w:szCs w:val="20"/>
        </w:rPr>
        <w:t>related to the Able Acquisition, completed on September 30, 2021;</w:t>
      </w:r>
    </w:p>
    <w:p w:rsidR="00000000" w:rsidRDefault="007557F0">
      <w:pPr>
        <w:ind w:hanging="360"/>
        <w:jc w:val="both"/>
        <w:divId w:val="14648351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$4.5 million decrease in compensation and related expenses primarily due to year-end compensation true-up for certain incentive plans and lower share-based compensation expense;</w:t>
      </w:r>
    </w:p>
    <w:p w:rsidR="00000000" w:rsidRDefault="007557F0">
      <w:pPr>
        <w:ind w:hanging="360"/>
        <w:jc w:val="both"/>
        <w:divId w:val="1206675813"/>
        <w:rPr>
          <w:rFonts w:eastAsia="Times New Roman"/>
        </w:rPr>
      </w:pPr>
      <w:r>
        <w:rPr>
          <w:rFonts w:ascii="Arial" w:eastAsia="Times New Roman" w:hAnsi="Arial" w:cs="Arial"/>
          <w:color w:val="000000"/>
          <w:sz w:val="20"/>
          <w:szCs w:val="20"/>
        </w:rPr>
        <w:t>•a $3.3 m</w:t>
      </w:r>
      <w:r>
        <w:rPr>
          <w:rFonts w:ascii="Arial" w:eastAsia="Times New Roman" w:hAnsi="Arial" w:cs="Arial"/>
          <w:color w:val="000000"/>
          <w:sz w:val="20"/>
          <w:szCs w:val="20"/>
        </w:rPr>
        <w:t>illion decrease in outside professional costs; and</w:t>
      </w:r>
    </w:p>
    <w:p w:rsidR="00000000" w:rsidRDefault="007557F0">
      <w:pPr>
        <w:ind w:hanging="360"/>
        <w:jc w:val="both"/>
        <w:divId w:val="186616440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$1.3 million decrease in legal costs and settlements, of which $1.8 million was attributed to a certain legal reserve during the three months ended January 31, 2022.</w:t>
      </w:r>
    </w:p>
    <w:p w:rsidR="00000000" w:rsidRDefault="007557F0">
      <w:pPr>
        <w:divId w:val="1162425053"/>
        <w:rPr>
          <w:rFonts w:eastAsia="Times New Roman"/>
        </w:rPr>
      </w:pPr>
      <w:r>
        <w:rPr>
          <w:rFonts w:ascii="Arial" w:eastAsia="Times New Roman" w:hAnsi="Arial" w:cs="Arial"/>
          <w:b/>
          <w:bCs/>
          <w:color w:val="0046AD"/>
          <w:sz w:val="20"/>
          <w:szCs w:val="20"/>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870995265"/>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870995265"/>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1305165043"/>
        <w:rPr>
          <w:rFonts w:eastAsia="Times New Roman"/>
        </w:rPr>
      </w:pPr>
      <w:r>
        <w:rPr>
          <w:rFonts w:ascii="Arial" w:eastAsia="Times New Roman" w:hAnsi="Arial" w:cs="Arial"/>
          <w:color w:val="000000"/>
          <w:sz w:val="20"/>
          <w:szCs w:val="20"/>
        </w:rPr>
        <w:t>Our primary sources of liquidity are operating cash flows and borrowing capacity under our Amended Credit Facility and Receivables Facility. We assess our liquidity in terms of our ability to generate cash to fund our short- and long-term cash requirements</w:t>
      </w:r>
      <w:r>
        <w:rPr>
          <w:rFonts w:ascii="Arial" w:eastAsia="Times New Roman" w:hAnsi="Arial" w:cs="Arial"/>
          <w:color w:val="000000"/>
          <w:sz w:val="20"/>
          <w:szCs w:val="20"/>
        </w:rPr>
        <w:t xml:space="preserve">. As such, we project our anticipated cash requirements as well as cash flows generated from operating activities to meet those needs. </w:t>
      </w:r>
    </w:p>
    <w:p w:rsidR="00000000" w:rsidRDefault="007557F0">
      <w:pPr>
        <w:jc w:val="center"/>
        <w:divId w:val="1160267156"/>
        <w:rPr>
          <w:rFonts w:eastAsia="Times New Roman"/>
        </w:rPr>
      </w:pPr>
      <w:r>
        <w:rPr>
          <w:rFonts w:ascii="Arial" w:eastAsia="Times New Roman" w:hAnsi="Arial" w:cs="Arial"/>
          <w:color w:val="000000"/>
          <w:sz w:val="20"/>
          <w:szCs w:val="20"/>
        </w:rPr>
        <w:t>30</w:t>
      </w:r>
    </w:p>
    <w:p w:rsidR="00000000" w:rsidRDefault="007557F0">
      <w:pPr>
        <w:rPr>
          <w:rFonts w:eastAsia="Times New Roman"/>
        </w:rPr>
      </w:pPr>
      <w:r>
        <w:rPr>
          <w:rFonts w:eastAsia="Times New Roman"/>
        </w:rPr>
        <w:pict>
          <v:rect id="_x0000_i1064" style="width:0;height:1.5pt" o:hralign="center" o:hrstd="t" o:hr="t" fillcolor="#a0a0a0" stroked="f"/>
        </w:pict>
      </w:r>
    </w:p>
    <w:p w:rsidR="00000000" w:rsidRDefault="007557F0">
      <w:pPr>
        <w:jc w:val="both"/>
        <w:divId w:val="207032622"/>
        <w:rPr>
          <w:rFonts w:eastAsia="Times New Roman"/>
        </w:rPr>
      </w:pPr>
    </w:p>
    <w:p w:rsidR="00000000" w:rsidRDefault="007557F0">
      <w:pPr>
        <w:ind w:firstLine="720"/>
        <w:jc w:val="both"/>
        <w:divId w:val="1876427185"/>
        <w:rPr>
          <w:rFonts w:eastAsia="Times New Roman"/>
        </w:rPr>
      </w:pPr>
      <w:r>
        <w:rPr>
          <w:rFonts w:ascii="Arial" w:eastAsia="Times New Roman" w:hAnsi="Arial" w:cs="Arial"/>
          <w:color w:val="000000"/>
          <w:sz w:val="20"/>
          <w:szCs w:val="20"/>
        </w:rPr>
        <w:t>In addition to normal working capital requirements, we anticipate that our sho</w:t>
      </w:r>
      <w:r>
        <w:rPr>
          <w:rFonts w:ascii="Arial" w:eastAsia="Times New Roman" w:hAnsi="Arial" w:cs="Arial"/>
          <w:color w:val="000000"/>
          <w:sz w:val="20"/>
          <w:szCs w:val="20"/>
        </w:rPr>
        <w:t xml:space="preserve">rt- and long-term cash requirements will include funding legal settlements, insurance claims, dividend payments, capital expenditures, share repurchases, mandatory loan repayments, and systems and technology transformation initiatives under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w:t>
      </w:r>
      <w:r>
        <w:rPr>
          <w:rFonts w:ascii="Arial" w:eastAsia="Times New Roman" w:hAnsi="Arial" w:cs="Arial"/>
          <w:color w:val="000000"/>
          <w:sz w:val="20"/>
          <w:szCs w:val="20"/>
        </w:rPr>
        <w:t>ategy. We anticipate long-term cash uses may also include strategic acquisitions. On a long-term basis, we will continue to rely on our Amended Credit Facility for any long-term funding not provided by operating cash flows.</w:t>
      </w:r>
    </w:p>
    <w:p w:rsidR="00000000" w:rsidRDefault="007557F0">
      <w:pPr>
        <w:ind w:firstLine="720"/>
        <w:jc w:val="both"/>
        <w:divId w:val="1810170543"/>
        <w:rPr>
          <w:rFonts w:eastAsia="Times New Roman"/>
        </w:rPr>
      </w:pPr>
      <w:r>
        <w:rPr>
          <w:rFonts w:ascii="Arial" w:eastAsia="Times New Roman" w:hAnsi="Arial" w:cs="Arial"/>
          <w:color w:val="000000"/>
          <w:sz w:val="20"/>
          <w:szCs w:val="20"/>
        </w:rPr>
        <w:t>We believe that our operating ca</w:t>
      </w:r>
      <w:r>
        <w:rPr>
          <w:rFonts w:ascii="Arial" w:eastAsia="Times New Roman" w:hAnsi="Arial" w:cs="Arial"/>
          <w:color w:val="000000"/>
          <w:sz w:val="20"/>
          <w:szCs w:val="20"/>
        </w:rPr>
        <w:t>sh flows and borrowing capacity under our Amended Credit Facility and Receivables Facility are sufficient to fund our cash requirements for the next 12 months. In the event that our plans change or our cash requirements are greater than we anticipate, we m</w:t>
      </w:r>
      <w:r>
        <w:rPr>
          <w:rFonts w:ascii="Arial" w:eastAsia="Times New Roman" w:hAnsi="Arial" w:cs="Arial"/>
          <w:color w:val="000000"/>
          <w:sz w:val="20"/>
          <w:szCs w:val="20"/>
        </w:rPr>
        <w:t>ay need to access the capital markets to finance future cash requirements. However, there can be no assurance that such financing will be available to us should we need it or, if available, that the terms will be satisfactory to us and not dilutive to exis</w:t>
      </w:r>
      <w:r>
        <w:rPr>
          <w:rFonts w:ascii="Arial" w:eastAsia="Times New Roman" w:hAnsi="Arial" w:cs="Arial"/>
          <w:color w:val="000000"/>
          <w:sz w:val="20"/>
          <w:szCs w:val="20"/>
        </w:rPr>
        <w:t>ting shareholders.</w:t>
      </w:r>
    </w:p>
    <w:p w:rsidR="00000000" w:rsidRDefault="007557F0">
      <w:pPr>
        <w:ind w:firstLine="720"/>
        <w:jc w:val="both"/>
        <w:divId w:val="1875654241"/>
        <w:rPr>
          <w:rFonts w:eastAsia="Times New Roman"/>
        </w:rPr>
      </w:pPr>
      <w:r>
        <w:rPr>
          <w:rFonts w:ascii="Arial" w:eastAsia="Times New Roman" w:hAnsi="Arial" w:cs="Arial"/>
          <w:b/>
          <w:bCs/>
          <w:color w:val="0046AD"/>
          <w:sz w:val="20"/>
          <w:szCs w:val="20"/>
        </w:rPr>
        <w:t>Debt</w:t>
      </w:r>
    </w:p>
    <w:p w:rsidR="00000000" w:rsidRDefault="007557F0">
      <w:pPr>
        <w:ind w:firstLine="720"/>
        <w:jc w:val="both"/>
        <w:divId w:val="937446676"/>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consisting of a $900.0 million revolver and an $800.0 million amortiz</w:t>
      </w:r>
      <w:r>
        <w:rPr>
          <w:rFonts w:ascii="Arial" w:eastAsia="Times New Roman" w:hAnsi="Arial" w:cs="Arial"/>
          <w:color w:val="000000"/>
          <w:sz w:val="20"/>
          <w:szCs w:val="20"/>
        </w:rPr>
        <w:t>ing term loan, both of which were scheduled to mature on September 1, 2022. In accordance with terms of the Credit Facility, the revolver was reduced to $800.0 million on September 1, 2018.</w:t>
      </w:r>
    </w:p>
    <w:p w:rsidR="00000000" w:rsidRDefault="007557F0">
      <w:pPr>
        <w:ind w:firstLine="720"/>
        <w:jc w:val="both"/>
        <w:divId w:val="113251808"/>
        <w:rPr>
          <w:rFonts w:eastAsia="Times New Roman"/>
        </w:rPr>
      </w:pPr>
      <w:r>
        <w:rPr>
          <w:rFonts w:ascii="Arial" w:eastAsia="Times New Roman" w:hAnsi="Arial" w:cs="Arial"/>
          <w:color w:val="000000"/>
          <w:sz w:val="20"/>
          <w:szCs w:val="20"/>
        </w:rPr>
        <w:t>On June 28, 2021, the Company amended and restated the Credit Faci</w:t>
      </w:r>
      <w:r>
        <w:rPr>
          <w:rFonts w:ascii="Arial" w:eastAsia="Times New Roman" w:hAnsi="Arial" w:cs="Arial"/>
          <w:color w:val="000000"/>
          <w:sz w:val="20"/>
          <w:szCs w:val="20"/>
        </w:rPr>
        <w:t>lity, extending the maturity date to June 28, 2026, and increasing the capacity of the revolving credit facility from $800.0 million to $1.3 billion and the then-remaining term loan outstanding from $620.0 million to $650.0 million. The Amended Credit Faci</w:t>
      </w:r>
      <w:r>
        <w:rPr>
          <w:rFonts w:ascii="Arial" w:eastAsia="Times New Roman" w:hAnsi="Arial" w:cs="Arial"/>
          <w:color w:val="000000"/>
          <w:sz w:val="20"/>
          <w:szCs w:val="20"/>
        </w:rPr>
        <w:t>lity provides for the issuance of up to $350.0 million for standby letters of credit and the issuance of up to $75.0 million in swingline advances. The obligations under the Amended Credit Facility are secured on a first-priority basis by a lien on substan</w:t>
      </w:r>
      <w:r>
        <w:rPr>
          <w:rFonts w:ascii="Arial" w:eastAsia="Times New Roman" w:hAnsi="Arial" w:cs="Arial"/>
          <w:color w:val="000000"/>
          <w:sz w:val="20"/>
          <w:szCs w:val="20"/>
        </w:rPr>
        <w:t xml:space="preserve">tially all of our assets and properties, subject to certain exceptions. Additionally, we may repay amounts borrowed under the Amended Credit Facility at any time without penalty. </w:t>
      </w:r>
    </w:p>
    <w:p w:rsidR="00000000" w:rsidRDefault="007557F0">
      <w:pPr>
        <w:ind w:firstLine="720"/>
        <w:jc w:val="both"/>
        <w:divId w:val="1184126027"/>
        <w:rPr>
          <w:rFonts w:eastAsia="Times New Roman"/>
        </w:rPr>
      </w:pPr>
      <w:r>
        <w:rPr>
          <w:rFonts w:ascii="Arial" w:eastAsia="Times New Roman" w:hAnsi="Arial" w:cs="Arial"/>
          <w:color w:val="000000"/>
          <w:sz w:val="20"/>
          <w:szCs w:val="20"/>
        </w:rPr>
        <w:t xml:space="preserve">At November 1, 2022, we amended our Amended Credit Facility pursuant to the </w:t>
      </w:r>
      <w:r>
        <w:rPr>
          <w:rFonts w:ascii="Arial" w:eastAsia="Times New Roman" w:hAnsi="Arial" w:cs="Arial"/>
          <w:color w:val="000000"/>
          <w:sz w:val="20"/>
          <w:szCs w:val="20"/>
        </w:rPr>
        <w:t>LIBOR Transition Amendment and the Fifth Amendment to replace the benchmark rate at which U.S.-dollar-denominated borrowings bear interest from LIBOR to the forward-looking SOFR term rate administered by CME Group Benchmark Administration Limited. As a res</w:t>
      </w:r>
      <w:r>
        <w:rPr>
          <w:rFonts w:ascii="Arial" w:eastAsia="Times New Roman" w:hAnsi="Arial" w:cs="Arial"/>
          <w:color w:val="000000"/>
          <w:sz w:val="20"/>
          <w:szCs w:val="20"/>
        </w:rPr>
        <w:t xml:space="preserve">ult of these amendments, we can borrow at Term SOFR plus a credit spread adjustment of 0.10% subject to a floor of zero. </w:t>
      </w:r>
    </w:p>
    <w:p w:rsidR="00000000" w:rsidRDefault="007557F0">
      <w:pPr>
        <w:ind w:firstLine="720"/>
        <w:jc w:val="both"/>
        <w:divId w:val="1359547601"/>
        <w:rPr>
          <w:rFonts w:eastAsia="Times New Roman"/>
        </w:rPr>
      </w:pPr>
      <w:r>
        <w:rPr>
          <w:rFonts w:ascii="Arial" w:eastAsia="Times New Roman" w:hAnsi="Arial" w:cs="Arial"/>
          <w:color w:val="000000"/>
          <w:sz w:val="20"/>
          <w:szCs w:val="20"/>
        </w:rPr>
        <w:t>The Amended Credit Facility contains certain covenants, including a maximum total net leverage ratio of 5.00 to 1.00, a maximum secure</w:t>
      </w:r>
      <w:r>
        <w:rPr>
          <w:rFonts w:ascii="Arial" w:eastAsia="Times New Roman" w:hAnsi="Arial" w:cs="Arial"/>
          <w:color w:val="000000"/>
          <w:sz w:val="20"/>
          <w:szCs w:val="20"/>
        </w:rPr>
        <w:t>d net leverage ratio of 4.00 to 1.00, and a minimum interest coverage ratio of 1.50 to 1.00, as well as other financial and non-financial covenants. In the event of a material acquisition, as defined in the Amended Credit Facility, we may elect to increase</w:t>
      </w:r>
      <w:r>
        <w:rPr>
          <w:rFonts w:ascii="Arial" w:eastAsia="Times New Roman" w:hAnsi="Arial" w:cs="Arial"/>
          <w:color w:val="000000"/>
          <w:sz w:val="20"/>
          <w:szCs w:val="20"/>
        </w:rPr>
        <w:t xml:space="preserve"> the maximum total net leverage ratio to 5.50 to 1.00 for a total of four fiscal quarters and increase the maximum secured net leverage ratio to 4.50 to 1.00 for a total of four fiscal quarters. Our borrowing capacity is subject to, and limited by, complia</w:t>
      </w:r>
      <w:r>
        <w:rPr>
          <w:rFonts w:ascii="Arial" w:eastAsia="Times New Roman" w:hAnsi="Arial" w:cs="Arial"/>
          <w:color w:val="000000"/>
          <w:sz w:val="20"/>
          <w:szCs w:val="20"/>
        </w:rPr>
        <w:t>nce with the covenants described above. At January 31, 2023, we were in compliance with these covenants.</w:t>
      </w:r>
    </w:p>
    <w:p w:rsidR="00000000" w:rsidRDefault="007557F0">
      <w:pPr>
        <w:ind w:firstLine="720"/>
        <w:jc w:val="both"/>
        <w:divId w:val="709769697"/>
        <w:rPr>
          <w:rFonts w:eastAsia="Times New Roman"/>
        </w:rPr>
      </w:pPr>
      <w:r>
        <w:rPr>
          <w:rFonts w:ascii="Arial" w:eastAsia="Times New Roman" w:hAnsi="Arial" w:cs="Arial"/>
          <w:color w:val="000000"/>
          <w:sz w:val="20"/>
          <w:szCs w:val="20"/>
        </w:rPr>
        <w:t xml:space="preserve">On March 1, 2022, we entered into an uncommitted receivable repurchase facility (the “Receivables Facility”) of up to $150 million, which got extended </w:t>
      </w:r>
      <w:r>
        <w:rPr>
          <w:rFonts w:ascii="Arial" w:eastAsia="Times New Roman" w:hAnsi="Arial" w:cs="Arial"/>
          <w:color w:val="000000"/>
          <w:sz w:val="20"/>
          <w:szCs w:val="20"/>
        </w:rPr>
        <w:t>through March 30, 2023. The Receivables Facility allows the Company to sell a portfolio of available and eligible outstanding U.S. trade accounts receivable to a participating institution and simultaneously agree to repurchase them generally on a monthly b</w:t>
      </w:r>
      <w:r>
        <w:rPr>
          <w:rFonts w:ascii="Arial" w:eastAsia="Times New Roman" w:hAnsi="Arial" w:cs="Arial"/>
          <w:color w:val="000000"/>
          <w:sz w:val="20"/>
          <w:szCs w:val="20"/>
        </w:rPr>
        <w:t xml:space="preserve">asis. Under this arrangement, we make floating rate interest payments equal to the forward-looking term rate based on Secured Overnight Financing Rate (“SOFR”) plus 1.05%. These interest payments are payable monthly in arrears. The repurchase price of the </w:t>
      </w:r>
      <w:r>
        <w:rPr>
          <w:rFonts w:ascii="Arial" w:eastAsia="Times New Roman" w:hAnsi="Arial" w:cs="Arial"/>
          <w:color w:val="000000"/>
          <w:sz w:val="20"/>
          <w:szCs w:val="20"/>
        </w:rPr>
        <w:t>receivables in the facility is the original face value. Outstanding receivables must be repurchased on a date agreed upon by both the buyer and seller, generally on a monthly basis, and on the termination date of the repurchase facility. This facility is c</w:t>
      </w:r>
      <w:r>
        <w:rPr>
          <w:rFonts w:ascii="Arial" w:eastAsia="Times New Roman" w:hAnsi="Arial" w:cs="Arial"/>
          <w:color w:val="000000"/>
          <w:sz w:val="20"/>
          <w:szCs w:val="20"/>
        </w:rPr>
        <w:t>onsidered a secured borrowing and provides the buyer with customary rights of termination upon the occurrence of certain events of default. We have guaranteed all of the sellers’ obligations under the facility.</w:t>
      </w:r>
    </w:p>
    <w:p w:rsidR="00000000" w:rsidRDefault="007557F0">
      <w:pPr>
        <w:ind w:firstLine="720"/>
        <w:jc w:val="both"/>
        <w:divId w:val="372850841"/>
        <w:rPr>
          <w:rFonts w:eastAsia="Times New Roman"/>
        </w:rPr>
      </w:pPr>
      <w:r>
        <w:rPr>
          <w:rFonts w:ascii="Arial" w:eastAsia="Times New Roman" w:hAnsi="Arial" w:cs="Arial"/>
          <w:color w:val="000000"/>
          <w:sz w:val="20"/>
          <w:szCs w:val="20"/>
        </w:rPr>
        <w:t>During the three months ended January 31, 202</w:t>
      </w:r>
      <w:r>
        <w:rPr>
          <w:rFonts w:ascii="Arial" w:eastAsia="Times New Roman" w:hAnsi="Arial" w:cs="Arial"/>
          <w:color w:val="000000"/>
          <w:sz w:val="20"/>
          <w:szCs w:val="20"/>
        </w:rPr>
        <w:t>3, we made principal payments of $8.1 million under the term loan. At January 31, 2023, the total outstanding borrowings under our Amended Credit Facility and Receivables Facility in the form of cash borrowings and standby letters of credit were $1.4 billi</w:t>
      </w:r>
      <w:r>
        <w:rPr>
          <w:rFonts w:ascii="Arial" w:eastAsia="Times New Roman" w:hAnsi="Arial" w:cs="Arial"/>
          <w:color w:val="000000"/>
          <w:sz w:val="20"/>
          <w:szCs w:val="20"/>
        </w:rPr>
        <w:t>on and $83.6 million, and our weighted average interest rate on all outstanding borrowings, excluding letters of credit, was 6.17%. At January 31, 2023, we had up to $563.3 million of borrowing capacity.</w:t>
      </w:r>
    </w:p>
    <w:p w:rsidR="00000000" w:rsidRDefault="007557F0">
      <w:pPr>
        <w:jc w:val="center"/>
        <w:divId w:val="1065832712"/>
        <w:rPr>
          <w:rFonts w:eastAsia="Times New Roman"/>
        </w:rPr>
      </w:pPr>
      <w:r>
        <w:rPr>
          <w:rFonts w:ascii="Arial" w:eastAsia="Times New Roman" w:hAnsi="Arial" w:cs="Arial"/>
          <w:color w:val="000000"/>
          <w:sz w:val="20"/>
          <w:szCs w:val="20"/>
        </w:rPr>
        <w:t>31</w:t>
      </w:r>
    </w:p>
    <w:p w:rsidR="00000000" w:rsidRDefault="007557F0">
      <w:pPr>
        <w:rPr>
          <w:rFonts w:eastAsia="Times New Roman"/>
        </w:rPr>
      </w:pPr>
      <w:r>
        <w:rPr>
          <w:rFonts w:eastAsia="Times New Roman"/>
        </w:rPr>
        <w:pict>
          <v:rect id="_x0000_i1065" style="width:0;height:1.5pt" o:hralign="center" o:hrstd="t" o:hr="t" fillcolor="#a0a0a0" stroked="f"/>
        </w:pict>
      </w:r>
    </w:p>
    <w:p w:rsidR="00000000" w:rsidRDefault="007557F0">
      <w:pPr>
        <w:jc w:val="both"/>
        <w:divId w:val="392435565"/>
        <w:rPr>
          <w:rFonts w:eastAsia="Times New Roman"/>
        </w:rPr>
      </w:pPr>
    </w:p>
    <w:p w:rsidR="00000000" w:rsidRDefault="007557F0">
      <w:pPr>
        <w:jc w:val="both"/>
        <w:divId w:val="1004698240"/>
        <w:rPr>
          <w:rFonts w:eastAsia="Times New Roman"/>
        </w:rPr>
      </w:pPr>
      <w:r>
        <w:rPr>
          <w:rFonts w:ascii="Arial" w:eastAsia="Times New Roman" w:hAnsi="Arial" w:cs="Arial"/>
          <w:b/>
          <w:bCs/>
          <w:i/>
          <w:iCs/>
          <w:color w:val="0046AD"/>
          <w:sz w:val="20"/>
          <w:szCs w:val="20"/>
        </w:rPr>
        <w:t>Reinvestment of Foreign Earnings</w:t>
      </w:r>
    </w:p>
    <w:p w:rsidR="00000000" w:rsidRDefault="007557F0">
      <w:pPr>
        <w:ind w:firstLine="720"/>
        <w:jc w:val="both"/>
        <w:divId w:val="886794138"/>
        <w:rPr>
          <w:rFonts w:eastAsia="Times New Roman"/>
        </w:rPr>
      </w:pPr>
      <w:r>
        <w:rPr>
          <w:rFonts w:ascii="Arial" w:eastAsia="Times New Roman" w:hAnsi="Arial" w:cs="Arial"/>
          <w:color w:val="000000"/>
          <w:sz w:val="20"/>
          <w:szCs w:val="20"/>
        </w:rPr>
        <w:t>We plan to reinvest our foreign earnings to fund future non-U.S. growth and expansion, and we do not anticipate remitting such earnings to the United States. While U.S. federal tax expe</w:t>
      </w:r>
      <w:r>
        <w:rPr>
          <w:rFonts w:ascii="Arial" w:eastAsia="Times New Roman" w:hAnsi="Arial" w:cs="Arial"/>
          <w:color w:val="000000"/>
          <w:sz w:val="20"/>
          <w:szCs w:val="20"/>
        </w:rPr>
        <w:t>nse has been recognized as a result of the Tax Cuts and Jobs Act of 2017, no deferred tax liabilities with respect to federal and state income taxes or foreign withholding taxes have been recognized.</w:t>
      </w:r>
    </w:p>
    <w:p w:rsidR="00000000" w:rsidRDefault="007557F0">
      <w:pPr>
        <w:jc w:val="both"/>
        <w:divId w:val="327441180"/>
        <w:rPr>
          <w:rFonts w:eastAsia="Times New Roman"/>
        </w:rPr>
      </w:pPr>
      <w:r>
        <w:rPr>
          <w:rFonts w:ascii="Arial" w:eastAsia="Times New Roman" w:hAnsi="Arial" w:cs="Arial"/>
          <w:b/>
          <w:bCs/>
          <w:i/>
          <w:iCs/>
          <w:color w:val="0046AD"/>
          <w:sz w:val="20"/>
          <w:szCs w:val="20"/>
        </w:rPr>
        <w:t xml:space="preserve">IFM Insurance Company </w:t>
      </w:r>
    </w:p>
    <w:p w:rsidR="00000000" w:rsidRDefault="007557F0">
      <w:pPr>
        <w:ind w:firstLine="720"/>
        <w:jc w:val="both"/>
        <w:divId w:val="1961917918"/>
        <w:rPr>
          <w:rFonts w:eastAsia="Times New Roman"/>
        </w:rPr>
      </w:pPr>
      <w:r>
        <w:rPr>
          <w:rFonts w:ascii="Arial" w:eastAsia="Times New Roman" w:hAnsi="Arial" w:cs="Arial"/>
          <w:color w:val="000000"/>
          <w:sz w:val="20"/>
          <w:szCs w:val="20"/>
        </w:rPr>
        <w:t xml:space="preserve">IFM Assurance Company (“IFM”) is </w:t>
      </w:r>
      <w:r>
        <w:rPr>
          <w:rFonts w:ascii="Arial" w:eastAsia="Times New Roman" w:hAnsi="Arial" w:cs="Arial"/>
          <w:color w:val="000000"/>
          <w:sz w:val="20"/>
          <w:szCs w:val="20"/>
        </w:rPr>
        <w:t>a wholly owned captive insurance company that we formed in 2015. IFM is part of our enterprise-wide, multiyear insurance strategy that is intended to better position our risk and safety programs and provide us with increased flexibility in the end-to-end m</w:t>
      </w:r>
      <w:r>
        <w:rPr>
          <w:rFonts w:ascii="Arial" w:eastAsia="Times New Roman" w:hAnsi="Arial" w:cs="Arial"/>
          <w:color w:val="000000"/>
          <w:sz w:val="20"/>
          <w:szCs w:val="20"/>
        </w:rPr>
        <w:t xml:space="preserve">anagement of our insurance programs. IFM began providing coverage to us as of January 1, 2015. </w:t>
      </w:r>
    </w:p>
    <w:p w:rsidR="00000000" w:rsidRDefault="007557F0">
      <w:pPr>
        <w:jc w:val="both"/>
        <w:divId w:val="1311594321"/>
        <w:rPr>
          <w:rFonts w:eastAsia="Times New Roman"/>
        </w:rPr>
      </w:pPr>
      <w:r>
        <w:rPr>
          <w:rFonts w:ascii="Arial" w:eastAsia="Times New Roman" w:hAnsi="Arial" w:cs="Arial"/>
          <w:b/>
          <w:bCs/>
          <w:i/>
          <w:iCs/>
          <w:color w:val="0046AD"/>
          <w:sz w:val="20"/>
          <w:szCs w:val="20"/>
        </w:rPr>
        <w:t>Share Repurchases</w:t>
      </w:r>
    </w:p>
    <w:p w:rsidR="00000000" w:rsidRDefault="007557F0">
      <w:pPr>
        <w:ind w:firstLine="720"/>
        <w:jc w:val="both"/>
        <w:divId w:val="1322082076"/>
        <w:rPr>
          <w:rFonts w:eastAsia="Times New Roman"/>
        </w:rPr>
      </w:pPr>
      <w:r>
        <w:rPr>
          <w:rFonts w:ascii="Arial" w:eastAsia="Times New Roman" w:hAnsi="Arial" w:cs="Arial"/>
          <w:color w:val="000000"/>
          <w:sz w:val="20"/>
          <w:szCs w:val="20"/>
        </w:rPr>
        <w:t>We did not repurchase shares under our share repurchase program during the first quarter of 2023. The repurchases made in the first quarter of</w:t>
      </w:r>
      <w:r>
        <w:rPr>
          <w:rFonts w:ascii="Arial" w:eastAsia="Times New Roman" w:hAnsi="Arial" w:cs="Arial"/>
          <w:color w:val="000000"/>
          <w:sz w:val="20"/>
          <w:szCs w:val="20"/>
        </w:rPr>
        <w:t xml:space="preserve"> 2022 are summarized below. Share repurchases may take place on the open market or otherwise, and all or part of the repurchases may be made pursuant to Rule 10b5-1 plans or in privately negotiated transactions. The timing of repurchases is at our discreti</w:t>
      </w:r>
      <w:r>
        <w:rPr>
          <w:rFonts w:ascii="Arial" w:eastAsia="Times New Roman" w:hAnsi="Arial" w:cs="Arial"/>
          <w:color w:val="000000"/>
          <w:sz w:val="20"/>
          <w:szCs w:val="20"/>
        </w:rPr>
        <w:t>on and will depend upon several factors, including market and business conditions, future cash flows, share price, share availability, and other factors. Repurchased shares are retired and returned to an authorized but unissued status. The s</w:t>
      </w:r>
      <w:r>
        <w:rPr>
          <w:rFonts w:ascii="Arial" w:eastAsia="Times New Roman" w:hAnsi="Arial" w:cs="Arial"/>
          <w:color w:val="000000"/>
          <w:sz w:val="20"/>
          <w:szCs w:val="20"/>
          <w:shd w:val="clear" w:color="auto" w:fill="FFFFFF"/>
        </w:rPr>
        <w:t>hare repurchase</w:t>
      </w:r>
      <w:r>
        <w:rPr>
          <w:rFonts w:ascii="Arial" w:eastAsia="Times New Roman" w:hAnsi="Arial" w:cs="Arial"/>
          <w:color w:val="000000"/>
          <w:sz w:val="20"/>
          <w:szCs w:val="20"/>
          <w:shd w:val="clear" w:color="auto" w:fill="FFFFFF"/>
        </w:rPr>
        <w:t xml:space="preserve"> program </w:t>
      </w:r>
      <w:r>
        <w:rPr>
          <w:rFonts w:ascii="Arial" w:eastAsia="Times New Roman" w:hAnsi="Arial" w:cs="Arial"/>
          <w:color w:val="000000"/>
          <w:sz w:val="20"/>
          <w:szCs w:val="20"/>
        </w:rPr>
        <w:t>may be suspended or discontinued at any time without prior notice. At January 31, 2023, authorization for $197.4 million of repurchases remained under our share repurchase program</w:t>
      </w:r>
      <w:r>
        <w:rPr>
          <w:rFonts w:ascii="Arial" w:eastAsia="Times New Roman" w:hAnsi="Arial" w:cs="Arial"/>
          <w:color w:val="000000"/>
          <w:sz w:val="20"/>
          <w:szCs w:val="20"/>
          <w:shd w:val="clear" w:color="auto" w:fill="FFFFFF"/>
        </w:rPr>
        <w:t xml:space="preserve">. </w:t>
      </w:r>
    </w:p>
    <w:p w:rsidR="00000000" w:rsidRDefault="007557F0">
      <w:pPr>
        <w:jc w:val="both"/>
        <w:divId w:val="1488860012"/>
        <w:rPr>
          <w:rFonts w:eastAsia="Times New Roman"/>
        </w:rPr>
      </w:pPr>
      <w:r>
        <w:rPr>
          <w:rFonts w:ascii="Arial" w:eastAsia="Times New Roman" w:hAnsi="Arial" w:cs="Arial"/>
          <w:b/>
          <w:bCs/>
          <w:i/>
          <w:iCs/>
          <w:color w:val="0046AD"/>
          <w:sz w:val="20"/>
          <w:szCs w:val="20"/>
        </w:rPr>
        <w:t>Repurchase Activity</w:t>
      </w:r>
    </w:p>
    <w:tbl>
      <w:tblPr>
        <w:tblW w:w="5000" w:type="pct"/>
        <w:tblCellMar>
          <w:top w:w="15" w:type="dxa"/>
          <w:left w:w="15" w:type="dxa"/>
          <w:bottom w:w="15" w:type="dxa"/>
          <w:right w:w="15" w:type="dxa"/>
        </w:tblCellMar>
        <w:tblLook w:val="04A0" w:firstRow="1" w:lastRow="0" w:firstColumn="1" w:lastColumn="0" w:noHBand="0" w:noVBand="1"/>
      </w:tblPr>
      <w:tblGrid>
        <w:gridCol w:w="39"/>
        <w:gridCol w:w="4619"/>
        <w:gridCol w:w="38"/>
        <w:gridCol w:w="36"/>
        <w:gridCol w:w="36"/>
        <w:gridCol w:w="36"/>
        <w:gridCol w:w="122"/>
        <w:gridCol w:w="1538"/>
        <w:gridCol w:w="36"/>
        <w:gridCol w:w="122"/>
        <w:gridCol w:w="1576"/>
        <w:gridCol w:w="36"/>
        <w:gridCol w:w="36"/>
        <w:gridCol w:w="36"/>
      </w:tblGrid>
      <w:tr w:rsidR="00000000">
        <w:trPr>
          <w:divId w:val="112792120"/>
        </w:trPr>
        <w:tc>
          <w:tcPr>
            <w:tcW w:w="50" w:type="pct"/>
            <w:vAlign w:val="center"/>
            <w:hideMark/>
          </w:tcPr>
          <w:p w:rsidR="00000000" w:rsidRDefault="007557F0">
            <w:pPr>
              <w:jc w:val="both"/>
              <w:rPr>
                <w:rFonts w:eastAsia="Times New Roman"/>
              </w:rPr>
            </w:pPr>
          </w:p>
        </w:tc>
        <w:tc>
          <w:tcPr>
            <w:tcW w:w="283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983"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983"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112792120"/>
          <w:trHeight w:val="220"/>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112792120"/>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 2023</w:t>
            </w: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 2022</w:t>
            </w:r>
          </w:p>
        </w:tc>
        <w:tc>
          <w:tcPr>
            <w:tcW w:w="0" w:type="auto"/>
            <w:vAlign w:val="center"/>
            <w:hideMark/>
          </w:tcPr>
          <w:p w:rsidR="00000000" w:rsidRDefault="007557F0">
            <w:pPr>
              <w:spacing w:after="100"/>
              <w:jc w:val="center"/>
              <w:rPr>
                <w:rFonts w:eastAsia="Times New Roman"/>
              </w:rPr>
            </w:pPr>
          </w:p>
        </w:tc>
        <w:tc>
          <w:tcPr>
            <w:tcW w:w="0" w:type="auto"/>
            <w:vAlign w:val="center"/>
            <w:hideMark/>
          </w:tcPr>
          <w:p w:rsidR="00000000" w:rsidRDefault="007557F0">
            <w:pPr>
              <w:spacing w:after="100"/>
              <w:rPr>
                <w:rFonts w:eastAsia="Times New Roman"/>
                <w:sz w:val="20"/>
                <w:szCs w:val="20"/>
              </w:rPr>
            </w:pPr>
          </w:p>
        </w:tc>
      </w:tr>
      <w:tr w:rsidR="00000000">
        <w:trPr>
          <w:divId w:val="112792120"/>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Total number of shares purchased</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112792120"/>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Average price paid per share</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44.23 </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r w:rsidR="00000000">
        <w:trPr>
          <w:divId w:val="112792120"/>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Total cash paid for share repurchases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13.3 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vAlign w:val="center"/>
            <w:hideMark/>
          </w:tcPr>
          <w:p w:rsidR="00000000" w:rsidRDefault="007557F0">
            <w:pPr>
              <w:spacing w:after="100"/>
              <w:jc w:val="right"/>
              <w:rPr>
                <w:rFonts w:eastAsia="Times New Roman"/>
                <w:sz w:val="20"/>
                <w:szCs w:val="20"/>
              </w:rPr>
            </w:pPr>
          </w:p>
        </w:tc>
        <w:tc>
          <w:tcPr>
            <w:tcW w:w="0" w:type="auto"/>
            <w:vAlign w:val="center"/>
            <w:hideMark/>
          </w:tcPr>
          <w:p w:rsidR="00000000" w:rsidRDefault="007557F0">
            <w:pPr>
              <w:spacing w:after="100"/>
              <w:rPr>
                <w:rFonts w:eastAsia="Times New Roman"/>
                <w:sz w:val="20"/>
                <w:szCs w:val="20"/>
              </w:rPr>
            </w:pPr>
          </w:p>
        </w:tc>
      </w:tr>
    </w:tbl>
    <w:p w:rsidR="00000000" w:rsidRDefault="007557F0">
      <w:pPr>
        <w:divId w:val="2089647598"/>
        <w:rPr>
          <w:rFonts w:eastAsia="Times New Roman"/>
        </w:rPr>
      </w:pPr>
      <w:r>
        <w:rPr>
          <w:rFonts w:ascii="Arial" w:eastAsia="Times New Roman" w:hAnsi="Arial" w:cs="Arial"/>
          <w:b/>
          <w:bCs/>
          <w:i/>
          <w:iCs/>
          <w:color w:val="0046AD"/>
          <w:sz w:val="20"/>
          <w:szCs w:val="20"/>
        </w:rPr>
        <w:t xml:space="preserve">Cash Flows </w:t>
      </w:r>
    </w:p>
    <w:p w:rsidR="00000000" w:rsidRDefault="007557F0">
      <w:pPr>
        <w:ind w:firstLine="720"/>
        <w:jc w:val="both"/>
        <w:divId w:val="794100989"/>
        <w:rPr>
          <w:rFonts w:eastAsia="Times New Roman"/>
        </w:rPr>
      </w:pPr>
      <w:r>
        <w:rPr>
          <w:rFonts w:ascii="Arial" w:eastAsia="Times New Roman" w:hAnsi="Arial" w:cs="Arial"/>
          <w:color w:val="000000"/>
          <w:sz w:val="20"/>
          <w:szCs w:val="20"/>
        </w:rPr>
        <w:t xml:space="preserve">In addition to revenues and operating profit, our management views operating cash flows as a good indicator of financial performance, because strong operating cash flows provide opportunities for growth both organically and through acquisitions. Operating </w:t>
      </w:r>
      <w:r>
        <w:rPr>
          <w:rFonts w:ascii="Arial" w:eastAsia="Times New Roman" w:hAnsi="Arial" w:cs="Arial"/>
          <w:color w:val="000000"/>
          <w:sz w:val="20"/>
          <w:szCs w:val="20"/>
        </w:rPr>
        <w:t>cash flows primarily depend on: revenue levels; the quality and timing of collections of accounts receivable; the timing of payments to suppliers and other vendors; the timing and amount of income tax payments; and the timing and amount of payments on insu</w:t>
      </w:r>
      <w:r>
        <w:rPr>
          <w:rFonts w:ascii="Arial" w:eastAsia="Times New Roman" w:hAnsi="Arial" w:cs="Arial"/>
          <w:color w:val="000000"/>
          <w:sz w:val="20"/>
          <w:szCs w:val="20"/>
        </w:rPr>
        <w:t xml:space="preserve">rance claims and legal settlements.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466"/>
        <w:gridCol w:w="37"/>
        <w:gridCol w:w="121"/>
        <w:gridCol w:w="1188"/>
        <w:gridCol w:w="36"/>
        <w:gridCol w:w="36"/>
        <w:gridCol w:w="36"/>
        <w:gridCol w:w="36"/>
        <w:gridCol w:w="121"/>
        <w:gridCol w:w="1153"/>
        <w:gridCol w:w="36"/>
      </w:tblGrid>
      <w:tr w:rsidR="00000000">
        <w:trPr>
          <w:divId w:val="1120607993"/>
        </w:trPr>
        <w:tc>
          <w:tcPr>
            <w:tcW w:w="50" w:type="pct"/>
            <w:vAlign w:val="center"/>
            <w:hideMark/>
          </w:tcPr>
          <w:p w:rsidR="00000000" w:rsidRDefault="007557F0">
            <w:pPr>
              <w:ind w:firstLine="720"/>
              <w:jc w:val="both"/>
              <w:rPr>
                <w:rFonts w:eastAsia="Times New Roman"/>
              </w:rPr>
            </w:pPr>
          </w:p>
        </w:tc>
        <w:tc>
          <w:tcPr>
            <w:tcW w:w="3314"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41"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741"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120607993"/>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Three Months Ended January 31,</w:t>
            </w:r>
          </w:p>
        </w:tc>
      </w:tr>
      <w:tr w:rsidR="00000000">
        <w:trPr>
          <w:divId w:val="1120607993"/>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2022</w:t>
            </w:r>
          </w:p>
        </w:tc>
      </w:tr>
      <w:tr w:rsidR="00000000">
        <w:trPr>
          <w:divId w:val="1120607993"/>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Net cash used in operating activities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(70.9)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(93.6)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120607993"/>
        </w:trPr>
        <w:tc>
          <w:tcPr>
            <w:tcW w:w="0" w:type="auto"/>
            <w:gridSpan w:val="3"/>
            <w:shd w:val="clear" w:color="auto" w:fill="FFFFF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Net cash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(12.5)</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(12.4)</w:t>
            </w:r>
          </w:p>
        </w:tc>
        <w:tc>
          <w:tcPr>
            <w:tcW w:w="0" w:type="auto"/>
            <w:shd w:val="clear" w:color="auto" w:fill="FFFFFF"/>
            <w:tcMar>
              <w:top w:w="30" w:type="dxa"/>
              <w:left w:w="0" w:type="dxa"/>
              <w:bottom w:w="30" w:type="dxa"/>
              <w:right w:w="20" w:type="dxa"/>
            </w:tcMar>
            <w:vAlign w:val="bottom"/>
            <w:hideMark/>
          </w:tcPr>
          <w:p w:rsidR="00000000" w:rsidRDefault="007557F0">
            <w:pPr>
              <w:spacing w:after="100"/>
              <w:jc w:val="right"/>
              <w:rPr>
                <w:rFonts w:eastAsia="Times New Roman"/>
              </w:rPr>
            </w:pPr>
          </w:p>
        </w:tc>
      </w:tr>
      <w:tr w:rsidR="00000000">
        <w:trPr>
          <w:divId w:val="1120607993"/>
        </w:trPr>
        <w:tc>
          <w:tcPr>
            <w:tcW w:w="0" w:type="auto"/>
            <w:gridSpan w:val="3"/>
            <w:shd w:val="clear" w:color="auto" w:fill="DCE2EF"/>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Net cash provided by financing activities</w:t>
            </w: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96.2 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7557F0">
            <w:pPr>
              <w:spacing w:after="100"/>
              <w:jc w:val="right"/>
              <w:rPr>
                <w:rFonts w:eastAsia="Times New Roman"/>
              </w:rPr>
            </w:pPr>
            <w:r>
              <w:rPr>
                <w:rFonts w:ascii="Arial" w:eastAsia="Times New Roman" w:hAnsi="Arial" w:cs="Arial"/>
                <w:color w:val="000000"/>
                <w:sz w:val="18"/>
                <w:szCs w:val="18"/>
              </w:rPr>
              <w:t>90.3 </w:t>
            </w:r>
          </w:p>
        </w:tc>
        <w:tc>
          <w:tcPr>
            <w:tcW w:w="0" w:type="auto"/>
            <w:shd w:val="clear" w:color="auto" w:fill="DCE2EF"/>
            <w:tcMar>
              <w:top w:w="30" w:type="dxa"/>
              <w:left w:w="0" w:type="dxa"/>
              <w:bottom w:w="30" w:type="dxa"/>
              <w:right w:w="20" w:type="dxa"/>
            </w:tcMar>
            <w:vAlign w:val="bottom"/>
            <w:hideMark/>
          </w:tcPr>
          <w:p w:rsidR="00000000" w:rsidRDefault="007557F0">
            <w:pPr>
              <w:spacing w:after="100"/>
              <w:jc w:val="right"/>
              <w:rPr>
                <w:rFonts w:eastAsia="Times New Roman"/>
              </w:rPr>
            </w:pPr>
          </w:p>
        </w:tc>
      </w:tr>
    </w:tbl>
    <w:p w:rsidR="00000000" w:rsidRDefault="007557F0">
      <w:pPr>
        <w:ind w:firstLine="720"/>
        <w:jc w:val="both"/>
        <w:divId w:val="1292982712"/>
        <w:rPr>
          <w:rFonts w:eastAsia="Times New Roman"/>
        </w:rPr>
      </w:pPr>
      <w:r>
        <w:rPr>
          <w:rFonts w:ascii="Arial" w:eastAsia="Times New Roman" w:hAnsi="Arial" w:cs="Arial"/>
          <w:i/>
          <w:iCs/>
          <w:color w:val="000000"/>
          <w:sz w:val="20"/>
          <w:szCs w:val="20"/>
        </w:rPr>
        <w:t xml:space="preserve">Operating Activities </w:t>
      </w:r>
    </w:p>
    <w:p w:rsidR="00000000" w:rsidRDefault="007557F0">
      <w:pPr>
        <w:ind w:firstLine="720"/>
        <w:jc w:val="both"/>
        <w:divId w:val="117997173"/>
        <w:rPr>
          <w:rFonts w:eastAsia="Times New Roman"/>
        </w:rPr>
      </w:pPr>
      <w:r>
        <w:rPr>
          <w:rFonts w:ascii="Arial" w:eastAsia="Times New Roman" w:hAnsi="Arial" w:cs="Arial"/>
          <w:color w:val="000000"/>
          <w:sz w:val="20"/>
          <w:szCs w:val="20"/>
        </w:rPr>
        <w:t>Net cash used in operating activities was $70.9 million during the three months ended January 31, 2023, as compared to net cash used by operating activities of $93.6 million during the prior year period. The change was primarily driven by the timing of wor</w:t>
      </w:r>
      <w:r>
        <w:rPr>
          <w:rFonts w:ascii="Arial" w:eastAsia="Times New Roman" w:hAnsi="Arial" w:cs="Arial"/>
          <w:color w:val="000000"/>
          <w:sz w:val="20"/>
          <w:szCs w:val="20"/>
        </w:rPr>
        <w:t xml:space="preserve">king capital requirements, including client receivable collections and interest expense and vendor payments. </w:t>
      </w:r>
    </w:p>
    <w:p w:rsidR="00000000" w:rsidRDefault="007557F0">
      <w:pPr>
        <w:jc w:val="center"/>
        <w:divId w:val="2074353800"/>
        <w:rPr>
          <w:rFonts w:eastAsia="Times New Roman"/>
        </w:rPr>
      </w:pPr>
      <w:r>
        <w:rPr>
          <w:rFonts w:ascii="Arial" w:eastAsia="Times New Roman" w:hAnsi="Arial" w:cs="Arial"/>
          <w:color w:val="000000"/>
          <w:sz w:val="20"/>
          <w:szCs w:val="20"/>
        </w:rPr>
        <w:t>32</w:t>
      </w:r>
    </w:p>
    <w:p w:rsidR="00000000" w:rsidRDefault="007557F0">
      <w:pPr>
        <w:rPr>
          <w:rFonts w:eastAsia="Times New Roman"/>
        </w:rPr>
      </w:pPr>
      <w:r>
        <w:rPr>
          <w:rFonts w:eastAsia="Times New Roman"/>
        </w:rPr>
        <w:pict>
          <v:rect id="_x0000_i1066" style="width:0;height:1.5pt" o:hralign="center" o:hrstd="t" o:hr="t" fillcolor="#a0a0a0" stroked="f"/>
        </w:pict>
      </w:r>
    </w:p>
    <w:p w:rsidR="00000000" w:rsidRDefault="007557F0">
      <w:pPr>
        <w:jc w:val="both"/>
        <w:divId w:val="721904839"/>
        <w:rPr>
          <w:rFonts w:eastAsia="Times New Roman"/>
        </w:rPr>
      </w:pPr>
    </w:p>
    <w:p w:rsidR="00000000" w:rsidRDefault="007557F0">
      <w:pPr>
        <w:ind w:firstLine="720"/>
        <w:jc w:val="both"/>
        <w:divId w:val="301662438"/>
        <w:rPr>
          <w:rFonts w:eastAsia="Times New Roman"/>
        </w:rPr>
      </w:pPr>
      <w:r>
        <w:rPr>
          <w:rFonts w:ascii="Arial" w:eastAsia="Times New Roman" w:hAnsi="Arial" w:cs="Arial"/>
          <w:i/>
          <w:iCs/>
          <w:color w:val="000000"/>
          <w:sz w:val="20"/>
          <w:szCs w:val="20"/>
        </w:rPr>
        <w:t xml:space="preserve">Investing Activities </w:t>
      </w:r>
    </w:p>
    <w:p w:rsidR="00000000" w:rsidRDefault="007557F0">
      <w:pPr>
        <w:ind w:firstLine="720"/>
        <w:jc w:val="both"/>
        <w:divId w:val="1971087290"/>
        <w:rPr>
          <w:rFonts w:eastAsia="Times New Roman"/>
        </w:rPr>
      </w:pPr>
      <w:r>
        <w:rPr>
          <w:rFonts w:ascii="Arial" w:eastAsia="Times New Roman" w:hAnsi="Arial" w:cs="Arial"/>
          <w:color w:val="000000"/>
          <w:sz w:val="20"/>
          <w:szCs w:val="20"/>
        </w:rPr>
        <w:t>Net cash used in investing activities increased by $0.1 million during the three m</w:t>
      </w:r>
      <w:r>
        <w:rPr>
          <w:rFonts w:ascii="Arial" w:eastAsia="Times New Roman" w:hAnsi="Arial" w:cs="Arial"/>
          <w:color w:val="000000"/>
          <w:sz w:val="20"/>
          <w:szCs w:val="20"/>
        </w:rPr>
        <w:t>onths ended January 31, 2023, as compared to the prior year period. This increase was primarily related to higher purchases in property, plant and equipment.</w:t>
      </w:r>
    </w:p>
    <w:p w:rsidR="00000000" w:rsidRDefault="007557F0">
      <w:pPr>
        <w:ind w:firstLine="720"/>
        <w:jc w:val="both"/>
        <w:divId w:val="1753235684"/>
        <w:rPr>
          <w:rFonts w:eastAsia="Times New Roman"/>
        </w:rPr>
      </w:pPr>
      <w:r>
        <w:rPr>
          <w:rFonts w:ascii="Arial" w:eastAsia="Times New Roman" w:hAnsi="Arial" w:cs="Arial"/>
          <w:i/>
          <w:iCs/>
          <w:color w:val="000000"/>
          <w:sz w:val="20"/>
          <w:szCs w:val="20"/>
        </w:rPr>
        <w:t xml:space="preserve">Financing Activities </w:t>
      </w:r>
    </w:p>
    <w:p w:rsidR="00000000" w:rsidRDefault="007557F0">
      <w:pPr>
        <w:ind w:firstLine="720"/>
        <w:jc w:val="both"/>
        <w:divId w:val="371737701"/>
        <w:rPr>
          <w:rFonts w:eastAsia="Times New Roman"/>
        </w:rPr>
      </w:pPr>
      <w:r>
        <w:rPr>
          <w:rFonts w:ascii="Arial" w:eastAsia="Times New Roman" w:hAnsi="Arial" w:cs="Arial"/>
          <w:color w:val="000000"/>
          <w:sz w:val="20"/>
          <w:szCs w:val="20"/>
        </w:rPr>
        <w:t>Net cash provided by financing activities was</w:t>
      </w:r>
      <w:r>
        <w:rPr>
          <w:rFonts w:ascii="Arial" w:eastAsia="Times New Roman" w:hAnsi="Arial" w:cs="Arial"/>
          <w:color w:val="000000"/>
          <w:sz w:val="20"/>
          <w:szCs w:val="20"/>
          <w:shd w:val="clear" w:color="auto" w:fill="FFFFFF"/>
        </w:rPr>
        <w:t xml:space="preserve"> $96.2 million during the three months ended January 31, 2023, as compared to net cash provided by financing activities of $90.3 million during the prior year period. The change was primarily related to an incre</w:t>
      </w:r>
      <w:r>
        <w:rPr>
          <w:rFonts w:ascii="Arial" w:eastAsia="Times New Roman" w:hAnsi="Arial" w:cs="Arial"/>
          <w:color w:val="000000"/>
          <w:sz w:val="20"/>
          <w:szCs w:val="20"/>
          <w:shd w:val="clear" w:color="auto" w:fill="FFFFFF"/>
        </w:rPr>
        <w:t xml:space="preserve">ase in net borrowings from our Amended Credit Facility and Receivable Facility. </w:t>
      </w:r>
    </w:p>
    <w:p w:rsidR="00000000" w:rsidRDefault="007557F0">
      <w:pPr>
        <w:divId w:val="1988196923"/>
        <w:rPr>
          <w:rFonts w:eastAsia="Times New Roman"/>
        </w:rPr>
      </w:pPr>
    </w:p>
    <w:p w:rsidR="00000000" w:rsidRDefault="007557F0">
      <w:pPr>
        <w:divId w:val="1233080891"/>
        <w:rPr>
          <w:rFonts w:eastAsia="Times New Roman"/>
        </w:rPr>
      </w:pPr>
      <w:r>
        <w:rPr>
          <w:rFonts w:ascii="Arial" w:eastAsia="Times New Roman" w:hAnsi="Arial" w:cs="Arial"/>
          <w:b/>
          <w:bCs/>
          <w:color w:val="0046AD"/>
          <w:sz w:val="20"/>
          <w:szCs w:val="20"/>
        </w:rPr>
        <w:t>Contingencies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976373817"/>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97637381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1044478282"/>
        <w:rPr>
          <w:rFonts w:eastAsia="Times New Roman"/>
        </w:rPr>
      </w:pPr>
      <w:r>
        <w:rPr>
          <w:rFonts w:ascii="Arial" w:eastAsia="Times New Roman" w:hAnsi="Arial" w:cs="Arial"/>
          <w:color w:val="000000"/>
          <w:sz w:val="20"/>
          <w:szCs w:val="20"/>
        </w:rPr>
        <w:t xml:space="preserve">For disclosures on contingencies, see Note 10, “Commitments and Contingencies,” </w:t>
      </w:r>
      <w:r>
        <w:rPr>
          <w:rFonts w:ascii="Arial" w:eastAsia="Times New Roman" w:hAnsi="Arial" w:cs="Arial"/>
          <w:color w:val="000000"/>
          <w:sz w:val="20"/>
          <w:szCs w:val="20"/>
        </w:rPr>
        <w:t>of the Notes to unaudited Consolidated Financial Statements included in Part I, Item 1 of this Form 10-Q.</w:t>
      </w:r>
    </w:p>
    <w:p w:rsidR="00000000" w:rsidRDefault="007557F0">
      <w:pPr>
        <w:jc w:val="center"/>
        <w:divId w:val="1065294161"/>
        <w:rPr>
          <w:rFonts w:eastAsia="Times New Roman"/>
        </w:rPr>
      </w:pPr>
      <w:r>
        <w:rPr>
          <w:rFonts w:ascii="Arial" w:eastAsia="Times New Roman" w:hAnsi="Arial" w:cs="Arial"/>
          <w:color w:val="000000"/>
          <w:sz w:val="20"/>
          <w:szCs w:val="20"/>
        </w:rPr>
        <w:t>33</w:t>
      </w:r>
    </w:p>
    <w:p w:rsidR="00000000" w:rsidRDefault="007557F0">
      <w:pPr>
        <w:rPr>
          <w:rFonts w:eastAsia="Times New Roman"/>
        </w:rPr>
      </w:pPr>
      <w:r>
        <w:rPr>
          <w:rFonts w:eastAsia="Times New Roman"/>
        </w:rPr>
        <w:pict>
          <v:rect id="_x0000_i1067" style="width:0;height:1.5pt" o:hralign="center" o:hrstd="t" o:hr="t" fillcolor="#a0a0a0" stroked="f"/>
        </w:pict>
      </w:r>
    </w:p>
    <w:p w:rsidR="00000000" w:rsidRDefault="007557F0">
      <w:pPr>
        <w:jc w:val="both"/>
        <w:divId w:val="1717242895"/>
        <w:rPr>
          <w:rFonts w:eastAsia="Times New Roman"/>
        </w:rPr>
      </w:pPr>
    </w:p>
    <w:p w:rsidR="00000000" w:rsidRDefault="007557F0">
      <w:pPr>
        <w:divId w:val="666598384"/>
        <w:rPr>
          <w:rFonts w:eastAsia="Times New Roman"/>
        </w:rPr>
      </w:pPr>
      <w:r>
        <w:rPr>
          <w:rFonts w:ascii="Arial" w:eastAsia="Times New Roman" w:hAnsi="Arial" w:cs="Arial"/>
          <w:b/>
          <w:bCs/>
          <w:color w:val="0046AD"/>
          <w:sz w:val="20"/>
          <w:szCs w:val="20"/>
        </w:rPr>
        <w:t>Critical Accounting Policies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620800814"/>
        </w:trPr>
        <w:tc>
          <w:tcPr>
            <w:tcW w:w="5" w:type="pct"/>
            <w:vAlign w:val="center"/>
            <w:hideMark/>
          </w:tcPr>
          <w:p w:rsidR="00000000" w:rsidRDefault="007557F0">
            <w:pPr>
              <w:rPr>
                <w:rFonts w:eastAsia="Times New Roman"/>
              </w:rPr>
            </w:pPr>
          </w:p>
        </w:tc>
        <w:tc>
          <w:tcPr>
            <w:tcW w:w="12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80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620800814"/>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7557F0">
            <w:pPr>
              <w:spacing w:after="100"/>
              <w:rPr>
                <w:rFonts w:eastAsia="Times New Roman"/>
                <w:sz w:val="20"/>
                <w:szCs w:val="20"/>
              </w:rPr>
            </w:pPr>
          </w:p>
        </w:tc>
      </w:tr>
    </w:tbl>
    <w:p w:rsidR="00000000" w:rsidRDefault="007557F0">
      <w:pPr>
        <w:ind w:firstLine="720"/>
        <w:jc w:val="both"/>
        <w:divId w:val="21126437"/>
        <w:rPr>
          <w:rFonts w:eastAsia="Times New Roman"/>
        </w:rPr>
      </w:pPr>
      <w:r>
        <w:rPr>
          <w:rFonts w:ascii="Arial" w:eastAsia="Times New Roman" w:hAnsi="Arial" w:cs="Arial"/>
          <w:color w:val="000000"/>
          <w:sz w:val="20"/>
          <w:szCs w:val="20"/>
        </w:rPr>
        <w:t>Our Financial Statements are prepared in accordance with U.S. GAAP, which require us to make certain estimates in the application of our accounting policies based on the best assumptions, judgments, and opinions of our management. There have been no signif</w:t>
      </w:r>
      <w:r>
        <w:rPr>
          <w:rFonts w:ascii="Arial" w:eastAsia="Times New Roman" w:hAnsi="Arial" w:cs="Arial"/>
          <w:color w:val="000000"/>
          <w:sz w:val="20"/>
          <w:szCs w:val="20"/>
        </w:rPr>
        <w:t xml:space="preserve">icant changes to our critical accounting policies and estimates. For a description of our critical accounting policies, see Item 7., “Management’s Discussion and Analysis of Financial Condition and Results of Operations,” in our Annual Report on Form 10-K </w:t>
      </w:r>
      <w:r>
        <w:rPr>
          <w:rFonts w:ascii="Arial" w:eastAsia="Times New Roman" w:hAnsi="Arial" w:cs="Arial"/>
          <w:color w:val="000000"/>
          <w:sz w:val="20"/>
          <w:szCs w:val="20"/>
        </w:rPr>
        <w:t xml:space="preserve">for the year ended October 31, 2022. </w:t>
      </w:r>
    </w:p>
    <w:p w:rsidR="00000000" w:rsidRDefault="007557F0">
      <w:pPr>
        <w:jc w:val="both"/>
        <w:divId w:val="1700736095"/>
        <w:rPr>
          <w:rFonts w:eastAsia="Times New Roman"/>
        </w:rPr>
      </w:pPr>
      <w:r>
        <w:rPr>
          <w:rFonts w:ascii="Arial" w:eastAsia="Times New Roman" w:hAnsi="Arial" w:cs="Arial"/>
          <w:b/>
          <w:bCs/>
          <w:i/>
          <w:iCs/>
          <w:color w:val="0046AD"/>
          <w:sz w:val="20"/>
          <w:szCs w:val="20"/>
        </w:rPr>
        <w:t>Recently Issued Accounting Pronouncements    </w:t>
      </w:r>
    </w:p>
    <w:tbl>
      <w:tblPr>
        <w:tblW w:w="5000" w:type="pct"/>
        <w:tblCellMar>
          <w:top w:w="15" w:type="dxa"/>
          <w:left w:w="15" w:type="dxa"/>
          <w:bottom w:w="15" w:type="dxa"/>
          <w:right w:w="15" w:type="dxa"/>
        </w:tblCellMar>
        <w:tblLook w:val="04A0" w:firstRow="1" w:lastRow="0" w:firstColumn="1" w:lastColumn="0" w:noHBand="0" w:noVBand="1"/>
      </w:tblPr>
      <w:tblGrid>
        <w:gridCol w:w="97"/>
        <w:gridCol w:w="924"/>
        <w:gridCol w:w="36"/>
        <w:gridCol w:w="36"/>
        <w:gridCol w:w="36"/>
        <w:gridCol w:w="36"/>
        <w:gridCol w:w="45"/>
        <w:gridCol w:w="1574"/>
        <w:gridCol w:w="36"/>
        <w:gridCol w:w="36"/>
        <w:gridCol w:w="36"/>
        <w:gridCol w:w="36"/>
        <w:gridCol w:w="38"/>
        <w:gridCol w:w="3537"/>
        <w:gridCol w:w="36"/>
        <w:gridCol w:w="36"/>
        <w:gridCol w:w="36"/>
        <w:gridCol w:w="36"/>
        <w:gridCol w:w="47"/>
        <w:gridCol w:w="1575"/>
        <w:gridCol w:w="37"/>
      </w:tblGrid>
      <w:tr w:rsidR="00000000">
        <w:trPr>
          <w:divId w:val="1492142073"/>
        </w:trPr>
        <w:tc>
          <w:tcPr>
            <w:tcW w:w="50" w:type="pct"/>
            <w:vAlign w:val="center"/>
            <w:hideMark/>
          </w:tcPr>
          <w:p w:rsidR="00000000" w:rsidRDefault="007557F0">
            <w:pPr>
              <w:jc w:val="both"/>
              <w:rPr>
                <w:rFonts w:eastAsia="Times New Roman"/>
              </w:rPr>
            </w:pPr>
          </w:p>
        </w:tc>
        <w:tc>
          <w:tcPr>
            <w:tcW w:w="47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004"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2181"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00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492142073"/>
        </w:trPr>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Adoption</w:t>
            </w:r>
          </w:p>
        </w:tc>
      </w:tr>
      <w:tr w:rsidR="00000000">
        <w:trPr>
          <w:divId w:val="1492142073"/>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7557F0">
            <w:pPr>
              <w:spacing w:after="100"/>
              <w:jc w:val="center"/>
              <w:rPr>
                <w:rFonts w:eastAsia="Times New Roman"/>
              </w:rPr>
            </w:pPr>
            <w:r>
              <w:rPr>
                <w:rFonts w:ascii="Arial" w:eastAsia="Times New Roman" w:hAnsi="Arial" w:cs="Arial"/>
                <w:color w:val="000000"/>
                <w:sz w:val="18"/>
                <w:szCs w:val="18"/>
              </w:rPr>
              <w:t>2022-04</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7557F0">
            <w:pPr>
              <w:spacing w:after="100"/>
              <w:jc w:val="center"/>
              <w:rPr>
                <w:rFonts w:eastAsia="Times New Roman"/>
              </w:rPr>
            </w:pPr>
            <w:r>
              <w:rPr>
                <w:rFonts w:ascii="Arial" w:eastAsia="Times New Roman" w:hAnsi="Arial" w:cs="Arial"/>
                <w:color w:val="000000"/>
                <w:sz w:val="18"/>
                <w:szCs w:val="18"/>
              </w:rPr>
              <w:t xml:space="preserve">Liabilities - Supplier Finance Programs (Subtopic 405-50): Disclosure of Supplier Finance Program Obligations </w:t>
            </w:r>
          </w:p>
        </w:tc>
        <w:tc>
          <w:tcPr>
            <w:tcW w:w="0" w:type="auto"/>
            <w:gridSpan w:val="3"/>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This Accounting Standard Update (“ASU”), issue</w:t>
            </w:r>
            <w:r>
              <w:rPr>
                <w:rFonts w:ascii="Arial" w:eastAsia="Times New Roman" w:hAnsi="Arial" w:cs="Arial"/>
                <w:color w:val="000000"/>
                <w:sz w:val="18"/>
                <w:szCs w:val="18"/>
              </w:rPr>
              <w:t>d in September 2022, is designed to enhance transparency around supplier finance programs by requiring new disclosures that would allow a user of the financial statements to understand the program’s nature, activity during the period, changes from period t</w:t>
            </w:r>
            <w:r>
              <w:rPr>
                <w:rFonts w:ascii="Arial" w:eastAsia="Times New Roman" w:hAnsi="Arial" w:cs="Arial"/>
                <w:color w:val="000000"/>
                <w:sz w:val="18"/>
                <w:szCs w:val="18"/>
              </w:rPr>
              <w:t xml:space="preserve">o period, and potential magnitude.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While we are currently evaluating the impact of implementing this guidance on our financial statements, we do not expect adoption to have a material impact.</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7557F0">
            <w:pPr>
              <w:spacing w:after="100"/>
              <w:jc w:val="center"/>
              <w:rPr>
                <w:rFonts w:eastAsia="Times New Roman"/>
              </w:rPr>
            </w:pPr>
            <w:r>
              <w:rPr>
                <w:rFonts w:ascii="Arial" w:eastAsia="Times New Roman" w:hAnsi="Arial" w:cs="Arial"/>
                <w:color w:val="000000"/>
                <w:sz w:val="18"/>
                <w:szCs w:val="18"/>
              </w:rPr>
              <w:t>This ASU is effective for fiscal years beginning after D</w:t>
            </w:r>
            <w:r>
              <w:rPr>
                <w:rFonts w:ascii="Arial" w:eastAsia="Times New Roman" w:hAnsi="Arial" w:cs="Arial"/>
                <w:color w:val="000000"/>
                <w:sz w:val="18"/>
                <w:szCs w:val="18"/>
              </w:rPr>
              <w:t xml:space="preserve">ecember 15, 2022, including interim periods within those fiscal years, except for the amendment on rollforward information, which is effective for fiscal years beginning after December 15, 2023. Early adoption is permitted. </w:t>
            </w:r>
          </w:p>
        </w:tc>
      </w:tr>
    </w:tbl>
    <w:p w:rsidR="00000000" w:rsidRDefault="007557F0">
      <w:pPr>
        <w:divId w:val="833254170"/>
        <w:rPr>
          <w:rFonts w:eastAsia="Times New Roman"/>
        </w:rPr>
      </w:pPr>
    </w:p>
    <w:p w:rsidR="00000000" w:rsidRDefault="007557F0">
      <w:pPr>
        <w:divId w:val="1163468370"/>
        <w:rPr>
          <w:rFonts w:eastAsia="Times New Roman"/>
        </w:rPr>
      </w:pPr>
    </w:p>
    <w:p w:rsidR="00000000" w:rsidRDefault="007557F0">
      <w:pPr>
        <w:jc w:val="center"/>
        <w:divId w:val="791558812"/>
        <w:rPr>
          <w:rFonts w:eastAsia="Times New Roman"/>
        </w:rPr>
      </w:pPr>
      <w:r>
        <w:rPr>
          <w:rFonts w:ascii="Arial" w:eastAsia="Times New Roman" w:hAnsi="Arial" w:cs="Arial"/>
          <w:color w:val="000000"/>
          <w:sz w:val="20"/>
          <w:szCs w:val="20"/>
        </w:rPr>
        <w:t>34</w:t>
      </w:r>
    </w:p>
    <w:p w:rsidR="00000000" w:rsidRDefault="007557F0">
      <w:pPr>
        <w:rPr>
          <w:rFonts w:eastAsia="Times New Roman"/>
        </w:rPr>
      </w:pPr>
      <w:r>
        <w:rPr>
          <w:rFonts w:eastAsia="Times New Roman"/>
        </w:rPr>
        <w:pict>
          <v:rect id="_x0000_i1068" style="width:0;height:1.5pt" o:hralign="center" o:hrstd="t" o:hr="t" fillcolor="#a0a0a0" stroked="f"/>
        </w:pict>
      </w:r>
    </w:p>
    <w:p w:rsidR="00000000" w:rsidRDefault="007557F0">
      <w:pPr>
        <w:jc w:val="both"/>
        <w:divId w:val="1696074884"/>
        <w:rPr>
          <w:rFonts w:eastAsia="Times New Roman"/>
        </w:rPr>
      </w:pPr>
    </w:p>
    <w:p w:rsidR="00000000" w:rsidRDefault="007557F0">
      <w:pPr>
        <w:divId w:val="2042708169"/>
        <w:rPr>
          <w:rFonts w:eastAsia="Times New Roman"/>
        </w:rPr>
      </w:pPr>
      <w:r>
        <w:rPr>
          <w:rFonts w:ascii="Arial" w:eastAsia="Times New Roman" w:hAnsi="Arial" w:cs="Arial"/>
          <w:b/>
          <w:bCs/>
          <w:color w:val="0046AD"/>
          <w:sz w:val="20"/>
          <w:szCs w:val="20"/>
        </w:rPr>
        <w:t>ITEM 3. QUANTITATIVE AND QUALITATIVE DISCLOSURES ABOUT MARKET RISK.</w:t>
      </w:r>
    </w:p>
    <w:p w:rsidR="00000000" w:rsidRDefault="007557F0">
      <w:pPr>
        <w:ind w:firstLine="720"/>
        <w:jc w:val="both"/>
        <w:divId w:val="2002998335"/>
        <w:rPr>
          <w:rFonts w:eastAsia="Times New Roman"/>
        </w:rPr>
      </w:pPr>
      <w:r>
        <w:rPr>
          <w:rFonts w:ascii="Arial" w:eastAsia="Times New Roman" w:hAnsi="Arial" w:cs="Arial"/>
          <w:color w:val="000000"/>
          <w:sz w:val="20"/>
          <w:szCs w:val="20"/>
        </w:rPr>
        <w:t xml:space="preserve">There are no material changes related to market risk from the disclosures in our Annual Report on Form 10-K for the year ended October 31, 2022. </w:t>
      </w:r>
    </w:p>
    <w:p w:rsidR="00000000" w:rsidRDefault="007557F0">
      <w:pPr>
        <w:divId w:val="628753427"/>
        <w:rPr>
          <w:rFonts w:eastAsia="Times New Roman"/>
        </w:rPr>
      </w:pPr>
      <w:r>
        <w:rPr>
          <w:rFonts w:ascii="Arial" w:eastAsia="Times New Roman" w:hAnsi="Arial" w:cs="Arial"/>
          <w:b/>
          <w:bCs/>
          <w:color w:val="0046AD"/>
          <w:sz w:val="20"/>
          <w:szCs w:val="20"/>
        </w:rPr>
        <w:t>ITEM</w:t>
      </w:r>
      <w:r>
        <w:rPr>
          <w:rFonts w:ascii="Arial" w:eastAsia="Times New Roman" w:hAnsi="Arial" w:cs="Arial"/>
          <w:b/>
          <w:bCs/>
          <w:color w:val="0046AD"/>
          <w:sz w:val="20"/>
          <w:szCs w:val="20"/>
        </w:rPr>
        <w:t> 4. CONTROLS AND PROCEDURES.</w:t>
      </w:r>
    </w:p>
    <w:p w:rsidR="00000000" w:rsidRDefault="007557F0">
      <w:pPr>
        <w:jc w:val="both"/>
        <w:divId w:val="1633632715"/>
        <w:rPr>
          <w:rFonts w:eastAsia="Times New Roman"/>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color w:val="0046AD"/>
          <w:sz w:val="20"/>
          <w:szCs w:val="20"/>
        </w:rPr>
        <w:t xml:space="preserve"> </w:t>
      </w:r>
    </w:p>
    <w:p w:rsidR="00000000" w:rsidRDefault="007557F0">
      <w:pPr>
        <w:ind w:firstLine="720"/>
        <w:jc w:val="both"/>
        <w:divId w:val="684212398"/>
        <w:rPr>
          <w:rFonts w:eastAsia="Times New Roman"/>
        </w:rPr>
      </w:pPr>
      <w:r>
        <w:rPr>
          <w:rFonts w:ascii="Arial" w:eastAsia="Times New Roman" w:hAnsi="Arial" w:cs="Arial"/>
          <w:color w:val="000000"/>
          <w:sz w:val="20"/>
          <w:szCs w:val="20"/>
        </w:rPr>
        <w:t>As of the end of the period covered by this report, our Principal Executive Officer and Principal Financial Officer evaluated our disclosure controls and procedures, as such term is defined in Rules 13a-15(e) and 15d-15(e) of the Exchange Act. Based upon t</w:t>
      </w:r>
      <w:r>
        <w:rPr>
          <w:rFonts w:ascii="Arial" w:eastAsia="Times New Roman" w:hAnsi="Arial" w:cs="Arial"/>
          <w:color w:val="000000"/>
          <w:sz w:val="20"/>
          <w:szCs w:val="20"/>
        </w:rPr>
        <w:t xml:space="preserve">hat evaluation, our Principal Executive Officer and Principal Financial Officer concluded that as of the end of the period covered by this report, our disclosure controls and procedures were effective to ensure that information required to be disclosed by </w:t>
      </w:r>
      <w:r>
        <w:rPr>
          <w:rFonts w:ascii="Arial" w:eastAsia="Times New Roman" w:hAnsi="Arial" w:cs="Arial"/>
          <w:color w:val="000000"/>
          <w:sz w:val="20"/>
          <w:szCs w:val="20"/>
        </w:rPr>
        <w:t xml:space="preserve">us in reports we file or submit under the Exchange Act is (1) recorded, processed, summarized, and reported within the time periods specified in the rules and forms of the SEC and (2) accumulated and communicated to our management, including our Principal </w:t>
      </w:r>
      <w:r>
        <w:rPr>
          <w:rFonts w:ascii="Arial" w:eastAsia="Times New Roman" w:hAnsi="Arial" w:cs="Arial"/>
          <w:color w:val="000000"/>
          <w:sz w:val="20"/>
          <w:szCs w:val="20"/>
        </w:rPr>
        <w:t xml:space="preserve">Executive Officer and Principal Financial Officer, to allow timely decisions regarding required disclosure. </w:t>
      </w:r>
    </w:p>
    <w:p w:rsidR="00000000" w:rsidRDefault="007557F0">
      <w:pPr>
        <w:jc w:val="both"/>
        <w:divId w:val="1579172627"/>
        <w:rPr>
          <w:rFonts w:eastAsia="Times New Roman"/>
        </w:rPr>
      </w:pPr>
      <w:r>
        <w:rPr>
          <w:rFonts w:ascii="Arial" w:eastAsia="Times New Roman" w:hAnsi="Arial" w:cs="Arial"/>
          <w:b/>
          <w:bCs/>
          <w:color w:val="0046AD"/>
          <w:sz w:val="20"/>
          <w:szCs w:val="20"/>
        </w:rPr>
        <w:t>b. Changes in Internal Control Over Financial Reporting.</w:t>
      </w:r>
    </w:p>
    <w:p w:rsidR="00000000" w:rsidRDefault="007557F0">
      <w:pPr>
        <w:ind w:firstLine="720"/>
        <w:jc w:val="both"/>
        <w:divId w:val="1258826401"/>
        <w:rPr>
          <w:rFonts w:eastAsia="Times New Roman"/>
        </w:rPr>
      </w:pPr>
      <w:r>
        <w:rPr>
          <w:rFonts w:ascii="Arial" w:eastAsia="Times New Roman" w:hAnsi="Arial" w:cs="Arial"/>
          <w:color w:val="000000"/>
          <w:sz w:val="20"/>
          <w:szCs w:val="20"/>
        </w:rPr>
        <w:t>To support the growth of our financial shared service capabilities and standardize our fin</w:t>
      </w:r>
      <w:r>
        <w:rPr>
          <w:rFonts w:ascii="Arial" w:eastAsia="Times New Roman" w:hAnsi="Arial" w:cs="Arial"/>
          <w:color w:val="000000"/>
          <w:sz w:val="20"/>
          <w:szCs w:val="20"/>
        </w:rPr>
        <w:t>ancial systems, we continue to update several key platforms, including our enterprise resource planning system. The implementation of several key platforms involves changes in the systems that include internal controls. Although some of the transitions hav</w:t>
      </w:r>
      <w:r>
        <w:rPr>
          <w:rFonts w:ascii="Arial" w:eastAsia="Times New Roman" w:hAnsi="Arial" w:cs="Arial"/>
          <w:color w:val="000000"/>
          <w:sz w:val="20"/>
          <w:szCs w:val="20"/>
        </w:rPr>
        <w:t xml:space="preserve">e proceeded to date without material adverse effects, the possibility exists that they could adversely affect our internal controls over financial reporting and procedures. </w:t>
      </w:r>
    </w:p>
    <w:p w:rsidR="00000000" w:rsidRDefault="007557F0">
      <w:pPr>
        <w:ind w:firstLine="720"/>
        <w:jc w:val="both"/>
        <w:divId w:val="124739745"/>
        <w:rPr>
          <w:rFonts w:eastAsia="Times New Roman"/>
        </w:rPr>
      </w:pPr>
      <w:r>
        <w:rPr>
          <w:rFonts w:ascii="Arial" w:eastAsia="Times New Roman" w:hAnsi="Arial" w:cs="Arial"/>
          <w:color w:val="000000"/>
          <w:sz w:val="20"/>
          <w:szCs w:val="20"/>
        </w:rPr>
        <w:t>There were no other changes in our internal control over financial reporting durin</w:t>
      </w:r>
      <w:r>
        <w:rPr>
          <w:rFonts w:ascii="Arial" w:eastAsia="Times New Roman" w:hAnsi="Arial" w:cs="Arial"/>
          <w:color w:val="000000"/>
          <w:sz w:val="20"/>
          <w:szCs w:val="20"/>
        </w:rPr>
        <w:t>g the first quarter of 2023 identified in connection with the evaluation required by Rules 13a-15(d) and 15d-15(d) of the Exchange Act that has materially affected, or is reasonably likely to materially affect, our internal control over financial reporting</w:t>
      </w:r>
      <w:r>
        <w:rPr>
          <w:rFonts w:ascii="Arial" w:eastAsia="Times New Roman" w:hAnsi="Arial" w:cs="Arial"/>
          <w:color w:val="000000"/>
          <w:sz w:val="20"/>
          <w:szCs w:val="20"/>
        </w:rPr>
        <w:t xml:space="preserve">. </w:t>
      </w:r>
    </w:p>
    <w:p w:rsidR="00000000" w:rsidRDefault="007557F0">
      <w:pPr>
        <w:ind w:firstLine="720"/>
        <w:jc w:val="both"/>
        <w:divId w:val="349726491"/>
        <w:rPr>
          <w:rFonts w:eastAsia="Times New Roman"/>
        </w:rPr>
      </w:pPr>
    </w:p>
    <w:p w:rsidR="00000000" w:rsidRDefault="007557F0">
      <w:pPr>
        <w:divId w:val="362563532"/>
        <w:rPr>
          <w:rFonts w:eastAsia="Times New Roman"/>
        </w:rPr>
      </w:pPr>
      <w:r>
        <w:rPr>
          <w:rFonts w:ascii="Arial" w:eastAsia="Times New Roman" w:hAnsi="Arial" w:cs="Arial"/>
          <w:b/>
          <w:bCs/>
          <w:color w:val="0046AD"/>
          <w:sz w:val="20"/>
          <w:szCs w:val="20"/>
        </w:rPr>
        <w:t>PART II. OTHER INFORMATION</w:t>
      </w:r>
    </w:p>
    <w:p w:rsidR="00000000" w:rsidRDefault="007557F0">
      <w:pPr>
        <w:divId w:val="170532961"/>
        <w:rPr>
          <w:rFonts w:eastAsia="Times New Roman"/>
        </w:rPr>
      </w:pPr>
      <w:r>
        <w:rPr>
          <w:rFonts w:ascii="Arial" w:eastAsia="Times New Roman" w:hAnsi="Arial" w:cs="Arial"/>
          <w:b/>
          <w:bCs/>
          <w:color w:val="0046AD"/>
          <w:sz w:val="20"/>
          <w:szCs w:val="20"/>
        </w:rPr>
        <w:t>ITEM 1. LEGAL PROCEEDINGS.</w:t>
      </w:r>
    </w:p>
    <w:p w:rsidR="00000000" w:rsidRDefault="007557F0">
      <w:pPr>
        <w:ind w:firstLine="720"/>
        <w:jc w:val="both"/>
        <w:divId w:val="1092554515"/>
        <w:rPr>
          <w:rFonts w:eastAsia="Times New Roman"/>
        </w:rPr>
      </w:pPr>
      <w:r>
        <w:rPr>
          <w:rFonts w:ascii="Arial" w:eastAsia="Times New Roman" w:hAnsi="Arial" w:cs="Arial"/>
          <w:color w:val="000000"/>
          <w:sz w:val="20"/>
          <w:szCs w:val="20"/>
        </w:rPr>
        <w:t>A discussion of material developments in our litigation matters occurring in the period covered by this report is found in Note 10, “Commitments and Contingencies,” to the unaudited Consolidated Fi</w:t>
      </w:r>
      <w:r>
        <w:rPr>
          <w:rFonts w:ascii="Arial" w:eastAsia="Times New Roman" w:hAnsi="Arial" w:cs="Arial"/>
          <w:color w:val="000000"/>
          <w:sz w:val="20"/>
          <w:szCs w:val="20"/>
        </w:rPr>
        <w:t>nancial Statements in this Form 10-Q.</w:t>
      </w:r>
    </w:p>
    <w:p w:rsidR="00000000" w:rsidRDefault="007557F0">
      <w:pPr>
        <w:divId w:val="1345131006"/>
        <w:rPr>
          <w:rFonts w:eastAsia="Times New Roman"/>
        </w:rPr>
      </w:pPr>
      <w:r>
        <w:rPr>
          <w:rFonts w:ascii="Arial" w:eastAsia="Times New Roman" w:hAnsi="Arial" w:cs="Arial"/>
          <w:b/>
          <w:bCs/>
          <w:color w:val="0046AD"/>
          <w:sz w:val="20"/>
          <w:szCs w:val="20"/>
        </w:rPr>
        <w:t>ITEM 1A. RISK FACTORS.</w:t>
      </w:r>
    </w:p>
    <w:p w:rsidR="00000000" w:rsidRDefault="007557F0">
      <w:pPr>
        <w:ind w:firstLine="720"/>
        <w:jc w:val="both"/>
        <w:divId w:val="1523712520"/>
        <w:rPr>
          <w:rFonts w:eastAsia="Times New Roman"/>
        </w:rPr>
      </w:pPr>
      <w:r>
        <w:rPr>
          <w:rFonts w:ascii="Arial" w:eastAsia="Times New Roman" w:hAnsi="Arial" w:cs="Arial"/>
          <w:color w:val="000000"/>
          <w:sz w:val="20"/>
          <w:szCs w:val="20"/>
        </w:rPr>
        <w:t>There have been no material changes to the risk factors identified in our Annual Report on Form 10-K for the year ended October 31, 2022, in response to Item 1A., “Risk Factors,” of Part I of the</w:t>
      </w:r>
      <w:r>
        <w:rPr>
          <w:rFonts w:ascii="Arial" w:eastAsia="Times New Roman" w:hAnsi="Arial" w:cs="Arial"/>
          <w:color w:val="000000"/>
          <w:sz w:val="20"/>
          <w:szCs w:val="20"/>
        </w:rPr>
        <w:t xml:space="preserve"> Annual Report.</w:t>
      </w:r>
    </w:p>
    <w:p w:rsidR="00000000" w:rsidRDefault="007557F0">
      <w:pPr>
        <w:divId w:val="2101563091"/>
        <w:rPr>
          <w:rFonts w:eastAsia="Times New Roman"/>
        </w:rPr>
      </w:pPr>
      <w:r>
        <w:rPr>
          <w:rFonts w:ascii="Arial" w:eastAsia="Times New Roman" w:hAnsi="Arial" w:cs="Arial"/>
          <w:b/>
          <w:bCs/>
          <w:color w:val="0046AD"/>
          <w:sz w:val="20"/>
          <w:szCs w:val="20"/>
        </w:rPr>
        <w:t>ITEM 2. UNREGISTERED SALES OF EQUITY SECURITIES AND USE OF PROCEEDS.</w:t>
      </w:r>
    </w:p>
    <w:p w:rsidR="00000000" w:rsidRDefault="007557F0">
      <w:pPr>
        <w:ind w:firstLine="720"/>
        <w:jc w:val="both"/>
        <w:divId w:val="256447443"/>
        <w:rPr>
          <w:rFonts w:eastAsia="Times New Roman"/>
        </w:rPr>
      </w:pPr>
      <w:r>
        <w:rPr>
          <w:rFonts w:ascii="Arial" w:eastAsia="Times New Roman" w:hAnsi="Arial" w:cs="Arial"/>
          <w:color w:val="000000"/>
          <w:sz w:val="20"/>
          <w:szCs w:val="20"/>
        </w:rPr>
        <w:t xml:space="preserve">Effective December 9, 2022, our Board of Directors expanded our existing share repurchase program by an additional $150.0 million. Share repurchases may take place on the open market or otherwise, and all or part of the repurchases may be made pursuant to </w:t>
      </w:r>
      <w:r>
        <w:rPr>
          <w:rFonts w:ascii="Arial" w:eastAsia="Times New Roman" w:hAnsi="Arial" w:cs="Arial"/>
          <w:color w:val="000000"/>
          <w:sz w:val="20"/>
          <w:szCs w:val="20"/>
        </w:rPr>
        <w:t>Rule 10b5-1 plans or in privately negotiated transactions. The timing of repurchases is at our discretion and will depend upon several factors, including market and business conditions, future cash flows, share price, share availability, and other factors.</w:t>
      </w:r>
      <w:r>
        <w:rPr>
          <w:rFonts w:ascii="Arial" w:eastAsia="Times New Roman" w:hAnsi="Arial" w:cs="Arial"/>
          <w:color w:val="000000"/>
          <w:sz w:val="20"/>
          <w:szCs w:val="20"/>
        </w:rPr>
        <w:t xml:space="preserve"> Repurchased shares are retired and returned to an authorized but unissued status. The s</w:t>
      </w:r>
      <w:r>
        <w:rPr>
          <w:rFonts w:ascii="Arial" w:eastAsia="Times New Roman" w:hAnsi="Arial" w:cs="Arial"/>
          <w:color w:val="000000"/>
          <w:sz w:val="20"/>
          <w:szCs w:val="20"/>
          <w:shd w:val="clear" w:color="auto" w:fill="FFFFFF"/>
        </w:rPr>
        <w:t>hare repurchase program</w:t>
      </w:r>
      <w:r>
        <w:rPr>
          <w:rFonts w:ascii="Arial" w:eastAsia="Times New Roman" w:hAnsi="Arial" w:cs="Arial"/>
          <w:color w:val="000000"/>
          <w:sz w:val="20"/>
          <w:szCs w:val="20"/>
        </w:rPr>
        <w:t xml:space="preserve"> may be suspended or discontinued at any time without prior notice. </w:t>
      </w:r>
      <w:r>
        <w:rPr>
          <w:rFonts w:ascii="Arial" w:eastAsia="Times New Roman" w:hAnsi="Arial" w:cs="Arial"/>
          <w:color w:val="000000"/>
          <w:sz w:val="20"/>
          <w:szCs w:val="20"/>
          <w:shd w:val="clear" w:color="auto" w:fill="FFFFFF"/>
        </w:rPr>
        <w:t>There were no share repurchases during the three months ended January 31, 202</w:t>
      </w:r>
      <w:r>
        <w:rPr>
          <w:rFonts w:ascii="Arial" w:eastAsia="Times New Roman" w:hAnsi="Arial" w:cs="Arial"/>
          <w:color w:val="000000"/>
          <w:sz w:val="20"/>
          <w:szCs w:val="20"/>
          <w:shd w:val="clear" w:color="auto" w:fill="FFFFFF"/>
        </w:rPr>
        <w:t xml:space="preserve">3. </w:t>
      </w:r>
      <w:r>
        <w:rPr>
          <w:rFonts w:ascii="Arial" w:eastAsia="Times New Roman" w:hAnsi="Arial" w:cs="Arial"/>
          <w:color w:val="000000"/>
          <w:sz w:val="20"/>
          <w:szCs w:val="20"/>
        </w:rPr>
        <w:t>At January 31, 2023, authorization for $197.4 million of repurchases remained under the share repurchase program</w:t>
      </w:r>
      <w:r>
        <w:rPr>
          <w:rFonts w:ascii="Arial" w:eastAsia="Times New Roman" w:hAnsi="Arial" w:cs="Arial"/>
          <w:color w:val="000000"/>
          <w:sz w:val="20"/>
          <w:szCs w:val="20"/>
          <w:shd w:val="clear" w:color="auto" w:fill="FFFFFF"/>
        </w:rPr>
        <w:t xml:space="preserve">. </w:t>
      </w:r>
    </w:p>
    <w:p w:rsidR="00000000" w:rsidRDefault="007557F0">
      <w:pPr>
        <w:divId w:val="605384538"/>
        <w:rPr>
          <w:rFonts w:eastAsia="Times New Roman"/>
        </w:rPr>
      </w:pPr>
      <w:r>
        <w:rPr>
          <w:rFonts w:ascii="Arial" w:eastAsia="Times New Roman" w:hAnsi="Arial" w:cs="Arial"/>
          <w:b/>
          <w:bCs/>
          <w:color w:val="0046AD"/>
          <w:sz w:val="20"/>
          <w:szCs w:val="20"/>
        </w:rPr>
        <w:t>ITEM 3. DEFAULTS UPON SENIOR SECURITIES.</w:t>
      </w:r>
    </w:p>
    <w:p w:rsidR="00000000" w:rsidRDefault="007557F0">
      <w:pPr>
        <w:ind w:firstLine="720"/>
        <w:jc w:val="both"/>
        <w:divId w:val="1743798544"/>
        <w:rPr>
          <w:rFonts w:eastAsia="Times New Roman"/>
        </w:rPr>
      </w:pPr>
      <w:r>
        <w:rPr>
          <w:rFonts w:ascii="Arial" w:eastAsia="Times New Roman" w:hAnsi="Arial" w:cs="Arial"/>
          <w:color w:val="000000"/>
          <w:sz w:val="20"/>
          <w:szCs w:val="20"/>
        </w:rPr>
        <w:t>None.</w:t>
      </w:r>
    </w:p>
    <w:p w:rsidR="00000000" w:rsidRDefault="007557F0">
      <w:pPr>
        <w:divId w:val="373845169"/>
        <w:rPr>
          <w:rFonts w:eastAsia="Times New Roman"/>
        </w:rPr>
      </w:pPr>
      <w:r>
        <w:rPr>
          <w:rFonts w:ascii="Arial" w:eastAsia="Times New Roman" w:hAnsi="Arial" w:cs="Arial"/>
          <w:b/>
          <w:bCs/>
          <w:color w:val="0046AD"/>
          <w:sz w:val="20"/>
          <w:szCs w:val="20"/>
        </w:rPr>
        <w:t>ITEM 4. MINE SAFETY DISCLOSURES.</w:t>
      </w:r>
    </w:p>
    <w:p w:rsidR="00000000" w:rsidRDefault="007557F0">
      <w:pPr>
        <w:ind w:firstLine="720"/>
        <w:jc w:val="both"/>
        <w:divId w:val="2028210757"/>
        <w:rPr>
          <w:rFonts w:eastAsia="Times New Roman"/>
        </w:rPr>
      </w:pPr>
      <w:r>
        <w:rPr>
          <w:rFonts w:ascii="Arial" w:eastAsia="Times New Roman" w:hAnsi="Arial" w:cs="Arial"/>
          <w:color w:val="000000"/>
          <w:sz w:val="20"/>
          <w:szCs w:val="20"/>
        </w:rPr>
        <w:t>Not applicable.</w:t>
      </w:r>
    </w:p>
    <w:p w:rsidR="00000000" w:rsidRDefault="007557F0">
      <w:pPr>
        <w:jc w:val="center"/>
        <w:divId w:val="2146654865"/>
        <w:rPr>
          <w:rFonts w:eastAsia="Times New Roman"/>
        </w:rPr>
      </w:pPr>
      <w:r>
        <w:rPr>
          <w:rFonts w:ascii="Arial" w:eastAsia="Times New Roman" w:hAnsi="Arial" w:cs="Arial"/>
          <w:color w:val="000000"/>
          <w:sz w:val="20"/>
          <w:szCs w:val="20"/>
        </w:rPr>
        <w:t>35</w:t>
      </w:r>
    </w:p>
    <w:p w:rsidR="00000000" w:rsidRDefault="007557F0">
      <w:pPr>
        <w:rPr>
          <w:rFonts w:eastAsia="Times New Roman"/>
        </w:rPr>
      </w:pPr>
      <w:r>
        <w:rPr>
          <w:rFonts w:eastAsia="Times New Roman"/>
        </w:rPr>
        <w:pict>
          <v:rect id="_x0000_i1069" style="width:0;height:1.5pt" o:hralign="center" o:hrstd="t" o:hr="t" fillcolor="#a0a0a0" stroked="f"/>
        </w:pict>
      </w:r>
    </w:p>
    <w:p w:rsidR="00000000" w:rsidRDefault="007557F0">
      <w:pPr>
        <w:jc w:val="both"/>
        <w:divId w:val="1390499941"/>
        <w:rPr>
          <w:rFonts w:eastAsia="Times New Roman"/>
        </w:rPr>
      </w:pPr>
    </w:p>
    <w:p w:rsidR="00000000" w:rsidRDefault="007557F0">
      <w:pPr>
        <w:divId w:val="2054765397"/>
        <w:rPr>
          <w:rFonts w:eastAsia="Times New Roman"/>
        </w:rPr>
      </w:pPr>
      <w:r>
        <w:rPr>
          <w:rFonts w:ascii="Arial" w:eastAsia="Times New Roman" w:hAnsi="Arial" w:cs="Arial"/>
          <w:b/>
          <w:bCs/>
          <w:color w:val="0046AD"/>
          <w:sz w:val="20"/>
          <w:szCs w:val="20"/>
        </w:rPr>
        <w:t>ITEM 5. OTHER INFORMATION.</w:t>
      </w:r>
    </w:p>
    <w:p w:rsidR="00000000" w:rsidRDefault="007557F0">
      <w:pPr>
        <w:ind w:firstLine="720"/>
        <w:jc w:val="both"/>
        <w:divId w:val="882985086"/>
        <w:rPr>
          <w:rFonts w:eastAsia="Times New Roman"/>
        </w:rPr>
      </w:pPr>
      <w:r>
        <w:rPr>
          <w:rFonts w:ascii="Arial" w:eastAsia="Times New Roman" w:hAnsi="Arial" w:cs="Arial"/>
          <w:color w:val="000000"/>
          <w:sz w:val="20"/>
          <w:szCs w:val="20"/>
        </w:rPr>
        <w:t>Not applicable.</w:t>
      </w:r>
    </w:p>
    <w:p w:rsidR="00000000" w:rsidRDefault="007557F0">
      <w:pPr>
        <w:divId w:val="655379107"/>
        <w:rPr>
          <w:rFonts w:eastAsia="Times New Roman"/>
        </w:rPr>
      </w:pPr>
    </w:p>
    <w:p w:rsidR="00000000" w:rsidRDefault="007557F0">
      <w:pPr>
        <w:jc w:val="center"/>
        <w:divId w:val="1771855642"/>
        <w:rPr>
          <w:rFonts w:eastAsia="Times New Roman"/>
        </w:rPr>
      </w:pPr>
      <w:r>
        <w:rPr>
          <w:rFonts w:ascii="Arial" w:eastAsia="Times New Roman" w:hAnsi="Arial" w:cs="Arial"/>
          <w:color w:val="000000"/>
          <w:sz w:val="20"/>
          <w:szCs w:val="20"/>
        </w:rPr>
        <w:t>36</w:t>
      </w:r>
    </w:p>
    <w:p w:rsidR="00000000" w:rsidRDefault="007557F0">
      <w:pPr>
        <w:rPr>
          <w:rFonts w:eastAsia="Times New Roman"/>
        </w:rPr>
      </w:pPr>
      <w:r>
        <w:rPr>
          <w:rFonts w:eastAsia="Times New Roman"/>
        </w:rPr>
        <w:pict>
          <v:rect id="_x0000_i1070" style="width:0;height:1.5pt" o:hralign="center" o:hrstd="t" o:hr="t" fillcolor="#a0a0a0" stroked="f"/>
        </w:pict>
      </w:r>
    </w:p>
    <w:p w:rsidR="00000000" w:rsidRDefault="007557F0">
      <w:pPr>
        <w:jc w:val="both"/>
        <w:divId w:val="535234799"/>
        <w:rPr>
          <w:rFonts w:eastAsia="Times New Roman"/>
        </w:rPr>
      </w:pPr>
    </w:p>
    <w:p w:rsidR="00000000" w:rsidRDefault="007557F0">
      <w:pPr>
        <w:divId w:val="1325932115"/>
        <w:rPr>
          <w:rFonts w:eastAsia="Times New Roman"/>
        </w:rPr>
      </w:pPr>
      <w:r>
        <w:rPr>
          <w:rFonts w:ascii="Arial" w:eastAsia="Times New Roman" w:hAnsi="Arial" w:cs="Arial"/>
          <w:b/>
          <w:bCs/>
          <w:color w:val="0046AD"/>
          <w:sz w:val="20"/>
          <w:szCs w:val="20"/>
        </w:rPr>
        <w:t>ITEM 6. EXHIBITS.</w:t>
      </w:r>
    </w:p>
    <w:p w:rsidR="00000000" w:rsidRDefault="007557F0">
      <w:pPr>
        <w:ind w:firstLine="720"/>
        <w:divId w:val="1671063269"/>
        <w:rPr>
          <w:rFonts w:eastAsia="Times New Roman"/>
        </w:rPr>
      </w:pPr>
      <w:r>
        <w:rPr>
          <w:rFonts w:ascii="Arial" w:eastAsia="Times New Roman" w:hAnsi="Arial" w:cs="Arial"/>
          <w:color w:val="000000"/>
          <w:sz w:val="20"/>
          <w:szCs w:val="20"/>
          <w:shd w:val="clear" w:color="auto" w:fill="FFFFFF"/>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8"/>
        <w:gridCol w:w="801"/>
        <w:gridCol w:w="38"/>
        <w:gridCol w:w="36"/>
        <w:gridCol w:w="36"/>
        <w:gridCol w:w="36"/>
        <w:gridCol w:w="46"/>
        <w:gridCol w:w="7199"/>
        <w:gridCol w:w="36"/>
      </w:tblGrid>
      <w:tr w:rsidR="00000000">
        <w:trPr>
          <w:divId w:val="779104976"/>
        </w:trPr>
        <w:tc>
          <w:tcPr>
            <w:tcW w:w="50" w:type="pct"/>
            <w:vAlign w:val="center"/>
            <w:hideMark/>
          </w:tcPr>
          <w:p w:rsidR="00000000" w:rsidRDefault="007557F0">
            <w:pPr>
              <w:ind w:firstLine="720"/>
              <w:rPr>
                <w:rFonts w:eastAsia="Times New Roman"/>
              </w:rPr>
            </w:pPr>
          </w:p>
        </w:tc>
        <w:tc>
          <w:tcPr>
            <w:tcW w:w="50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2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345"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779104976"/>
        </w:trPr>
        <w:tc>
          <w:tcPr>
            <w:tcW w:w="0" w:type="auto"/>
            <w:gridSpan w:val="3"/>
            <w:shd w:val="clear" w:color="auto" w:fill="DCE2EF"/>
            <w:tcMar>
              <w:top w:w="30" w:type="dxa"/>
              <w:left w:w="20" w:type="dxa"/>
              <w:bottom w:w="30" w:type="dxa"/>
              <w:right w:w="20" w:type="dxa"/>
            </w:tcMar>
            <w:hideMark/>
          </w:tcPr>
          <w:p w:rsidR="00000000" w:rsidRDefault="007557F0">
            <w:pPr>
              <w:spacing w:after="100"/>
              <w:jc w:val="center"/>
              <w:rPr>
                <w:rFonts w:eastAsia="Times New Roman"/>
              </w:rPr>
            </w:pPr>
            <w:r>
              <w:rPr>
                <w:rFonts w:ascii="Arial" w:eastAsia="Times New Roman" w:hAnsi="Arial" w:cs="Arial"/>
                <w:b/>
                <w:bCs/>
                <w:color w:val="000000"/>
                <w:sz w:val="18"/>
                <w:szCs w:val="18"/>
              </w:rPr>
              <w:t xml:space="preserve">Exhibit No. </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7557F0">
            <w:pPr>
              <w:spacing w:after="100"/>
              <w:jc w:val="center"/>
              <w:rPr>
                <w:rFonts w:eastAsia="Times New Roman"/>
              </w:rPr>
            </w:pPr>
            <w:r>
              <w:rPr>
                <w:rFonts w:ascii="Arial" w:eastAsia="Times New Roman" w:hAnsi="Arial" w:cs="Arial"/>
                <w:b/>
                <w:bCs/>
                <w:color w:val="000000"/>
                <w:sz w:val="18"/>
                <w:szCs w:val="18"/>
              </w:rPr>
              <w:t>Exhibit Description</w:t>
            </w:r>
          </w:p>
        </w:tc>
      </w:tr>
      <w:tr w:rsidR="00000000">
        <w:trPr>
          <w:divId w:val="779104976"/>
        </w:trPr>
        <w:tc>
          <w:tcPr>
            <w:tcW w:w="0" w:type="auto"/>
            <w:gridSpan w:val="3"/>
            <w:shd w:val="clear" w:color="auto" w:fill="FFFFF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31.1†</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557F0">
            <w:pPr>
              <w:spacing w:after="100"/>
              <w:divId w:val="375548821"/>
              <w:rPr>
                <w:rFonts w:eastAsia="Times New Roman"/>
              </w:rPr>
            </w:pPr>
            <w:hyperlink r:id="rId11" w:history="1">
              <w:r>
                <w:rPr>
                  <w:rStyle w:val="a3"/>
                  <w:rFonts w:ascii="Arial" w:eastAsia="Times New Roman" w:hAnsi="Arial" w:cs="Arial"/>
                  <w:sz w:val="18"/>
                  <w:szCs w:val="18"/>
                </w:rPr>
                <w:t>Certification of Principal Executive Officer pursuant to Section 302 of the Sarbanes-Oxley Act of 2002</w:t>
              </w:r>
            </w:hyperlink>
          </w:p>
        </w:tc>
      </w:tr>
      <w:tr w:rsidR="00000000">
        <w:trPr>
          <w:divId w:val="779104976"/>
        </w:trPr>
        <w:tc>
          <w:tcPr>
            <w:tcW w:w="0" w:type="auto"/>
            <w:gridSpan w:val="3"/>
            <w:shd w:val="clear" w:color="auto" w:fill="DCE2E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31.2†</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7557F0">
            <w:pPr>
              <w:spacing w:after="100"/>
              <w:jc w:val="both"/>
              <w:rPr>
                <w:rFonts w:eastAsia="Times New Roman"/>
              </w:rPr>
            </w:pPr>
            <w:hyperlink r:id="rId12" w:history="1">
              <w:r>
                <w:rPr>
                  <w:rStyle w:val="a3"/>
                  <w:rFonts w:ascii="Arial" w:eastAsia="Times New Roman" w:hAnsi="Arial" w:cs="Arial"/>
                  <w:sz w:val="18"/>
                  <w:szCs w:val="18"/>
                </w:rPr>
                <w:t>Certification of Principal Financial Officer pursuant to Section 302 of the Sarbanes-Oxley Act of 2002</w:t>
              </w:r>
            </w:hyperlink>
          </w:p>
        </w:tc>
      </w:tr>
      <w:tr w:rsidR="00000000">
        <w:trPr>
          <w:divId w:val="779104976"/>
        </w:trPr>
        <w:tc>
          <w:tcPr>
            <w:tcW w:w="0" w:type="auto"/>
            <w:gridSpan w:val="3"/>
            <w:shd w:val="clear" w:color="auto" w:fill="FFFFF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32‡</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557F0">
            <w:pPr>
              <w:spacing w:after="100"/>
              <w:jc w:val="both"/>
              <w:rPr>
                <w:rFonts w:eastAsia="Times New Roman"/>
              </w:rPr>
            </w:pPr>
            <w:hyperlink r:id="rId13" w:history="1">
              <w:r>
                <w:rPr>
                  <w:rStyle w:val="a3"/>
                  <w:rFonts w:ascii="Arial" w:eastAsia="Times New Roman" w:hAnsi="Arial" w:cs="Arial"/>
                  <w:sz w:val="18"/>
                  <w:szCs w:val="18"/>
                </w:rPr>
                <w:t>Certification pursuant to 18 U.S.C. Section 1350, as adopted pursuant to Section 906 of the Sarbanes-Oxley Act of 2002</w:t>
              </w:r>
            </w:hyperlink>
          </w:p>
        </w:tc>
      </w:tr>
      <w:tr w:rsidR="00000000">
        <w:trPr>
          <w:divId w:val="779104976"/>
        </w:trPr>
        <w:tc>
          <w:tcPr>
            <w:tcW w:w="0" w:type="auto"/>
            <w:gridSpan w:val="3"/>
            <w:shd w:val="clear" w:color="auto" w:fill="DCE2E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101.INS†</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7557F0">
            <w:pPr>
              <w:spacing w:after="100"/>
              <w:jc w:val="both"/>
              <w:rPr>
                <w:rFonts w:eastAsia="Times New Roman"/>
              </w:rPr>
            </w:pPr>
            <w:r>
              <w:rPr>
                <w:rFonts w:ascii="Arial" w:eastAsia="Times New Roman" w:hAnsi="Arial" w:cs="Arial"/>
                <w:color w:val="000000"/>
                <w:sz w:val="18"/>
                <w:szCs w:val="18"/>
              </w:rPr>
              <w:t xml:space="preserve">Inline XBRL Instance Document (the instance document does not appear in the Interactive Data File because its XBRL tags </w:t>
            </w:r>
            <w:r>
              <w:rPr>
                <w:rFonts w:ascii="Arial" w:eastAsia="Times New Roman" w:hAnsi="Arial" w:cs="Arial"/>
                <w:color w:val="000000"/>
                <w:sz w:val="18"/>
                <w:szCs w:val="18"/>
              </w:rPr>
              <w:t>are embedded within the Inline XBRL document)</w:t>
            </w:r>
          </w:p>
        </w:tc>
      </w:tr>
      <w:tr w:rsidR="00000000">
        <w:trPr>
          <w:divId w:val="779104976"/>
        </w:trPr>
        <w:tc>
          <w:tcPr>
            <w:tcW w:w="0" w:type="auto"/>
            <w:gridSpan w:val="3"/>
            <w:shd w:val="clear" w:color="auto" w:fill="FFFFF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101.SCH†</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557F0">
            <w:pPr>
              <w:spacing w:after="100"/>
              <w:jc w:val="both"/>
              <w:rPr>
                <w:rFonts w:eastAsia="Times New Roman"/>
              </w:rPr>
            </w:pPr>
            <w:r>
              <w:rPr>
                <w:rFonts w:ascii="Arial" w:eastAsia="Times New Roman" w:hAnsi="Arial" w:cs="Arial"/>
                <w:color w:val="000000"/>
                <w:sz w:val="18"/>
                <w:szCs w:val="18"/>
              </w:rPr>
              <w:t>Inline XBRL Taxonomy Extension Schema Document</w:t>
            </w:r>
          </w:p>
        </w:tc>
      </w:tr>
      <w:tr w:rsidR="00000000">
        <w:trPr>
          <w:divId w:val="779104976"/>
        </w:trPr>
        <w:tc>
          <w:tcPr>
            <w:tcW w:w="0" w:type="auto"/>
            <w:gridSpan w:val="3"/>
            <w:shd w:val="clear" w:color="auto" w:fill="DCE2E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101.CAL†</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7557F0">
            <w:pPr>
              <w:spacing w:after="100"/>
              <w:jc w:val="both"/>
              <w:rPr>
                <w:rFonts w:eastAsia="Times New Roman"/>
              </w:rPr>
            </w:pPr>
            <w:r>
              <w:rPr>
                <w:rFonts w:ascii="Arial" w:eastAsia="Times New Roman" w:hAnsi="Arial" w:cs="Arial"/>
                <w:color w:val="000000"/>
                <w:sz w:val="18"/>
                <w:szCs w:val="18"/>
              </w:rPr>
              <w:t>Inline XBRL Taxonomy Calculation Linkbase Document</w:t>
            </w:r>
          </w:p>
        </w:tc>
      </w:tr>
      <w:tr w:rsidR="00000000">
        <w:trPr>
          <w:divId w:val="779104976"/>
        </w:trPr>
        <w:tc>
          <w:tcPr>
            <w:tcW w:w="0" w:type="auto"/>
            <w:gridSpan w:val="3"/>
            <w:shd w:val="clear" w:color="auto" w:fill="FFFFF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101.DEF†</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557F0">
            <w:pPr>
              <w:spacing w:after="100"/>
              <w:jc w:val="both"/>
              <w:rPr>
                <w:rFonts w:eastAsia="Times New Roman"/>
              </w:rPr>
            </w:pPr>
            <w:r>
              <w:rPr>
                <w:rFonts w:ascii="Arial" w:eastAsia="Times New Roman" w:hAnsi="Arial" w:cs="Arial"/>
                <w:color w:val="000000"/>
                <w:sz w:val="18"/>
                <w:szCs w:val="18"/>
              </w:rPr>
              <w:t>Inline XBRL Taxonomy Extension Definition Linkbase Document</w:t>
            </w:r>
          </w:p>
        </w:tc>
      </w:tr>
      <w:tr w:rsidR="00000000">
        <w:trPr>
          <w:divId w:val="779104976"/>
        </w:trPr>
        <w:tc>
          <w:tcPr>
            <w:tcW w:w="0" w:type="auto"/>
            <w:gridSpan w:val="3"/>
            <w:shd w:val="clear" w:color="auto" w:fill="DCE2E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101.LAB†</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7557F0">
            <w:pPr>
              <w:spacing w:after="100"/>
              <w:jc w:val="both"/>
              <w:rPr>
                <w:rFonts w:eastAsia="Times New Roman"/>
              </w:rPr>
            </w:pPr>
            <w:r>
              <w:rPr>
                <w:rFonts w:ascii="Arial" w:eastAsia="Times New Roman" w:hAnsi="Arial" w:cs="Arial"/>
                <w:color w:val="000000"/>
                <w:sz w:val="18"/>
                <w:szCs w:val="18"/>
              </w:rPr>
              <w:t>Inline XBRL Taxonomy Label Linkbase Document</w:t>
            </w:r>
          </w:p>
        </w:tc>
      </w:tr>
      <w:tr w:rsidR="00000000">
        <w:trPr>
          <w:divId w:val="779104976"/>
        </w:trPr>
        <w:tc>
          <w:tcPr>
            <w:tcW w:w="0" w:type="auto"/>
            <w:gridSpan w:val="3"/>
            <w:shd w:val="clear" w:color="auto" w:fill="FFFFF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101.PRE†</w:t>
            </w: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557F0">
            <w:pPr>
              <w:spacing w:after="100"/>
              <w:jc w:val="both"/>
              <w:rPr>
                <w:rFonts w:eastAsia="Times New Roman"/>
              </w:rPr>
            </w:pPr>
            <w:r>
              <w:rPr>
                <w:rFonts w:ascii="Arial" w:eastAsia="Times New Roman" w:hAnsi="Arial" w:cs="Arial"/>
                <w:color w:val="000000"/>
                <w:sz w:val="18"/>
                <w:szCs w:val="18"/>
              </w:rPr>
              <w:t>Inline XBRL Presentation Linkbase Document</w:t>
            </w:r>
          </w:p>
        </w:tc>
      </w:tr>
      <w:tr w:rsidR="00000000">
        <w:trPr>
          <w:divId w:val="779104976"/>
        </w:trPr>
        <w:tc>
          <w:tcPr>
            <w:tcW w:w="0" w:type="auto"/>
            <w:gridSpan w:val="3"/>
            <w:shd w:val="clear" w:color="auto" w:fill="DCE2E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104†</w:t>
            </w:r>
          </w:p>
        </w:tc>
        <w:tc>
          <w:tcPr>
            <w:tcW w:w="0" w:type="auto"/>
            <w:gridSpan w:val="3"/>
            <w:shd w:val="clear" w:color="auto" w:fill="DCE2E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7557F0">
            <w:pPr>
              <w:spacing w:after="100"/>
              <w:jc w:val="both"/>
              <w:rPr>
                <w:rFonts w:eastAsia="Times New Roman"/>
              </w:rPr>
            </w:pPr>
            <w:r>
              <w:rPr>
                <w:rFonts w:ascii="Arial" w:eastAsia="Times New Roman" w:hAnsi="Arial" w:cs="Arial"/>
                <w:color w:val="000000"/>
                <w:sz w:val="18"/>
                <w:szCs w:val="18"/>
              </w:rPr>
              <w:t>Cover Page Interactive Data File (formatted as Inline XBRL and contained in Exhibit 101)</w:t>
            </w: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81"/>
        <w:gridCol w:w="144"/>
        <w:gridCol w:w="144"/>
        <w:gridCol w:w="7667"/>
        <w:gridCol w:w="144"/>
      </w:tblGrid>
      <w:tr w:rsidR="00000000">
        <w:trPr>
          <w:jc w:val="center"/>
        </w:trPr>
        <w:tc>
          <w:tcPr>
            <w:tcW w:w="50" w:type="pct"/>
            <w:vAlign w:val="center"/>
            <w:hideMark/>
          </w:tcPr>
          <w:p w:rsidR="00000000" w:rsidRDefault="007557F0">
            <w:pPr>
              <w:rPr>
                <w:rFonts w:eastAsia="Times New Roman"/>
              </w:rPr>
            </w:pPr>
          </w:p>
        </w:tc>
        <w:tc>
          <w:tcPr>
            <w:tcW w:w="232"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4657"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jc w:val="center"/>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jc w:val="center"/>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gridSpan w:val="3"/>
            <w:shd w:val="clear" w:color="auto" w:fill="FFFFFF"/>
            <w:tcMar>
              <w:top w:w="30" w:type="dxa"/>
              <w:left w:w="20" w:type="dxa"/>
              <w:bottom w:w="30" w:type="dxa"/>
              <w:right w:w="20" w:type="dxa"/>
            </w:tcMar>
            <w:hideMark/>
          </w:tcPr>
          <w:p w:rsidR="00000000" w:rsidRDefault="007557F0">
            <w:pPr>
              <w:spacing w:after="100"/>
              <w:divId w:val="1609700543"/>
              <w:rPr>
                <w:rFonts w:eastAsia="Times New Roman"/>
              </w:rPr>
            </w:pPr>
            <w:r>
              <w:rPr>
                <w:rFonts w:ascii="Arial" w:eastAsia="Times New Roman" w:hAnsi="Arial" w:cs="Arial"/>
                <w:color w:val="000000"/>
                <w:sz w:val="18"/>
                <w:szCs w:val="18"/>
              </w:rPr>
              <w:t>Indicates management contract or compensatory plan, contract, or arrangement.</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gridSpan w:val="3"/>
            <w:shd w:val="clear" w:color="auto" w:fill="FFFFF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Indicates filed herewith.</w:t>
            </w: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w:t>
            </w:r>
          </w:p>
        </w:tc>
        <w:tc>
          <w:tcPr>
            <w:tcW w:w="0" w:type="auto"/>
            <w:gridSpan w:val="3"/>
            <w:shd w:val="clear" w:color="auto" w:fill="FFFFFF"/>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Indicates furnished herewith.</w:t>
            </w: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7F0">
            <w:pPr>
              <w:spacing w:after="100"/>
              <w:rPr>
                <w:rFonts w:eastAsia="Times New Roman"/>
                <w:sz w:val="20"/>
                <w:szCs w:val="20"/>
              </w:rPr>
            </w:pPr>
          </w:p>
        </w:tc>
      </w:tr>
      <w:tr w:rsidR="00000000">
        <w:trPr>
          <w:jc w:val="center"/>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r w:rsidR="00000000">
        <w:trPr>
          <w:jc w:val="center"/>
        </w:trPr>
        <w:tc>
          <w:tcPr>
            <w:tcW w:w="0" w:type="auto"/>
            <w:gridSpan w:val="3"/>
            <w:vAlign w:val="center"/>
            <w:hideMark/>
          </w:tcPr>
          <w:p w:rsidR="00000000" w:rsidRDefault="007557F0">
            <w:pPr>
              <w:spacing w:after="100"/>
              <w:rPr>
                <w:rFonts w:eastAsia="Times New Roman"/>
                <w:sz w:val="20"/>
                <w:szCs w:val="20"/>
              </w:rPr>
            </w:pPr>
          </w:p>
        </w:tc>
        <w:tc>
          <w:tcPr>
            <w:tcW w:w="0" w:type="auto"/>
            <w:gridSpan w:val="3"/>
            <w:vAlign w:val="center"/>
            <w:hideMark/>
          </w:tcPr>
          <w:p w:rsidR="00000000" w:rsidRDefault="007557F0">
            <w:pPr>
              <w:spacing w:after="100"/>
              <w:rPr>
                <w:rFonts w:eastAsia="Times New Roman"/>
                <w:sz w:val="20"/>
                <w:szCs w:val="20"/>
              </w:rPr>
            </w:pPr>
          </w:p>
        </w:tc>
      </w:tr>
    </w:tbl>
    <w:p w:rsidR="00000000" w:rsidRDefault="007557F0">
      <w:pPr>
        <w:jc w:val="center"/>
        <w:divId w:val="90249215"/>
        <w:rPr>
          <w:rFonts w:eastAsia="Times New Roman"/>
        </w:rPr>
      </w:pPr>
      <w:r>
        <w:rPr>
          <w:rFonts w:ascii="Arial" w:eastAsia="Times New Roman" w:hAnsi="Arial" w:cs="Arial"/>
          <w:color w:val="000000"/>
          <w:sz w:val="20"/>
          <w:szCs w:val="20"/>
        </w:rPr>
        <w:t>37</w:t>
      </w:r>
    </w:p>
    <w:p w:rsidR="00000000" w:rsidRDefault="007557F0">
      <w:pPr>
        <w:rPr>
          <w:rFonts w:eastAsia="Times New Roman"/>
        </w:rPr>
      </w:pPr>
      <w:r>
        <w:rPr>
          <w:rFonts w:eastAsia="Times New Roman"/>
        </w:rPr>
        <w:pict>
          <v:rect id="_x0000_i1071" style="width:0;height:1.5pt" o:hralign="center" o:hrstd="t" o:hr="t" fillcolor="#a0a0a0" stroked="f"/>
        </w:pict>
      </w:r>
    </w:p>
    <w:p w:rsidR="00000000" w:rsidRDefault="007557F0">
      <w:pPr>
        <w:jc w:val="both"/>
        <w:divId w:val="1735201308"/>
        <w:rPr>
          <w:rFonts w:eastAsia="Times New Roman"/>
        </w:rPr>
      </w:pPr>
    </w:p>
    <w:p w:rsidR="00000000" w:rsidRDefault="007557F0">
      <w:pPr>
        <w:jc w:val="center"/>
        <w:divId w:val="1375886738"/>
        <w:rPr>
          <w:rFonts w:eastAsia="Times New Roman"/>
        </w:rPr>
      </w:pPr>
      <w:r>
        <w:rPr>
          <w:rFonts w:ascii="Arial" w:eastAsia="Times New Roman" w:hAnsi="Arial" w:cs="Arial"/>
          <w:b/>
          <w:bCs/>
          <w:color w:val="000000"/>
          <w:sz w:val="20"/>
          <w:szCs w:val="20"/>
        </w:rPr>
        <w:t>SIGNATURES</w:t>
      </w:r>
    </w:p>
    <w:p w:rsidR="00000000" w:rsidRDefault="007557F0">
      <w:pPr>
        <w:jc w:val="both"/>
        <w:divId w:val="1006135667"/>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9"/>
        <w:gridCol w:w="36"/>
        <w:gridCol w:w="70"/>
        <w:gridCol w:w="3452"/>
        <w:gridCol w:w="36"/>
      </w:tblGrid>
      <w:tr w:rsidR="00000000">
        <w:trPr>
          <w:divId w:val="242296335"/>
          <w:jc w:val="center"/>
        </w:trPr>
        <w:tc>
          <w:tcPr>
            <w:tcW w:w="50" w:type="pct"/>
            <w:vAlign w:val="center"/>
            <w:hideMark/>
          </w:tcPr>
          <w:p w:rsidR="00000000" w:rsidRDefault="007557F0">
            <w:pPr>
              <w:jc w:val="both"/>
              <w:rPr>
                <w:rFonts w:eastAsia="Times New Roman"/>
              </w:rPr>
            </w:pPr>
          </w:p>
        </w:tc>
        <w:tc>
          <w:tcPr>
            <w:tcW w:w="1290"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45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208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242296335"/>
          <w:jc w:val="center"/>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rPr>
              <w:t>ABM Industries Incorporated</w:t>
            </w:r>
          </w:p>
        </w:tc>
      </w:tr>
    </w:tbl>
    <w:p w:rsidR="00000000" w:rsidRDefault="007557F0">
      <w:pPr>
        <w:jc w:val="both"/>
        <w:divId w:val="71057053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trPr>
          <w:divId w:val="1256017511"/>
        </w:trPr>
        <w:tc>
          <w:tcPr>
            <w:tcW w:w="50" w:type="pct"/>
            <w:vAlign w:val="center"/>
            <w:hideMark/>
          </w:tcPr>
          <w:p w:rsidR="00000000" w:rsidRDefault="007557F0">
            <w:pPr>
              <w:jc w:val="both"/>
              <w:rPr>
                <w:rFonts w:eastAsia="Times New Roman"/>
              </w:rPr>
            </w:pPr>
          </w:p>
        </w:tc>
        <w:tc>
          <w:tcPr>
            <w:tcW w:w="1290"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45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208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256017511"/>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u w:val="single"/>
              </w:rPr>
              <w:t>March 8, 2023</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u w:val="single"/>
              </w:rPr>
              <w:t>/s/ Earl R. Ellis</w:t>
            </w:r>
          </w:p>
        </w:tc>
      </w:tr>
      <w:tr w:rsidR="00000000">
        <w:trPr>
          <w:divId w:val="1256017511"/>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Earl R. Ellis</w:t>
            </w:r>
            <w:r>
              <w:rPr>
                <w:rFonts w:ascii="Arial" w:eastAsia="Times New Roman" w:hAnsi="Arial" w:cs="Arial"/>
                <w:color w:val="000000"/>
                <w:sz w:val="18"/>
                <w:szCs w:val="18"/>
              </w:rPr>
              <w:br/>
              <w:t>Executive Vice President and Chief Financial Officer</w:t>
            </w:r>
            <w:r>
              <w:rPr>
                <w:rFonts w:ascii="Arial" w:eastAsia="Times New Roman" w:hAnsi="Arial" w:cs="Arial"/>
                <w:color w:val="000000"/>
                <w:sz w:val="18"/>
                <w:szCs w:val="18"/>
              </w:rPr>
              <w:br/>
              <w:t>(Duly Authorized Officer)</w:t>
            </w:r>
          </w:p>
        </w:tc>
      </w:tr>
    </w:tbl>
    <w:p w:rsidR="00000000" w:rsidRDefault="007557F0">
      <w:pPr>
        <w:jc w:val="both"/>
        <w:divId w:val="162785790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trPr>
          <w:divId w:val="1351224259"/>
        </w:trPr>
        <w:tc>
          <w:tcPr>
            <w:tcW w:w="50" w:type="pct"/>
            <w:vAlign w:val="center"/>
            <w:hideMark/>
          </w:tcPr>
          <w:p w:rsidR="00000000" w:rsidRDefault="007557F0">
            <w:pPr>
              <w:jc w:val="both"/>
              <w:rPr>
                <w:rFonts w:eastAsia="Times New Roman"/>
              </w:rPr>
            </w:pPr>
          </w:p>
        </w:tc>
        <w:tc>
          <w:tcPr>
            <w:tcW w:w="1290"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1458"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c>
          <w:tcPr>
            <w:tcW w:w="50" w:type="pct"/>
            <w:vAlign w:val="center"/>
            <w:hideMark/>
          </w:tcPr>
          <w:p w:rsidR="00000000" w:rsidRDefault="007557F0">
            <w:pPr>
              <w:spacing w:after="100"/>
              <w:rPr>
                <w:rFonts w:eastAsia="Times New Roman"/>
                <w:sz w:val="20"/>
                <w:szCs w:val="20"/>
              </w:rPr>
            </w:pPr>
          </w:p>
        </w:tc>
        <w:tc>
          <w:tcPr>
            <w:tcW w:w="2086" w:type="pct"/>
            <w:vAlign w:val="center"/>
            <w:hideMark/>
          </w:tcPr>
          <w:p w:rsidR="00000000" w:rsidRDefault="007557F0">
            <w:pPr>
              <w:spacing w:after="100"/>
              <w:rPr>
                <w:rFonts w:eastAsia="Times New Roman"/>
                <w:sz w:val="20"/>
                <w:szCs w:val="20"/>
              </w:rPr>
            </w:pPr>
          </w:p>
        </w:tc>
        <w:tc>
          <w:tcPr>
            <w:tcW w:w="5" w:type="pct"/>
            <w:vAlign w:val="center"/>
            <w:hideMark/>
          </w:tcPr>
          <w:p w:rsidR="00000000" w:rsidRDefault="007557F0">
            <w:pPr>
              <w:spacing w:after="100"/>
              <w:rPr>
                <w:rFonts w:eastAsia="Times New Roman"/>
                <w:sz w:val="20"/>
                <w:szCs w:val="20"/>
              </w:rPr>
            </w:pPr>
          </w:p>
        </w:tc>
      </w:tr>
      <w:tr w:rsidR="00000000">
        <w:trPr>
          <w:divId w:val="1351224259"/>
        </w:trPr>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u w:val="single"/>
              </w:rPr>
              <w:t>March 8, 2023</w:t>
            </w: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7F0">
            <w:pPr>
              <w:spacing w:after="100"/>
              <w:rPr>
                <w:rFonts w:eastAsia="Times New Roman"/>
              </w:rPr>
            </w:pPr>
            <w:r>
              <w:rPr>
                <w:rFonts w:ascii="Arial" w:eastAsia="Times New Roman" w:hAnsi="Arial" w:cs="Arial"/>
                <w:color w:val="000000"/>
                <w:sz w:val="18"/>
                <w:szCs w:val="18"/>
                <w:u w:val="single"/>
              </w:rPr>
              <w:t>/s/ Dean A. Chin</w:t>
            </w:r>
          </w:p>
        </w:tc>
      </w:tr>
      <w:tr w:rsidR="00000000">
        <w:trPr>
          <w:divId w:val="1351224259"/>
        </w:trPr>
        <w:tc>
          <w:tcPr>
            <w:tcW w:w="0" w:type="auto"/>
            <w:gridSpan w:val="3"/>
            <w:tcMar>
              <w:top w:w="0" w:type="dxa"/>
              <w:left w:w="20" w:type="dxa"/>
              <w:bottom w:w="0" w:type="dxa"/>
              <w:right w:w="20" w:type="dxa"/>
            </w:tcMar>
            <w:vAlign w:val="center"/>
            <w:hideMark/>
          </w:tcPr>
          <w:p w:rsidR="00000000" w:rsidRDefault="007557F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7F0">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7557F0">
            <w:pPr>
              <w:spacing w:after="100"/>
              <w:rPr>
                <w:rFonts w:eastAsia="Times New Roman"/>
              </w:rPr>
            </w:pPr>
            <w:r>
              <w:rPr>
                <w:rFonts w:ascii="Arial" w:eastAsia="Times New Roman" w:hAnsi="Arial" w:cs="Arial"/>
                <w:color w:val="000000"/>
                <w:sz w:val="18"/>
                <w:szCs w:val="18"/>
              </w:rPr>
              <w:t>Dean A. Chin</w:t>
            </w:r>
            <w:r>
              <w:rPr>
                <w:rFonts w:ascii="Arial" w:eastAsia="Times New Roman" w:hAnsi="Arial" w:cs="Arial"/>
                <w:color w:val="000000"/>
                <w:sz w:val="18"/>
                <w:szCs w:val="18"/>
              </w:rPr>
              <w:br/>
              <w:t>Senior Vice President, Chief Accounting Officer, Corporate Controller and Treasurer</w:t>
            </w:r>
            <w:r>
              <w:rPr>
                <w:rFonts w:ascii="Arial" w:eastAsia="Times New Roman" w:hAnsi="Arial" w:cs="Arial"/>
                <w:color w:val="000000"/>
                <w:sz w:val="18"/>
                <w:szCs w:val="18"/>
              </w:rPr>
              <w:br/>
              <w:t>(Principal Accounting Officer)</w:t>
            </w:r>
          </w:p>
        </w:tc>
      </w:tr>
    </w:tbl>
    <w:p w:rsidR="007557F0" w:rsidRDefault="007557F0">
      <w:pPr>
        <w:jc w:val="center"/>
        <w:divId w:val="857230649"/>
        <w:rPr>
          <w:rFonts w:eastAsia="Times New Roman"/>
        </w:rPr>
      </w:pPr>
      <w:r>
        <w:rPr>
          <w:rFonts w:ascii="Arial" w:eastAsia="Times New Roman" w:hAnsi="Arial" w:cs="Arial"/>
          <w:color w:val="000000"/>
          <w:sz w:val="20"/>
          <w:szCs w:val="20"/>
        </w:rPr>
        <w:t>38</w:t>
      </w:r>
    </w:p>
    <w:sectPr w:rsidR="007557F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557F0"/>
    <w:rsid w:val="007557F0"/>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xbrl.org/inlineXBRL/transformation/2020-02-12"/>
  <w:attachedSchema w:val="http://fasb.org/us-gaap/2022"/>
  <w:attachedSchema w:val="http://www.w3.org/1999/xlink"/>
  <w:attachedSchema w:val="http://www.xbrl.org/2003/iso4217"/>
  <w:attachedSchema w:val="http://www.xbrl.org/2013/inlineXBRL"/>
  <w:attachedSchema w:val="http://xbrl.sec.gov/dei/2022"/>
  <w:attachedSchema w:val="http://www.sec.gov/inlineXBRL/transformation/2015-08-31"/>
  <w:attachedSchema w:val="http://xbrl.org/2006/xbrldi"/>
  <w:attachedSchema w:val="http://fasb.org/srt/2022"/>
  <w:attachedSchema w:val="http://www.abm.com/20230131"/>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90">
      <w:marLeft w:val="0"/>
      <w:marRight w:val="0"/>
      <w:marTop w:val="180"/>
      <w:marBottom w:val="0"/>
      <w:divBdr>
        <w:top w:val="none" w:sz="0" w:space="0" w:color="auto"/>
        <w:left w:val="none" w:sz="0" w:space="0" w:color="auto"/>
        <w:bottom w:val="none" w:sz="0" w:space="0" w:color="auto"/>
        <w:right w:val="none" w:sz="0" w:space="0" w:color="auto"/>
      </w:divBdr>
    </w:div>
    <w:div w:id="5138851">
      <w:marLeft w:val="0"/>
      <w:marRight w:val="0"/>
      <w:marTop w:val="0"/>
      <w:marBottom w:val="0"/>
      <w:divBdr>
        <w:top w:val="none" w:sz="0" w:space="0" w:color="auto"/>
        <w:left w:val="none" w:sz="0" w:space="0" w:color="auto"/>
        <w:bottom w:val="none" w:sz="0" w:space="0" w:color="auto"/>
        <w:right w:val="none" w:sz="0" w:space="0" w:color="auto"/>
      </w:divBdr>
      <w:divsChild>
        <w:div w:id="566960847">
          <w:marLeft w:val="0"/>
          <w:marRight w:val="0"/>
          <w:marTop w:val="0"/>
          <w:marBottom w:val="0"/>
          <w:divBdr>
            <w:top w:val="none" w:sz="0" w:space="0" w:color="auto"/>
            <w:left w:val="none" w:sz="0" w:space="0" w:color="auto"/>
            <w:bottom w:val="none" w:sz="0" w:space="0" w:color="auto"/>
            <w:right w:val="none" w:sz="0" w:space="0" w:color="auto"/>
          </w:divBdr>
          <w:divsChild>
            <w:div w:id="12458406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181234">
      <w:marLeft w:val="0"/>
      <w:marRight w:val="0"/>
      <w:marTop w:val="120"/>
      <w:marBottom w:val="120"/>
      <w:divBdr>
        <w:top w:val="none" w:sz="0" w:space="0" w:color="auto"/>
        <w:left w:val="none" w:sz="0" w:space="0" w:color="auto"/>
        <w:bottom w:val="none" w:sz="0" w:space="0" w:color="auto"/>
        <w:right w:val="none" w:sz="0" w:space="0" w:color="auto"/>
      </w:divBdr>
    </w:div>
    <w:div w:id="12464227">
      <w:marLeft w:val="0"/>
      <w:marRight w:val="0"/>
      <w:marTop w:val="180"/>
      <w:marBottom w:val="0"/>
      <w:divBdr>
        <w:top w:val="none" w:sz="0" w:space="0" w:color="auto"/>
        <w:left w:val="none" w:sz="0" w:space="0" w:color="auto"/>
        <w:bottom w:val="none" w:sz="0" w:space="0" w:color="auto"/>
        <w:right w:val="none" w:sz="0" w:space="0" w:color="auto"/>
      </w:divBdr>
    </w:div>
    <w:div w:id="17780850">
      <w:marLeft w:val="0"/>
      <w:marRight w:val="0"/>
      <w:marTop w:val="60"/>
      <w:marBottom w:val="60"/>
      <w:divBdr>
        <w:top w:val="none" w:sz="0" w:space="0" w:color="auto"/>
        <w:left w:val="none" w:sz="0" w:space="0" w:color="auto"/>
        <w:bottom w:val="none" w:sz="0" w:space="0" w:color="auto"/>
        <w:right w:val="none" w:sz="0" w:space="0" w:color="auto"/>
      </w:divBdr>
    </w:div>
    <w:div w:id="21126437">
      <w:marLeft w:val="0"/>
      <w:marRight w:val="0"/>
      <w:marTop w:val="180"/>
      <w:marBottom w:val="0"/>
      <w:divBdr>
        <w:top w:val="none" w:sz="0" w:space="0" w:color="auto"/>
        <w:left w:val="none" w:sz="0" w:space="0" w:color="auto"/>
        <w:bottom w:val="none" w:sz="0" w:space="0" w:color="auto"/>
        <w:right w:val="none" w:sz="0" w:space="0" w:color="auto"/>
      </w:divBdr>
    </w:div>
    <w:div w:id="29382435">
      <w:marLeft w:val="0"/>
      <w:marRight w:val="0"/>
      <w:marTop w:val="180"/>
      <w:marBottom w:val="0"/>
      <w:divBdr>
        <w:top w:val="none" w:sz="0" w:space="0" w:color="auto"/>
        <w:left w:val="none" w:sz="0" w:space="0" w:color="auto"/>
        <w:bottom w:val="none" w:sz="0" w:space="0" w:color="auto"/>
        <w:right w:val="none" w:sz="0" w:space="0" w:color="auto"/>
      </w:divBdr>
    </w:div>
    <w:div w:id="34932238">
      <w:marLeft w:val="0"/>
      <w:marRight w:val="0"/>
      <w:marTop w:val="180"/>
      <w:marBottom w:val="0"/>
      <w:divBdr>
        <w:top w:val="none" w:sz="0" w:space="0" w:color="auto"/>
        <w:left w:val="none" w:sz="0" w:space="0" w:color="auto"/>
        <w:bottom w:val="none" w:sz="0" w:space="0" w:color="auto"/>
        <w:right w:val="none" w:sz="0" w:space="0" w:color="auto"/>
      </w:divBdr>
    </w:div>
    <w:div w:id="43868983">
      <w:marLeft w:val="0"/>
      <w:marRight w:val="0"/>
      <w:marTop w:val="0"/>
      <w:marBottom w:val="0"/>
      <w:divBdr>
        <w:top w:val="none" w:sz="0" w:space="0" w:color="auto"/>
        <w:left w:val="none" w:sz="0" w:space="0" w:color="auto"/>
        <w:bottom w:val="none" w:sz="0" w:space="0" w:color="auto"/>
        <w:right w:val="none" w:sz="0" w:space="0" w:color="auto"/>
      </w:divBdr>
      <w:divsChild>
        <w:div w:id="808476932">
          <w:marLeft w:val="0"/>
          <w:marRight w:val="0"/>
          <w:marTop w:val="180"/>
          <w:marBottom w:val="180"/>
          <w:divBdr>
            <w:top w:val="none" w:sz="0" w:space="0" w:color="auto"/>
            <w:left w:val="none" w:sz="0" w:space="0" w:color="auto"/>
            <w:bottom w:val="none" w:sz="0" w:space="0" w:color="auto"/>
            <w:right w:val="none" w:sz="0" w:space="0" w:color="auto"/>
          </w:divBdr>
        </w:div>
      </w:divsChild>
    </w:div>
    <w:div w:id="56128447">
      <w:marLeft w:val="0"/>
      <w:marRight w:val="0"/>
      <w:marTop w:val="130"/>
      <w:marBottom w:val="120"/>
      <w:divBdr>
        <w:top w:val="none" w:sz="0" w:space="0" w:color="auto"/>
        <w:left w:val="none" w:sz="0" w:space="0" w:color="auto"/>
        <w:bottom w:val="none" w:sz="0" w:space="0" w:color="auto"/>
        <w:right w:val="none" w:sz="0" w:space="0" w:color="auto"/>
      </w:divBdr>
    </w:div>
    <w:div w:id="65080237">
      <w:marLeft w:val="0"/>
      <w:marRight w:val="0"/>
      <w:marTop w:val="0"/>
      <w:marBottom w:val="0"/>
      <w:divBdr>
        <w:top w:val="none" w:sz="0" w:space="0" w:color="auto"/>
        <w:left w:val="none" w:sz="0" w:space="0" w:color="auto"/>
        <w:bottom w:val="none" w:sz="0" w:space="0" w:color="auto"/>
        <w:right w:val="none" w:sz="0" w:space="0" w:color="auto"/>
      </w:divBdr>
      <w:divsChild>
        <w:div w:id="1296333042">
          <w:marLeft w:val="0"/>
          <w:marRight w:val="0"/>
          <w:marTop w:val="0"/>
          <w:marBottom w:val="0"/>
          <w:divBdr>
            <w:top w:val="none" w:sz="0" w:space="0" w:color="auto"/>
            <w:left w:val="none" w:sz="0" w:space="0" w:color="auto"/>
            <w:bottom w:val="none" w:sz="0" w:space="0" w:color="auto"/>
            <w:right w:val="none" w:sz="0" w:space="0" w:color="auto"/>
          </w:divBdr>
          <w:divsChild>
            <w:div w:id="16900624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6849927">
      <w:marLeft w:val="0"/>
      <w:marRight w:val="0"/>
      <w:marTop w:val="120"/>
      <w:marBottom w:val="180"/>
      <w:divBdr>
        <w:top w:val="none" w:sz="0" w:space="0" w:color="auto"/>
        <w:left w:val="none" w:sz="0" w:space="0" w:color="auto"/>
        <w:bottom w:val="none" w:sz="0" w:space="0" w:color="auto"/>
        <w:right w:val="none" w:sz="0" w:space="0" w:color="auto"/>
      </w:divBdr>
    </w:div>
    <w:div w:id="84303274">
      <w:marLeft w:val="0"/>
      <w:marRight w:val="0"/>
      <w:marTop w:val="180"/>
      <w:marBottom w:val="120"/>
      <w:divBdr>
        <w:top w:val="none" w:sz="0" w:space="0" w:color="auto"/>
        <w:left w:val="none" w:sz="0" w:space="0" w:color="auto"/>
        <w:bottom w:val="none" w:sz="0" w:space="0" w:color="auto"/>
        <w:right w:val="none" w:sz="0" w:space="0" w:color="auto"/>
      </w:divBdr>
    </w:div>
    <w:div w:id="84806089">
      <w:marLeft w:val="0"/>
      <w:marRight w:val="0"/>
      <w:marTop w:val="240"/>
      <w:marBottom w:val="0"/>
      <w:divBdr>
        <w:top w:val="none" w:sz="0" w:space="0" w:color="auto"/>
        <w:left w:val="none" w:sz="0" w:space="0" w:color="auto"/>
        <w:bottom w:val="none" w:sz="0" w:space="0" w:color="auto"/>
        <w:right w:val="none" w:sz="0" w:space="0" w:color="auto"/>
      </w:divBdr>
    </w:div>
    <w:div w:id="101196467">
      <w:marLeft w:val="0"/>
      <w:marRight w:val="0"/>
      <w:marTop w:val="0"/>
      <w:marBottom w:val="0"/>
      <w:divBdr>
        <w:top w:val="none" w:sz="0" w:space="0" w:color="auto"/>
        <w:left w:val="none" w:sz="0" w:space="0" w:color="auto"/>
        <w:bottom w:val="none" w:sz="0" w:space="0" w:color="auto"/>
        <w:right w:val="none" w:sz="0" w:space="0" w:color="auto"/>
      </w:divBdr>
    </w:div>
    <w:div w:id="112792120">
      <w:marLeft w:val="0"/>
      <w:marRight w:val="0"/>
      <w:marTop w:val="60"/>
      <w:marBottom w:val="60"/>
      <w:divBdr>
        <w:top w:val="none" w:sz="0" w:space="0" w:color="auto"/>
        <w:left w:val="none" w:sz="0" w:space="0" w:color="auto"/>
        <w:bottom w:val="none" w:sz="0" w:space="0" w:color="auto"/>
        <w:right w:val="none" w:sz="0" w:space="0" w:color="auto"/>
      </w:divBdr>
    </w:div>
    <w:div w:id="113251808">
      <w:marLeft w:val="0"/>
      <w:marRight w:val="0"/>
      <w:marTop w:val="180"/>
      <w:marBottom w:val="0"/>
      <w:divBdr>
        <w:top w:val="none" w:sz="0" w:space="0" w:color="auto"/>
        <w:left w:val="none" w:sz="0" w:space="0" w:color="auto"/>
        <w:bottom w:val="none" w:sz="0" w:space="0" w:color="auto"/>
        <w:right w:val="none" w:sz="0" w:space="0" w:color="auto"/>
      </w:divBdr>
    </w:div>
    <w:div w:id="117182254">
      <w:marLeft w:val="0"/>
      <w:marRight w:val="0"/>
      <w:marTop w:val="180"/>
      <w:marBottom w:val="0"/>
      <w:divBdr>
        <w:top w:val="none" w:sz="0" w:space="0" w:color="auto"/>
        <w:left w:val="none" w:sz="0" w:space="0" w:color="auto"/>
        <w:bottom w:val="none" w:sz="0" w:space="0" w:color="auto"/>
        <w:right w:val="none" w:sz="0" w:space="0" w:color="auto"/>
      </w:divBdr>
      <w:divsChild>
        <w:div w:id="112947236">
          <w:marLeft w:val="0"/>
          <w:marRight w:val="0"/>
          <w:marTop w:val="120"/>
          <w:marBottom w:val="120"/>
          <w:divBdr>
            <w:top w:val="none" w:sz="0" w:space="0" w:color="auto"/>
            <w:left w:val="none" w:sz="0" w:space="0" w:color="auto"/>
            <w:bottom w:val="none" w:sz="0" w:space="0" w:color="auto"/>
            <w:right w:val="none" w:sz="0" w:space="0" w:color="auto"/>
          </w:divBdr>
        </w:div>
        <w:div w:id="1229221093">
          <w:marLeft w:val="0"/>
          <w:marRight w:val="0"/>
          <w:marTop w:val="120"/>
          <w:marBottom w:val="120"/>
          <w:divBdr>
            <w:top w:val="none" w:sz="0" w:space="0" w:color="auto"/>
            <w:left w:val="none" w:sz="0" w:space="0" w:color="auto"/>
            <w:bottom w:val="none" w:sz="0" w:space="0" w:color="auto"/>
            <w:right w:val="none" w:sz="0" w:space="0" w:color="auto"/>
          </w:divBdr>
        </w:div>
        <w:div w:id="1120731448">
          <w:marLeft w:val="0"/>
          <w:marRight w:val="0"/>
          <w:marTop w:val="120"/>
          <w:marBottom w:val="120"/>
          <w:divBdr>
            <w:top w:val="none" w:sz="0" w:space="0" w:color="auto"/>
            <w:left w:val="none" w:sz="0" w:space="0" w:color="auto"/>
            <w:bottom w:val="none" w:sz="0" w:space="0" w:color="auto"/>
            <w:right w:val="none" w:sz="0" w:space="0" w:color="auto"/>
          </w:divBdr>
        </w:div>
        <w:div w:id="1466703714">
          <w:marLeft w:val="0"/>
          <w:marRight w:val="0"/>
          <w:marTop w:val="120"/>
          <w:marBottom w:val="120"/>
          <w:divBdr>
            <w:top w:val="none" w:sz="0" w:space="0" w:color="auto"/>
            <w:left w:val="none" w:sz="0" w:space="0" w:color="auto"/>
            <w:bottom w:val="none" w:sz="0" w:space="0" w:color="auto"/>
            <w:right w:val="none" w:sz="0" w:space="0" w:color="auto"/>
          </w:divBdr>
        </w:div>
        <w:div w:id="1936357559">
          <w:marLeft w:val="0"/>
          <w:marRight w:val="0"/>
          <w:marTop w:val="120"/>
          <w:marBottom w:val="120"/>
          <w:divBdr>
            <w:top w:val="none" w:sz="0" w:space="0" w:color="auto"/>
            <w:left w:val="none" w:sz="0" w:space="0" w:color="auto"/>
            <w:bottom w:val="none" w:sz="0" w:space="0" w:color="auto"/>
            <w:right w:val="none" w:sz="0" w:space="0" w:color="auto"/>
          </w:divBdr>
        </w:div>
        <w:div w:id="868027217">
          <w:marLeft w:val="0"/>
          <w:marRight w:val="0"/>
          <w:marTop w:val="120"/>
          <w:marBottom w:val="120"/>
          <w:divBdr>
            <w:top w:val="none" w:sz="0" w:space="0" w:color="auto"/>
            <w:left w:val="none" w:sz="0" w:space="0" w:color="auto"/>
            <w:bottom w:val="none" w:sz="0" w:space="0" w:color="auto"/>
            <w:right w:val="none" w:sz="0" w:space="0" w:color="auto"/>
          </w:divBdr>
        </w:div>
        <w:div w:id="723991681">
          <w:marLeft w:val="0"/>
          <w:marRight w:val="0"/>
          <w:marTop w:val="120"/>
          <w:marBottom w:val="120"/>
          <w:divBdr>
            <w:top w:val="none" w:sz="0" w:space="0" w:color="auto"/>
            <w:left w:val="none" w:sz="0" w:space="0" w:color="auto"/>
            <w:bottom w:val="none" w:sz="0" w:space="0" w:color="auto"/>
            <w:right w:val="none" w:sz="0" w:space="0" w:color="auto"/>
          </w:divBdr>
        </w:div>
        <w:div w:id="991979729">
          <w:marLeft w:val="0"/>
          <w:marRight w:val="0"/>
          <w:marTop w:val="120"/>
          <w:marBottom w:val="120"/>
          <w:divBdr>
            <w:top w:val="none" w:sz="0" w:space="0" w:color="auto"/>
            <w:left w:val="none" w:sz="0" w:space="0" w:color="auto"/>
            <w:bottom w:val="none" w:sz="0" w:space="0" w:color="auto"/>
            <w:right w:val="none" w:sz="0" w:space="0" w:color="auto"/>
          </w:divBdr>
        </w:div>
        <w:div w:id="1389263193">
          <w:marLeft w:val="0"/>
          <w:marRight w:val="0"/>
          <w:marTop w:val="120"/>
          <w:marBottom w:val="120"/>
          <w:divBdr>
            <w:top w:val="none" w:sz="0" w:space="0" w:color="auto"/>
            <w:left w:val="none" w:sz="0" w:space="0" w:color="auto"/>
            <w:bottom w:val="none" w:sz="0" w:space="0" w:color="auto"/>
            <w:right w:val="none" w:sz="0" w:space="0" w:color="auto"/>
          </w:divBdr>
        </w:div>
      </w:divsChild>
    </w:div>
    <w:div w:id="117997173">
      <w:marLeft w:val="0"/>
      <w:marRight w:val="0"/>
      <w:marTop w:val="180"/>
      <w:marBottom w:val="0"/>
      <w:divBdr>
        <w:top w:val="none" w:sz="0" w:space="0" w:color="auto"/>
        <w:left w:val="none" w:sz="0" w:space="0" w:color="auto"/>
        <w:bottom w:val="none" w:sz="0" w:space="0" w:color="auto"/>
        <w:right w:val="none" w:sz="0" w:space="0" w:color="auto"/>
      </w:divBdr>
    </w:div>
    <w:div w:id="121847834">
      <w:marLeft w:val="0"/>
      <w:marRight w:val="0"/>
      <w:marTop w:val="180"/>
      <w:marBottom w:val="0"/>
      <w:divBdr>
        <w:top w:val="none" w:sz="0" w:space="0" w:color="auto"/>
        <w:left w:val="none" w:sz="0" w:space="0" w:color="auto"/>
        <w:bottom w:val="none" w:sz="0" w:space="0" w:color="auto"/>
        <w:right w:val="none" w:sz="0" w:space="0" w:color="auto"/>
      </w:divBdr>
    </w:div>
    <w:div w:id="122117436">
      <w:marLeft w:val="0"/>
      <w:marRight w:val="0"/>
      <w:marTop w:val="120"/>
      <w:marBottom w:val="20"/>
      <w:divBdr>
        <w:top w:val="none" w:sz="0" w:space="0" w:color="auto"/>
        <w:left w:val="none" w:sz="0" w:space="0" w:color="auto"/>
        <w:bottom w:val="none" w:sz="0" w:space="0" w:color="auto"/>
        <w:right w:val="none" w:sz="0" w:space="0" w:color="auto"/>
      </w:divBdr>
    </w:div>
    <w:div w:id="123502090">
      <w:marLeft w:val="0"/>
      <w:marRight w:val="0"/>
      <w:marTop w:val="120"/>
      <w:marBottom w:val="20"/>
      <w:divBdr>
        <w:top w:val="none" w:sz="0" w:space="0" w:color="auto"/>
        <w:left w:val="none" w:sz="0" w:space="0" w:color="auto"/>
        <w:bottom w:val="none" w:sz="0" w:space="0" w:color="auto"/>
        <w:right w:val="none" w:sz="0" w:space="0" w:color="auto"/>
      </w:divBdr>
    </w:div>
    <w:div w:id="124739745">
      <w:marLeft w:val="0"/>
      <w:marRight w:val="0"/>
      <w:marTop w:val="180"/>
      <w:marBottom w:val="180"/>
      <w:divBdr>
        <w:top w:val="none" w:sz="0" w:space="0" w:color="auto"/>
        <w:left w:val="none" w:sz="0" w:space="0" w:color="auto"/>
        <w:bottom w:val="none" w:sz="0" w:space="0" w:color="auto"/>
        <w:right w:val="none" w:sz="0" w:space="0" w:color="auto"/>
      </w:divBdr>
    </w:div>
    <w:div w:id="131753943">
      <w:marLeft w:val="0"/>
      <w:marRight w:val="0"/>
      <w:marTop w:val="240"/>
      <w:marBottom w:val="0"/>
      <w:divBdr>
        <w:top w:val="none" w:sz="0" w:space="0" w:color="auto"/>
        <w:left w:val="none" w:sz="0" w:space="0" w:color="auto"/>
        <w:bottom w:val="none" w:sz="0" w:space="0" w:color="auto"/>
        <w:right w:val="none" w:sz="0" w:space="0" w:color="auto"/>
      </w:divBdr>
    </w:div>
    <w:div w:id="136341579">
      <w:marLeft w:val="0"/>
      <w:marRight w:val="0"/>
      <w:marTop w:val="240"/>
      <w:marBottom w:val="0"/>
      <w:divBdr>
        <w:top w:val="none" w:sz="0" w:space="0" w:color="auto"/>
        <w:left w:val="none" w:sz="0" w:space="0" w:color="auto"/>
        <w:bottom w:val="none" w:sz="0" w:space="0" w:color="auto"/>
        <w:right w:val="none" w:sz="0" w:space="0" w:color="auto"/>
      </w:divBdr>
    </w:div>
    <w:div w:id="141432200">
      <w:marLeft w:val="0"/>
      <w:marRight w:val="0"/>
      <w:marTop w:val="180"/>
      <w:marBottom w:val="0"/>
      <w:divBdr>
        <w:top w:val="none" w:sz="0" w:space="0" w:color="auto"/>
        <w:left w:val="none" w:sz="0" w:space="0" w:color="auto"/>
        <w:bottom w:val="none" w:sz="0" w:space="0" w:color="auto"/>
        <w:right w:val="none" w:sz="0" w:space="0" w:color="auto"/>
      </w:divBdr>
    </w:div>
    <w:div w:id="141653959">
      <w:marLeft w:val="0"/>
      <w:marRight w:val="0"/>
      <w:marTop w:val="0"/>
      <w:marBottom w:val="0"/>
      <w:divBdr>
        <w:top w:val="none" w:sz="0" w:space="0" w:color="auto"/>
        <w:left w:val="none" w:sz="0" w:space="0" w:color="auto"/>
        <w:bottom w:val="none" w:sz="0" w:space="0" w:color="auto"/>
        <w:right w:val="none" w:sz="0" w:space="0" w:color="auto"/>
      </w:divBdr>
      <w:divsChild>
        <w:div w:id="852259091">
          <w:marLeft w:val="0"/>
          <w:marRight w:val="0"/>
          <w:marTop w:val="180"/>
          <w:marBottom w:val="0"/>
          <w:divBdr>
            <w:top w:val="none" w:sz="0" w:space="0" w:color="auto"/>
            <w:left w:val="none" w:sz="0" w:space="0" w:color="auto"/>
            <w:bottom w:val="none" w:sz="0" w:space="0" w:color="auto"/>
            <w:right w:val="none" w:sz="0" w:space="0" w:color="auto"/>
          </w:divBdr>
        </w:div>
      </w:divsChild>
    </w:div>
    <w:div w:id="144246081">
      <w:marLeft w:val="0"/>
      <w:marRight w:val="0"/>
      <w:marTop w:val="0"/>
      <w:marBottom w:val="0"/>
      <w:divBdr>
        <w:top w:val="none" w:sz="0" w:space="0" w:color="auto"/>
        <w:left w:val="none" w:sz="0" w:space="0" w:color="auto"/>
        <w:bottom w:val="none" w:sz="0" w:space="0" w:color="auto"/>
        <w:right w:val="none" w:sz="0" w:space="0" w:color="auto"/>
      </w:divBdr>
      <w:divsChild>
        <w:div w:id="454522852">
          <w:marLeft w:val="0"/>
          <w:marRight w:val="0"/>
          <w:marTop w:val="180"/>
          <w:marBottom w:val="180"/>
          <w:divBdr>
            <w:top w:val="none" w:sz="0" w:space="0" w:color="auto"/>
            <w:left w:val="none" w:sz="0" w:space="0" w:color="auto"/>
            <w:bottom w:val="none" w:sz="0" w:space="0" w:color="auto"/>
            <w:right w:val="none" w:sz="0" w:space="0" w:color="auto"/>
          </w:divBdr>
        </w:div>
      </w:divsChild>
    </w:div>
    <w:div w:id="146483511">
      <w:marLeft w:val="0"/>
      <w:marRight w:val="0"/>
      <w:marTop w:val="180"/>
      <w:marBottom w:val="0"/>
      <w:divBdr>
        <w:top w:val="none" w:sz="0" w:space="0" w:color="auto"/>
        <w:left w:val="none" w:sz="0" w:space="0" w:color="auto"/>
        <w:bottom w:val="none" w:sz="0" w:space="0" w:color="auto"/>
        <w:right w:val="none" w:sz="0" w:space="0" w:color="auto"/>
      </w:divBdr>
    </w:div>
    <w:div w:id="151718724">
      <w:marLeft w:val="0"/>
      <w:marRight w:val="0"/>
      <w:marTop w:val="180"/>
      <w:marBottom w:val="0"/>
      <w:divBdr>
        <w:top w:val="none" w:sz="0" w:space="0" w:color="auto"/>
        <w:left w:val="none" w:sz="0" w:space="0" w:color="auto"/>
        <w:bottom w:val="none" w:sz="0" w:space="0" w:color="auto"/>
        <w:right w:val="none" w:sz="0" w:space="0" w:color="auto"/>
      </w:divBdr>
    </w:div>
    <w:div w:id="159925644">
      <w:marLeft w:val="0"/>
      <w:marRight w:val="0"/>
      <w:marTop w:val="180"/>
      <w:marBottom w:val="0"/>
      <w:divBdr>
        <w:top w:val="none" w:sz="0" w:space="0" w:color="auto"/>
        <w:left w:val="none" w:sz="0" w:space="0" w:color="auto"/>
        <w:bottom w:val="none" w:sz="0" w:space="0" w:color="auto"/>
        <w:right w:val="none" w:sz="0" w:space="0" w:color="auto"/>
      </w:divBdr>
    </w:div>
    <w:div w:id="168953641">
      <w:marLeft w:val="0"/>
      <w:marRight w:val="0"/>
      <w:marTop w:val="60"/>
      <w:marBottom w:val="0"/>
      <w:divBdr>
        <w:top w:val="none" w:sz="0" w:space="0" w:color="auto"/>
        <w:left w:val="none" w:sz="0" w:space="0" w:color="auto"/>
        <w:bottom w:val="none" w:sz="0" w:space="0" w:color="auto"/>
        <w:right w:val="none" w:sz="0" w:space="0" w:color="auto"/>
      </w:divBdr>
    </w:div>
    <w:div w:id="170532961">
      <w:marLeft w:val="0"/>
      <w:marRight w:val="0"/>
      <w:marTop w:val="180"/>
      <w:marBottom w:val="0"/>
      <w:divBdr>
        <w:top w:val="none" w:sz="0" w:space="0" w:color="auto"/>
        <w:left w:val="none" w:sz="0" w:space="0" w:color="auto"/>
        <w:bottom w:val="none" w:sz="0" w:space="0" w:color="auto"/>
        <w:right w:val="none" w:sz="0" w:space="0" w:color="auto"/>
      </w:divBdr>
    </w:div>
    <w:div w:id="175078899">
      <w:marLeft w:val="0"/>
      <w:marRight w:val="0"/>
      <w:marTop w:val="180"/>
      <w:marBottom w:val="0"/>
      <w:divBdr>
        <w:top w:val="none" w:sz="0" w:space="0" w:color="auto"/>
        <w:left w:val="none" w:sz="0" w:space="0" w:color="auto"/>
        <w:bottom w:val="none" w:sz="0" w:space="0" w:color="auto"/>
        <w:right w:val="none" w:sz="0" w:space="0" w:color="auto"/>
      </w:divBdr>
    </w:div>
    <w:div w:id="179123112">
      <w:marLeft w:val="0"/>
      <w:marRight w:val="0"/>
      <w:marTop w:val="180"/>
      <w:marBottom w:val="0"/>
      <w:divBdr>
        <w:top w:val="none" w:sz="0" w:space="0" w:color="auto"/>
        <w:left w:val="none" w:sz="0" w:space="0" w:color="auto"/>
        <w:bottom w:val="none" w:sz="0" w:space="0" w:color="auto"/>
        <w:right w:val="none" w:sz="0" w:space="0" w:color="auto"/>
      </w:divBdr>
    </w:div>
    <w:div w:id="181553826">
      <w:marLeft w:val="0"/>
      <w:marRight w:val="0"/>
      <w:marTop w:val="0"/>
      <w:marBottom w:val="0"/>
      <w:divBdr>
        <w:top w:val="none" w:sz="0" w:space="0" w:color="auto"/>
        <w:left w:val="none" w:sz="0" w:space="0" w:color="auto"/>
        <w:bottom w:val="none" w:sz="0" w:space="0" w:color="auto"/>
        <w:right w:val="none" w:sz="0" w:space="0" w:color="auto"/>
      </w:divBdr>
      <w:divsChild>
        <w:div w:id="1150556766">
          <w:marLeft w:val="0"/>
          <w:marRight w:val="0"/>
          <w:marTop w:val="0"/>
          <w:marBottom w:val="0"/>
          <w:divBdr>
            <w:top w:val="none" w:sz="0" w:space="0" w:color="auto"/>
            <w:left w:val="none" w:sz="0" w:space="0" w:color="auto"/>
            <w:bottom w:val="none" w:sz="0" w:space="0" w:color="auto"/>
            <w:right w:val="none" w:sz="0" w:space="0" w:color="auto"/>
          </w:divBdr>
          <w:divsChild>
            <w:div w:id="13933856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6910038">
      <w:marLeft w:val="0"/>
      <w:marRight w:val="0"/>
      <w:marTop w:val="0"/>
      <w:marBottom w:val="0"/>
      <w:divBdr>
        <w:top w:val="none" w:sz="0" w:space="0" w:color="auto"/>
        <w:left w:val="none" w:sz="0" w:space="0" w:color="auto"/>
        <w:bottom w:val="none" w:sz="0" w:space="0" w:color="auto"/>
        <w:right w:val="none" w:sz="0" w:space="0" w:color="auto"/>
      </w:divBdr>
      <w:divsChild>
        <w:div w:id="832448852">
          <w:marLeft w:val="0"/>
          <w:marRight w:val="0"/>
          <w:marTop w:val="180"/>
          <w:marBottom w:val="180"/>
          <w:divBdr>
            <w:top w:val="none" w:sz="0" w:space="0" w:color="auto"/>
            <w:left w:val="none" w:sz="0" w:space="0" w:color="auto"/>
            <w:bottom w:val="none" w:sz="0" w:space="0" w:color="auto"/>
            <w:right w:val="none" w:sz="0" w:space="0" w:color="auto"/>
          </w:divBdr>
        </w:div>
      </w:divsChild>
    </w:div>
    <w:div w:id="189151272">
      <w:marLeft w:val="0"/>
      <w:marRight w:val="0"/>
      <w:marTop w:val="0"/>
      <w:marBottom w:val="0"/>
      <w:divBdr>
        <w:top w:val="none" w:sz="0" w:space="0" w:color="auto"/>
        <w:left w:val="none" w:sz="0" w:space="0" w:color="auto"/>
        <w:bottom w:val="none" w:sz="0" w:space="0" w:color="auto"/>
        <w:right w:val="none" w:sz="0" w:space="0" w:color="auto"/>
      </w:divBdr>
      <w:divsChild>
        <w:div w:id="1525286773">
          <w:marLeft w:val="0"/>
          <w:marRight w:val="0"/>
          <w:marTop w:val="0"/>
          <w:marBottom w:val="0"/>
          <w:divBdr>
            <w:top w:val="none" w:sz="0" w:space="0" w:color="auto"/>
            <w:left w:val="none" w:sz="0" w:space="0" w:color="auto"/>
            <w:bottom w:val="none" w:sz="0" w:space="0" w:color="auto"/>
            <w:right w:val="none" w:sz="0" w:space="0" w:color="auto"/>
          </w:divBdr>
          <w:divsChild>
            <w:div w:id="10652941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5585303">
      <w:marLeft w:val="0"/>
      <w:marRight w:val="0"/>
      <w:marTop w:val="60"/>
      <w:marBottom w:val="0"/>
      <w:divBdr>
        <w:top w:val="none" w:sz="0" w:space="0" w:color="auto"/>
        <w:left w:val="none" w:sz="0" w:space="0" w:color="auto"/>
        <w:bottom w:val="none" w:sz="0" w:space="0" w:color="auto"/>
        <w:right w:val="none" w:sz="0" w:space="0" w:color="auto"/>
      </w:divBdr>
    </w:div>
    <w:div w:id="204830200">
      <w:marLeft w:val="0"/>
      <w:marRight w:val="0"/>
      <w:marTop w:val="180"/>
      <w:marBottom w:val="0"/>
      <w:divBdr>
        <w:top w:val="none" w:sz="0" w:space="0" w:color="auto"/>
        <w:left w:val="none" w:sz="0" w:space="0" w:color="auto"/>
        <w:bottom w:val="none" w:sz="0" w:space="0" w:color="auto"/>
        <w:right w:val="none" w:sz="0" w:space="0" w:color="auto"/>
      </w:divBdr>
    </w:div>
    <w:div w:id="208421585">
      <w:marLeft w:val="0"/>
      <w:marRight w:val="0"/>
      <w:marTop w:val="120"/>
      <w:marBottom w:val="120"/>
      <w:divBdr>
        <w:top w:val="none" w:sz="0" w:space="0" w:color="auto"/>
        <w:left w:val="none" w:sz="0" w:space="0" w:color="auto"/>
        <w:bottom w:val="none" w:sz="0" w:space="0" w:color="auto"/>
        <w:right w:val="none" w:sz="0" w:space="0" w:color="auto"/>
      </w:divBdr>
    </w:div>
    <w:div w:id="209004966">
      <w:marLeft w:val="0"/>
      <w:marRight w:val="0"/>
      <w:marTop w:val="180"/>
      <w:marBottom w:val="0"/>
      <w:divBdr>
        <w:top w:val="none" w:sz="0" w:space="0" w:color="auto"/>
        <w:left w:val="none" w:sz="0" w:space="0" w:color="auto"/>
        <w:bottom w:val="none" w:sz="0" w:space="0" w:color="auto"/>
        <w:right w:val="none" w:sz="0" w:space="0" w:color="auto"/>
      </w:divBdr>
    </w:div>
    <w:div w:id="215356978">
      <w:marLeft w:val="0"/>
      <w:marRight w:val="0"/>
      <w:marTop w:val="180"/>
      <w:marBottom w:val="0"/>
      <w:divBdr>
        <w:top w:val="none" w:sz="0" w:space="0" w:color="auto"/>
        <w:left w:val="none" w:sz="0" w:space="0" w:color="auto"/>
        <w:bottom w:val="none" w:sz="0" w:space="0" w:color="auto"/>
        <w:right w:val="none" w:sz="0" w:space="0" w:color="auto"/>
      </w:divBdr>
    </w:div>
    <w:div w:id="224032379">
      <w:marLeft w:val="0"/>
      <w:marRight w:val="0"/>
      <w:marTop w:val="120"/>
      <w:marBottom w:val="0"/>
      <w:divBdr>
        <w:top w:val="none" w:sz="0" w:space="0" w:color="auto"/>
        <w:left w:val="none" w:sz="0" w:space="0" w:color="auto"/>
        <w:bottom w:val="none" w:sz="0" w:space="0" w:color="auto"/>
        <w:right w:val="none" w:sz="0" w:space="0" w:color="auto"/>
      </w:divBdr>
    </w:div>
    <w:div w:id="225409679">
      <w:marLeft w:val="0"/>
      <w:marRight w:val="0"/>
      <w:marTop w:val="180"/>
      <w:marBottom w:val="0"/>
      <w:divBdr>
        <w:top w:val="none" w:sz="0" w:space="0" w:color="auto"/>
        <w:left w:val="none" w:sz="0" w:space="0" w:color="auto"/>
        <w:bottom w:val="none" w:sz="0" w:space="0" w:color="auto"/>
        <w:right w:val="none" w:sz="0" w:space="0" w:color="auto"/>
      </w:divBdr>
    </w:div>
    <w:div w:id="231083489">
      <w:marLeft w:val="0"/>
      <w:marRight w:val="0"/>
      <w:marTop w:val="0"/>
      <w:marBottom w:val="0"/>
      <w:divBdr>
        <w:top w:val="none" w:sz="0" w:space="0" w:color="auto"/>
        <w:left w:val="none" w:sz="0" w:space="0" w:color="auto"/>
        <w:bottom w:val="none" w:sz="0" w:space="0" w:color="auto"/>
        <w:right w:val="none" w:sz="0" w:space="0" w:color="auto"/>
      </w:divBdr>
      <w:divsChild>
        <w:div w:id="646668999">
          <w:marLeft w:val="0"/>
          <w:marRight w:val="0"/>
          <w:marTop w:val="180"/>
          <w:marBottom w:val="180"/>
          <w:divBdr>
            <w:top w:val="none" w:sz="0" w:space="0" w:color="auto"/>
            <w:left w:val="none" w:sz="0" w:space="0" w:color="auto"/>
            <w:bottom w:val="none" w:sz="0" w:space="0" w:color="auto"/>
            <w:right w:val="none" w:sz="0" w:space="0" w:color="auto"/>
          </w:divBdr>
        </w:div>
      </w:divsChild>
    </w:div>
    <w:div w:id="240140974">
      <w:marLeft w:val="0"/>
      <w:marRight w:val="0"/>
      <w:marTop w:val="180"/>
      <w:marBottom w:val="0"/>
      <w:divBdr>
        <w:top w:val="none" w:sz="0" w:space="0" w:color="auto"/>
        <w:left w:val="none" w:sz="0" w:space="0" w:color="auto"/>
        <w:bottom w:val="none" w:sz="0" w:space="0" w:color="auto"/>
        <w:right w:val="none" w:sz="0" w:space="0" w:color="auto"/>
      </w:divBdr>
    </w:div>
    <w:div w:id="242296335">
      <w:marLeft w:val="0"/>
      <w:marRight w:val="0"/>
      <w:marTop w:val="160"/>
      <w:marBottom w:val="20"/>
      <w:divBdr>
        <w:top w:val="none" w:sz="0" w:space="0" w:color="auto"/>
        <w:left w:val="none" w:sz="0" w:space="0" w:color="auto"/>
        <w:bottom w:val="none" w:sz="0" w:space="0" w:color="auto"/>
        <w:right w:val="none" w:sz="0" w:space="0" w:color="auto"/>
      </w:divBdr>
    </w:div>
    <w:div w:id="256447443">
      <w:marLeft w:val="0"/>
      <w:marRight w:val="0"/>
      <w:marTop w:val="180"/>
      <w:marBottom w:val="0"/>
      <w:divBdr>
        <w:top w:val="none" w:sz="0" w:space="0" w:color="auto"/>
        <w:left w:val="none" w:sz="0" w:space="0" w:color="auto"/>
        <w:bottom w:val="none" w:sz="0" w:space="0" w:color="auto"/>
        <w:right w:val="none" w:sz="0" w:space="0" w:color="auto"/>
      </w:divBdr>
    </w:div>
    <w:div w:id="258871499">
      <w:marLeft w:val="0"/>
      <w:marRight w:val="0"/>
      <w:marTop w:val="180"/>
      <w:marBottom w:val="20"/>
      <w:divBdr>
        <w:top w:val="none" w:sz="0" w:space="0" w:color="auto"/>
        <w:left w:val="none" w:sz="0" w:space="0" w:color="auto"/>
        <w:bottom w:val="none" w:sz="0" w:space="0" w:color="auto"/>
        <w:right w:val="none" w:sz="0" w:space="0" w:color="auto"/>
      </w:divBdr>
      <w:divsChild>
        <w:div w:id="1222131069">
          <w:marLeft w:val="0"/>
          <w:marRight w:val="0"/>
          <w:marTop w:val="0"/>
          <w:marBottom w:val="0"/>
          <w:divBdr>
            <w:top w:val="none" w:sz="0" w:space="0" w:color="auto"/>
            <w:left w:val="none" w:sz="0" w:space="0" w:color="auto"/>
            <w:bottom w:val="none" w:sz="0" w:space="0" w:color="auto"/>
            <w:right w:val="none" w:sz="0" w:space="0" w:color="auto"/>
          </w:divBdr>
        </w:div>
        <w:div w:id="1819298211">
          <w:marLeft w:val="0"/>
          <w:marRight w:val="0"/>
          <w:marTop w:val="0"/>
          <w:marBottom w:val="0"/>
          <w:divBdr>
            <w:top w:val="none" w:sz="0" w:space="0" w:color="auto"/>
            <w:left w:val="none" w:sz="0" w:space="0" w:color="auto"/>
            <w:bottom w:val="none" w:sz="0" w:space="0" w:color="auto"/>
            <w:right w:val="none" w:sz="0" w:space="0" w:color="auto"/>
          </w:divBdr>
        </w:div>
        <w:div w:id="29499838">
          <w:marLeft w:val="0"/>
          <w:marRight w:val="0"/>
          <w:marTop w:val="0"/>
          <w:marBottom w:val="0"/>
          <w:divBdr>
            <w:top w:val="none" w:sz="0" w:space="0" w:color="auto"/>
            <w:left w:val="none" w:sz="0" w:space="0" w:color="auto"/>
            <w:bottom w:val="none" w:sz="0" w:space="0" w:color="auto"/>
            <w:right w:val="none" w:sz="0" w:space="0" w:color="auto"/>
          </w:divBdr>
        </w:div>
        <w:div w:id="2015960009">
          <w:marLeft w:val="0"/>
          <w:marRight w:val="0"/>
          <w:marTop w:val="0"/>
          <w:marBottom w:val="0"/>
          <w:divBdr>
            <w:top w:val="none" w:sz="0" w:space="0" w:color="auto"/>
            <w:left w:val="none" w:sz="0" w:space="0" w:color="auto"/>
            <w:bottom w:val="none" w:sz="0" w:space="0" w:color="auto"/>
            <w:right w:val="none" w:sz="0" w:space="0" w:color="auto"/>
          </w:divBdr>
        </w:div>
        <w:div w:id="22635877">
          <w:marLeft w:val="0"/>
          <w:marRight w:val="0"/>
          <w:marTop w:val="0"/>
          <w:marBottom w:val="0"/>
          <w:divBdr>
            <w:top w:val="none" w:sz="0" w:space="0" w:color="auto"/>
            <w:left w:val="none" w:sz="0" w:space="0" w:color="auto"/>
            <w:bottom w:val="none" w:sz="0" w:space="0" w:color="auto"/>
            <w:right w:val="none" w:sz="0" w:space="0" w:color="auto"/>
          </w:divBdr>
        </w:div>
        <w:div w:id="2096198900">
          <w:marLeft w:val="0"/>
          <w:marRight w:val="0"/>
          <w:marTop w:val="0"/>
          <w:marBottom w:val="0"/>
          <w:divBdr>
            <w:top w:val="none" w:sz="0" w:space="0" w:color="auto"/>
            <w:left w:val="none" w:sz="0" w:space="0" w:color="auto"/>
            <w:bottom w:val="none" w:sz="0" w:space="0" w:color="auto"/>
            <w:right w:val="none" w:sz="0" w:space="0" w:color="auto"/>
          </w:divBdr>
        </w:div>
        <w:div w:id="1812676334">
          <w:marLeft w:val="0"/>
          <w:marRight w:val="0"/>
          <w:marTop w:val="0"/>
          <w:marBottom w:val="0"/>
          <w:divBdr>
            <w:top w:val="none" w:sz="0" w:space="0" w:color="auto"/>
            <w:left w:val="none" w:sz="0" w:space="0" w:color="auto"/>
            <w:bottom w:val="none" w:sz="0" w:space="0" w:color="auto"/>
            <w:right w:val="none" w:sz="0" w:space="0" w:color="auto"/>
          </w:divBdr>
        </w:div>
        <w:div w:id="1025524827">
          <w:marLeft w:val="0"/>
          <w:marRight w:val="0"/>
          <w:marTop w:val="0"/>
          <w:marBottom w:val="0"/>
          <w:divBdr>
            <w:top w:val="none" w:sz="0" w:space="0" w:color="auto"/>
            <w:left w:val="none" w:sz="0" w:space="0" w:color="auto"/>
            <w:bottom w:val="none" w:sz="0" w:space="0" w:color="auto"/>
            <w:right w:val="none" w:sz="0" w:space="0" w:color="auto"/>
          </w:divBdr>
        </w:div>
      </w:divsChild>
    </w:div>
    <w:div w:id="259680926">
      <w:marLeft w:val="0"/>
      <w:marRight w:val="0"/>
      <w:marTop w:val="0"/>
      <w:marBottom w:val="60"/>
      <w:divBdr>
        <w:top w:val="none" w:sz="0" w:space="0" w:color="auto"/>
        <w:left w:val="none" w:sz="0" w:space="0" w:color="auto"/>
        <w:bottom w:val="none" w:sz="0" w:space="0" w:color="auto"/>
        <w:right w:val="none" w:sz="0" w:space="0" w:color="auto"/>
      </w:divBdr>
    </w:div>
    <w:div w:id="262419526">
      <w:marLeft w:val="0"/>
      <w:marRight w:val="0"/>
      <w:marTop w:val="180"/>
      <w:marBottom w:val="0"/>
      <w:divBdr>
        <w:top w:val="none" w:sz="0" w:space="0" w:color="auto"/>
        <w:left w:val="none" w:sz="0" w:space="0" w:color="auto"/>
        <w:bottom w:val="none" w:sz="0" w:space="0" w:color="auto"/>
        <w:right w:val="none" w:sz="0" w:space="0" w:color="auto"/>
      </w:divBdr>
    </w:div>
    <w:div w:id="279607780">
      <w:marLeft w:val="0"/>
      <w:marRight w:val="0"/>
      <w:marTop w:val="240"/>
      <w:marBottom w:val="0"/>
      <w:divBdr>
        <w:top w:val="none" w:sz="0" w:space="0" w:color="auto"/>
        <w:left w:val="none" w:sz="0" w:space="0" w:color="auto"/>
        <w:bottom w:val="none" w:sz="0" w:space="0" w:color="auto"/>
        <w:right w:val="none" w:sz="0" w:space="0" w:color="auto"/>
      </w:divBdr>
    </w:div>
    <w:div w:id="280454732">
      <w:marLeft w:val="0"/>
      <w:marRight w:val="0"/>
      <w:marTop w:val="60"/>
      <w:marBottom w:val="0"/>
      <w:divBdr>
        <w:top w:val="none" w:sz="0" w:space="0" w:color="auto"/>
        <w:left w:val="none" w:sz="0" w:space="0" w:color="auto"/>
        <w:bottom w:val="none" w:sz="0" w:space="0" w:color="auto"/>
        <w:right w:val="none" w:sz="0" w:space="0" w:color="auto"/>
      </w:divBdr>
    </w:div>
    <w:div w:id="283779613">
      <w:marLeft w:val="0"/>
      <w:marRight w:val="0"/>
      <w:marTop w:val="180"/>
      <w:marBottom w:val="0"/>
      <w:divBdr>
        <w:top w:val="none" w:sz="0" w:space="0" w:color="auto"/>
        <w:left w:val="none" w:sz="0" w:space="0" w:color="auto"/>
        <w:bottom w:val="none" w:sz="0" w:space="0" w:color="auto"/>
        <w:right w:val="none" w:sz="0" w:space="0" w:color="auto"/>
      </w:divBdr>
    </w:div>
    <w:div w:id="284121090">
      <w:marLeft w:val="0"/>
      <w:marRight w:val="0"/>
      <w:marTop w:val="240"/>
      <w:marBottom w:val="0"/>
      <w:divBdr>
        <w:top w:val="none" w:sz="0" w:space="0" w:color="auto"/>
        <w:left w:val="none" w:sz="0" w:space="0" w:color="auto"/>
        <w:bottom w:val="none" w:sz="0" w:space="0" w:color="auto"/>
        <w:right w:val="none" w:sz="0" w:space="0" w:color="auto"/>
      </w:divBdr>
    </w:div>
    <w:div w:id="286551503">
      <w:marLeft w:val="0"/>
      <w:marRight w:val="0"/>
      <w:marTop w:val="240"/>
      <w:marBottom w:val="0"/>
      <w:divBdr>
        <w:top w:val="none" w:sz="0" w:space="0" w:color="auto"/>
        <w:left w:val="none" w:sz="0" w:space="0" w:color="auto"/>
        <w:bottom w:val="none" w:sz="0" w:space="0" w:color="auto"/>
        <w:right w:val="none" w:sz="0" w:space="0" w:color="auto"/>
      </w:divBdr>
    </w:div>
    <w:div w:id="298726717">
      <w:marLeft w:val="0"/>
      <w:marRight w:val="0"/>
      <w:marTop w:val="140"/>
      <w:marBottom w:val="60"/>
      <w:divBdr>
        <w:top w:val="none" w:sz="0" w:space="0" w:color="auto"/>
        <w:left w:val="none" w:sz="0" w:space="0" w:color="auto"/>
        <w:bottom w:val="none" w:sz="0" w:space="0" w:color="auto"/>
        <w:right w:val="none" w:sz="0" w:space="0" w:color="auto"/>
      </w:divBdr>
    </w:div>
    <w:div w:id="301662438">
      <w:marLeft w:val="0"/>
      <w:marRight w:val="0"/>
      <w:marTop w:val="180"/>
      <w:marBottom w:val="0"/>
      <w:divBdr>
        <w:top w:val="none" w:sz="0" w:space="0" w:color="auto"/>
        <w:left w:val="none" w:sz="0" w:space="0" w:color="auto"/>
        <w:bottom w:val="none" w:sz="0" w:space="0" w:color="auto"/>
        <w:right w:val="none" w:sz="0" w:space="0" w:color="auto"/>
      </w:divBdr>
    </w:div>
    <w:div w:id="302737131">
      <w:marLeft w:val="0"/>
      <w:marRight w:val="0"/>
      <w:marTop w:val="180"/>
      <w:marBottom w:val="60"/>
      <w:divBdr>
        <w:top w:val="none" w:sz="0" w:space="0" w:color="auto"/>
        <w:left w:val="none" w:sz="0" w:space="0" w:color="auto"/>
        <w:bottom w:val="none" w:sz="0" w:space="0" w:color="auto"/>
        <w:right w:val="none" w:sz="0" w:space="0" w:color="auto"/>
      </w:divBdr>
    </w:div>
    <w:div w:id="311369082">
      <w:marLeft w:val="0"/>
      <w:marRight w:val="0"/>
      <w:marTop w:val="180"/>
      <w:marBottom w:val="0"/>
      <w:divBdr>
        <w:top w:val="none" w:sz="0" w:space="0" w:color="auto"/>
        <w:left w:val="none" w:sz="0" w:space="0" w:color="auto"/>
        <w:bottom w:val="none" w:sz="0" w:space="0" w:color="auto"/>
        <w:right w:val="none" w:sz="0" w:space="0" w:color="auto"/>
      </w:divBdr>
    </w:div>
    <w:div w:id="312372444">
      <w:marLeft w:val="0"/>
      <w:marRight w:val="0"/>
      <w:marTop w:val="180"/>
      <w:marBottom w:val="0"/>
      <w:divBdr>
        <w:top w:val="none" w:sz="0" w:space="0" w:color="auto"/>
        <w:left w:val="none" w:sz="0" w:space="0" w:color="auto"/>
        <w:bottom w:val="none" w:sz="0" w:space="0" w:color="auto"/>
        <w:right w:val="none" w:sz="0" w:space="0" w:color="auto"/>
      </w:divBdr>
    </w:div>
    <w:div w:id="317462110">
      <w:marLeft w:val="0"/>
      <w:marRight w:val="0"/>
      <w:marTop w:val="0"/>
      <w:marBottom w:val="0"/>
      <w:divBdr>
        <w:top w:val="none" w:sz="0" w:space="0" w:color="auto"/>
        <w:left w:val="none" w:sz="0" w:space="0" w:color="auto"/>
        <w:bottom w:val="none" w:sz="0" w:space="0" w:color="auto"/>
        <w:right w:val="none" w:sz="0" w:space="0" w:color="auto"/>
      </w:divBdr>
      <w:divsChild>
        <w:div w:id="1438598973">
          <w:marLeft w:val="0"/>
          <w:marRight w:val="0"/>
          <w:marTop w:val="0"/>
          <w:marBottom w:val="0"/>
          <w:divBdr>
            <w:top w:val="none" w:sz="0" w:space="0" w:color="auto"/>
            <w:left w:val="none" w:sz="0" w:space="0" w:color="auto"/>
            <w:bottom w:val="none" w:sz="0" w:space="0" w:color="auto"/>
            <w:right w:val="none" w:sz="0" w:space="0" w:color="auto"/>
          </w:divBdr>
          <w:divsChild>
            <w:div w:id="20649793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19384741">
      <w:marLeft w:val="0"/>
      <w:marRight w:val="0"/>
      <w:marTop w:val="180"/>
      <w:marBottom w:val="0"/>
      <w:divBdr>
        <w:top w:val="none" w:sz="0" w:space="0" w:color="auto"/>
        <w:left w:val="none" w:sz="0" w:space="0" w:color="auto"/>
        <w:bottom w:val="none" w:sz="0" w:space="0" w:color="auto"/>
        <w:right w:val="none" w:sz="0" w:space="0" w:color="auto"/>
      </w:divBdr>
    </w:div>
    <w:div w:id="320623621">
      <w:marLeft w:val="0"/>
      <w:marRight w:val="0"/>
      <w:marTop w:val="120"/>
      <w:marBottom w:val="0"/>
      <w:divBdr>
        <w:top w:val="none" w:sz="0" w:space="0" w:color="auto"/>
        <w:left w:val="none" w:sz="0" w:space="0" w:color="auto"/>
        <w:bottom w:val="none" w:sz="0" w:space="0" w:color="auto"/>
        <w:right w:val="none" w:sz="0" w:space="0" w:color="auto"/>
      </w:divBdr>
    </w:div>
    <w:div w:id="320625190">
      <w:marLeft w:val="0"/>
      <w:marRight w:val="0"/>
      <w:marTop w:val="0"/>
      <w:marBottom w:val="0"/>
      <w:divBdr>
        <w:top w:val="none" w:sz="0" w:space="0" w:color="auto"/>
        <w:left w:val="none" w:sz="0" w:space="0" w:color="auto"/>
        <w:bottom w:val="none" w:sz="0" w:space="0" w:color="auto"/>
        <w:right w:val="none" w:sz="0" w:space="0" w:color="auto"/>
      </w:divBdr>
      <w:divsChild>
        <w:div w:id="894006187">
          <w:marLeft w:val="0"/>
          <w:marRight w:val="0"/>
          <w:marTop w:val="180"/>
          <w:marBottom w:val="180"/>
          <w:divBdr>
            <w:top w:val="none" w:sz="0" w:space="0" w:color="auto"/>
            <w:left w:val="none" w:sz="0" w:space="0" w:color="auto"/>
            <w:bottom w:val="none" w:sz="0" w:space="0" w:color="auto"/>
            <w:right w:val="none" w:sz="0" w:space="0" w:color="auto"/>
          </w:divBdr>
        </w:div>
      </w:divsChild>
    </w:div>
    <w:div w:id="324631608">
      <w:marLeft w:val="0"/>
      <w:marRight w:val="0"/>
      <w:marTop w:val="240"/>
      <w:marBottom w:val="0"/>
      <w:divBdr>
        <w:top w:val="none" w:sz="0" w:space="0" w:color="auto"/>
        <w:left w:val="none" w:sz="0" w:space="0" w:color="auto"/>
        <w:bottom w:val="none" w:sz="0" w:space="0" w:color="auto"/>
        <w:right w:val="none" w:sz="0" w:space="0" w:color="auto"/>
      </w:divBdr>
    </w:div>
    <w:div w:id="325941291">
      <w:marLeft w:val="0"/>
      <w:marRight w:val="0"/>
      <w:marTop w:val="120"/>
      <w:marBottom w:val="120"/>
      <w:divBdr>
        <w:top w:val="none" w:sz="0" w:space="0" w:color="auto"/>
        <w:left w:val="none" w:sz="0" w:space="0" w:color="auto"/>
        <w:bottom w:val="none" w:sz="0" w:space="0" w:color="auto"/>
        <w:right w:val="none" w:sz="0" w:space="0" w:color="auto"/>
      </w:divBdr>
    </w:div>
    <w:div w:id="327441180">
      <w:marLeft w:val="0"/>
      <w:marRight w:val="0"/>
      <w:marTop w:val="180"/>
      <w:marBottom w:val="0"/>
      <w:divBdr>
        <w:top w:val="none" w:sz="0" w:space="0" w:color="auto"/>
        <w:left w:val="none" w:sz="0" w:space="0" w:color="auto"/>
        <w:bottom w:val="none" w:sz="0" w:space="0" w:color="auto"/>
        <w:right w:val="none" w:sz="0" w:space="0" w:color="auto"/>
      </w:divBdr>
    </w:div>
    <w:div w:id="330984724">
      <w:marLeft w:val="0"/>
      <w:marRight w:val="0"/>
      <w:marTop w:val="120"/>
      <w:marBottom w:val="120"/>
      <w:divBdr>
        <w:top w:val="none" w:sz="0" w:space="0" w:color="auto"/>
        <w:left w:val="none" w:sz="0" w:space="0" w:color="auto"/>
        <w:bottom w:val="none" w:sz="0" w:space="0" w:color="auto"/>
        <w:right w:val="none" w:sz="0" w:space="0" w:color="auto"/>
      </w:divBdr>
      <w:divsChild>
        <w:div w:id="647635971">
          <w:marLeft w:val="0"/>
          <w:marRight w:val="0"/>
          <w:marTop w:val="0"/>
          <w:marBottom w:val="0"/>
          <w:divBdr>
            <w:top w:val="none" w:sz="0" w:space="0" w:color="auto"/>
            <w:left w:val="none" w:sz="0" w:space="0" w:color="auto"/>
            <w:bottom w:val="none" w:sz="0" w:space="0" w:color="auto"/>
            <w:right w:val="none" w:sz="0" w:space="0" w:color="auto"/>
          </w:divBdr>
        </w:div>
        <w:div w:id="655691309">
          <w:marLeft w:val="0"/>
          <w:marRight w:val="0"/>
          <w:marTop w:val="0"/>
          <w:marBottom w:val="0"/>
          <w:divBdr>
            <w:top w:val="none" w:sz="0" w:space="0" w:color="auto"/>
            <w:left w:val="none" w:sz="0" w:space="0" w:color="auto"/>
            <w:bottom w:val="none" w:sz="0" w:space="0" w:color="auto"/>
            <w:right w:val="none" w:sz="0" w:space="0" w:color="auto"/>
          </w:divBdr>
        </w:div>
        <w:div w:id="1902212291">
          <w:marLeft w:val="0"/>
          <w:marRight w:val="0"/>
          <w:marTop w:val="0"/>
          <w:marBottom w:val="0"/>
          <w:divBdr>
            <w:top w:val="none" w:sz="0" w:space="0" w:color="auto"/>
            <w:left w:val="none" w:sz="0" w:space="0" w:color="auto"/>
            <w:bottom w:val="none" w:sz="0" w:space="0" w:color="auto"/>
            <w:right w:val="none" w:sz="0" w:space="0" w:color="auto"/>
          </w:divBdr>
        </w:div>
        <w:div w:id="264580450">
          <w:marLeft w:val="0"/>
          <w:marRight w:val="0"/>
          <w:marTop w:val="0"/>
          <w:marBottom w:val="0"/>
          <w:divBdr>
            <w:top w:val="none" w:sz="0" w:space="0" w:color="auto"/>
            <w:left w:val="none" w:sz="0" w:space="0" w:color="auto"/>
            <w:bottom w:val="none" w:sz="0" w:space="0" w:color="auto"/>
            <w:right w:val="none" w:sz="0" w:space="0" w:color="auto"/>
          </w:divBdr>
        </w:div>
      </w:divsChild>
    </w:div>
    <w:div w:id="334842741">
      <w:marLeft w:val="0"/>
      <w:marRight w:val="0"/>
      <w:marTop w:val="60"/>
      <w:marBottom w:val="0"/>
      <w:divBdr>
        <w:top w:val="none" w:sz="0" w:space="0" w:color="auto"/>
        <w:left w:val="none" w:sz="0" w:space="0" w:color="auto"/>
        <w:bottom w:val="none" w:sz="0" w:space="0" w:color="auto"/>
        <w:right w:val="none" w:sz="0" w:space="0" w:color="auto"/>
      </w:divBdr>
    </w:div>
    <w:div w:id="347756413">
      <w:marLeft w:val="0"/>
      <w:marRight w:val="0"/>
      <w:marTop w:val="180"/>
      <w:marBottom w:val="0"/>
      <w:divBdr>
        <w:top w:val="none" w:sz="0" w:space="0" w:color="auto"/>
        <w:left w:val="none" w:sz="0" w:space="0" w:color="auto"/>
        <w:bottom w:val="none" w:sz="0" w:space="0" w:color="auto"/>
        <w:right w:val="none" w:sz="0" w:space="0" w:color="auto"/>
      </w:divBdr>
    </w:div>
    <w:div w:id="349726491">
      <w:marLeft w:val="0"/>
      <w:marRight w:val="0"/>
      <w:marTop w:val="180"/>
      <w:marBottom w:val="0"/>
      <w:divBdr>
        <w:top w:val="none" w:sz="0" w:space="0" w:color="auto"/>
        <w:left w:val="none" w:sz="0" w:space="0" w:color="auto"/>
        <w:bottom w:val="none" w:sz="0" w:space="0" w:color="auto"/>
        <w:right w:val="none" w:sz="0" w:space="0" w:color="auto"/>
      </w:divBdr>
    </w:div>
    <w:div w:id="351617029">
      <w:marLeft w:val="0"/>
      <w:marRight w:val="0"/>
      <w:marTop w:val="240"/>
      <w:marBottom w:val="0"/>
      <w:divBdr>
        <w:top w:val="none" w:sz="0" w:space="0" w:color="auto"/>
        <w:left w:val="none" w:sz="0" w:space="0" w:color="auto"/>
        <w:bottom w:val="none" w:sz="0" w:space="0" w:color="auto"/>
        <w:right w:val="none" w:sz="0" w:space="0" w:color="auto"/>
      </w:divBdr>
    </w:div>
    <w:div w:id="354817999">
      <w:marLeft w:val="0"/>
      <w:marRight w:val="0"/>
      <w:marTop w:val="60"/>
      <w:marBottom w:val="0"/>
      <w:divBdr>
        <w:top w:val="none" w:sz="0" w:space="0" w:color="auto"/>
        <w:left w:val="none" w:sz="0" w:space="0" w:color="auto"/>
        <w:bottom w:val="none" w:sz="0" w:space="0" w:color="auto"/>
        <w:right w:val="none" w:sz="0" w:space="0" w:color="auto"/>
      </w:divBdr>
    </w:div>
    <w:div w:id="362563532">
      <w:marLeft w:val="0"/>
      <w:marRight w:val="0"/>
      <w:marTop w:val="180"/>
      <w:marBottom w:val="0"/>
      <w:divBdr>
        <w:top w:val="none" w:sz="0" w:space="0" w:color="auto"/>
        <w:left w:val="none" w:sz="0" w:space="0" w:color="auto"/>
        <w:bottom w:val="none" w:sz="0" w:space="0" w:color="auto"/>
        <w:right w:val="none" w:sz="0" w:space="0" w:color="auto"/>
      </w:divBdr>
    </w:div>
    <w:div w:id="363017089">
      <w:marLeft w:val="0"/>
      <w:marRight w:val="0"/>
      <w:marTop w:val="60"/>
      <w:marBottom w:val="0"/>
      <w:divBdr>
        <w:top w:val="none" w:sz="0" w:space="0" w:color="auto"/>
        <w:left w:val="none" w:sz="0" w:space="0" w:color="auto"/>
        <w:bottom w:val="none" w:sz="0" w:space="0" w:color="auto"/>
        <w:right w:val="none" w:sz="0" w:space="0" w:color="auto"/>
      </w:divBdr>
    </w:div>
    <w:div w:id="365066943">
      <w:marLeft w:val="0"/>
      <w:marRight w:val="0"/>
      <w:marTop w:val="60"/>
      <w:marBottom w:val="0"/>
      <w:divBdr>
        <w:top w:val="none" w:sz="0" w:space="0" w:color="auto"/>
        <w:left w:val="none" w:sz="0" w:space="0" w:color="auto"/>
        <w:bottom w:val="none" w:sz="0" w:space="0" w:color="auto"/>
        <w:right w:val="none" w:sz="0" w:space="0" w:color="auto"/>
      </w:divBdr>
    </w:div>
    <w:div w:id="371737701">
      <w:marLeft w:val="0"/>
      <w:marRight w:val="0"/>
      <w:marTop w:val="180"/>
      <w:marBottom w:val="0"/>
      <w:divBdr>
        <w:top w:val="none" w:sz="0" w:space="0" w:color="auto"/>
        <w:left w:val="none" w:sz="0" w:space="0" w:color="auto"/>
        <w:bottom w:val="none" w:sz="0" w:space="0" w:color="auto"/>
        <w:right w:val="none" w:sz="0" w:space="0" w:color="auto"/>
      </w:divBdr>
    </w:div>
    <w:div w:id="372850841">
      <w:marLeft w:val="0"/>
      <w:marRight w:val="0"/>
      <w:marTop w:val="180"/>
      <w:marBottom w:val="0"/>
      <w:divBdr>
        <w:top w:val="none" w:sz="0" w:space="0" w:color="auto"/>
        <w:left w:val="none" w:sz="0" w:space="0" w:color="auto"/>
        <w:bottom w:val="none" w:sz="0" w:space="0" w:color="auto"/>
        <w:right w:val="none" w:sz="0" w:space="0" w:color="auto"/>
      </w:divBdr>
    </w:div>
    <w:div w:id="373845169">
      <w:marLeft w:val="0"/>
      <w:marRight w:val="0"/>
      <w:marTop w:val="120"/>
      <w:marBottom w:val="0"/>
      <w:divBdr>
        <w:top w:val="none" w:sz="0" w:space="0" w:color="auto"/>
        <w:left w:val="none" w:sz="0" w:space="0" w:color="auto"/>
        <w:bottom w:val="none" w:sz="0" w:space="0" w:color="auto"/>
        <w:right w:val="none" w:sz="0" w:space="0" w:color="auto"/>
      </w:divBdr>
    </w:div>
    <w:div w:id="374156637">
      <w:marLeft w:val="0"/>
      <w:marRight w:val="0"/>
      <w:marTop w:val="0"/>
      <w:marBottom w:val="0"/>
      <w:divBdr>
        <w:top w:val="none" w:sz="0" w:space="0" w:color="auto"/>
        <w:left w:val="none" w:sz="0" w:space="0" w:color="auto"/>
        <w:bottom w:val="none" w:sz="0" w:space="0" w:color="auto"/>
        <w:right w:val="none" w:sz="0" w:space="0" w:color="auto"/>
      </w:divBdr>
    </w:div>
    <w:div w:id="374886593">
      <w:marLeft w:val="0"/>
      <w:marRight w:val="0"/>
      <w:marTop w:val="180"/>
      <w:marBottom w:val="20"/>
      <w:divBdr>
        <w:top w:val="none" w:sz="0" w:space="0" w:color="auto"/>
        <w:left w:val="none" w:sz="0" w:space="0" w:color="auto"/>
        <w:bottom w:val="none" w:sz="0" w:space="0" w:color="auto"/>
        <w:right w:val="none" w:sz="0" w:space="0" w:color="auto"/>
      </w:divBdr>
    </w:div>
    <w:div w:id="377434292">
      <w:marLeft w:val="0"/>
      <w:marRight w:val="0"/>
      <w:marTop w:val="0"/>
      <w:marBottom w:val="0"/>
      <w:divBdr>
        <w:top w:val="none" w:sz="0" w:space="0" w:color="auto"/>
        <w:left w:val="none" w:sz="0" w:space="0" w:color="auto"/>
        <w:bottom w:val="none" w:sz="0" w:space="0" w:color="auto"/>
        <w:right w:val="none" w:sz="0" w:space="0" w:color="auto"/>
      </w:divBdr>
      <w:divsChild>
        <w:div w:id="207032622">
          <w:marLeft w:val="0"/>
          <w:marRight w:val="0"/>
          <w:marTop w:val="180"/>
          <w:marBottom w:val="180"/>
          <w:divBdr>
            <w:top w:val="none" w:sz="0" w:space="0" w:color="auto"/>
            <w:left w:val="none" w:sz="0" w:space="0" w:color="auto"/>
            <w:bottom w:val="none" w:sz="0" w:space="0" w:color="auto"/>
            <w:right w:val="none" w:sz="0" w:space="0" w:color="auto"/>
          </w:divBdr>
        </w:div>
      </w:divsChild>
    </w:div>
    <w:div w:id="386493312">
      <w:marLeft w:val="0"/>
      <w:marRight w:val="0"/>
      <w:marTop w:val="120"/>
      <w:marBottom w:val="0"/>
      <w:divBdr>
        <w:top w:val="none" w:sz="0" w:space="0" w:color="auto"/>
        <w:left w:val="none" w:sz="0" w:space="0" w:color="auto"/>
        <w:bottom w:val="none" w:sz="0" w:space="0" w:color="auto"/>
        <w:right w:val="none" w:sz="0" w:space="0" w:color="auto"/>
      </w:divBdr>
    </w:div>
    <w:div w:id="388723023">
      <w:marLeft w:val="0"/>
      <w:marRight w:val="0"/>
      <w:marTop w:val="240"/>
      <w:marBottom w:val="0"/>
      <w:divBdr>
        <w:top w:val="none" w:sz="0" w:space="0" w:color="auto"/>
        <w:left w:val="none" w:sz="0" w:space="0" w:color="auto"/>
        <w:bottom w:val="none" w:sz="0" w:space="0" w:color="auto"/>
        <w:right w:val="none" w:sz="0" w:space="0" w:color="auto"/>
      </w:divBdr>
    </w:div>
    <w:div w:id="392393259">
      <w:marLeft w:val="0"/>
      <w:marRight w:val="0"/>
      <w:marTop w:val="60"/>
      <w:marBottom w:val="0"/>
      <w:divBdr>
        <w:top w:val="none" w:sz="0" w:space="0" w:color="auto"/>
        <w:left w:val="none" w:sz="0" w:space="0" w:color="auto"/>
        <w:bottom w:val="none" w:sz="0" w:space="0" w:color="auto"/>
        <w:right w:val="none" w:sz="0" w:space="0" w:color="auto"/>
      </w:divBdr>
      <w:divsChild>
        <w:div w:id="846599738">
          <w:marLeft w:val="0"/>
          <w:marRight w:val="0"/>
          <w:marTop w:val="0"/>
          <w:marBottom w:val="0"/>
          <w:divBdr>
            <w:top w:val="none" w:sz="0" w:space="0" w:color="auto"/>
            <w:left w:val="none" w:sz="0" w:space="0" w:color="auto"/>
            <w:bottom w:val="none" w:sz="0" w:space="0" w:color="auto"/>
            <w:right w:val="none" w:sz="0" w:space="0" w:color="auto"/>
          </w:divBdr>
        </w:div>
      </w:divsChild>
    </w:div>
    <w:div w:id="403916078">
      <w:marLeft w:val="0"/>
      <w:marRight w:val="0"/>
      <w:marTop w:val="60"/>
      <w:marBottom w:val="0"/>
      <w:divBdr>
        <w:top w:val="none" w:sz="0" w:space="0" w:color="auto"/>
        <w:left w:val="none" w:sz="0" w:space="0" w:color="auto"/>
        <w:bottom w:val="none" w:sz="0" w:space="0" w:color="auto"/>
        <w:right w:val="none" w:sz="0" w:space="0" w:color="auto"/>
      </w:divBdr>
    </w:div>
    <w:div w:id="405081060">
      <w:marLeft w:val="0"/>
      <w:marRight w:val="0"/>
      <w:marTop w:val="180"/>
      <w:marBottom w:val="0"/>
      <w:divBdr>
        <w:top w:val="none" w:sz="0" w:space="0" w:color="auto"/>
        <w:left w:val="none" w:sz="0" w:space="0" w:color="auto"/>
        <w:bottom w:val="none" w:sz="0" w:space="0" w:color="auto"/>
        <w:right w:val="none" w:sz="0" w:space="0" w:color="auto"/>
      </w:divBdr>
    </w:div>
    <w:div w:id="413554195">
      <w:marLeft w:val="0"/>
      <w:marRight w:val="0"/>
      <w:marTop w:val="0"/>
      <w:marBottom w:val="0"/>
      <w:divBdr>
        <w:top w:val="none" w:sz="0" w:space="0" w:color="auto"/>
        <w:left w:val="none" w:sz="0" w:space="0" w:color="auto"/>
        <w:bottom w:val="none" w:sz="0" w:space="0" w:color="auto"/>
        <w:right w:val="none" w:sz="0" w:space="0" w:color="auto"/>
      </w:divBdr>
      <w:divsChild>
        <w:div w:id="1349140542">
          <w:marLeft w:val="0"/>
          <w:marRight w:val="0"/>
          <w:marTop w:val="180"/>
          <w:marBottom w:val="180"/>
          <w:divBdr>
            <w:top w:val="none" w:sz="0" w:space="0" w:color="auto"/>
            <w:left w:val="none" w:sz="0" w:space="0" w:color="auto"/>
            <w:bottom w:val="none" w:sz="0" w:space="0" w:color="auto"/>
            <w:right w:val="none" w:sz="0" w:space="0" w:color="auto"/>
          </w:divBdr>
        </w:div>
      </w:divsChild>
    </w:div>
    <w:div w:id="415368915">
      <w:marLeft w:val="0"/>
      <w:marRight w:val="0"/>
      <w:marTop w:val="60"/>
      <w:marBottom w:val="0"/>
      <w:divBdr>
        <w:top w:val="none" w:sz="0" w:space="0" w:color="auto"/>
        <w:left w:val="none" w:sz="0" w:space="0" w:color="auto"/>
        <w:bottom w:val="none" w:sz="0" w:space="0" w:color="auto"/>
        <w:right w:val="none" w:sz="0" w:space="0" w:color="auto"/>
      </w:divBdr>
    </w:div>
    <w:div w:id="426970903">
      <w:marLeft w:val="0"/>
      <w:marRight w:val="0"/>
      <w:marTop w:val="60"/>
      <w:marBottom w:val="0"/>
      <w:divBdr>
        <w:top w:val="none" w:sz="0" w:space="0" w:color="auto"/>
        <w:left w:val="none" w:sz="0" w:space="0" w:color="auto"/>
        <w:bottom w:val="none" w:sz="0" w:space="0" w:color="auto"/>
        <w:right w:val="none" w:sz="0" w:space="0" w:color="auto"/>
      </w:divBdr>
    </w:div>
    <w:div w:id="428163763">
      <w:marLeft w:val="0"/>
      <w:marRight w:val="0"/>
      <w:marTop w:val="180"/>
      <w:marBottom w:val="120"/>
      <w:divBdr>
        <w:top w:val="none" w:sz="0" w:space="0" w:color="auto"/>
        <w:left w:val="none" w:sz="0" w:space="0" w:color="auto"/>
        <w:bottom w:val="none" w:sz="0" w:space="0" w:color="auto"/>
        <w:right w:val="none" w:sz="0" w:space="0" w:color="auto"/>
      </w:divBdr>
    </w:div>
    <w:div w:id="441345880">
      <w:marLeft w:val="0"/>
      <w:marRight w:val="0"/>
      <w:marTop w:val="180"/>
      <w:marBottom w:val="0"/>
      <w:divBdr>
        <w:top w:val="none" w:sz="0" w:space="0" w:color="auto"/>
        <w:left w:val="none" w:sz="0" w:space="0" w:color="auto"/>
        <w:bottom w:val="none" w:sz="0" w:space="0" w:color="auto"/>
        <w:right w:val="none" w:sz="0" w:space="0" w:color="auto"/>
      </w:divBdr>
    </w:div>
    <w:div w:id="452483906">
      <w:marLeft w:val="0"/>
      <w:marRight w:val="0"/>
      <w:marTop w:val="180"/>
      <w:marBottom w:val="0"/>
      <w:divBdr>
        <w:top w:val="none" w:sz="0" w:space="0" w:color="auto"/>
        <w:left w:val="none" w:sz="0" w:space="0" w:color="auto"/>
        <w:bottom w:val="none" w:sz="0" w:space="0" w:color="auto"/>
        <w:right w:val="none" w:sz="0" w:space="0" w:color="auto"/>
      </w:divBdr>
    </w:div>
    <w:div w:id="453405050">
      <w:marLeft w:val="0"/>
      <w:marRight w:val="0"/>
      <w:marTop w:val="180"/>
      <w:marBottom w:val="0"/>
      <w:divBdr>
        <w:top w:val="none" w:sz="0" w:space="0" w:color="auto"/>
        <w:left w:val="none" w:sz="0" w:space="0" w:color="auto"/>
        <w:bottom w:val="none" w:sz="0" w:space="0" w:color="auto"/>
        <w:right w:val="none" w:sz="0" w:space="0" w:color="auto"/>
      </w:divBdr>
    </w:div>
    <w:div w:id="453599174">
      <w:marLeft w:val="0"/>
      <w:marRight w:val="0"/>
      <w:marTop w:val="180"/>
      <w:marBottom w:val="0"/>
      <w:divBdr>
        <w:top w:val="none" w:sz="0" w:space="0" w:color="auto"/>
        <w:left w:val="none" w:sz="0" w:space="0" w:color="auto"/>
        <w:bottom w:val="none" w:sz="0" w:space="0" w:color="auto"/>
        <w:right w:val="none" w:sz="0" w:space="0" w:color="auto"/>
      </w:divBdr>
    </w:div>
    <w:div w:id="456148455">
      <w:marLeft w:val="0"/>
      <w:marRight w:val="0"/>
      <w:marTop w:val="180"/>
      <w:marBottom w:val="0"/>
      <w:divBdr>
        <w:top w:val="none" w:sz="0" w:space="0" w:color="auto"/>
        <w:left w:val="none" w:sz="0" w:space="0" w:color="auto"/>
        <w:bottom w:val="none" w:sz="0" w:space="0" w:color="auto"/>
        <w:right w:val="none" w:sz="0" w:space="0" w:color="auto"/>
      </w:divBdr>
    </w:div>
    <w:div w:id="464540468">
      <w:marLeft w:val="0"/>
      <w:marRight w:val="0"/>
      <w:marTop w:val="240"/>
      <w:marBottom w:val="0"/>
      <w:divBdr>
        <w:top w:val="none" w:sz="0" w:space="0" w:color="auto"/>
        <w:left w:val="none" w:sz="0" w:space="0" w:color="auto"/>
        <w:bottom w:val="none" w:sz="0" w:space="0" w:color="auto"/>
        <w:right w:val="none" w:sz="0" w:space="0" w:color="auto"/>
      </w:divBdr>
    </w:div>
    <w:div w:id="473835786">
      <w:marLeft w:val="0"/>
      <w:marRight w:val="0"/>
      <w:marTop w:val="180"/>
      <w:marBottom w:val="0"/>
      <w:divBdr>
        <w:top w:val="none" w:sz="0" w:space="0" w:color="auto"/>
        <w:left w:val="none" w:sz="0" w:space="0" w:color="auto"/>
        <w:bottom w:val="none" w:sz="0" w:space="0" w:color="auto"/>
        <w:right w:val="none" w:sz="0" w:space="0" w:color="auto"/>
      </w:divBdr>
    </w:div>
    <w:div w:id="474445609">
      <w:marLeft w:val="0"/>
      <w:marRight w:val="0"/>
      <w:marTop w:val="180"/>
      <w:marBottom w:val="60"/>
      <w:divBdr>
        <w:top w:val="none" w:sz="0" w:space="0" w:color="auto"/>
        <w:left w:val="none" w:sz="0" w:space="0" w:color="auto"/>
        <w:bottom w:val="none" w:sz="0" w:space="0" w:color="auto"/>
        <w:right w:val="none" w:sz="0" w:space="0" w:color="auto"/>
      </w:divBdr>
    </w:div>
    <w:div w:id="476727300">
      <w:marLeft w:val="0"/>
      <w:marRight w:val="0"/>
      <w:marTop w:val="0"/>
      <w:marBottom w:val="0"/>
      <w:divBdr>
        <w:top w:val="none" w:sz="0" w:space="0" w:color="auto"/>
        <w:left w:val="none" w:sz="0" w:space="0" w:color="auto"/>
        <w:bottom w:val="none" w:sz="0" w:space="0" w:color="auto"/>
        <w:right w:val="none" w:sz="0" w:space="0" w:color="auto"/>
      </w:divBdr>
      <w:divsChild>
        <w:div w:id="1410300627">
          <w:marLeft w:val="0"/>
          <w:marRight w:val="0"/>
          <w:marTop w:val="0"/>
          <w:marBottom w:val="0"/>
          <w:divBdr>
            <w:top w:val="none" w:sz="0" w:space="0" w:color="auto"/>
            <w:left w:val="none" w:sz="0" w:space="0" w:color="auto"/>
            <w:bottom w:val="none" w:sz="0" w:space="0" w:color="auto"/>
            <w:right w:val="none" w:sz="0" w:space="0" w:color="auto"/>
          </w:divBdr>
          <w:divsChild>
            <w:div w:id="9115001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83742071">
      <w:marLeft w:val="0"/>
      <w:marRight w:val="0"/>
      <w:marTop w:val="0"/>
      <w:marBottom w:val="0"/>
      <w:divBdr>
        <w:top w:val="none" w:sz="0" w:space="0" w:color="auto"/>
        <w:left w:val="none" w:sz="0" w:space="0" w:color="auto"/>
        <w:bottom w:val="none" w:sz="0" w:space="0" w:color="auto"/>
        <w:right w:val="none" w:sz="0" w:space="0" w:color="auto"/>
      </w:divBdr>
      <w:divsChild>
        <w:div w:id="335232769">
          <w:marLeft w:val="0"/>
          <w:marRight w:val="0"/>
          <w:marTop w:val="0"/>
          <w:marBottom w:val="0"/>
          <w:divBdr>
            <w:top w:val="none" w:sz="0" w:space="0" w:color="auto"/>
            <w:left w:val="none" w:sz="0" w:space="0" w:color="auto"/>
            <w:bottom w:val="none" w:sz="0" w:space="0" w:color="auto"/>
            <w:right w:val="none" w:sz="0" w:space="0" w:color="auto"/>
          </w:divBdr>
          <w:divsChild>
            <w:div w:id="3773623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88132277">
      <w:marLeft w:val="0"/>
      <w:marRight w:val="0"/>
      <w:marTop w:val="60"/>
      <w:marBottom w:val="120"/>
      <w:divBdr>
        <w:top w:val="none" w:sz="0" w:space="0" w:color="auto"/>
        <w:left w:val="none" w:sz="0" w:space="0" w:color="auto"/>
        <w:bottom w:val="none" w:sz="0" w:space="0" w:color="auto"/>
        <w:right w:val="none" w:sz="0" w:space="0" w:color="auto"/>
      </w:divBdr>
    </w:div>
    <w:div w:id="494732175">
      <w:marLeft w:val="0"/>
      <w:marRight w:val="0"/>
      <w:marTop w:val="180"/>
      <w:marBottom w:val="0"/>
      <w:divBdr>
        <w:top w:val="none" w:sz="0" w:space="0" w:color="auto"/>
        <w:left w:val="none" w:sz="0" w:space="0" w:color="auto"/>
        <w:bottom w:val="none" w:sz="0" w:space="0" w:color="auto"/>
        <w:right w:val="none" w:sz="0" w:space="0" w:color="auto"/>
      </w:divBdr>
    </w:div>
    <w:div w:id="501548127">
      <w:marLeft w:val="0"/>
      <w:marRight w:val="0"/>
      <w:marTop w:val="0"/>
      <w:marBottom w:val="0"/>
      <w:divBdr>
        <w:top w:val="none" w:sz="0" w:space="0" w:color="auto"/>
        <w:left w:val="none" w:sz="0" w:space="0" w:color="auto"/>
        <w:bottom w:val="none" w:sz="0" w:space="0" w:color="auto"/>
        <w:right w:val="none" w:sz="0" w:space="0" w:color="auto"/>
      </w:divBdr>
      <w:divsChild>
        <w:div w:id="571545479">
          <w:marLeft w:val="0"/>
          <w:marRight w:val="0"/>
          <w:marTop w:val="0"/>
          <w:marBottom w:val="0"/>
          <w:divBdr>
            <w:top w:val="none" w:sz="0" w:space="0" w:color="auto"/>
            <w:left w:val="none" w:sz="0" w:space="0" w:color="auto"/>
            <w:bottom w:val="none" w:sz="0" w:space="0" w:color="auto"/>
            <w:right w:val="none" w:sz="0" w:space="0" w:color="auto"/>
          </w:divBdr>
          <w:divsChild>
            <w:div w:id="20354227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01775266">
      <w:marLeft w:val="0"/>
      <w:marRight w:val="0"/>
      <w:marTop w:val="180"/>
      <w:marBottom w:val="0"/>
      <w:divBdr>
        <w:top w:val="none" w:sz="0" w:space="0" w:color="auto"/>
        <w:left w:val="none" w:sz="0" w:space="0" w:color="auto"/>
        <w:bottom w:val="none" w:sz="0" w:space="0" w:color="auto"/>
        <w:right w:val="none" w:sz="0" w:space="0" w:color="auto"/>
      </w:divBdr>
    </w:div>
    <w:div w:id="507451145">
      <w:marLeft w:val="0"/>
      <w:marRight w:val="0"/>
      <w:marTop w:val="180"/>
      <w:marBottom w:val="0"/>
      <w:divBdr>
        <w:top w:val="none" w:sz="0" w:space="0" w:color="auto"/>
        <w:left w:val="none" w:sz="0" w:space="0" w:color="auto"/>
        <w:bottom w:val="none" w:sz="0" w:space="0" w:color="auto"/>
        <w:right w:val="none" w:sz="0" w:space="0" w:color="auto"/>
      </w:divBdr>
    </w:div>
    <w:div w:id="509758127">
      <w:marLeft w:val="0"/>
      <w:marRight w:val="0"/>
      <w:marTop w:val="0"/>
      <w:marBottom w:val="0"/>
      <w:divBdr>
        <w:top w:val="none" w:sz="0" w:space="0" w:color="auto"/>
        <w:left w:val="none" w:sz="0" w:space="0" w:color="auto"/>
        <w:bottom w:val="none" w:sz="0" w:space="0" w:color="auto"/>
        <w:right w:val="none" w:sz="0" w:space="0" w:color="auto"/>
      </w:divBdr>
      <w:divsChild>
        <w:div w:id="1717242895">
          <w:marLeft w:val="0"/>
          <w:marRight w:val="0"/>
          <w:marTop w:val="180"/>
          <w:marBottom w:val="180"/>
          <w:divBdr>
            <w:top w:val="none" w:sz="0" w:space="0" w:color="auto"/>
            <w:left w:val="none" w:sz="0" w:space="0" w:color="auto"/>
            <w:bottom w:val="none" w:sz="0" w:space="0" w:color="auto"/>
            <w:right w:val="none" w:sz="0" w:space="0" w:color="auto"/>
          </w:divBdr>
        </w:div>
      </w:divsChild>
    </w:div>
    <w:div w:id="518204162">
      <w:marLeft w:val="0"/>
      <w:marRight w:val="0"/>
      <w:marTop w:val="180"/>
      <w:marBottom w:val="0"/>
      <w:divBdr>
        <w:top w:val="none" w:sz="0" w:space="0" w:color="auto"/>
        <w:left w:val="none" w:sz="0" w:space="0" w:color="auto"/>
        <w:bottom w:val="none" w:sz="0" w:space="0" w:color="auto"/>
        <w:right w:val="none" w:sz="0" w:space="0" w:color="auto"/>
      </w:divBdr>
    </w:div>
    <w:div w:id="520707153">
      <w:marLeft w:val="0"/>
      <w:marRight w:val="0"/>
      <w:marTop w:val="130"/>
      <w:marBottom w:val="120"/>
      <w:divBdr>
        <w:top w:val="none" w:sz="0" w:space="0" w:color="auto"/>
        <w:left w:val="none" w:sz="0" w:space="0" w:color="auto"/>
        <w:bottom w:val="none" w:sz="0" w:space="0" w:color="auto"/>
        <w:right w:val="none" w:sz="0" w:space="0" w:color="auto"/>
      </w:divBdr>
    </w:div>
    <w:div w:id="527450605">
      <w:marLeft w:val="0"/>
      <w:marRight w:val="0"/>
      <w:marTop w:val="180"/>
      <w:marBottom w:val="0"/>
      <w:divBdr>
        <w:top w:val="none" w:sz="0" w:space="0" w:color="auto"/>
        <w:left w:val="none" w:sz="0" w:space="0" w:color="auto"/>
        <w:bottom w:val="none" w:sz="0" w:space="0" w:color="auto"/>
        <w:right w:val="none" w:sz="0" w:space="0" w:color="auto"/>
      </w:divBdr>
    </w:div>
    <w:div w:id="538469753">
      <w:marLeft w:val="0"/>
      <w:marRight w:val="0"/>
      <w:marTop w:val="0"/>
      <w:marBottom w:val="0"/>
      <w:divBdr>
        <w:top w:val="none" w:sz="0" w:space="0" w:color="auto"/>
        <w:left w:val="none" w:sz="0" w:space="0" w:color="auto"/>
        <w:bottom w:val="none" w:sz="0" w:space="0" w:color="auto"/>
        <w:right w:val="none" w:sz="0" w:space="0" w:color="auto"/>
      </w:divBdr>
    </w:div>
    <w:div w:id="538856628">
      <w:marLeft w:val="0"/>
      <w:marRight w:val="0"/>
      <w:marTop w:val="180"/>
      <w:marBottom w:val="120"/>
      <w:divBdr>
        <w:top w:val="none" w:sz="0" w:space="0" w:color="auto"/>
        <w:left w:val="none" w:sz="0" w:space="0" w:color="auto"/>
        <w:bottom w:val="none" w:sz="0" w:space="0" w:color="auto"/>
        <w:right w:val="none" w:sz="0" w:space="0" w:color="auto"/>
      </w:divBdr>
    </w:div>
    <w:div w:id="540895522">
      <w:marLeft w:val="0"/>
      <w:marRight w:val="0"/>
      <w:marTop w:val="180"/>
      <w:marBottom w:val="180"/>
      <w:divBdr>
        <w:top w:val="none" w:sz="0" w:space="0" w:color="auto"/>
        <w:left w:val="none" w:sz="0" w:space="0" w:color="auto"/>
        <w:bottom w:val="none" w:sz="0" w:space="0" w:color="auto"/>
        <w:right w:val="none" w:sz="0" w:space="0" w:color="auto"/>
      </w:divBdr>
    </w:div>
    <w:div w:id="545221014">
      <w:marLeft w:val="0"/>
      <w:marRight w:val="0"/>
      <w:marTop w:val="180"/>
      <w:marBottom w:val="0"/>
      <w:divBdr>
        <w:top w:val="none" w:sz="0" w:space="0" w:color="auto"/>
        <w:left w:val="none" w:sz="0" w:space="0" w:color="auto"/>
        <w:bottom w:val="none" w:sz="0" w:space="0" w:color="auto"/>
        <w:right w:val="none" w:sz="0" w:space="0" w:color="auto"/>
      </w:divBdr>
    </w:div>
    <w:div w:id="546917282">
      <w:marLeft w:val="0"/>
      <w:marRight w:val="0"/>
      <w:marTop w:val="180"/>
      <w:marBottom w:val="20"/>
      <w:divBdr>
        <w:top w:val="none" w:sz="0" w:space="0" w:color="auto"/>
        <w:left w:val="none" w:sz="0" w:space="0" w:color="auto"/>
        <w:bottom w:val="none" w:sz="0" w:space="0" w:color="auto"/>
        <w:right w:val="none" w:sz="0" w:space="0" w:color="auto"/>
      </w:divBdr>
    </w:div>
    <w:div w:id="550652069">
      <w:marLeft w:val="0"/>
      <w:marRight w:val="0"/>
      <w:marTop w:val="0"/>
      <w:marBottom w:val="0"/>
      <w:divBdr>
        <w:top w:val="none" w:sz="0" w:space="0" w:color="auto"/>
        <w:left w:val="none" w:sz="0" w:space="0" w:color="auto"/>
        <w:bottom w:val="none" w:sz="0" w:space="0" w:color="auto"/>
        <w:right w:val="none" w:sz="0" w:space="0" w:color="auto"/>
      </w:divBdr>
      <w:divsChild>
        <w:div w:id="1255745166">
          <w:marLeft w:val="0"/>
          <w:marRight w:val="0"/>
          <w:marTop w:val="180"/>
          <w:marBottom w:val="180"/>
          <w:divBdr>
            <w:top w:val="none" w:sz="0" w:space="0" w:color="auto"/>
            <w:left w:val="none" w:sz="0" w:space="0" w:color="auto"/>
            <w:bottom w:val="none" w:sz="0" w:space="0" w:color="auto"/>
            <w:right w:val="none" w:sz="0" w:space="0" w:color="auto"/>
          </w:divBdr>
        </w:div>
      </w:divsChild>
    </w:div>
    <w:div w:id="556815216">
      <w:marLeft w:val="0"/>
      <w:marRight w:val="0"/>
      <w:marTop w:val="0"/>
      <w:marBottom w:val="0"/>
      <w:divBdr>
        <w:top w:val="none" w:sz="0" w:space="0" w:color="auto"/>
        <w:left w:val="none" w:sz="0" w:space="0" w:color="auto"/>
        <w:bottom w:val="none" w:sz="0" w:space="0" w:color="auto"/>
        <w:right w:val="none" w:sz="0" w:space="0" w:color="auto"/>
      </w:divBdr>
      <w:divsChild>
        <w:div w:id="71855533">
          <w:marLeft w:val="0"/>
          <w:marRight w:val="0"/>
          <w:marTop w:val="180"/>
          <w:marBottom w:val="180"/>
          <w:divBdr>
            <w:top w:val="none" w:sz="0" w:space="0" w:color="auto"/>
            <w:left w:val="none" w:sz="0" w:space="0" w:color="auto"/>
            <w:bottom w:val="none" w:sz="0" w:space="0" w:color="auto"/>
            <w:right w:val="none" w:sz="0" w:space="0" w:color="auto"/>
          </w:divBdr>
        </w:div>
      </w:divsChild>
    </w:div>
    <w:div w:id="568805651">
      <w:marLeft w:val="0"/>
      <w:marRight w:val="0"/>
      <w:marTop w:val="180"/>
      <w:marBottom w:val="0"/>
      <w:divBdr>
        <w:top w:val="none" w:sz="0" w:space="0" w:color="auto"/>
        <w:left w:val="none" w:sz="0" w:space="0" w:color="auto"/>
        <w:bottom w:val="none" w:sz="0" w:space="0" w:color="auto"/>
        <w:right w:val="none" w:sz="0" w:space="0" w:color="auto"/>
      </w:divBdr>
    </w:div>
    <w:div w:id="569311784">
      <w:marLeft w:val="0"/>
      <w:marRight w:val="0"/>
      <w:marTop w:val="60"/>
      <w:marBottom w:val="20"/>
      <w:divBdr>
        <w:top w:val="none" w:sz="0" w:space="0" w:color="auto"/>
        <w:left w:val="none" w:sz="0" w:space="0" w:color="auto"/>
        <w:bottom w:val="none" w:sz="0" w:space="0" w:color="auto"/>
        <w:right w:val="none" w:sz="0" w:space="0" w:color="auto"/>
      </w:divBdr>
    </w:div>
    <w:div w:id="573588193">
      <w:marLeft w:val="0"/>
      <w:marRight w:val="0"/>
      <w:marTop w:val="0"/>
      <w:marBottom w:val="0"/>
      <w:divBdr>
        <w:top w:val="none" w:sz="0" w:space="0" w:color="auto"/>
        <w:left w:val="none" w:sz="0" w:space="0" w:color="auto"/>
        <w:bottom w:val="none" w:sz="0" w:space="0" w:color="auto"/>
        <w:right w:val="none" w:sz="0" w:space="0" w:color="auto"/>
      </w:divBdr>
      <w:divsChild>
        <w:div w:id="1367945153">
          <w:marLeft w:val="0"/>
          <w:marRight w:val="0"/>
          <w:marTop w:val="0"/>
          <w:marBottom w:val="0"/>
          <w:divBdr>
            <w:top w:val="none" w:sz="0" w:space="0" w:color="auto"/>
            <w:left w:val="none" w:sz="0" w:space="0" w:color="auto"/>
            <w:bottom w:val="none" w:sz="0" w:space="0" w:color="auto"/>
            <w:right w:val="none" w:sz="0" w:space="0" w:color="auto"/>
          </w:divBdr>
          <w:divsChild>
            <w:div w:id="10315657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74513769">
      <w:marLeft w:val="0"/>
      <w:marRight w:val="0"/>
      <w:marTop w:val="180"/>
      <w:marBottom w:val="0"/>
      <w:divBdr>
        <w:top w:val="none" w:sz="0" w:space="0" w:color="auto"/>
        <w:left w:val="none" w:sz="0" w:space="0" w:color="auto"/>
        <w:bottom w:val="none" w:sz="0" w:space="0" w:color="auto"/>
        <w:right w:val="none" w:sz="0" w:space="0" w:color="auto"/>
      </w:divBdr>
    </w:div>
    <w:div w:id="585266844">
      <w:marLeft w:val="0"/>
      <w:marRight w:val="0"/>
      <w:marTop w:val="180"/>
      <w:marBottom w:val="0"/>
      <w:divBdr>
        <w:top w:val="none" w:sz="0" w:space="0" w:color="auto"/>
        <w:left w:val="none" w:sz="0" w:space="0" w:color="auto"/>
        <w:bottom w:val="none" w:sz="0" w:space="0" w:color="auto"/>
        <w:right w:val="none" w:sz="0" w:space="0" w:color="auto"/>
      </w:divBdr>
    </w:div>
    <w:div w:id="585958988">
      <w:marLeft w:val="0"/>
      <w:marRight w:val="0"/>
      <w:marTop w:val="180"/>
      <w:marBottom w:val="0"/>
      <w:divBdr>
        <w:top w:val="none" w:sz="0" w:space="0" w:color="auto"/>
        <w:left w:val="none" w:sz="0" w:space="0" w:color="auto"/>
        <w:bottom w:val="none" w:sz="0" w:space="0" w:color="auto"/>
        <w:right w:val="none" w:sz="0" w:space="0" w:color="auto"/>
      </w:divBdr>
    </w:div>
    <w:div w:id="589044346">
      <w:marLeft w:val="0"/>
      <w:marRight w:val="0"/>
      <w:marTop w:val="180"/>
      <w:marBottom w:val="60"/>
      <w:divBdr>
        <w:top w:val="none" w:sz="0" w:space="0" w:color="auto"/>
        <w:left w:val="none" w:sz="0" w:space="0" w:color="auto"/>
        <w:bottom w:val="none" w:sz="0" w:space="0" w:color="auto"/>
        <w:right w:val="none" w:sz="0" w:space="0" w:color="auto"/>
      </w:divBdr>
    </w:div>
    <w:div w:id="605384538">
      <w:marLeft w:val="0"/>
      <w:marRight w:val="0"/>
      <w:marTop w:val="180"/>
      <w:marBottom w:val="0"/>
      <w:divBdr>
        <w:top w:val="none" w:sz="0" w:space="0" w:color="auto"/>
        <w:left w:val="none" w:sz="0" w:space="0" w:color="auto"/>
        <w:bottom w:val="none" w:sz="0" w:space="0" w:color="auto"/>
        <w:right w:val="none" w:sz="0" w:space="0" w:color="auto"/>
      </w:divBdr>
    </w:div>
    <w:div w:id="616059616">
      <w:marLeft w:val="0"/>
      <w:marRight w:val="0"/>
      <w:marTop w:val="180"/>
      <w:marBottom w:val="0"/>
      <w:divBdr>
        <w:top w:val="none" w:sz="0" w:space="0" w:color="auto"/>
        <w:left w:val="none" w:sz="0" w:space="0" w:color="auto"/>
        <w:bottom w:val="none" w:sz="0" w:space="0" w:color="auto"/>
        <w:right w:val="none" w:sz="0" w:space="0" w:color="auto"/>
      </w:divBdr>
    </w:div>
    <w:div w:id="617839964">
      <w:marLeft w:val="0"/>
      <w:marRight w:val="0"/>
      <w:marTop w:val="0"/>
      <w:marBottom w:val="120"/>
      <w:divBdr>
        <w:top w:val="none" w:sz="0" w:space="0" w:color="auto"/>
        <w:left w:val="none" w:sz="0" w:space="0" w:color="auto"/>
        <w:bottom w:val="none" w:sz="0" w:space="0" w:color="auto"/>
        <w:right w:val="none" w:sz="0" w:space="0" w:color="auto"/>
      </w:divBdr>
    </w:div>
    <w:div w:id="624429644">
      <w:marLeft w:val="0"/>
      <w:marRight w:val="0"/>
      <w:marTop w:val="180"/>
      <w:marBottom w:val="0"/>
      <w:divBdr>
        <w:top w:val="none" w:sz="0" w:space="0" w:color="auto"/>
        <w:left w:val="none" w:sz="0" w:space="0" w:color="auto"/>
        <w:bottom w:val="none" w:sz="0" w:space="0" w:color="auto"/>
        <w:right w:val="none" w:sz="0" w:space="0" w:color="auto"/>
      </w:divBdr>
    </w:div>
    <w:div w:id="626132275">
      <w:marLeft w:val="0"/>
      <w:marRight w:val="0"/>
      <w:marTop w:val="180"/>
      <w:marBottom w:val="0"/>
      <w:divBdr>
        <w:top w:val="none" w:sz="0" w:space="0" w:color="auto"/>
        <w:left w:val="none" w:sz="0" w:space="0" w:color="auto"/>
        <w:bottom w:val="none" w:sz="0" w:space="0" w:color="auto"/>
        <w:right w:val="none" w:sz="0" w:space="0" w:color="auto"/>
      </w:divBdr>
    </w:div>
    <w:div w:id="628753427">
      <w:marLeft w:val="0"/>
      <w:marRight w:val="0"/>
      <w:marTop w:val="180"/>
      <w:marBottom w:val="0"/>
      <w:divBdr>
        <w:top w:val="none" w:sz="0" w:space="0" w:color="auto"/>
        <w:left w:val="none" w:sz="0" w:space="0" w:color="auto"/>
        <w:bottom w:val="none" w:sz="0" w:space="0" w:color="auto"/>
        <w:right w:val="none" w:sz="0" w:space="0" w:color="auto"/>
      </w:divBdr>
    </w:div>
    <w:div w:id="632949925">
      <w:marLeft w:val="0"/>
      <w:marRight w:val="0"/>
      <w:marTop w:val="60"/>
      <w:marBottom w:val="0"/>
      <w:divBdr>
        <w:top w:val="none" w:sz="0" w:space="0" w:color="auto"/>
        <w:left w:val="none" w:sz="0" w:space="0" w:color="auto"/>
        <w:bottom w:val="none" w:sz="0" w:space="0" w:color="auto"/>
        <w:right w:val="none" w:sz="0" w:space="0" w:color="auto"/>
      </w:divBdr>
    </w:div>
    <w:div w:id="635647277">
      <w:marLeft w:val="0"/>
      <w:marRight w:val="0"/>
      <w:marTop w:val="120"/>
      <w:marBottom w:val="0"/>
      <w:divBdr>
        <w:top w:val="none" w:sz="0" w:space="0" w:color="auto"/>
        <w:left w:val="none" w:sz="0" w:space="0" w:color="auto"/>
        <w:bottom w:val="none" w:sz="0" w:space="0" w:color="auto"/>
        <w:right w:val="none" w:sz="0" w:space="0" w:color="auto"/>
      </w:divBdr>
    </w:div>
    <w:div w:id="639386114">
      <w:marLeft w:val="0"/>
      <w:marRight w:val="0"/>
      <w:marTop w:val="180"/>
      <w:marBottom w:val="0"/>
      <w:divBdr>
        <w:top w:val="none" w:sz="0" w:space="0" w:color="auto"/>
        <w:left w:val="none" w:sz="0" w:space="0" w:color="auto"/>
        <w:bottom w:val="none" w:sz="0" w:space="0" w:color="auto"/>
        <w:right w:val="none" w:sz="0" w:space="0" w:color="auto"/>
      </w:divBdr>
    </w:div>
    <w:div w:id="639654458">
      <w:marLeft w:val="0"/>
      <w:marRight w:val="0"/>
      <w:marTop w:val="180"/>
      <w:marBottom w:val="0"/>
      <w:divBdr>
        <w:top w:val="none" w:sz="0" w:space="0" w:color="auto"/>
        <w:left w:val="none" w:sz="0" w:space="0" w:color="auto"/>
        <w:bottom w:val="none" w:sz="0" w:space="0" w:color="auto"/>
        <w:right w:val="none" w:sz="0" w:space="0" w:color="auto"/>
      </w:divBdr>
    </w:div>
    <w:div w:id="652367217">
      <w:marLeft w:val="0"/>
      <w:marRight w:val="0"/>
      <w:marTop w:val="180"/>
      <w:marBottom w:val="0"/>
      <w:divBdr>
        <w:top w:val="none" w:sz="0" w:space="0" w:color="auto"/>
        <w:left w:val="none" w:sz="0" w:space="0" w:color="auto"/>
        <w:bottom w:val="none" w:sz="0" w:space="0" w:color="auto"/>
        <w:right w:val="none" w:sz="0" w:space="0" w:color="auto"/>
      </w:divBdr>
    </w:div>
    <w:div w:id="652607537">
      <w:marLeft w:val="0"/>
      <w:marRight w:val="0"/>
      <w:marTop w:val="180"/>
      <w:marBottom w:val="0"/>
      <w:divBdr>
        <w:top w:val="none" w:sz="0" w:space="0" w:color="auto"/>
        <w:left w:val="none" w:sz="0" w:space="0" w:color="auto"/>
        <w:bottom w:val="none" w:sz="0" w:space="0" w:color="auto"/>
        <w:right w:val="none" w:sz="0" w:space="0" w:color="auto"/>
      </w:divBdr>
    </w:div>
    <w:div w:id="652638094">
      <w:marLeft w:val="0"/>
      <w:marRight w:val="0"/>
      <w:marTop w:val="180"/>
      <w:marBottom w:val="0"/>
      <w:divBdr>
        <w:top w:val="none" w:sz="0" w:space="0" w:color="auto"/>
        <w:left w:val="none" w:sz="0" w:space="0" w:color="auto"/>
        <w:bottom w:val="none" w:sz="0" w:space="0" w:color="auto"/>
        <w:right w:val="none" w:sz="0" w:space="0" w:color="auto"/>
      </w:divBdr>
    </w:div>
    <w:div w:id="653221918">
      <w:marLeft w:val="0"/>
      <w:marRight w:val="0"/>
      <w:marTop w:val="240"/>
      <w:marBottom w:val="0"/>
      <w:divBdr>
        <w:top w:val="none" w:sz="0" w:space="0" w:color="auto"/>
        <w:left w:val="none" w:sz="0" w:space="0" w:color="auto"/>
        <w:bottom w:val="none" w:sz="0" w:space="0" w:color="auto"/>
        <w:right w:val="none" w:sz="0" w:space="0" w:color="auto"/>
      </w:divBdr>
    </w:div>
    <w:div w:id="654574068">
      <w:marLeft w:val="0"/>
      <w:marRight w:val="0"/>
      <w:marTop w:val="180"/>
      <w:marBottom w:val="0"/>
      <w:divBdr>
        <w:top w:val="none" w:sz="0" w:space="0" w:color="auto"/>
        <w:left w:val="none" w:sz="0" w:space="0" w:color="auto"/>
        <w:bottom w:val="none" w:sz="0" w:space="0" w:color="auto"/>
        <w:right w:val="none" w:sz="0" w:space="0" w:color="auto"/>
      </w:divBdr>
    </w:div>
    <w:div w:id="655379107">
      <w:marLeft w:val="0"/>
      <w:marRight w:val="0"/>
      <w:marTop w:val="180"/>
      <w:marBottom w:val="0"/>
      <w:divBdr>
        <w:top w:val="none" w:sz="0" w:space="0" w:color="auto"/>
        <w:left w:val="none" w:sz="0" w:space="0" w:color="auto"/>
        <w:bottom w:val="none" w:sz="0" w:space="0" w:color="auto"/>
        <w:right w:val="none" w:sz="0" w:space="0" w:color="auto"/>
      </w:divBdr>
    </w:div>
    <w:div w:id="655692976">
      <w:marLeft w:val="0"/>
      <w:marRight w:val="0"/>
      <w:marTop w:val="120"/>
      <w:marBottom w:val="0"/>
      <w:divBdr>
        <w:top w:val="none" w:sz="0" w:space="0" w:color="auto"/>
        <w:left w:val="none" w:sz="0" w:space="0" w:color="auto"/>
        <w:bottom w:val="none" w:sz="0" w:space="0" w:color="auto"/>
        <w:right w:val="none" w:sz="0" w:space="0" w:color="auto"/>
      </w:divBdr>
    </w:div>
    <w:div w:id="666598384">
      <w:marLeft w:val="0"/>
      <w:marRight w:val="0"/>
      <w:marTop w:val="180"/>
      <w:marBottom w:val="0"/>
      <w:divBdr>
        <w:top w:val="none" w:sz="0" w:space="0" w:color="auto"/>
        <w:left w:val="none" w:sz="0" w:space="0" w:color="auto"/>
        <w:bottom w:val="none" w:sz="0" w:space="0" w:color="auto"/>
        <w:right w:val="none" w:sz="0" w:space="0" w:color="auto"/>
      </w:divBdr>
    </w:div>
    <w:div w:id="672147137">
      <w:marLeft w:val="0"/>
      <w:marRight w:val="0"/>
      <w:marTop w:val="180"/>
      <w:marBottom w:val="0"/>
      <w:divBdr>
        <w:top w:val="none" w:sz="0" w:space="0" w:color="auto"/>
        <w:left w:val="none" w:sz="0" w:space="0" w:color="auto"/>
        <w:bottom w:val="none" w:sz="0" w:space="0" w:color="auto"/>
        <w:right w:val="none" w:sz="0" w:space="0" w:color="auto"/>
      </w:divBdr>
    </w:div>
    <w:div w:id="672221630">
      <w:marLeft w:val="0"/>
      <w:marRight w:val="0"/>
      <w:marTop w:val="180"/>
      <w:marBottom w:val="0"/>
      <w:divBdr>
        <w:top w:val="none" w:sz="0" w:space="0" w:color="auto"/>
        <w:left w:val="none" w:sz="0" w:space="0" w:color="auto"/>
        <w:bottom w:val="none" w:sz="0" w:space="0" w:color="auto"/>
        <w:right w:val="none" w:sz="0" w:space="0" w:color="auto"/>
      </w:divBdr>
    </w:div>
    <w:div w:id="674770473">
      <w:marLeft w:val="0"/>
      <w:marRight w:val="0"/>
      <w:marTop w:val="0"/>
      <w:marBottom w:val="0"/>
      <w:divBdr>
        <w:top w:val="none" w:sz="0" w:space="0" w:color="auto"/>
        <w:left w:val="none" w:sz="0" w:space="0" w:color="auto"/>
        <w:bottom w:val="none" w:sz="0" w:space="0" w:color="auto"/>
        <w:right w:val="none" w:sz="0" w:space="0" w:color="auto"/>
      </w:divBdr>
      <w:divsChild>
        <w:div w:id="1696074884">
          <w:marLeft w:val="0"/>
          <w:marRight w:val="0"/>
          <w:marTop w:val="180"/>
          <w:marBottom w:val="180"/>
          <w:divBdr>
            <w:top w:val="none" w:sz="0" w:space="0" w:color="auto"/>
            <w:left w:val="none" w:sz="0" w:space="0" w:color="auto"/>
            <w:bottom w:val="none" w:sz="0" w:space="0" w:color="auto"/>
            <w:right w:val="none" w:sz="0" w:space="0" w:color="auto"/>
          </w:divBdr>
        </w:div>
      </w:divsChild>
    </w:div>
    <w:div w:id="681011739">
      <w:marLeft w:val="0"/>
      <w:marRight w:val="0"/>
      <w:marTop w:val="0"/>
      <w:marBottom w:val="0"/>
      <w:divBdr>
        <w:top w:val="none" w:sz="0" w:space="0" w:color="auto"/>
        <w:left w:val="none" w:sz="0" w:space="0" w:color="auto"/>
        <w:bottom w:val="none" w:sz="0" w:space="0" w:color="auto"/>
        <w:right w:val="none" w:sz="0" w:space="0" w:color="auto"/>
      </w:divBdr>
    </w:div>
    <w:div w:id="681585893">
      <w:marLeft w:val="0"/>
      <w:marRight w:val="0"/>
      <w:marTop w:val="180"/>
      <w:marBottom w:val="0"/>
      <w:divBdr>
        <w:top w:val="none" w:sz="0" w:space="0" w:color="auto"/>
        <w:left w:val="none" w:sz="0" w:space="0" w:color="auto"/>
        <w:bottom w:val="none" w:sz="0" w:space="0" w:color="auto"/>
        <w:right w:val="none" w:sz="0" w:space="0" w:color="auto"/>
      </w:divBdr>
    </w:div>
    <w:div w:id="684132339">
      <w:marLeft w:val="0"/>
      <w:marRight w:val="0"/>
      <w:marTop w:val="60"/>
      <w:marBottom w:val="0"/>
      <w:divBdr>
        <w:top w:val="none" w:sz="0" w:space="0" w:color="auto"/>
        <w:left w:val="none" w:sz="0" w:space="0" w:color="auto"/>
        <w:bottom w:val="none" w:sz="0" w:space="0" w:color="auto"/>
        <w:right w:val="none" w:sz="0" w:space="0" w:color="auto"/>
      </w:divBdr>
    </w:div>
    <w:div w:id="684212398">
      <w:marLeft w:val="0"/>
      <w:marRight w:val="0"/>
      <w:marTop w:val="180"/>
      <w:marBottom w:val="0"/>
      <w:divBdr>
        <w:top w:val="none" w:sz="0" w:space="0" w:color="auto"/>
        <w:left w:val="none" w:sz="0" w:space="0" w:color="auto"/>
        <w:bottom w:val="none" w:sz="0" w:space="0" w:color="auto"/>
        <w:right w:val="none" w:sz="0" w:space="0" w:color="auto"/>
      </w:divBdr>
    </w:div>
    <w:div w:id="693270563">
      <w:marLeft w:val="0"/>
      <w:marRight w:val="0"/>
      <w:marTop w:val="0"/>
      <w:marBottom w:val="0"/>
      <w:divBdr>
        <w:top w:val="none" w:sz="0" w:space="0" w:color="auto"/>
        <w:left w:val="none" w:sz="0" w:space="0" w:color="auto"/>
        <w:bottom w:val="none" w:sz="0" w:space="0" w:color="auto"/>
        <w:right w:val="none" w:sz="0" w:space="0" w:color="auto"/>
      </w:divBdr>
    </w:div>
    <w:div w:id="698240198">
      <w:marLeft w:val="0"/>
      <w:marRight w:val="0"/>
      <w:marTop w:val="180"/>
      <w:marBottom w:val="0"/>
      <w:divBdr>
        <w:top w:val="none" w:sz="0" w:space="0" w:color="auto"/>
        <w:left w:val="none" w:sz="0" w:space="0" w:color="auto"/>
        <w:bottom w:val="none" w:sz="0" w:space="0" w:color="auto"/>
        <w:right w:val="none" w:sz="0" w:space="0" w:color="auto"/>
      </w:divBdr>
    </w:div>
    <w:div w:id="709769697">
      <w:marLeft w:val="0"/>
      <w:marRight w:val="0"/>
      <w:marTop w:val="180"/>
      <w:marBottom w:val="0"/>
      <w:divBdr>
        <w:top w:val="none" w:sz="0" w:space="0" w:color="auto"/>
        <w:left w:val="none" w:sz="0" w:space="0" w:color="auto"/>
        <w:bottom w:val="none" w:sz="0" w:space="0" w:color="auto"/>
        <w:right w:val="none" w:sz="0" w:space="0" w:color="auto"/>
      </w:divBdr>
    </w:div>
    <w:div w:id="710570539">
      <w:marLeft w:val="0"/>
      <w:marRight w:val="0"/>
      <w:marTop w:val="60"/>
      <w:marBottom w:val="0"/>
      <w:divBdr>
        <w:top w:val="none" w:sz="0" w:space="0" w:color="auto"/>
        <w:left w:val="none" w:sz="0" w:space="0" w:color="auto"/>
        <w:bottom w:val="none" w:sz="0" w:space="0" w:color="auto"/>
        <w:right w:val="none" w:sz="0" w:space="0" w:color="auto"/>
      </w:divBdr>
    </w:div>
    <w:div w:id="714353480">
      <w:marLeft w:val="0"/>
      <w:marRight w:val="0"/>
      <w:marTop w:val="0"/>
      <w:marBottom w:val="0"/>
      <w:divBdr>
        <w:top w:val="none" w:sz="0" w:space="0" w:color="auto"/>
        <w:left w:val="none" w:sz="0" w:space="0" w:color="auto"/>
        <w:bottom w:val="none" w:sz="0" w:space="0" w:color="auto"/>
        <w:right w:val="none" w:sz="0" w:space="0" w:color="auto"/>
      </w:divBdr>
      <w:divsChild>
        <w:div w:id="922028227">
          <w:marLeft w:val="0"/>
          <w:marRight w:val="0"/>
          <w:marTop w:val="180"/>
          <w:marBottom w:val="0"/>
          <w:divBdr>
            <w:top w:val="none" w:sz="0" w:space="0" w:color="auto"/>
            <w:left w:val="none" w:sz="0" w:space="0" w:color="auto"/>
            <w:bottom w:val="none" w:sz="0" w:space="0" w:color="auto"/>
            <w:right w:val="none" w:sz="0" w:space="0" w:color="auto"/>
          </w:divBdr>
        </w:div>
      </w:divsChild>
    </w:div>
    <w:div w:id="736435164">
      <w:marLeft w:val="0"/>
      <w:marRight w:val="0"/>
      <w:marTop w:val="240"/>
      <w:marBottom w:val="0"/>
      <w:divBdr>
        <w:top w:val="none" w:sz="0" w:space="0" w:color="auto"/>
        <w:left w:val="none" w:sz="0" w:space="0" w:color="auto"/>
        <w:bottom w:val="none" w:sz="0" w:space="0" w:color="auto"/>
        <w:right w:val="none" w:sz="0" w:space="0" w:color="auto"/>
      </w:divBdr>
    </w:div>
    <w:div w:id="737747756">
      <w:marLeft w:val="0"/>
      <w:marRight w:val="0"/>
      <w:marTop w:val="180"/>
      <w:marBottom w:val="0"/>
      <w:divBdr>
        <w:top w:val="none" w:sz="0" w:space="0" w:color="auto"/>
        <w:left w:val="none" w:sz="0" w:space="0" w:color="auto"/>
        <w:bottom w:val="none" w:sz="0" w:space="0" w:color="auto"/>
        <w:right w:val="none" w:sz="0" w:space="0" w:color="auto"/>
      </w:divBdr>
    </w:div>
    <w:div w:id="741489875">
      <w:marLeft w:val="0"/>
      <w:marRight w:val="0"/>
      <w:marTop w:val="120"/>
      <w:marBottom w:val="0"/>
      <w:divBdr>
        <w:top w:val="none" w:sz="0" w:space="0" w:color="auto"/>
        <w:left w:val="none" w:sz="0" w:space="0" w:color="auto"/>
        <w:bottom w:val="none" w:sz="0" w:space="0" w:color="auto"/>
        <w:right w:val="none" w:sz="0" w:space="0" w:color="auto"/>
      </w:divBdr>
    </w:div>
    <w:div w:id="746344587">
      <w:marLeft w:val="0"/>
      <w:marRight w:val="0"/>
      <w:marTop w:val="180"/>
      <w:marBottom w:val="60"/>
      <w:divBdr>
        <w:top w:val="none" w:sz="0" w:space="0" w:color="auto"/>
        <w:left w:val="none" w:sz="0" w:space="0" w:color="auto"/>
        <w:bottom w:val="none" w:sz="0" w:space="0" w:color="auto"/>
        <w:right w:val="none" w:sz="0" w:space="0" w:color="auto"/>
      </w:divBdr>
    </w:div>
    <w:div w:id="747381161">
      <w:marLeft w:val="0"/>
      <w:marRight w:val="0"/>
      <w:marTop w:val="60"/>
      <w:marBottom w:val="0"/>
      <w:divBdr>
        <w:top w:val="none" w:sz="0" w:space="0" w:color="auto"/>
        <w:left w:val="none" w:sz="0" w:space="0" w:color="auto"/>
        <w:bottom w:val="none" w:sz="0" w:space="0" w:color="auto"/>
        <w:right w:val="none" w:sz="0" w:space="0" w:color="auto"/>
      </w:divBdr>
    </w:div>
    <w:div w:id="749304790">
      <w:marLeft w:val="0"/>
      <w:marRight w:val="0"/>
      <w:marTop w:val="60"/>
      <w:marBottom w:val="20"/>
      <w:divBdr>
        <w:top w:val="none" w:sz="0" w:space="0" w:color="auto"/>
        <w:left w:val="none" w:sz="0" w:space="0" w:color="auto"/>
        <w:bottom w:val="none" w:sz="0" w:space="0" w:color="auto"/>
        <w:right w:val="none" w:sz="0" w:space="0" w:color="auto"/>
      </w:divBdr>
    </w:div>
    <w:div w:id="752091985">
      <w:marLeft w:val="0"/>
      <w:marRight w:val="0"/>
      <w:marTop w:val="180"/>
      <w:marBottom w:val="0"/>
      <w:divBdr>
        <w:top w:val="none" w:sz="0" w:space="0" w:color="auto"/>
        <w:left w:val="none" w:sz="0" w:space="0" w:color="auto"/>
        <w:bottom w:val="none" w:sz="0" w:space="0" w:color="auto"/>
        <w:right w:val="none" w:sz="0" w:space="0" w:color="auto"/>
      </w:divBdr>
    </w:div>
    <w:div w:id="777602297">
      <w:marLeft w:val="0"/>
      <w:marRight w:val="0"/>
      <w:marTop w:val="180"/>
      <w:marBottom w:val="0"/>
      <w:divBdr>
        <w:top w:val="none" w:sz="0" w:space="0" w:color="auto"/>
        <w:left w:val="none" w:sz="0" w:space="0" w:color="auto"/>
        <w:bottom w:val="none" w:sz="0" w:space="0" w:color="auto"/>
        <w:right w:val="none" w:sz="0" w:space="0" w:color="auto"/>
      </w:divBdr>
    </w:div>
    <w:div w:id="779104976">
      <w:marLeft w:val="0"/>
      <w:marRight w:val="0"/>
      <w:marTop w:val="180"/>
      <w:marBottom w:val="20"/>
      <w:divBdr>
        <w:top w:val="none" w:sz="0" w:space="0" w:color="auto"/>
        <w:left w:val="none" w:sz="0" w:space="0" w:color="auto"/>
        <w:bottom w:val="none" w:sz="0" w:space="0" w:color="auto"/>
        <w:right w:val="none" w:sz="0" w:space="0" w:color="auto"/>
      </w:divBdr>
      <w:divsChild>
        <w:div w:id="375548821">
          <w:marLeft w:val="0"/>
          <w:marRight w:val="0"/>
          <w:marTop w:val="0"/>
          <w:marBottom w:val="0"/>
          <w:divBdr>
            <w:top w:val="none" w:sz="0" w:space="0" w:color="auto"/>
            <w:left w:val="none" w:sz="0" w:space="0" w:color="auto"/>
            <w:bottom w:val="none" w:sz="0" w:space="0" w:color="auto"/>
            <w:right w:val="none" w:sz="0" w:space="0" w:color="auto"/>
          </w:divBdr>
        </w:div>
      </w:divsChild>
    </w:div>
    <w:div w:id="780302202">
      <w:marLeft w:val="0"/>
      <w:marRight w:val="0"/>
      <w:marTop w:val="180"/>
      <w:marBottom w:val="0"/>
      <w:divBdr>
        <w:top w:val="none" w:sz="0" w:space="0" w:color="auto"/>
        <w:left w:val="none" w:sz="0" w:space="0" w:color="auto"/>
        <w:bottom w:val="none" w:sz="0" w:space="0" w:color="auto"/>
        <w:right w:val="none" w:sz="0" w:space="0" w:color="auto"/>
      </w:divBdr>
      <w:divsChild>
        <w:div w:id="1851797917">
          <w:marLeft w:val="0"/>
          <w:marRight w:val="0"/>
          <w:marTop w:val="0"/>
          <w:marBottom w:val="0"/>
          <w:divBdr>
            <w:top w:val="none" w:sz="0" w:space="0" w:color="auto"/>
            <w:left w:val="none" w:sz="0" w:space="0" w:color="auto"/>
            <w:bottom w:val="none" w:sz="0" w:space="0" w:color="auto"/>
            <w:right w:val="none" w:sz="0" w:space="0" w:color="auto"/>
          </w:divBdr>
        </w:div>
        <w:div w:id="1546216054">
          <w:marLeft w:val="0"/>
          <w:marRight w:val="0"/>
          <w:marTop w:val="0"/>
          <w:marBottom w:val="0"/>
          <w:divBdr>
            <w:top w:val="none" w:sz="0" w:space="0" w:color="auto"/>
            <w:left w:val="none" w:sz="0" w:space="0" w:color="auto"/>
            <w:bottom w:val="none" w:sz="0" w:space="0" w:color="auto"/>
            <w:right w:val="none" w:sz="0" w:space="0" w:color="auto"/>
          </w:divBdr>
        </w:div>
        <w:div w:id="2067215879">
          <w:marLeft w:val="0"/>
          <w:marRight w:val="0"/>
          <w:marTop w:val="0"/>
          <w:marBottom w:val="0"/>
          <w:divBdr>
            <w:top w:val="none" w:sz="0" w:space="0" w:color="auto"/>
            <w:left w:val="none" w:sz="0" w:space="0" w:color="auto"/>
            <w:bottom w:val="none" w:sz="0" w:space="0" w:color="auto"/>
            <w:right w:val="none" w:sz="0" w:space="0" w:color="auto"/>
          </w:divBdr>
        </w:div>
        <w:div w:id="818352216">
          <w:marLeft w:val="0"/>
          <w:marRight w:val="0"/>
          <w:marTop w:val="0"/>
          <w:marBottom w:val="0"/>
          <w:divBdr>
            <w:top w:val="none" w:sz="0" w:space="0" w:color="auto"/>
            <w:left w:val="none" w:sz="0" w:space="0" w:color="auto"/>
            <w:bottom w:val="none" w:sz="0" w:space="0" w:color="auto"/>
            <w:right w:val="none" w:sz="0" w:space="0" w:color="auto"/>
          </w:divBdr>
        </w:div>
        <w:div w:id="226382504">
          <w:marLeft w:val="0"/>
          <w:marRight w:val="0"/>
          <w:marTop w:val="0"/>
          <w:marBottom w:val="0"/>
          <w:divBdr>
            <w:top w:val="none" w:sz="0" w:space="0" w:color="auto"/>
            <w:left w:val="none" w:sz="0" w:space="0" w:color="auto"/>
            <w:bottom w:val="none" w:sz="0" w:space="0" w:color="auto"/>
            <w:right w:val="none" w:sz="0" w:space="0" w:color="auto"/>
          </w:divBdr>
        </w:div>
      </w:divsChild>
    </w:div>
    <w:div w:id="783958572">
      <w:marLeft w:val="0"/>
      <w:marRight w:val="0"/>
      <w:marTop w:val="180"/>
      <w:marBottom w:val="0"/>
      <w:divBdr>
        <w:top w:val="none" w:sz="0" w:space="0" w:color="auto"/>
        <w:left w:val="none" w:sz="0" w:space="0" w:color="auto"/>
        <w:bottom w:val="none" w:sz="0" w:space="0" w:color="auto"/>
        <w:right w:val="none" w:sz="0" w:space="0" w:color="auto"/>
      </w:divBdr>
    </w:div>
    <w:div w:id="784887152">
      <w:marLeft w:val="0"/>
      <w:marRight w:val="0"/>
      <w:marTop w:val="20"/>
      <w:marBottom w:val="0"/>
      <w:divBdr>
        <w:top w:val="none" w:sz="0" w:space="0" w:color="auto"/>
        <w:left w:val="none" w:sz="0" w:space="0" w:color="auto"/>
        <w:bottom w:val="none" w:sz="0" w:space="0" w:color="auto"/>
        <w:right w:val="none" w:sz="0" w:space="0" w:color="auto"/>
      </w:divBdr>
    </w:div>
    <w:div w:id="784929380">
      <w:marLeft w:val="0"/>
      <w:marRight w:val="0"/>
      <w:marTop w:val="180"/>
      <w:marBottom w:val="0"/>
      <w:divBdr>
        <w:top w:val="none" w:sz="0" w:space="0" w:color="auto"/>
        <w:left w:val="none" w:sz="0" w:space="0" w:color="auto"/>
        <w:bottom w:val="none" w:sz="0" w:space="0" w:color="auto"/>
        <w:right w:val="none" w:sz="0" w:space="0" w:color="auto"/>
      </w:divBdr>
    </w:div>
    <w:div w:id="793983056">
      <w:marLeft w:val="0"/>
      <w:marRight w:val="0"/>
      <w:marTop w:val="130"/>
      <w:marBottom w:val="20"/>
      <w:divBdr>
        <w:top w:val="none" w:sz="0" w:space="0" w:color="auto"/>
        <w:left w:val="none" w:sz="0" w:space="0" w:color="auto"/>
        <w:bottom w:val="none" w:sz="0" w:space="0" w:color="auto"/>
        <w:right w:val="none" w:sz="0" w:space="0" w:color="auto"/>
      </w:divBdr>
      <w:divsChild>
        <w:div w:id="684865915">
          <w:marLeft w:val="0"/>
          <w:marRight w:val="0"/>
          <w:marTop w:val="0"/>
          <w:marBottom w:val="0"/>
          <w:divBdr>
            <w:top w:val="none" w:sz="0" w:space="0" w:color="auto"/>
            <w:left w:val="none" w:sz="0" w:space="0" w:color="auto"/>
            <w:bottom w:val="none" w:sz="0" w:space="0" w:color="auto"/>
            <w:right w:val="none" w:sz="0" w:space="0" w:color="auto"/>
          </w:divBdr>
        </w:div>
        <w:div w:id="861866121">
          <w:marLeft w:val="0"/>
          <w:marRight w:val="0"/>
          <w:marTop w:val="0"/>
          <w:marBottom w:val="0"/>
          <w:divBdr>
            <w:top w:val="none" w:sz="0" w:space="0" w:color="auto"/>
            <w:left w:val="none" w:sz="0" w:space="0" w:color="auto"/>
            <w:bottom w:val="none" w:sz="0" w:space="0" w:color="auto"/>
            <w:right w:val="none" w:sz="0" w:space="0" w:color="auto"/>
          </w:divBdr>
        </w:div>
        <w:div w:id="194344988">
          <w:marLeft w:val="0"/>
          <w:marRight w:val="0"/>
          <w:marTop w:val="0"/>
          <w:marBottom w:val="0"/>
          <w:divBdr>
            <w:top w:val="none" w:sz="0" w:space="0" w:color="auto"/>
            <w:left w:val="none" w:sz="0" w:space="0" w:color="auto"/>
            <w:bottom w:val="none" w:sz="0" w:space="0" w:color="auto"/>
            <w:right w:val="none" w:sz="0" w:space="0" w:color="auto"/>
          </w:divBdr>
        </w:div>
        <w:div w:id="15423403">
          <w:marLeft w:val="0"/>
          <w:marRight w:val="0"/>
          <w:marTop w:val="0"/>
          <w:marBottom w:val="0"/>
          <w:divBdr>
            <w:top w:val="none" w:sz="0" w:space="0" w:color="auto"/>
            <w:left w:val="none" w:sz="0" w:space="0" w:color="auto"/>
            <w:bottom w:val="none" w:sz="0" w:space="0" w:color="auto"/>
            <w:right w:val="none" w:sz="0" w:space="0" w:color="auto"/>
          </w:divBdr>
        </w:div>
        <w:div w:id="1410342800">
          <w:marLeft w:val="0"/>
          <w:marRight w:val="0"/>
          <w:marTop w:val="0"/>
          <w:marBottom w:val="0"/>
          <w:divBdr>
            <w:top w:val="none" w:sz="0" w:space="0" w:color="auto"/>
            <w:left w:val="none" w:sz="0" w:space="0" w:color="auto"/>
            <w:bottom w:val="none" w:sz="0" w:space="0" w:color="auto"/>
            <w:right w:val="none" w:sz="0" w:space="0" w:color="auto"/>
          </w:divBdr>
        </w:div>
        <w:div w:id="1995143058">
          <w:marLeft w:val="0"/>
          <w:marRight w:val="0"/>
          <w:marTop w:val="0"/>
          <w:marBottom w:val="0"/>
          <w:divBdr>
            <w:top w:val="none" w:sz="0" w:space="0" w:color="auto"/>
            <w:left w:val="none" w:sz="0" w:space="0" w:color="auto"/>
            <w:bottom w:val="none" w:sz="0" w:space="0" w:color="auto"/>
            <w:right w:val="none" w:sz="0" w:space="0" w:color="auto"/>
          </w:divBdr>
        </w:div>
        <w:div w:id="1343321098">
          <w:marLeft w:val="0"/>
          <w:marRight w:val="0"/>
          <w:marTop w:val="0"/>
          <w:marBottom w:val="0"/>
          <w:divBdr>
            <w:top w:val="none" w:sz="0" w:space="0" w:color="auto"/>
            <w:left w:val="none" w:sz="0" w:space="0" w:color="auto"/>
            <w:bottom w:val="none" w:sz="0" w:space="0" w:color="auto"/>
            <w:right w:val="none" w:sz="0" w:space="0" w:color="auto"/>
          </w:divBdr>
        </w:div>
        <w:div w:id="1285304893">
          <w:marLeft w:val="0"/>
          <w:marRight w:val="0"/>
          <w:marTop w:val="0"/>
          <w:marBottom w:val="0"/>
          <w:divBdr>
            <w:top w:val="none" w:sz="0" w:space="0" w:color="auto"/>
            <w:left w:val="none" w:sz="0" w:space="0" w:color="auto"/>
            <w:bottom w:val="none" w:sz="0" w:space="0" w:color="auto"/>
            <w:right w:val="none" w:sz="0" w:space="0" w:color="auto"/>
          </w:divBdr>
        </w:div>
        <w:div w:id="1682853986">
          <w:marLeft w:val="0"/>
          <w:marRight w:val="0"/>
          <w:marTop w:val="0"/>
          <w:marBottom w:val="0"/>
          <w:divBdr>
            <w:top w:val="none" w:sz="0" w:space="0" w:color="auto"/>
            <w:left w:val="none" w:sz="0" w:space="0" w:color="auto"/>
            <w:bottom w:val="none" w:sz="0" w:space="0" w:color="auto"/>
            <w:right w:val="none" w:sz="0" w:space="0" w:color="auto"/>
          </w:divBdr>
        </w:div>
        <w:div w:id="1767725003">
          <w:marLeft w:val="0"/>
          <w:marRight w:val="0"/>
          <w:marTop w:val="0"/>
          <w:marBottom w:val="0"/>
          <w:divBdr>
            <w:top w:val="none" w:sz="0" w:space="0" w:color="auto"/>
            <w:left w:val="none" w:sz="0" w:space="0" w:color="auto"/>
            <w:bottom w:val="none" w:sz="0" w:space="0" w:color="auto"/>
            <w:right w:val="none" w:sz="0" w:space="0" w:color="auto"/>
          </w:divBdr>
        </w:div>
      </w:divsChild>
    </w:div>
    <w:div w:id="794100989">
      <w:marLeft w:val="0"/>
      <w:marRight w:val="0"/>
      <w:marTop w:val="180"/>
      <w:marBottom w:val="0"/>
      <w:divBdr>
        <w:top w:val="none" w:sz="0" w:space="0" w:color="auto"/>
        <w:left w:val="none" w:sz="0" w:space="0" w:color="auto"/>
        <w:bottom w:val="none" w:sz="0" w:space="0" w:color="auto"/>
        <w:right w:val="none" w:sz="0" w:space="0" w:color="auto"/>
      </w:divBdr>
    </w:div>
    <w:div w:id="803499035">
      <w:marLeft w:val="0"/>
      <w:marRight w:val="0"/>
      <w:marTop w:val="180"/>
      <w:marBottom w:val="0"/>
      <w:divBdr>
        <w:top w:val="none" w:sz="0" w:space="0" w:color="auto"/>
        <w:left w:val="none" w:sz="0" w:space="0" w:color="auto"/>
        <w:bottom w:val="none" w:sz="0" w:space="0" w:color="auto"/>
        <w:right w:val="none" w:sz="0" w:space="0" w:color="auto"/>
      </w:divBdr>
    </w:div>
    <w:div w:id="803625291">
      <w:marLeft w:val="0"/>
      <w:marRight w:val="0"/>
      <w:marTop w:val="180"/>
      <w:marBottom w:val="0"/>
      <w:divBdr>
        <w:top w:val="none" w:sz="0" w:space="0" w:color="auto"/>
        <w:left w:val="none" w:sz="0" w:space="0" w:color="auto"/>
        <w:bottom w:val="none" w:sz="0" w:space="0" w:color="auto"/>
        <w:right w:val="none" w:sz="0" w:space="0" w:color="auto"/>
      </w:divBdr>
    </w:div>
    <w:div w:id="808981865">
      <w:marLeft w:val="0"/>
      <w:marRight w:val="0"/>
      <w:marTop w:val="0"/>
      <w:marBottom w:val="0"/>
      <w:divBdr>
        <w:top w:val="none" w:sz="0" w:space="0" w:color="auto"/>
        <w:left w:val="none" w:sz="0" w:space="0" w:color="auto"/>
        <w:bottom w:val="none" w:sz="0" w:space="0" w:color="auto"/>
        <w:right w:val="none" w:sz="0" w:space="0" w:color="auto"/>
      </w:divBdr>
      <w:divsChild>
        <w:div w:id="1236009398">
          <w:marLeft w:val="0"/>
          <w:marRight w:val="0"/>
          <w:marTop w:val="180"/>
          <w:marBottom w:val="180"/>
          <w:divBdr>
            <w:top w:val="none" w:sz="0" w:space="0" w:color="auto"/>
            <w:left w:val="none" w:sz="0" w:space="0" w:color="auto"/>
            <w:bottom w:val="none" w:sz="0" w:space="0" w:color="auto"/>
            <w:right w:val="none" w:sz="0" w:space="0" w:color="auto"/>
          </w:divBdr>
        </w:div>
      </w:divsChild>
    </w:div>
    <w:div w:id="817768589">
      <w:marLeft w:val="0"/>
      <w:marRight w:val="0"/>
      <w:marTop w:val="180"/>
      <w:marBottom w:val="0"/>
      <w:divBdr>
        <w:top w:val="none" w:sz="0" w:space="0" w:color="auto"/>
        <w:left w:val="none" w:sz="0" w:space="0" w:color="auto"/>
        <w:bottom w:val="none" w:sz="0" w:space="0" w:color="auto"/>
        <w:right w:val="none" w:sz="0" w:space="0" w:color="auto"/>
      </w:divBdr>
    </w:div>
    <w:div w:id="820269799">
      <w:marLeft w:val="0"/>
      <w:marRight w:val="0"/>
      <w:marTop w:val="0"/>
      <w:marBottom w:val="0"/>
      <w:divBdr>
        <w:top w:val="none" w:sz="0" w:space="0" w:color="auto"/>
        <w:left w:val="none" w:sz="0" w:space="0" w:color="auto"/>
        <w:bottom w:val="none" w:sz="0" w:space="0" w:color="auto"/>
        <w:right w:val="none" w:sz="0" w:space="0" w:color="auto"/>
      </w:divBdr>
      <w:divsChild>
        <w:div w:id="2093115087">
          <w:marLeft w:val="0"/>
          <w:marRight w:val="0"/>
          <w:marTop w:val="0"/>
          <w:marBottom w:val="0"/>
          <w:divBdr>
            <w:top w:val="none" w:sz="0" w:space="0" w:color="auto"/>
            <w:left w:val="none" w:sz="0" w:space="0" w:color="auto"/>
            <w:bottom w:val="none" w:sz="0" w:space="0" w:color="auto"/>
            <w:right w:val="none" w:sz="0" w:space="0" w:color="auto"/>
          </w:divBdr>
          <w:divsChild>
            <w:div w:id="17845719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20928200">
      <w:marLeft w:val="0"/>
      <w:marRight w:val="0"/>
      <w:marTop w:val="120"/>
      <w:marBottom w:val="20"/>
      <w:divBdr>
        <w:top w:val="none" w:sz="0" w:space="0" w:color="auto"/>
        <w:left w:val="none" w:sz="0" w:space="0" w:color="auto"/>
        <w:bottom w:val="none" w:sz="0" w:space="0" w:color="auto"/>
        <w:right w:val="none" w:sz="0" w:space="0" w:color="auto"/>
      </w:divBdr>
      <w:divsChild>
        <w:div w:id="399329154">
          <w:marLeft w:val="0"/>
          <w:marRight w:val="0"/>
          <w:marTop w:val="0"/>
          <w:marBottom w:val="0"/>
          <w:divBdr>
            <w:top w:val="none" w:sz="0" w:space="0" w:color="auto"/>
            <w:left w:val="none" w:sz="0" w:space="0" w:color="auto"/>
            <w:bottom w:val="none" w:sz="0" w:space="0" w:color="auto"/>
            <w:right w:val="none" w:sz="0" w:space="0" w:color="auto"/>
          </w:divBdr>
        </w:div>
        <w:div w:id="1785269606">
          <w:marLeft w:val="0"/>
          <w:marRight w:val="0"/>
          <w:marTop w:val="0"/>
          <w:marBottom w:val="0"/>
          <w:divBdr>
            <w:top w:val="none" w:sz="0" w:space="0" w:color="auto"/>
            <w:left w:val="none" w:sz="0" w:space="0" w:color="auto"/>
            <w:bottom w:val="none" w:sz="0" w:space="0" w:color="auto"/>
            <w:right w:val="none" w:sz="0" w:space="0" w:color="auto"/>
          </w:divBdr>
        </w:div>
        <w:div w:id="254824273">
          <w:marLeft w:val="0"/>
          <w:marRight w:val="0"/>
          <w:marTop w:val="0"/>
          <w:marBottom w:val="0"/>
          <w:divBdr>
            <w:top w:val="none" w:sz="0" w:space="0" w:color="auto"/>
            <w:left w:val="none" w:sz="0" w:space="0" w:color="auto"/>
            <w:bottom w:val="none" w:sz="0" w:space="0" w:color="auto"/>
            <w:right w:val="none" w:sz="0" w:space="0" w:color="auto"/>
          </w:divBdr>
        </w:div>
      </w:divsChild>
    </w:div>
    <w:div w:id="821190497">
      <w:marLeft w:val="0"/>
      <w:marRight w:val="0"/>
      <w:marTop w:val="180"/>
      <w:marBottom w:val="0"/>
      <w:divBdr>
        <w:top w:val="none" w:sz="0" w:space="0" w:color="auto"/>
        <w:left w:val="none" w:sz="0" w:space="0" w:color="auto"/>
        <w:bottom w:val="none" w:sz="0" w:space="0" w:color="auto"/>
        <w:right w:val="none" w:sz="0" w:space="0" w:color="auto"/>
      </w:divBdr>
    </w:div>
    <w:div w:id="822623812">
      <w:marLeft w:val="0"/>
      <w:marRight w:val="0"/>
      <w:marTop w:val="120"/>
      <w:marBottom w:val="0"/>
      <w:divBdr>
        <w:top w:val="none" w:sz="0" w:space="0" w:color="auto"/>
        <w:left w:val="none" w:sz="0" w:space="0" w:color="auto"/>
        <w:bottom w:val="none" w:sz="0" w:space="0" w:color="auto"/>
        <w:right w:val="none" w:sz="0" w:space="0" w:color="auto"/>
      </w:divBdr>
    </w:div>
    <w:div w:id="824737081">
      <w:marLeft w:val="0"/>
      <w:marRight w:val="0"/>
      <w:marTop w:val="240"/>
      <w:marBottom w:val="0"/>
      <w:divBdr>
        <w:top w:val="none" w:sz="0" w:space="0" w:color="auto"/>
        <w:left w:val="none" w:sz="0" w:space="0" w:color="auto"/>
        <w:bottom w:val="none" w:sz="0" w:space="0" w:color="auto"/>
        <w:right w:val="none" w:sz="0" w:space="0" w:color="auto"/>
      </w:divBdr>
    </w:div>
    <w:div w:id="833254170">
      <w:marLeft w:val="0"/>
      <w:marRight w:val="0"/>
      <w:marTop w:val="180"/>
      <w:marBottom w:val="0"/>
      <w:divBdr>
        <w:top w:val="none" w:sz="0" w:space="0" w:color="auto"/>
        <w:left w:val="none" w:sz="0" w:space="0" w:color="auto"/>
        <w:bottom w:val="none" w:sz="0" w:space="0" w:color="auto"/>
        <w:right w:val="none" w:sz="0" w:space="0" w:color="auto"/>
      </w:divBdr>
    </w:div>
    <w:div w:id="833304337">
      <w:marLeft w:val="0"/>
      <w:marRight w:val="0"/>
      <w:marTop w:val="180"/>
      <w:marBottom w:val="0"/>
      <w:divBdr>
        <w:top w:val="none" w:sz="0" w:space="0" w:color="auto"/>
        <w:left w:val="none" w:sz="0" w:space="0" w:color="auto"/>
        <w:bottom w:val="none" w:sz="0" w:space="0" w:color="auto"/>
        <w:right w:val="none" w:sz="0" w:space="0" w:color="auto"/>
      </w:divBdr>
    </w:div>
    <w:div w:id="840386408">
      <w:marLeft w:val="0"/>
      <w:marRight w:val="0"/>
      <w:marTop w:val="180"/>
      <w:marBottom w:val="120"/>
      <w:divBdr>
        <w:top w:val="none" w:sz="0" w:space="0" w:color="auto"/>
        <w:left w:val="none" w:sz="0" w:space="0" w:color="auto"/>
        <w:bottom w:val="none" w:sz="0" w:space="0" w:color="auto"/>
        <w:right w:val="none" w:sz="0" w:space="0" w:color="auto"/>
      </w:divBdr>
    </w:div>
    <w:div w:id="848057194">
      <w:marLeft w:val="0"/>
      <w:marRight w:val="0"/>
      <w:marTop w:val="120"/>
      <w:marBottom w:val="120"/>
      <w:divBdr>
        <w:top w:val="none" w:sz="0" w:space="0" w:color="auto"/>
        <w:left w:val="none" w:sz="0" w:space="0" w:color="auto"/>
        <w:bottom w:val="none" w:sz="0" w:space="0" w:color="auto"/>
        <w:right w:val="none" w:sz="0" w:space="0" w:color="auto"/>
      </w:divBdr>
    </w:div>
    <w:div w:id="854342877">
      <w:marLeft w:val="0"/>
      <w:marRight w:val="0"/>
      <w:marTop w:val="0"/>
      <w:marBottom w:val="0"/>
      <w:divBdr>
        <w:top w:val="none" w:sz="0" w:space="0" w:color="auto"/>
        <w:left w:val="none" w:sz="0" w:space="0" w:color="auto"/>
        <w:bottom w:val="none" w:sz="0" w:space="0" w:color="auto"/>
        <w:right w:val="none" w:sz="0" w:space="0" w:color="auto"/>
      </w:divBdr>
      <w:divsChild>
        <w:div w:id="1459564812">
          <w:marLeft w:val="0"/>
          <w:marRight w:val="0"/>
          <w:marTop w:val="180"/>
          <w:marBottom w:val="180"/>
          <w:divBdr>
            <w:top w:val="none" w:sz="0" w:space="0" w:color="auto"/>
            <w:left w:val="none" w:sz="0" w:space="0" w:color="auto"/>
            <w:bottom w:val="none" w:sz="0" w:space="0" w:color="auto"/>
            <w:right w:val="none" w:sz="0" w:space="0" w:color="auto"/>
          </w:divBdr>
        </w:div>
      </w:divsChild>
    </w:div>
    <w:div w:id="859010812">
      <w:marLeft w:val="0"/>
      <w:marRight w:val="0"/>
      <w:marTop w:val="180"/>
      <w:marBottom w:val="0"/>
      <w:divBdr>
        <w:top w:val="none" w:sz="0" w:space="0" w:color="auto"/>
        <w:left w:val="none" w:sz="0" w:space="0" w:color="auto"/>
        <w:bottom w:val="none" w:sz="0" w:space="0" w:color="auto"/>
        <w:right w:val="none" w:sz="0" w:space="0" w:color="auto"/>
      </w:divBdr>
    </w:div>
    <w:div w:id="861361529">
      <w:marLeft w:val="0"/>
      <w:marRight w:val="0"/>
      <w:marTop w:val="180"/>
      <w:marBottom w:val="0"/>
      <w:divBdr>
        <w:top w:val="none" w:sz="0" w:space="0" w:color="auto"/>
        <w:left w:val="none" w:sz="0" w:space="0" w:color="auto"/>
        <w:bottom w:val="none" w:sz="0" w:space="0" w:color="auto"/>
        <w:right w:val="none" w:sz="0" w:space="0" w:color="auto"/>
      </w:divBdr>
    </w:div>
    <w:div w:id="870917176">
      <w:marLeft w:val="0"/>
      <w:marRight w:val="0"/>
      <w:marTop w:val="0"/>
      <w:marBottom w:val="0"/>
      <w:divBdr>
        <w:top w:val="none" w:sz="0" w:space="0" w:color="auto"/>
        <w:left w:val="none" w:sz="0" w:space="0" w:color="auto"/>
        <w:bottom w:val="none" w:sz="0" w:space="0" w:color="auto"/>
        <w:right w:val="none" w:sz="0" w:space="0" w:color="auto"/>
      </w:divBdr>
      <w:divsChild>
        <w:div w:id="88892094">
          <w:marLeft w:val="0"/>
          <w:marRight w:val="0"/>
          <w:marTop w:val="0"/>
          <w:marBottom w:val="0"/>
          <w:divBdr>
            <w:top w:val="none" w:sz="0" w:space="0" w:color="auto"/>
            <w:left w:val="none" w:sz="0" w:space="0" w:color="auto"/>
            <w:bottom w:val="none" w:sz="0" w:space="0" w:color="auto"/>
            <w:right w:val="none" w:sz="0" w:space="0" w:color="auto"/>
          </w:divBdr>
          <w:divsChild>
            <w:div w:id="10963630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70995265">
      <w:marLeft w:val="0"/>
      <w:marRight w:val="0"/>
      <w:marTop w:val="60"/>
      <w:marBottom w:val="120"/>
      <w:divBdr>
        <w:top w:val="none" w:sz="0" w:space="0" w:color="auto"/>
        <w:left w:val="none" w:sz="0" w:space="0" w:color="auto"/>
        <w:bottom w:val="none" w:sz="0" w:space="0" w:color="auto"/>
        <w:right w:val="none" w:sz="0" w:space="0" w:color="auto"/>
      </w:divBdr>
    </w:div>
    <w:div w:id="871303020">
      <w:marLeft w:val="0"/>
      <w:marRight w:val="0"/>
      <w:marTop w:val="180"/>
      <w:marBottom w:val="0"/>
      <w:divBdr>
        <w:top w:val="none" w:sz="0" w:space="0" w:color="auto"/>
        <w:left w:val="none" w:sz="0" w:space="0" w:color="auto"/>
        <w:bottom w:val="none" w:sz="0" w:space="0" w:color="auto"/>
        <w:right w:val="none" w:sz="0" w:space="0" w:color="auto"/>
      </w:divBdr>
    </w:div>
    <w:div w:id="873813663">
      <w:marLeft w:val="0"/>
      <w:marRight w:val="0"/>
      <w:marTop w:val="120"/>
      <w:marBottom w:val="20"/>
      <w:divBdr>
        <w:top w:val="none" w:sz="0" w:space="0" w:color="auto"/>
        <w:left w:val="none" w:sz="0" w:space="0" w:color="auto"/>
        <w:bottom w:val="none" w:sz="0" w:space="0" w:color="auto"/>
        <w:right w:val="none" w:sz="0" w:space="0" w:color="auto"/>
      </w:divBdr>
    </w:div>
    <w:div w:id="875388308">
      <w:marLeft w:val="0"/>
      <w:marRight w:val="0"/>
      <w:marTop w:val="180"/>
      <w:marBottom w:val="0"/>
      <w:divBdr>
        <w:top w:val="none" w:sz="0" w:space="0" w:color="auto"/>
        <w:left w:val="none" w:sz="0" w:space="0" w:color="auto"/>
        <w:bottom w:val="none" w:sz="0" w:space="0" w:color="auto"/>
        <w:right w:val="none" w:sz="0" w:space="0" w:color="auto"/>
      </w:divBdr>
    </w:div>
    <w:div w:id="880752318">
      <w:marLeft w:val="0"/>
      <w:marRight w:val="0"/>
      <w:marTop w:val="0"/>
      <w:marBottom w:val="0"/>
      <w:divBdr>
        <w:top w:val="none" w:sz="0" w:space="0" w:color="auto"/>
        <w:left w:val="none" w:sz="0" w:space="0" w:color="auto"/>
        <w:bottom w:val="none" w:sz="0" w:space="0" w:color="auto"/>
        <w:right w:val="none" w:sz="0" w:space="0" w:color="auto"/>
      </w:divBdr>
      <w:divsChild>
        <w:div w:id="1278567742">
          <w:marLeft w:val="0"/>
          <w:marRight w:val="0"/>
          <w:marTop w:val="180"/>
          <w:marBottom w:val="180"/>
          <w:divBdr>
            <w:top w:val="none" w:sz="0" w:space="0" w:color="auto"/>
            <w:left w:val="none" w:sz="0" w:space="0" w:color="auto"/>
            <w:bottom w:val="none" w:sz="0" w:space="0" w:color="auto"/>
            <w:right w:val="none" w:sz="0" w:space="0" w:color="auto"/>
          </w:divBdr>
        </w:div>
      </w:divsChild>
    </w:div>
    <w:div w:id="882251777">
      <w:marLeft w:val="0"/>
      <w:marRight w:val="0"/>
      <w:marTop w:val="60"/>
      <w:marBottom w:val="0"/>
      <w:divBdr>
        <w:top w:val="none" w:sz="0" w:space="0" w:color="auto"/>
        <w:left w:val="none" w:sz="0" w:space="0" w:color="auto"/>
        <w:bottom w:val="none" w:sz="0" w:space="0" w:color="auto"/>
        <w:right w:val="none" w:sz="0" w:space="0" w:color="auto"/>
      </w:divBdr>
    </w:div>
    <w:div w:id="882985086">
      <w:marLeft w:val="0"/>
      <w:marRight w:val="0"/>
      <w:marTop w:val="180"/>
      <w:marBottom w:val="0"/>
      <w:divBdr>
        <w:top w:val="none" w:sz="0" w:space="0" w:color="auto"/>
        <w:left w:val="none" w:sz="0" w:space="0" w:color="auto"/>
        <w:bottom w:val="none" w:sz="0" w:space="0" w:color="auto"/>
        <w:right w:val="none" w:sz="0" w:space="0" w:color="auto"/>
      </w:divBdr>
    </w:div>
    <w:div w:id="886794138">
      <w:marLeft w:val="0"/>
      <w:marRight w:val="0"/>
      <w:marTop w:val="180"/>
      <w:marBottom w:val="0"/>
      <w:divBdr>
        <w:top w:val="none" w:sz="0" w:space="0" w:color="auto"/>
        <w:left w:val="none" w:sz="0" w:space="0" w:color="auto"/>
        <w:bottom w:val="none" w:sz="0" w:space="0" w:color="auto"/>
        <w:right w:val="none" w:sz="0" w:space="0" w:color="auto"/>
      </w:divBdr>
    </w:div>
    <w:div w:id="888228848">
      <w:marLeft w:val="0"/>
      <w:marRight w:val="0"/>
      <w:marTop w:val="200"/>
      <w:marBottom w:val="0"/>
      <w:divBdr>
        <w:top w:val="none" w:sz="0" w:space="0" w:color="auto"/>
        <w:left w:val="none" w:sz="0" w:space="0" w:color="auto"/>
        <w:bottom w:val="none" w:sz="0" w:space="0" w:color="auto"/>
        <w:right w:val="none" w:sz="0" w:space="0" w:color="auto"/>
      </w:divBdr>
    </w:div>
    <w:div w:id="900217472">
      <w:marLeft w:val="0"/>
      <w:marRight w:val="0"/>
      <w:marTop w:val="240"/>
      <w:marBottom w:val="0"/>
      <w:divBdr>
        <w:top w:val="none" w:sz="0" w:space="0" w:color="auto"/>
        <w:left w:val="none" w:sz="0" w:space="0" w:color="auto"/>
        <w:bottom w:val="none" w:sz="0" w:space="0" w:color="auto"/>
        <w:right w:val="none" w:sz="0" w:space="0" w:color="auto"/>
      </w:divBdr>
    </w:div>
    <w:div w:id="908461886">
      <w:marLeft w:val="0"/>
      <w:marRight w:val="0"/>
      <w:marTop w:val="180"/>
      <w:marBottom w:val="0"/>
      <w:divBdr>
        <w:top w:val="none" w:sz="0" w:space="0" w:color="auto"/>
        <w:left w:val="none" w:sz="0" w:space="0" w:color="auto"/>
        <w:bottom w:val="none" w:sz="0" w:space="0" w:color="auto"/>
        <w:right w:val="none" w:sz="0" w:space="0" w:color="auto"/>
      </w:divBdr>
    </w:div>
    <w:div w:id="910429309">
      <w:marLeft w:val="0"/>
      <w:marRight w:val="0"/>
      <w:marTop w:val="180"/>
      <w:marBottom w:val="0"/>
      <w:divBdr>
        <w:top w:val="none" w:sz="0" w:space="0" w:color="auto"/>
        <w:left w:val="none" w:sz="0" w:space="0" w:color="auto"/>
        <w:bottom w:val="none" w:sz="0" w:space="0" w:color="auto"/>
        <w:right w:val="none" w:sz="0" w:space="0" w:color="auto"/>
      </w:divBdr>
    </w:div>
    <w:div w:id="911043913">
      <w:marLeft w:val="0"/>
      <w:marRight w:val="0"/>
      <w:marTop w:val="240"/>
      <w:marBottom w:val="0"/>
      <w:divBdr>
        <w:top w:val="none" w:sz="0" w:space="0" w:color="auto"/>
        <w:left w:val="none" w:sz="0" w:space="0" w:color="auto"/>
        <w:bottom w:val="none" w:sz="0" w:space="0" w:color="auto"/>
        <w:right w:val="none" w:sz="0" w:space="0" w:color="auto"/>
      </w:divBdr>
    </w:div>
    <w:div w:id="923337652">
      <w:marLeft w:val="0"/>
      <w:marRight w:val="0"/>
      <w:marTop w:val="180"/>
      <w:marBottom w:val="0"/>
      <w:divBdr>
        <w:top w:val="none" w:sz="0" w:space="0" w:color="auto"/>
        <w:left w:val="none" w:sz="0" w:space="0" w:color="auto"/>
        <w:bottom w:val="none" w:sz="0" w:space="0" w:color="auto"/>
        <w:right w:val="none" w:sz="0" w:space="0" w:color="auto"/>
      </w:divBdr>
    </w:div>
    <w:div w:id="924993986">
      <w:marLeft w:val="0"/>
      <w:marRight w:val="0"/>
      <w:marTop w:val="120"/>
      <w:marBottom w:val="20"/>
      <w:divBdr>
        <w:top w:val="none" w:sz="0" w:space="0" w:color="auto"/>
        <w:left w:val="none" w:sz="0" w:space="0" w:color="auto"/>
        <w:bottom w:val="none" w:sz="0" w:space="0" w:color="auto"/>
        <w:right w:val="none" w:sz="0" w:space="0" w:color="auto"/>
      </w:divBdr>
    </w:div>
    <w:div w:id="935400302">
      <w:marLeft w:val="0"/>
      <w:marRight w:val="0"/>
      <w:marTop w:val="180"/>
      <w:marBottom w:val="60"/>
      <w:divBdr>
        <w:top w:val="none" w:sz="0" w:space="0" w:color="auto"/>
        <w:left w:val="none" w:sz="0" w:space="0" w:color="auto"/>
        <w:bottom w:val="none" w:sz="0" w:space="0" w:color="auto"/>
        <w:right w:val="none" w:sz="0" w:space="0" w:color="auto"/>
      </w:divBdr>
    </w:div>
    <w:div w:id="936016989">
      <w:marLeft w:val="0"/>
      <w:marRight w:val="0"/>
      <w:marTop w:val="180"/>
      <w:marBottom w:val="0"/>
      <w:divBdr>
        <w:top w:val="none" w:sz="0" w:space="0" w:color="auto"/>
        <w:left w:val="none" w:sz="0" w:space="0" w:color="auto"/>
        <w:bottom w:val="none" w:sz="0" w:space="0" w:color="auto"/>
        <w:right w:val="none" w:sz="0" w:space="0" w:color="auto"/>
      </w:divBdr>
    </w:div>
    <w:div w:id="937446676">
      <w:marLeft w:val="0"/>
      <w:marRight w:val="0"/>
      <w:marTop w:val="180"/>
      <w:marBottom w:val="0"/>
      <w:divBdr>
        <w:top w:val="none" w:sz="0" w:space="0" w:color="auto"/>
        <w:left w:val="none" w:sz="0" w:space="0" w:color="auto"/>
        <w:bottom w:val="none" w:sz="0" w:space="0" w:color="auto"/>
        <w:right w:val="none" w:sz="0" w:space="0" w:color="auto"/>
      </w:divBdr>
    </w:div>
    <w:div w:id="938417608">
      <w:marLeft w:val="0"/>
      <w:marRight w:val="0"/>
      <w:marTop w:val="120"/>
      <w:marBottom w:val="0"/>
      <w:divBdr>
        <w:top w:val="none" w:sz="0" w:space="0" w:color="auto"/>
        <w:left w:val="none" w:sz="0" w:space="0" w:color="auto"/>
        <w:bottom w:val="none" w:sz="0" w:space="0" w:color="auto"/>
        <w:right w:val="none" w:sz="0" w:space="0" w:color="auto"/>
      </w:divBdr>
    </w:div>
    <w:div w:id="939726280">
      <w:marLeft w:val="0"/>
      <w:marRight w:val="0"/>
      <w:marTop w:val="0"/>
      <w:marBottom w:val="0"/>
      <w:divBdr>
        <w:top w:val="none" w:sz="0" w:space="0" w:color="auto"/>
        <w:left w:val="none" w:sz="0" w:space="0" w:color="auto"/>
        <w:bottom w:val="none" w:sz="0" w:space="0" w:color="auto"/>
        <w:right w:val="none" w:sz="0" w:space="0" w:color="auto"/>
      </w:divBdr>
      <w:divsChild>
        <w:div w:id="1504199279">
          <w:marLeft w:val="0"/>
          <w:marRight w:val="0"/>
          <w:marTop w:val="0"/>
          <w:marBottom w:val="0"/>
          <w:divBdr>
            <w:top w:val="none" w:sz="0" w:space="0" w:color="auto"/>
            <w:left w:val="none" w:sz="0" w:space="0" w:color="auto"/>
            <w:bottom w:val="none" w:sz="0" w:space="0" w:color="auto"/>
            <w:right w:val="none" w:sz="0" w:space="0" w:color="auto"/>
          </w:divBdr>
          <w:divsChild>
            <w:div w:id="18463571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42765064">
      <w:marLeft w:val="0"/>
      <w:marRight w:val="0"/>
      <w:marTop w:val="240"/>
      <w:marBottom w:val="0"/>
      <w:divBdr>
        <w:top w:val="none" w:sz="0" w:space="0" w:color="auto"/>
        <w:left w:val="none" w:sz="0" w:space="0" w:color="auto"/>
        <w:bottom w:val="none" w:sz="0" w:space="0" w:color="auto"/>
        <w:right w:val="none" w:sz="0" w:space="0" w:color="auto"/>
      </w:divBdr>
    </w:div>
    <w:div w:id="945693611">
      <w:marLeft w:val="0"/>
      <w:marRight w:val="0"/>
      <w:marTop w:val="60"/>
      <w:marBottom w:val="20"/>
      <w:divBdr>
        <w:top w:val="none" w:sz="0" w:space="0" w:color="auto"/>
        <w:left w:val="none" w:sz="0" w:space="0" w:color="auto"/>
        <w:bottom w:val="none" w:sz="0" w:space="0" w:color="auto"/>
        <w:right w:val="none" w:sz="0" w:space="0" w:color="auto"/>
      </w:divBdr>
    </w:div>
    <w:div w:id="948122052">
      <w:marLeft w:val="0"/>
      <w:marRight w:val="0"/>
      <w:marTop w:val="0"/>
      <w:marBottom w:val="0"/>
      <w:divBdr>
        <w:top w:val="none" w:sz="0" w:space="0" w:color="auto"/>
        <w:left w:val="none" w:sz="0" w:space="0" w:color="auto"/>
        <w:bottom w:val="none" w:sz="0" w:space="0" w:color="auto"/>
        <w:right w:val="none" w:sz="0" w:space="0" w:color="auto"/>
      </w:divBdr>
      <w:divsChild>
        <w:div w:id="392435565">
          <w:marLeft w:val="0"/>
          <w:marRight w:val="0"/>
          <w:marTop w:val="180"/>
          <w:marBottom w:val="180"/>
          <w:divBdr>
            <w:top w:val="none" w:sz="0" w:space="0" w:color="auto"/>
            <w:left w:val="none" w:sz="0" w:space="0" w:color="auto"/>
            <w:bottom w:val="none" w:sz="0" w:space="0" w:color="auto"/>
            <w:right w:val="none" w:sz="0" w:space="0" w:color="auto"/>
          </w:divBdr>
        </w:div>
      </w:divsChild>
    </w:div>
    <w:div w:id="951595543">
      <w:marLeft w:val="0"/>
      <w:marRight w:val="0"/>
      <w:marTop w:val="60"/>
      <w:marBottom w:val="0"/>
      <w:divBdr>
        <w:top w:val="none" w:sz="0" w:space="0" w:color="auto"/>
        <w:left w:val="none" w:sz="0" w:space="0" w:color="auto"/>
        <w:bottom w:val="none" w:sz="0" w:space="0" w:color="auto"/>
        <w:right w:val="none" w:sz="0" w:space="0" w:color="auto"/>
      </w:divBdr>
    </w:div>
    <w:div w:id="958148997">
      <w:marLeft w:val="0"/>
      <w:marRight w:val="0"/>
      <w:marTop w:val="0"/>
      <w:marBottom w:val="0"/>
      <w:divBdr>
        <w:top w:val="none" w:sz="0" w:space="0" w:color="auto"/>
        <w:left w:val="none" w:sz="0" w:space="0" w:color="auto"/>
        <w:bottom w:val="none" w:sz="0" w:space="0" w:color="auto"/>
        <w:right w:val="none" w:sz="0" w:space="0" w:color="auto"/>
      </w:divBdr>
      <w:divsChild>
        <w:div w:id="82336445">
          <w:marLeft w:val="0"/>
          <w:marRight w:val="0"/>
          <w:marTop w:val="180"/>
          <w:marBottom w:val="180"/>
          <w:divBdr>
            <w:top w:val="none" w:sz="0" w:space="0" w:color="auto"/>
            <w:left w:val="none" w:sz="0" w:space="0" w:color="auto"/>
            <w:bottom w:val="none" w:sz="0" w:space="0" w:color="auto"/>
            <w:right w:val="none" w:sz="0" w:space="0" w:color="auto"/>
          </w:divBdr>
        </w:div>
      </w:divsChild>
    </w:div>
    <w:div w:id="960266045">
      <w:marLeft w:val="0"/>
      <w:marRight w:val="0"/>
      <w:marTop w:val="240"/>
      <w:marBottom w:val="0"/>
      <w:divBdr>
        <w:top w:val="none" w:sz="0" w:space="0" w:color="auto"/>
        <w:left w:val="none" w:sz="0" w:space="0" w:color="auto"/>
        <w:bottom w:val="none" w:sz="0" w:space="0" w:color="auto"/>
        <w:right w:val="none" w:sz="0" w:space="0" w:color="auto"/>
      </w:divBdr>
    </w:div>
    <w:div w:id="964309207">
      <w:marLeft w:val="0"/>
      <w:marRight w:val="0"/>
      <w:marTop w:val="180"/>
      <w:marBottom w:val="0"/>
      <w:divBdr>
        <w:top w:val="none" w:sz="0" w:space="0" w:color="auto"/>
        <w:left w:val="none" w:sz="0" w:space="0" w:color="auto"/>
        <w:bottom w:val="none" w:sz="0" w:space="0" w:color="auto"/>
        <w:right w:val="none" w:sz="0" w:space="0" w:color="auto"/>
      </w:divBdr>
    </w:div>
    <w:div w:id="969016887">
      <w:marLeft w:val="0"/>
      <w:marRight w:val="0"/>
      <w:marTop w:val="180"/>
      <w:marBottom w:val="60"/>
      <w:divBdr>
        <w:top w:val="none" w:sz="0" w:space="0" w:color="auto"/>
        <w:left w:val="none" w:sz="0" w:space="0" w:color="auto"/>
        <w:bottom w:val="none" w:sz="0" w:space="0" w:color="auto"/>
        <w:right w:val="none" w:sz="0" w:space="0" w:color="auto"/>
      </w:divBdr>
    </w:div>
    <w:div w:id="969164298">
      <w:marLeft w:val="0"/>
      <w:marRight w:val="0"/>
      <w:marTop w:val="0"/>
      <w:marBottom w:val="0"/>
      <w:divBdr>
        <w:top w:val="none" w:sz="0" w:space="0" w:color="auto"/>
        <w:left w:val="none" w:sz="0" w:space="0" w:color="auto"/>
        <w:bottom w:val="none" w:sz="0" w:space="0" w:color="auto"/>
        <w:right w:val="none" w:sz="0" w:space="0" w:color="auto"/>
      </w:divBdr>
    </w:div>
    <w:div w:id="970985600">
      <w:marLeft w:val="0"/>
      <w:marRight w:val="0"/>
      <w:marTop w:val="180"/>
      <w:marBottom w:val="0"/>
      <w:divBdr>
        <w:top w:val="none" w:sz="0" w:space="0" w:color="auto"/>
        <w:left w:val="none" w:sz="0" w:space="0" w:color="auto"/>
        <w:bottom w:val="none" w:sz="0" w:space="0" w:color="auto"/>
        <w:right w:val="none" w:sz="0" w:space="0" w:color="auto"/>
      </w:divBdr>
    </w:div>
    <w:div w:id="974406788">
      <w:marLeft w:val="0"/>
      <w:marRight w:val="0"/>
      <w:marTop w:val="60"/>
      <w:marBottom w:val="0"/>
      <w:divBdr>
        <w:top w:val="none" w:sz="0" w:space="0" w:color="auto"/>
        <w:left w:val="none" w:sz="0" w:space="0" w:color="auto"/>
        <w:bottom w:val="none" w:sz="0" w:space="0" w:color="auto"/>
        <w:right w:val="none" w:sz="0" w:space="0" w:color="auto"/>
      </w:divBdr>
    </w:div>
    <w:div w:id="976373817">
      <w:marLeft w:val="0"/>
      <w:marRight w:val="0"/>
      <w:marTop w:val="60"/>
      <w:marBottom w:val="120"/>
      <w:divBdr>
        <w:top w:val="none" w:sz="0" w:space="0" w:color="auto"/>
        <w:left w:val="none" w:sz="0" w:space="0" w:color="auto"/>
        <w:bottom w:val="none" w:sz="0" w:space="0" w:color="auto"/>
        <w:right w:val="none" w:sz="0" w:space="0" w:color="auto"/>
      </w:divBdr>
    </w:div>
    <w:div w:id="976566820">
      <w:marLeft w:val="0"/>
      <w:marRight w:val="0"/>
      <w:marTop w:val="0"/>
      <w:marBottom w:val="0"/>
      <w:divBdr>
        <w:top w:val="none" w:sz="0" w:space="0" w:color="auto"/>
        <w:left w:val="none" w:sz="0" w:space="0" w:color="auto"/>
        <w:bottom w:val="none" w:sz="0" w:space="0" w:color="auto"/>
        <w:right w:val="none" w:sz="0" w:space="0" w:color="auto"/>
      </w:divBdr>
      <w:divsChild>
        <w:div w:id="1651404599">
          <w:marLeft w:val="0"/>
          <w:marRight w:val="0"/>
          <w:marTop w:val="0"/>
          <w:marBottom w:val="0"/>
          <w:divBdr>
            <w:top w:val="none" w:sz="0" w:space="0" w:color="auto"/>
            <w:left w:val="none" w:sz="0" w:space="0" w:color="auto"/>
            <w:bottom w:val="none" w:sz="0" w:space="0" w:color="auto"/>
            <w:right w:val="none" w:sz="0" w:space="0" w:color="auto"/>
          </w:divBdr>
          <w:divsChild>
            <w:div w:id="11602671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85007432">
      <w:marLeft w:val="0"/>
      <w:marRight w:val="0"/>
      <w:marTop w:val="180"/>
      <w:marBottom w:val="0"/>
      <w:divBdr>
        <w:top w:val="none" w:sz="0" w:space="0" w:color="auto"/>
        <w:left w:val="none" w:sz="0" w:space="0" w:color="auto"/>
        <w:bottom w:val="none" w:sz="0" w:space="0" w:color="auto"/>
        <w:right w:val="none" w:sz="0" w:space="0" w:color="auto"/>
      </w:divBdr>
    </w:div>
    <w:div w:id="985551556">
      <w:marLeft w:val="0"/>
      <w:marRight w:val="0"/>
      <w:marTop w:val="0"/>
      <w:marBottom w:val="0"/>
      <w:divBdr>
        <w:top w:val="none" w:sz="0" w:space="0" w:color="auto"/>
        <w:left w:val="none" w:sz="0" w:space="0" w:color="auto"/>
        <w:bottom w:val="none" w:sz="0" w:space="0" w:color="auto"/>
        <w:right w:val="none" w:sz="0" w:space="0" w:color="auto"/>
      </w:divBdr>
      <w:divsChild>
        <w:div w:id="535234799">
          <w:marLeft w:val="0"/>
          <w:marRight w:val="0"/>
          <w:marTop w:val="180"/>
          <w:marBottom w:val="180"/>
          <w:divBdr>
            <w:top w:val="none" w:sz="0" w:space="0" w:color="auto"/>
            <w:left w:val="none" w:sz="0" w:space="0" w:color="auto"/>
            <w:bottom w:val="none" w:sz="0" w:space="0" w:color="auto"/>
            <w:right w:val="none" w:sz="0" w:space="0" w:color="auto"/>
          </w:divBdr>
        </w:div>
      </w:divsChild>
    </w:div>
    <w:div w:id="985890082">
      <w:marLeft w:val="0"/>
      <w:marRight w:val="0"/>
      <w:marTop w:val="180"/>
      <w:marBottom w:val="0"/>
      <w:divBdr>
        <w:top w:val="none" w:sz="0" w:space="0" w:color="auto"/>
        <w:left w:val="none" w:sz="0" w:space="0" w:color="auto"/>
        <w:bottom w:val="none" w:sz="0" w:space="0" w:color="auto"/>
        <w:right w:val="none" w:sz="0" w:space="0" w:color="auto"/>
      </w:divBdr>
    </w:div>
    <w:div w:id="988097711">
      <w:marLeft w:val="0"/>
      <w:marRight w:val="0"/>
      <w:marTop w:val="200"/>
      <w:marBottom w:val="0"/>
      <w:divBdr>
        <w:top w:val="none" w:sz="0" w:space="0" w:color="auto"/>
        <w:left w:val="none" w:sz="0" w:space="0" w:color="auto"/>
        <w:bottom w:val="none" w:sz="0" w:space="0" w:color="auto"/>
        <w:right w:val="none" w:sz="0" w:space="0" w:color="auto"/>
      </w:divBdr>
    </w:div>
    <w:div w:id="993723823">
      <w:marLeft w:val="0"/>
      <w:marRight w:val="0"/>
      <w:marTop w:val="180"/>
      <w:marBottom w:val="0"/>
      <w:divBdr>
        <w:top w:val="none" w:sz="0" w:space="0" w:color="auto"/>
        <w:left w:val="none" w:sz="0" w:space="0" w:color="auto"/>
        <w:bottom w:val="none" w:sz="0" w:space="0" w:color="auto"/>
        <w:right w:val="none" w:sz="0" w:space="0" w:color="auto"/>
      </w:divBdr>
    </w:div>
    <w:div w:id="996568953">
      <w:marLeft w:val="0"/>
      <w:marRight w:val="0"/>
      <w:marTop w:val="0"/>
      <w:marBottom w:val="0"/>
      <w:divBdr>
        <w:top w:val="none" w:sz="0" w:space="0" w:color="auto"/>
        <w:left w:val="none" w:sz="0" w:space="0" w:color="auto"/>
        <w:bottom w:val="none" w:sz="0" w:space="0" w:color="auto"/>
        <w:right w:val="none" w:sz="0" w:space="0" w:color="auto"/>
      </w:divBdr>
      <w:divsChild>
        <w:div w:id="721904839">
          <w:marLeft w:val="0"/>
          <w:marRight w:val="0"/>
          <w:marTop w:val="180"/>
          <w:marBottom w:val="180"/>
          <w:divBdr>
            <w:top w:val="none" w:sz="0" w:space="0" w:color="auto"/>
            <w:left w:val="none" w:sz="0" w:space="0" w:color="auto"/>
            <w:bottom w:val="none" w:sz="0" w:space="0" w:color="auto"/>
            <w:right w:val="none" w:sz="0" w:space="0" w:color="auto"/>
          </w:divBdr>
        </w:div>
      </w:divsChild>
    </w:div>
    <w:div w:id="997153579">
      <w:marLeft w:val="0"/>
      <w:marRight w:val="0"/>
      <w:marTop w:val="60"/>
      <w:marBottom w:val="0"/>
      <w:divBdr>
        <w:top w:val="none" w:sz="0" w:space="0" w:color="auto"/>
        <w:left w:val="none" w:sz="0" w:space="0" w:color="auto"/>
        <w:bottom w:val="none" w:sz="0" w:space="0" w:color="auto"/>
        <w:right w:val="none" w:sz="0" w:space="0" w:color="auto"/>
      </w:divBdr>
    </w:div>
    <w:div w:id="1004698240">
      <w:marLeft w:val="0"/>
      <w:marRight w:val="0"/>
      <w:marTop w:val="180"/>
      <w:marBottom w:val="0"/>
      <w:divBdr>
        <w:top w:val="none" w:sz="0" w:space="0" w:color="auto"/>
        <w:left w:val="none" w:sz="0" w:space="0" w:color="auto"/>
        <w:bottom w:val="none" w:sz="0" w:space="0" w:color="auto"/>
        <w:right w:val="none" w:sz="0" w:space="0" w:color="auto"/>
      </w:divBdr>
    </w:div>
    <w:div w:id="1006135667">
      <w:marLeft w:val="0"/>
      <w:marRight w:val="0"/>
      <w:marTop w:val="180"/>
      <w:marBottom w:val="0"/>
      <w:divBdr>
        <w:top w:val="none" w:sz="0" w:space="0" w:color="auto"/>
        <w:left w:val="none" w:sz="0" w:space="0" w:color="auto"/>
        <w:bottom w:val="none" w:sz="0" w:space="0" w:color="auto"/>
        <w:right w:val="none" w:sz="0" w:space="0" w:color="auto"/>
      </w:divBdr>
    </w:div>
    <w:div w:id="1009716127">
      <w:marLeft w:val="0"/>
      <w:marRight w:val="0"/>
      <w:marTop w:val="0"/>
      <w:marBottom w:val="0"/>
      <w:divBdr>
        <w:top w:val="none" w:sz="0" w:space="0" w:color="auto"/>
        <w:left w:val="none" w:sz="0" w:space="0" w:color="auto"/>
        <w:bottom w:val="none" w:sz="0" w:space="0" w:color="auto"/>
        <w:right w:val="none" w:sz="0" w:space="0" w:color="auto"/>
      </w:divBdr>
      <w:divsChild>
        <w:div w:id="1234973294">
          <w:marLeft w:val="0"/>
          <w:marRight w:val="0"/>
          <w:marTop w:val="180"/>
          <w:marBottom w:val="180"/>
          <w:divBdr>
            <w:top w:val="none" w:sz="0" w:space="0" w:color="auto"/>
            <w:left w:val="none" w:sz="0" w:space="0" w:color="auto"/>
            <w:bottom w:val="none" w:sz="0" w:space="0" w:color="auto"/>
            <w:right w:val="none" w:sz="0" w:space="0" w:color="auto"/>
          </w:divBdr>
        </w:div>
      </w:divsChild>
    </w:div>
    <w:div w:id="1011755429">
      <w:marLeft w:val="0"/>
      <w:marRight w:val="0"/>
      <w:marTop w:val="0"/>
      <w:marBottom w:val="0"/>
      <w:divBdr>
        <w:top w:val="none" w:sz="0" w:space="0" w:color="auto"/>
        <w:left w:val="none" w:sz="0" w:space="0" w:color="auto"/>
        <w:bottom w:val="none" w:sz="0" w:space="0" w:color="auto"/>
        <w:right w:val="none" w:sz="0" w:space="0" w:color="auto"/>
      </w:divBdr>
      <w:divsChild>
        <w:div w:id="280575952">
          <w:marLeft w:val="0"/>
          <w:marRight w:val="0"/>
          <w:marTop w:val="180"/>
          <w:marBottom w:val="180"/>
          <w:divBdr>
            <w:top w:val="none" w:sz="0" w:space="0" w:color="auto"/>
            <w:left w:val="none" w:sz="0" w:space="0" w:color="auto"/>
            <w:bottom w:val="none" w:sz="0" w:space="0" w:color="auto"/>
            <w:right w:val="none" w:sz="0" w:space="0" w:color="auto"/>
          </w:divBdr>
        </w:div>
      </w:divsChild>
    </w:div>
    <w:div w:id="1025835308">
      <w:marLeft w:val="0"/>
      <w:marRight w:val="0"/>
      <w:marTop w:val="180"/>
      <w:marBottom w:val="0"/>
      <w:divBdr>
        <w:top w:val="none" w:sz="0" w:space="0" w:color="auto"/>
        <w:left w:val="none" w:sz="0" w:space="0" w:color="auto"/>
        <w:bottom w:val="none" w:sz="0" w:space="0" w:color="auto"/>
        <w:right w:val="none" w:sz="0" w:space="0" w:color="auto"/>
      </w:divBdr>
    </w:div>
    <w:div w:id="1027560618">
      <w:marLeft w:val="0"/>
      <w:marRight w:val="0"/>
      <w:marTop w:val="180"/>
      <w:marBottom w:val="0"/>
      <w:divBdr>
        <w:top w:val="none" w:sz="0" w:space="0" w:color="auto"/>
        <w:left w:val="none" w:sz="0" w:space="0" w:color="auto"/>
        <w:bottom w:val="none" w:sz="0" w:space="0" w:color="auto"/>
        <w:right w:val="none" w:sz="0" w:space="0" w:color="auto"/>
      </w:divBdr>
    </w:div>
    <w:div w:id="1035958522">
      <w:marLeft w:val="0"/>
      <w:marRight w:val="0"/>
      <w:marTop w:val="240"/>
      <w:marBottom w:val="0"/>
      <w:divBdr>
        <w:top w:val="none" w:sz="0" w:space="0" w:color="auto"/>
        <w:left w:val="none" w:sz="0" w:space="0" w:color="auto"/>
        <w:bottom w:val="none" w:sz="0" w:space="0" w:color="auto"/>
        <w:right w:val="none" w:sz="0" w:space="0" w:color="auto"/>
      </w:divBdr>
    </w:div>
    <w:div w:id="1039356824">
      <w:marLeft w:val="0"/>
      <w:marRight w:val="0"/>
      <w:marTop w:val="300"/>
      <w:marBottom w:val="0"/>
      <w:divBdr>
        <w:top w:val="none" w:sz="0" w:space="0" w:color="auto"/>
        <w:left w:val="none" w:sz="0" w:space="0" w:color="auto"/>
        <w:bottom w:val="none" w:sz="0" w:space="0" w:color="auto"/>
        <w:right w:val="none" w:sz="0" w:space="0" w:color="auto"/>
      </w:divBdr>
    </w:div>
    <w:div w:id="1044478282">
      <w:marLeft w:val="0"/>
      <w:marRight w:val="0"/>
      <w:marTop w:val="180"/>
      <w:marBottom w:val="0"/>
      <w:divBdr>
        <w:top w:val="none" w:sz="0" w:space="0" w:color="auto"/>
        <w:left w:val="none" w:sz="0" w:space="0" w:color="auto"/>
        <w:bottom w:val="none" w:sz="0" w:space="0" w:color="auto"/>
        <w:right w:val="none" w:sz="0" w:space="0" w:color="auto"/>
      </w:divBdr>
    </w:div>
    <w:div w:id="1047336449">
      <w:marLeft w:val="0"/>
      <w:marRight w:val="0"/>
      <w:marTop w:val="180"/>
      <w:marBottom w:val="0"/>
      <w:divBdr>
        <w:top w:val="none" w:sz="0" w:space="0" w:color="auto"/>
        <w:left w:val="none" w:sz="0" w:space="0" w:color="auto"/>
        <w:bottom w:val="none" w:sz="0" w:space="0" w:color="auto"/>
        <w:right w:val="none" w:sz="0" w:space="0" w:color="auto"/>
      </w:divBdr>
    </w:div>
    <w:div w:id="1074471282">
      <w:marLeft w:val="0"/>
      <w:marRight w:val="0"/>
      <w:marTop w:val="0"/>
      <w:marBottom w:val="0"/>
      <w:divBdr>
        <w:top w:val="none" w:sz="0" w:space="0" w:color="auto"/>
        <w:left w:val="none" w:sz="0" w:space="0" w:color="auto"/>
        <w:bottom w:val="none" w:sz="0" w:space="0" w:color="auto"/>
        <w:right w:val="none" w:sz="0" w:space="0" w:color="auto"/>
      </w:divBdr>
      <w:divsChild>
        <w:div w:id="684291138">
          <w:marLeft w:val="0"/>
          <w:marRight w:val="0"/>
          <w:marTop w:val="0"/>
          <w:marBottom w:val="0"/>
          <w:divBdr>
            <w:top w:val="none" w:sz="0" w:space="0" w:color="auto"/>
            <w:left w:val="none" w:sz="0" w:space="0" w:color="auto"/>
            <w:bottom w:val="none" w:sz="0" w:space="0" w:color="auto"/>
            <w:right w:val="none" w:sz="0" w:space="0" w:color="auto"/>
          </w:divBdr>
          <w:divsChild>
            <w:div w:id="12214831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78938208">
      <w:marLeft w:val="0"/>
      <w:marRight w:val="0"/>
      <w:marTop w:val="0"/>
      <w:marBottom w:val="0"/>
      <w:divBdr>
        <w:top w:val="none" w:sz="0" w:space="0" w:color="auto"/>
        <w:left w:val="none" w:sz="0" w:space="0" w:color="auto"/>
        <w:bottom w:val="none" w:sz="0" w:space="0" w:color="auto"/>
        <w:right w:val="none" w:sz="0" w:space="0" w:color="auto"/>
      </w:divBdr>
      <w:divsChild>
        <w:div w:id="1702242141">
          <w:marLeft w:val="0"/>
          <w:marRight w:val="0"/>
          <w:marTop w:val="180"/>
          <w:marBottom w:val="180"/>
          <w:divBdr>
            <w:top w:val="none" w:sz="0" w:space="0" w:color="auto"/>
            <w:left w:val="none" w:sz="0" w:space="0" w:color="auto"/>
            <w:bottom w:val="none" w:sz="0" w:space="0" w:color="auto"/>
            <w:right w:val="none" w:sz="0" w:space="0" w:color="auto"/>
          </w:divBdr>
        </w:div>
      </w:divsChild>
    </w:div>
    <w:div w:id="1079597697">
      <w:marLeft w:val="0"/>
      <w:marRight w:val="0"/>
      <w:marTop w:val="0"/>
      <w:marBottom w:val="0"/>
      <w:divBdr>
        <w:top w:val="none" w:sz="0" w:space="0" w:color="auto"/>
        <w:left w:val="none" w:sz="0" w:space="0" w:color="auto"/>
        <w:bottom w:val="none" w:sz="0" w:space="0" w:color="auto"/>
        <w:right w:val="none" w:sz="0" w:space="0" w:color="auto"/>
      </w:divBdr>
      <w:divsChild>
        <w:div w:id="1580749661">
          <w:marLeft w:val="0"/>
          <w:marRight w:val="0"/>
          <w:marTop w:val="0"/>
          <w:marBottom w:val="0"/>
          <w:divBdr>
            <w:top w:val="none" w:sz="0" w:space="0" w:color="auto"/>
            <w:left w:val="none" w:sz="0" w:space="0" w:color="auto"/>
            <w:bottom w:val="none" w:sz="0" w:space="0" w:color="auto"/>
            <w:right w:val="none" w:sz="0" w:space="0" w:color="auto"/>
          </w:divBdr>
          <w:divsChild>
            <w:div w:id="14537888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83575269">
      <w:marLeft w:val="0"/>
      <w:marRight w:val="0"/>
      <w:marTop w:val="0"/>
      <w:marBottom w:val="0"/>
      <w:divBdr>
        <w:top w:val="none" w:sz="0" w:space="0" w:color="auto"/>
        <w:left w:val="none" w:sz="0" w:space="0" w:color="auto"/>
        <w:bottom w:val="none" w:sz="0" w:space="0" w:color="auto"/>
        <w:right w:val="none" w:sz="0" w:space="0" w:color="auto"/>
      </w:divBdr>
      <w:divsChild>
        <w:div w:id="1676758453">
          <w:marLeft w:val="0"/>
          <w:marRight w:val="0"/>
          <w:marTop w:val="180"/>
          <w:marBottom w:val="180"/>
          <w:divBdr>
            <w:top w:val="none" w:sz="0" w:space="0" w:color="auto"/>
            <w:left w:val="none" w:sz="0" w:space="0" w:color="auto"/>
            <w:bottom w:val="none" w:sz="0" w:space="0" w:color="auto"/>
            <w:right w:val="none" w:sz="0" w:space="0" w:color="auto"/>
          </w:divBdr>
        </w:div>
      </w:divsChild>
    </w:div>
    <w:div w:id="1087728217">
      <w:marLeft w:val="0"/>
      <w:marRight w:val="0"/>
      <w:marTop w:val="0"/>
      <w:marBottom w:val="0"/>
      <w:divBdr>
        <w:top w:val="none" w:sz="0" w:space="0" w:color="auto"/>
        <w:left w:val="none" w:sz="0" w:space="0" w:color="auto"/>
        <w:bottom w:val="none" w:sz="0" w:space="0" w:color="auto"/>
        <w:right w:val="none" w:sz="0" w:space="0" w:color="auto"/>
      </w:divBdr>
      <w:divsChild>
        <w:div w:id="16321502">
          <w:marLeft w:val="0"/>
          <w:marRight w:val="0"/>
          <w:marTop w:val="180"/>
          <w:marBottom w:val="180"/>
          <w:divBdr>
            <w:top w:val="none" w:sz="0" w:space="0" w:color="auto"/>
            <w:left w:val="none" w:sz="0" w:space="0" w:color="auto"/>
            <w:bottom w:val="none" w:sz="0" w:space="0" w:color="auto"/>
            <w:right w:val="none" w:sz="0" w:space="0" w:color="auto"/>
          </w:divBdr>
        </w:div>
      </w:divsChild>
    </w:div>
    <w:div w:id="1092554515">
      <w:marLeft w:val="0"/>
      <w:marRight w:val="0"/>
      <w:marTop w:val="180"/>
      <w:marBottom w:val="0"/>
      <w:divBdr>
        <w:top w:val="none" w:sz="0" w:space="0" w:color="auto"/>
        <w:left w:val="none" w:sz="0" w:space="0" w:color="auto"/>
        <w:bottom w:val="none" w:sz="0" w:space="0" w:color="auto"/>
        <w:right w:val="none" w:sz="0" w:space="0" w:color="auto"/>
      </w:divBdr>
    </w:div>
    <w:div w:id="1095394026">
      <w:marLeft w:val="0"/>
      <w:marRight w:val="0"/>
      <w:marTop w:val="180"/>
      <w:marBottom w:val="0"/>
      <w:divBdr>
        <w:top w:val="none" w:sz="0" w:space="0" w:color="auto"/>
        <w:left w:val="none" w:sz="0" w:space="0" w:color="auto"/>
        <w:bottom w:val="none" w:sz="0" w:space="0" w:color="auto"/>
        <w:right w:val="none" w:sz="0" w:space="0" w:color="auto"/>
      </w:divBdr>
    </w:div>
    <w:div w:id="1096563049">
      <w:marLeft w:val="0"/>
      <w:marRight w:val="0"/>
      <w:marTop w:val="180"/>
      <w:marBottom w:val="0"/>
      <w:divBdr>
        <w:top w:val="none" w:sz="0" w:space="0" w:color="auto"/>
        <w:left w:val="none" w:sz="0" w:space="0" w:color="auto"/>
        <w:bottom w:val="none" w:sz="0" w:space="0" w:color="auto"/>
        <w:right w:val="none" w:sz="0" w:space="0" w:color="auto"/>
      </w:divBdr>
    </w:div>
    <w:div w:id="1097559038">
      <w:marLeft w:val="0"/>
      <w:marRight w:val="0"/>
      <w:marTop w:val="0"/>
      <w:marBottom w:val="0"/>
      <w:divBdr>
        <w:top w:val="none" w:sz="0" w:space="0" w:color="auto"/>
        <w:left w:val="none" w:sz="0" w:space="0" w:color="auto"/>
        <w:bottom w:val="none" w:sz="0" w:space="0" w:color="auto"/>
        <w:right w:val="none" w:sz="0" w:space="0" w:color="auto"/>
      </w:divBdr>
      <w:divsChild>
        <w:div w:id="828865223">
          <w:marLeft w:val="0"/>
          <w:marRight w:val="0"/>
          <w:marTop w:val="180"/>
          <w:marBottom w:val="180"/>
          <w:divBdr>
            <w:top w:val="none" w:sz="0" w:space="0" w:color="auto"/>
            <w:left w:val="none" w:sz="0" w:space="0" w:color="auto"/>
            <w:bottom w:val="none" w:sz="0" w:space="0" w:color="auto"/>
            <w:right w:val="none" w:sz="0" w:space="0" w:color="auto"/>
          </w:divBdr>
        </w:div>
      </w:divsChild>
    </w:div>
    <w:div w:id="1099368679">
      <w:marLeft w:val="0"/>
      <w:marRight w:val="0"/>
      <w:marTop w:val="180"/>
      <w:marBottom w:val="0"/>
      <w:divBdr>
        <w:top w:val="none" w:sz="0" w:space="0" w:color="auto"/>
        <w:left w:val="none" w:sz="0" w:space="0" w:color="auto"/>
        <w:bottom w:val="none" w:sz="0" w:space="0" w:color="auto"/>
        <w:right w:val="none" w:sz="0" w:space="0" w:color="auto"/>
      </w:divBdr>
    </w:div>
    <w:div w:id="1104571894">
      <w:marLeft w:val="0"/>
      <w:marRight w:val="0"/>
      <w:marTop w:val="0"/>
      <w:marBottom w:val="0"/>
      <w:divBdr>
        <w:top w:val="none" w:sz="0" w:space="0" w:color="auto"/>
        <w:left w:val="none" w:sz="0" w:space="0" w:color="auto"/>
        <w:bottom w:val="none" w:sz="0" w:space="0" w:color="auto"/>
        <w:right w:val="none" w:sz="0" w:space="0" w:color="auto"/>
      </w:divBdr>
      <w:divsChild>
        <w:div w:id="1402678937">
          <w:marLeft w:val="0"/>
          <w:marRight w:val="0"/>
          <w:marTop w:val="180"/>
          <w:marBottom w:val="180"/>
          <w:divBdr>
            <w:top w:val="none" w:sz="0" w:space="0" w:color="auto"/>
            <w:left w:val="none" w:sz="0" w:space="0" w:color="auto"/>
            <w:bottom w:val="none" w:sz="0" w:space="0" w:color="auto"/>
            <w:right w:val="none" w:sz="0" w:space="0" w:color="auto"/>
          </w:divBdr>
        </w:div>
      </w:divsChild>
    </w:div>
    <w:div w:id="1105271135">
      <w:marLeft w:val="0"/>
      <w:marRight w:val="0"/>
      <w:marTop w:val="180"/>
      <w:marBottom w:val="0"/>
      <w:divBdr>
        <w:top w:val="none" w:sz="0" w:space="0" w:color="auto"/>
        <w:left w:val="none" w:sz="0" w:space="0" w:color="auto"/>
        <w:bottom w:val="none" w:sz="0" w:space="0" w:color="auto"/>
        <w:right w:val="none" w:sz="0" w:space="0" w:color="auto"/>
      </w:divBdr>
    </w:div>
    <w:div w:id="1110204312">
      <w:marLeft w:val="0"/>
      <w:marRight w:val="0"/>
      <w:marTop w:val="180"/>
      <w:marBottom w:val="0"/>
      <w:divBdr>
        <w:top w:val="none" w:sz="0" w:space="0" w:color="auto"/>
        <w:left w:val="none" w:sz="0" w:space="0" w:color="auto"/>
        <w:bottom w:val="none" w:sz="0" w:space="0" w:color="auto"/>
        <w:right w:val="none" w:sz="0" w:space="0" w:color="auto"/>
      </w:divBdr>
    </w:div>
    <w:div w:id="1119059152">
      <w:marLeft w:val="0"/>
      <w:marRight w:val="0"/>
      <w:marTop w:val="180"/>
      <w:marBottom w:val="60"/>
      <w:divBdr>
        <w:top w:val="none" w:sz="0" w:space="0" w:color="auto"/>
        <w:left w:val="none" w:sz="0" w:space="0" w:color="auto"/>
        <w:bottom w:val="none" w:sz="0" w:space="0" w:color="auto"/>
        <w:right w:val="none" w:sz="0" w:space="0" w:color="auto"/>
      </w:divBdr>
    </w:div>
    <w:div w:id="1120607993">
      <w:marLeft w:val="0"/>
      <w:marRight w:val="0"/>
      <w:marTop w:val="180"/>
      <w:marBottom w:val="0"/>
      <w:divBdr>
        <w:top w:val="none" w:sz="0" w:space="0" w:color="auto"/>
        <w:left w:val="none" w:sz="0" w:space="0" w:color="auto"/>
        <w:bottom w:val="none" w:sz="0" w:space="0" w:color="auto"/>
        <w:right w:val="none" w:sz="0" w:space="0" w:color="auto"/>
      </w:divBdr>
    </w:div>
    <w:div w:id="1123960066">
      <w:marLeft w:val="0"/>
      <w:marRight w:val="0"/>
      <w:marTop w:val="180"/>
      <w:marBottom w:val="0"/>
      <w:divBdr>
        <w:top w:val="none" w:sz="0" w:space="0" w:color="auto"/>
        <w:left w:val="none" w:sz="0" w:space="0" w:color="auto"/>
        <w:bottom w:val="none" w:sz="0" w:space="0" w:color="auto"/>
        <w:right w:val="none" w:sz="0" w:space="0" w:color="auto"/>
      </w:divBdr>
    </w:div>
    <w:div w:id="1125124721">
      <w:marLeft w:val="0"/>
      <w:marRight w:val="0"/>
      <w:marTop w:val="60"/>
      <w:marBottom w:val="0"/>
      <w:divBdr>
        <w:top w:val="none" w:sz="0" w:space="0" w:color="auto"/>
        <w:left w:val="none" w:sz="0" w:space="0" w:color="auto"/>
        <w:bottom w:val="none" w:sz="0" w:space="0" w:color="auto"/>
        <w:right w:val="none" w:sz="0" w:space="0" w:color="auto"/>
      </w:divBdr>
    </w:div>
    <w:div w:id="1131368036">
      <w:marLeft w:val="0"/>
      <w:marRight w:val="0"/>
      <w:marTop w:val="180"/>
      <w:marBottom w:val="0"/>
      <w:divBdr>
        <w:top w:val="none" w:sz="0" w:space="0" w:color="auto"/>
        <w:left w:val="none" w:sz="0" w:space="0" w:color="auto"/>
        <w:bottom w:val="none" w:sz="0" w:space="0" w:color="auto"/>
        <w:right w:val="none" w:sz="0" w:space="0" w:color="auto"/>
      </w:divBdr>
    </w:div>
    <w:div w:id="1135294466">
      <w:marLeft w:val="0"/>
      <w:marRight w:val="0"/>
      <w:marTop w:val="0"/>
      <w:marBottom w:val="0"/>
      <w:divBdr>
        <w:top w:val="none" w:sz="0" w:space="0" w:color="auto"/>
        <w:left w:val="none" w:sz="0" w:space="0" w:color="auto"/>
        <w:bottom w:val="none" w:sz="0" w:space="0" w:color="auto"/>
        <w:right w:val="none" w:sz="0" w:space="0" w:color="auto"/>
      </w:divBdr>
      <w:divsChild>
        <w:div w:id="1909993374">
          <w:marLeft w:val="0"/>
          <w:marRight w:val="0"/>
          <w:marTop w:val="0"/>
          <w:marBottom w:val="0"/>
          <w:divBdr>
            <w:top w:val="none" w:sz="0" w:space="0" w:color="auto"/>
            <w:left w:val="none" w:sz="0" w:space="0" w:color="auto"/>
            <w:bottom w:val="none" w:sz="0" w:space="0" w:color="auto"/>
            <w:right w:val="none" w:sz="0" w:space="0" w:color="auto"/>
          </w:divBdr>
          <w:divsChild>
            <w:div w:id="20874175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36218394">
      <w:marLeft w:val="0"/>
      <w:marRight w:val="0"/>
      <w:marTop w:val="0"/>
      <w:marBottom w:val="0"/>
      <w:divBdr>
        <w:top w:val="none" w:sz="0" w:space="0" w:color="auto"/>
        <w:left w:val="none" w:sz="0" w:space="0" w:color="auto"/>
        <w:bottom w:val="none" w:sz="0" w:space="0" w:color="auto"/>
        <w:right w:val="none" w:sz="0" w:space="0" w:color="auto"/>
      </w:divBdr>
      <w:divsChild>
        <w:div w:id="1483541523">
          <w:marLeft w:val="0"/>
          <w:marRight w:val="0"/>
          <w:marTop w:val="180"/>
          <w:marBottom w:val="0"/>
          <w:divBdr>
            <w:top w:val="none" w:sz="0" w:space="0" w:color="auto"/>
            <w:left w:val="none" w:sz="0" w:space="0" w:color="auto"/>
            <w:bottom w:val="none" w:sz="0" w:space="0" w:color="auto"/>
            <w:right w:val="none" w:sz="0" w:space="0" w:color="auto"/>
          </w:divBdr>
        </w:div>
      </w:divsChild>
    </w:div>
    <w:div w:id="1155990903">
      <w:marLeft w:val="0"/>
      <w:marRight w:val="0"/>
      <w:marTop w:val="180"/>
      <w:marBottom w:val="0"/>
      <w:divBdr>
        <w:top w:val="none" w:sz="0" w:space="0" w:color="auto"/>
        <w:left w:val="none" w:sz="0" w:space="0" w:color="auto"/>
        <w:bottom w:val="none" w:sz="0" w:space="0" w:color="auto"/>
        <w:right w:val="none" w:sz="0" w:space="0" w:color="auto"/>
      </w:divBdr>
    </w:div>
    <w:div w:id="1156148736">
      <w:marLeft w:val="0"/>
      <w:marRight w:val="0"/>
      <w:marTop w:val="120"/>
      <w:marBottom w:val="120"/>
      <w:divBdr>
        <w:top w:val="none" w:sz="0" w:space="0" w:color="auto"/>
        <w:left w:val="none" w:sz="0" w:space="0" w:color="auto"/>
        <w:bottom w:val="none" w:sz="0" w:space="0" w:color="auto"/>
        <w:right w:val="none" w:sz="0" w:space="0" w:color="auto"/>
      </w:divBdr>
    </w:div>
    <w:div w:id="1162425053">
      <w:marLeft w:val="0"/>
      <w:marRight w:val="0"/>
      <w:marTop w:val="180"/>
      <w:marBottom w:val="0"/>
      <w:divBdr>
        <w:top w:val="none" w:sz="0" w:space="0" w:color="auto"/>
        <w:left w:val="none" w:sz="0" w:space="0" w:color="auto"/>
        <w:bottom w:val="none" w:sz="0" w:space="0" w:color="auto"/>
        <w:right w:val="none" w:sz="0" w:space="0" w:color="auto"/>
      </w:divBdr>
    </w:div>
    <w:div w:id="1163468370">
      <w:marLeft w:val="0"/>
      <w:marRight w:val="0"/>
      <w:marTop w:val="180"/>
      <w:marBottom w:val="0"/>
      <w:divBdr>
        <w:top w:val="none" w:sz="0" w:space="0" w:color="auto"/>
        <w:left w:val="none" w:sz="0" w:space="0" w:color="auto"/>
        <w:bottom w:val="none" w:sz="0" w:space="0" w:color="auto"/>
        <w:right w:val="none" w:sz="0" w:space="0" w:color="auto"/>
      </w:divBdr>
    </w:div>
    <w:div w:id="1168405580">
      <w:marLeft w:val="0"/>
      <w:marRight w:val="0"/>
      <w:marTop w:val="180"/>
      <w:marBottom w:val="0"/>
      <w:divBdr>
        <w:top w:val="none" w:sz="0" w:space="0" w:color="auto"/>
        <w:left w:val="none" w:sz="0" w:space="0" w:color="auto"/>
        <w:bottom w:val="none" w:sz="0" w:space="0" w:color="auto"/>
        <w:right w:val="none" w:sz="0" w:space="0" w:color="auto"/>
      </w:divBdr>
    </w:div>
    <w:div w:id="1169298195">
      <w:marLeft w:val="0"/>
      <w:marRight w:val="0"/>
      <w:marTop w:val="180"/>
      <w:marBottom w:val="0"/>
      <w:divBdr>
        <w:top w:val="none" w:sz="0" w:space="0" w:color="auto"/>
        <w:left w:val="none" w:sz="0" w:space="0" w:color="auto"/>
        <w:bottom w:val="none" w:sz="0" w:space="0" w:color="auto"/>
        <w:right w:val="none" w:sz="0" w:space="0" w:color="auto"/>
      </w:divBdr>
    </w:div>
    <w:div w:id="1175535655">
      <w:marLeft w:val="0"/>
      <w:marRight w:val="0"/>
      <w:marTop w:val="0"/>
      <w:marBottom w:val="0"/>
      <w:divBdr>
        <w:top w:val="none" w:sz="0" w:space="0" w:color="auto"/>
        <w:left w:val="none" w:sz="0" w:space="0" w:color="auto"/>
        <w:bottom w:val="none" w:sz="0" w:space="0" w:color="auto"/>
        <w:right w:val="none" w:sz="0" w:space="0" w:color="auto"/>
      </w:divBdr>
      <w:divsChild>
        <w:div w:id="419722694">
          <w:marLeft w:val="0"/>
          <w:marRight w:val="0"/>
          <w:marTop w:val="0"/>
          <w:marBottom w:val="0"/>
          <w:divBdr>
            <w:top w:val="none" w:sz="0" w:space="0" w:color="auto"/>
            <w:left w:val="none" w:sz="0" w:space="0" w:color="auto"/>
            <w:bottom w:val="none" w:sz="0" w:space="0" w:color="auto"/>
            <w:right w:val="none" w:sz="0" w:space="0" w:color="auto"/>
          </w:divBdr>
          <w:divsChild>
            <w:div w:id="19219130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76308414">
      <w:marLeft w:val="0"/>
      <w:marRight w:val="0"/>
      <w:marTop w:val="180"/>
      <w:marBottom w:val="120"/>
      <w:divBdr>
        <w:top w:val="none" w:sz="0" w:space="0" w:color="auto"/>
        <w:left w:val="none" w:sz="0" w:space="0" w:color="auto"/>
        <w:bottom w:val="none" w:sz="0" w:space="0" w:color="auto"/>
        <w:right w:val="none" w:sz="0" w:space="0" w:color="auto"/>
      </w:divBdr>
    </w:div>
    <w:div w:id="1183015995">
      <w:marLeft w:val="0"/>
      <w:marRight w:val="0"/>
      <w:marTop w:val="180"/>
      <w:marBottom w:val="0"/>
      <w:divBdr>
        <w:top w:val="none" w:sz="0" w:space="0" w:color="auto"/>
        <w:left w:val="none" w:sz="0" w:space="0" w:color="auto"/>
        <w:bottom w:val="none" w:sz="0" w:space="0" w:color="auto"/>
        <w:right w:val="none" w:sz="0" w:space="0" w:color="auto"/>
      </w:divBdr>
    </w:div>
    <w:div w:id="1184126027">
      <w:marLeft w:val="0"/>
      <w:marRight w:val="0"/>
      <w:marTop w:val="180"/>
      <w:marBottom w:val="0"/>
      <w:divBdr>
        <w:top w:val="none" w:sz="0" w:space="0" w:color="auto"/>
        <w:left w:val="none" w:sz="0" w:space="0" w:color="auto"/>
        <w:bottom w:val="none" w:sz="0" w:space="0" w:color="auto"/>
        <w:right w:val="none" w:sz="0" w:space="0" w:color="auto"/>
      </w:divBdr>
    </w:div>
    <w:div w:id="1188256470">
      <w:marLeft w:val="0"/>
      <w:marRight w:val="0"/>
      <w:marTop w:val="60"/>
      <w:marBottom w:val="0"/>
      <w:divBdr>
        <w:top w:val="none" w:sz="0" w:space="0" w:color="auto"/>
        <w:left w:val="none" w:sz="0" w:space="0" w:color="auto"/>
        <w:bottom w:val="none" w:sz="0" w:space="0" w:color="auto"/>
        <w:right w:val="none" w:sz="0" w:space="0" w:color="auto"/>
      </w:divBdr>
    </w:div>
    <w:div w:id="1189833262">
      <w:marLeft w:val="0"/>
      <w:marRight w:val="0"/>
      <w:marTop w:val="180"/>
      <w:marBottom w:val="0"/>
      <w:divBdr>
        <w:top w:val="none" w:sz="0" w:space="0" w:color="auto"/>
        <w:left w:val="none" w:sz="0" w:space="0" w:color="auto"/>
        <w:bottom w:val="none" w:sz="0" w:space="0" w:color="auto"/>
        <w:right w:val="none" w:sz="0" w:space="0" w:color="auto"/>
      </w:divBdr>
    </w:div>
    <w:div w:id="1200777217">
      <w:marLeft w:val="0"/>
      <w:marRight w:val="0"/>
      <w:marTop w:val="0"/>
      <w:marBottom w:val="0"/>
      <w:divBdr>
        <w:top w:val="none" w:sz="0" w:space="0" w:color="auto"/>
        <w:left w:val="none" w:sz="0" w:space="0" w:color="auto"/>
        <w:bottom w:val="none" w:sz="0" w:space="0" w:color="auto"/>
        <w:right w:val="none" w:sz="0" w:space="0" w:color="auto"/>
      </w:divBdr>
      <w:divsChild>
        <w:div w:id="1383214875">
          <w:marLeft w:val="0"/>
          <w:marRight w:val="0"/>
          <w:marTop w:val="0"/>
          <w:marBottom w:val="0"/>
          <w:divBdr>
            <w:top w:val="none" w:sz="0" w:space="0" w:color="auto"/>
            <w:left w:val="none" w:sz="0" w:space="0" w:color="auto"/>
            <w:bottom w:val="none" w:sz="0" w:space="0" w:color="auto"/>
            <w:right w:val="none" w:sz="0" w:space="0" w:color="auto"/>
          </w:divBdr>
          <w:divsChild>
            <w:div w:id="19010161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04975707">
      <w:marLeft w:val="0"/>
      <w:marRight w:val="0"/>
      <w:marTop w:val="120"/>
      <w:marBottom w:val="0"/>
      <w:divBdr>
        <w:top w:val="none" w:sz="0" w:space="0" w:color="auto"/>
        <w:left w:val="none" w:sz="0" w:space="0" w:color="auto"/>
        <w:bottom w:val="none" w:sz="0" w:space="0" w:color="auto"/>
        <w:right w:val="none" w:sz="0" w:space="0" w:color="auto"/>
      </w:divBdr>
    </w:div>
    <w:div w:id="1206675813">
      <w:marLeft w:val="0"/>
      <w:marRight w:val="0"/>
      <w:marTop w:val="180"/>
      <w:marBottom w:val="0"/>
      <w:divBdr>
        <w:top w:val="none" w:sz="0" w:space="0" w:color="auto"/>
        <w:left w:val="none" w:sz="0" w:space="0" w:color="auto"/>
        <w:bottom w:val="none" w:sz="0" w:space="0" w:color="auto"/>
        <w:right w:val="none" w:sz="0" w:space="0" w:color="auto"/>
      </w:divBdr>
    </w:div>
    <w:div w:id="1210847803">
      <w:marLeft w:val="0"/>
      <w:marRight w:val="0"/>
      <w:marTop w:val="120"/>
      <w:marBottom w:val="0"/>
      <w:divBdr>
        <w:top w:val="none" w:sz="0" w:space="0" w:color="auto"/>
        <w:left w:val="none" w:sz="0" w:space="0" w:color="auto"/>
        <w:bottom w:val="none" w:sz="0" w:space="0" w:color="auto"/>
        <w:right w:val="none" w:sz="0" w:space="0" w:color="auto"/>
      </w:divBdr>
    </w:div>
    <w:div w:id="1212420888">
      <w:marLeft w:val="0"/>
      <w:marRight w:val="0"/>
      <w:marTop w:val="0"/>
      <w:marBottom w:val="0"/>
      <w:divBdr>
        <w:top w:val="none" w:sz="0" w:space="0" w:color="auto"/>
        <w:left w:val="none" w:sz="0" w:space="0" w:color="auto"/>
        <w:bottom w:val="none" w:sz="0" w:space="0" w:color="auto"/>
        <w:right w:val="none" w:sz="0" w:space="0" w:color="auto"/>
      </w:divBdr>
      <w:divsChild>
        <w:div w:id="1390499941">
          <w:marLeft w:val="0"/>
          <w:marRight w:val="0"/>
          <w:marTop w:val="180"/>
          <w:marBottom w:val="180"/>
          <w:divBdr>
            <w:top w:val="none" w:sz="0" w:space="0" w:color="auto"/>
            <w:left w:val="none" w:sz="0" w:space="0" w:color="auto"/>
            <w:bottom w:val="none" w:sz="0" w:space="0" w:color="auto"/>
            <w:right w:val="none" w:sz="0" w:space="0" w:color="auto"/>
          </w:divBdr>
        </w:div>
      </w:divsChild>
    </w:div>
    <w:div w:id="1212425134">
      <w:marLeft w:val="0"/>
      <w:marRight w:val="0"/>
      <w:marTop w:val="0"/>
      <w:marBottom w:val="0"/>
      <w:divBdr>
        <w:top w:val="none" w:sz="0" w:space="0" w:color="auto"/>
        <w:left w:val="none" w:sz="0" w:space="0" w:color="auto"/>
        <w:bottom w:val="none" w:sz="0" w:space="0" w:color="auto"/>
        <w:right w:val="none" w:sz="0" w:space="0" w:color="auto"/>
      </w:divBdr>
      <w:divsChild>
        <w:div w:id="1242527053">
          <w:marLeft w:val="0"/>
          <w:marRight w:val="0"/>
          <w:marTop w:val="180"/>
          <w:marBottom w:val="180"/>
          <w:divBdr>
            <w:top w:val="none" w:sz="0" w:space="0" w:color="auto"/>
            <w:left w:val="none" w:sz="0" w:space="0" w:color="auto"/>
            <w:bottom w:val="none" w:sz="0" w:space="0" w:color="auto"/>
            <w:right w:val="none" w:sz="0" w:space="0" w:color="auto"/>
          </w:divBdr>
        </w:div>
      </w:divsChild>
    </w:div>
    <w:div w:id="1217399411">
      <w:marLeft w:val="0"/>
      <w:marRight w:val="0"/>
      <w:marTop w:val="60"/>
      <w:marBottom w:val="20"/>
      <w:divBdr>
        <w:top w:val="none" w:sz="0" w:space="0" w:color="auto"/>
        <w:left w:val="none" w:sz="0" w:space="0" w:color="auto"/>
        <w:bottom w:val="none" w:sz="0" w:space="0" w:color="auto"/>
        <w:right w:val="none" w:sz="0" w:space="0" w:color="auto"/>
      </w:divBdr>
    </w:div>
    <w:div w:id="1224100449">
      <w:marLeft w:val="0"/>
      <w:marRight w:val="0"/>
      <w:marTop w:val="0"/>
      <w:marBottom w:val="0"/>
      <w:divBdr>
        <w:top w:val="none" w:sz="0" w:space="0" w:color="auto"/>
        <w:left w:val="none" w:sz="0" w:space="0" w:color="auto"/>
        <w:bottom w:val="none" w:sz="0" w:space="0" w:color="auto"/>
        <w:right w:val="none" w:sz="0" w:space="0" w:color="auto"/>
      </w:divBdr>
      <w:divsChild>
        <w:div w:id="2049835046">
          <w:marLeft w:val="0"/>
          <w:marRight w:val="0"/>
          <w:marTop w:val="0"/>
          <w:marBottom w:val="0"/>
          <w:divBdr>
            <w:top w:val="none" w:sz="0" w:space="0" w:color="auto"/>
            <w:left w:val="none" w:sz="0" w:space="0" w:color="auto"/>
            <w:bottom w:val="none" w:sz="0" w:space="0" w:color="auto"/>
            <w:right w:val="none" w:sz="0" w:space="0" w:color="auto"/>
          </w:divBdr>
          <w:divsChild>
            <w:div w:id="11535715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31382377">
      <w:marLeft w:val="0"/>
      <w:marRight w:val="0"/>
      <w:marTop w:val="60"/>
      <w:marBottom w:val="0"/>
      <w:divBdr>
        <w:top w:val="none" w:sz="0" w:space="0" w:color="auto"/>
        <w:left w:val="none" w:sz="0" w:space="0" w:color="auto"/>
        <w:bottom w:val="none" w:sz="0" w:space="0" w:color="auto"/>
        <w:right w:val="none" w:sz="0" w:space="0" w:color="auto"/>
      </w:divBdr>
    </w:div>
    <w:div w:id="1233080891">
      <w:marLeft w:val="0"/>
      <w:marRight w:val="0"/>
      <w:marTop w:val="180"/>
      <w:marBottom w:val="0"/>
      <w:divBdr>
        <w:top w:val="none" w:sz="0" w:space="0" w:color="auto"/>
        <w:left w:val="none" w:sz="0" w:space="0" w:color="auto"/>
        <w:bottom w:val="none" w:sz="0" w:space="0" w:color="auto"/>
        <w:right w:val="none" w:sz="0" w:space="0" w:color="auto"/>
      </w:divBdr>
    </w:div>
    <w:div w:id="1233193847">
      <w:marLeft w:val="0"/>
      <w:marRight w:val="0"/>
      <w:marTop w:val="0"/>
      <w:marBottom w:val="0"/>
      <w:divBdr>
        <w:top w:val="none" w:sz="0" w:space="0" w:color="auto"/>
        <w:left w:val="none" w:sz="0" w:space="0" w:color="auto"/>
        <w:bottom w:val="none" w:sz="0" w:space="0" w:color="auto"/>
        <w:right w:val="none" w:sz="0" w:space="0" w:color="auto"/>
      </w:divBdr>
      <w:divsChild>
        <w:div w:id="109204711">
          <w:marLeft w:val="0"/>
          <w:marRight w:val="0"/>
          <w:marTop w:val="180"/>
          <w:marBottom w:val="0"/>
          <w:divBdr>
            <w:top w:val="none" w:sz="0" w:space="0" w:color="auto"/>
            <w:left w:val="none" w:sz="0" w:space="0" w:color="auto"/>
            <w:bottom w:val="none" w:sz="0" w:space="0" w:color="auto"/>
            <w:right w:val="none" w:sz="0" w:space="0" w:color="auto"/>
          </w:divBdr>
        </w:div>
      </w:divsChild>
    </w:div>
    <w:div w:id="1239750379">
      <w:marLeft w:val="0"/>
      <w:marRight w:val="0"/>
      <w:marTop w:val="180"/>
      <w:marBottom w:val="0"/>
      <w:divBdr>
        <w:top w:val="none" w:sz="0" w:space="0" w:color="auto"/>
        <w:left w:val="none" w:sz="0" w:space="0" w:color="auto"/>
        <w:bottom w:val="none" w:sz="0" w:space="0" w:color="auto"/>
        <w:right w:val="none" w:sz="0" w:space="0" w:color="auto"/>
      </w:divBdr>
    </w:div>
    <w:div w:id="1241402605">
      <w:marLeft w:val="0"/>
      <w:marRight w:val="0"/>
      <w:marTop w:val="120"/>
      <w:marBottom w:val="20"/>
      <w:divBdr>
        <w:top w:val="none" w:sz="0" w:space="0" w:color="auto"/>
        <w:left w:val="none" w:sz="0" w:space="0" w:color="auto"/>
        <w:bottom w:val="none" w:sz="0" w:space="0" w:color="auto"/>
        <w:right w:val="none" w:sz="0" w:space="0" w:color="auto"/>
      </w:divBdr>
      <w:divsChild>
        <w:div w:id="1085688053">
          <w:marLeft w:val="0"/>
          <w:marRight w:val="0"/>
          <w:marTop w:val="120"/>
          <w:marBottom w:val="120"/>
          <w:divBdr>
            <w:top w:val="none" w:sz="0" w:space="0" w:color="auto"/>
            <w:left w:val="none" w:sz="0" w:space="0" w:color="auto"/>
            <w:bottom w:val="none" w:sz="0" w:space="0" w:color="auto"/>
            <w:right w:val="none" w:sz="0" w:space="0" w:color="auto"/>
          </w:divBdr>
        </w:div>
        <w:div w:id="198325962">
          <w:marLeft w:val="0"/>
          <w:marRight w:val="0"/>
          <w:marTop w:val="120"/>
          <w:marBottom w:val="120"/>
          <w:divBdr>
            <w:top w:val="none" w:sz="0" w:space="0" w:color="auto"/>
            <w:left w:val="none" w:sz="0" w:space="0" w:color="auto"/>
            <w:bottom w:val="none" w:sz="0" w:space="0" w:color="auto"/>
            <w:right w:val="none" w:sz="0" w:space="0" w:color="auto"/>
          </w:divBdr>
        </w:div>
        <w:div w:id="228732847">
          <w:marLeft w:val="0"/>
          <w:marRight w:val="0"/>
          <w:marTop w:val="120"/>
          <w:marBottom w:val="120"/>
          <w:divBdr>
            <w:top w:val="none" w:sz="0" w:space="0" w:color="auto"/>
            <w:left w:val="none" w:sz="0" w:space="0" w:color="auto"/>
            <w:bottom w:val="none" w:sz="0" w:space="0" w:color="auto"/>
            <w:right w:val="none" w:sz="0" w:space="0" w:color="auto"/>
          </w:divBdr>
        </w:div>
        <w:div w:id="1629164358">
          <w:marLeft w:val="0"/>
          <w:marRight w:val="0"/>
          <w:marTop w:val="120"/>
          <w:marBottom w:val="120"/>
          <w:divBdr>
            <w:top w:val="none" w:sz="0" w:space="0" w:color="auto"/>
            <w:left w:val="none" w:sz="0" w:space="0" w:color="auto"/>
            <w:bottom w:val="none" w:sz="0" w:space="0" w:color="auto"/>
            <w:right w:val="none" w:sz="0" w:space="0" w:color="auto"/>
          </w:divBdr>
        </w:div>
      </w:divsChild>
    </w:div>
    <w:div w:id="1246108646">
      <w:marLeft w:val="0"/>
      <w:marRight w:val="0"/>
      <w:marTop w:val="180"/>
      <w:marBottom w:val="0"/>
      <w:divBdr>
        <w:top w:val="none" w:sz="0" w:space="0" w:color="auto"/>
        <w:left w:val="none" w:sz="0" w:space="0" w:color="auto"/>
        <w:bottom w:val="none" w:sz="0" w:space="0" w:color="auto"/>
        <w:right w:val="none" w:sz="0" w:space="0" w:color="auto"/>
      </w:divBdr>
    </w:div>
    <w:div w:id="1248348822">
      <w:marLeft w:val="0"/>
      <w:marRight w:val="0"/>
      <w:marTop w:val="0"/>
      <w:marBottom w:val="0"/>
      <w:divBdr>
        <w:top w:val="none" w:sz="0" w:space="0" w:color="auto"/>
        <w:left w:val="none" w:sz="0" w:space="0" w:color="auto"/>
        <w:bottom w:val="none" w:sz="0" w:space="0" w:color="auto"/>
        <w:right w:val="none" w:sz="0" w:space="0" w:color="auto"/>
      </w:divBdr>
      <w:divsChild>
        <w:div w:id="1904094773">
          <w:marLeft w:val="0"/>
          <w:marRight w:val="0"/>
          <w:marTop w:val="0"/>
          <w:marBottom w:val="0"/>
          <w:divBdr>
            <w:top w:val="none" w:sz="0" w:space="0" w:color="auto"/>
            <w:left w:val="none" w:sz="0" w:space="0" w:color="auto"/>
            <w:bottom w:val="none" w:sz="0" w:space="0" w:color="auto"/>
            <w:right w:val="none" w:sz="0" w:space="0" w:color="auto"/>
          </w:divBdr>
          <w:divsChild>
            <w:div w:id="10480643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56017511">
      <w:marLeft w:val="0"/>
      <w:marRight w:val="0"/>
      <w:marTop w:val="160"/>
      <w:marBottom w:val="0"/>
      <w:divBdr>
        <w:top w:val="none" w:sz="0" w:space="0" w:color="auto"/>
        <w:left w:val="none" w:sz="0" w:space="0" w:color="auto"/>
        <w:bottom w:val="none" w:sz="0" w:space="0" w:color="auto"/>
        <w:right w:val="none" w:sz="0" w:space="0" w:color="auto"/>
      </w:divBdr>
    </w:div>
    <w:div w:id="1257207711">
      <w:marLeft w:val="0"/>
      <w:marRight w:val="0"/>
      <w:marTop w:val="180"/>
      <w:marBottom w:val="0"/>
      <w:divBdr>
        <w:top w:val="none" w:sz="0" w:space="0" w:color="auto"/>
        <w:left w:val="none" w:sz="0" w:space="0" w:color="auto"/>
        <w:bottom w:val="none" w:sz="0" w:space="0" w:color="auto"/>
        <w:right w:val="none" w:sz="0" w:space="0" w:color="auto"/>
      </w:divBdr>
    </w:div>
    <w:div w:id="1258370776">
      <w:marLeft w:val="0"/>
      <w:marRight w:val="0"/>
      <w:marTop w:val="180"/>
      <w:marBottom w:val="0"/>
      <w:divBdr>
        <w:top w:val="none" w:sz="0" w:space="0" w:color="auto"/>
        <w:left w:val="none" w:sz="0" w:space="0" w:color="auto"/>
        <w:bottom w:val="none" w:sz="0" w:space="0" w:color="auto"/>
        <w:right w:val="none" w:sz="0" w:space="0" w:color="auto"/>
      </w:divBdr>
    </w:div>
    <w:div w:id="1258826401">
      <w:marLeft w:val="0"/>
      <w:marRight w:val="0"/>
      <w:marTop w:val="180"/>
      <w:marBottom w:val="0"/>
      <w:divBdr>
        <w:top w:val="none" w:sz="0" w:space="0" w:color="auto"/>
        <w:left w:val="none" w:sz="0" w:space="0" w:color="auto"/>
        <w:bottom w:val="none" w:sz="0" w:space="0" w:color="auto"/>
        <w:right w:val="none" w:sz="0" w:space="0" w:color="auto"/>
      </w:divBdr>
    </w:div>
    <w:div w:id="1265991459">
      <w:marLeft w:val="0"/>
      <w:marRight w:val="0"/>
      <w:marTop w:val="60"/>
      <w:marBottom w:val="20"/>
      <w:divBdr>
        <w:top w:val="none" w:sz="0" w:space="0" w:color="auto"/>
        <w:left w:val="none" w:sz="0" w:space="0" w:color="auto"/>
        <w:bottom w:val="none" w:sz="0" w:space="0" w:color="auto"/>
        <w:right w:val="none" w:sz="0" w:space="0" w:color="auto"/>
      </w:divBdr>
    </w:div>
    <w:div w:id="1275671788">
      <w:marLeft w:val="0"/>
      <w:marRight w:val="0"/>
      <w:marTop w:val="0"/>
      <w:marBottom w:val="0"/>
      <w:divBdr>
        <w:top w:val="none" w:sz="0" w:space="0" w:color="auto"/>
        <w:left w:val="none" w:sz="0" w:space="0" w:color="auto"/>
        <w:bottom w:val="none" w:sz="0" w:space="0" w:color="auto"/>
        <w:right w:val="none" w:sz="0" w:space="0" w:color="auto"/>
      </w:divBdr>
      <w:divsChild>
        <w:div w:id="215892682">
          <w:marLeft w:val="0"/>
          <w:marRight w:val="0"/>
          <w:marTop w:val="0"/>
          <w:marBottom w:val="0"/>
          <w:divBdr>
            <w:top w:val="none" w:sz="0" w:space="0" w:color="auto"/>
            <w:left w:val="none" w:sz="0" w:space="0" w:color="auto"/>
            <w:bottom w:val="none" w:sz="0" w:space="0" w:color="auto"/>
            <w:right w:val="none" w:sz="0" w:space="0" w:color="auto"/>
          </w:divBdr>
          <w:divsChild>
            <w:div w:id="8242064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79800820">
      <w:marLeft w:val="0"/>
      <w:marRight w:val="0"/>
      <w:marTop w:val="240"/>
      <w:marBottom w:val="0"/>
      <w:divBdr>
        <w:top w:val="none" w:sz="0" w:space="0" w:color="auto"/>
        <w:left w:val="none" w:sz="0" w:space="0" w:color="auto"/>
        <w:bottom w:val="none" w:sz="0" w:space="0" w:color="auto"/>
        <w:right w:val="none" w:sz="0" w:space="0" w:color="auto"/>
      </w:divBdr>
    </w:div>
    <w:div w:id="1292982712">
      <w:marLeft w:val="0"/>
      <w:marRight w:val="0"/>
      <w:marTop w:val="180"/>
      <w:marBottom w:val="0"/>
      <w:divBdr>
        <w:top w:val="none" w:sz="0" w:space="0" w:color="auto"/>
        <w:left w:val="none" w:sz="0" w:space="0" w:color="auto"/>
        <w:bottom w:val="none" w:sz="0" w:space="0" w:color="auto"/>
        <w:right w:val="none" w:sz="0" w:space="0" w:color="auto"/>
      </w:divBdr>
    </w:div>
    <w:div w:id="1295792346">
      <w:marLeft w:val="0"/>
      <w:marRight w:val="0"/>
      <w:marTop w:val="60"/>
      <w:marBottom w:val="20"/>
      <w:divBdr>
        <w:top w:val="none" w:sz="0" w:space="0" w:color="auto"/>
        <w:left w:val="none" w:sz="0" w:space="0" w:color="auto"/>
        <w:bottom w:val="none" w:sz="0" w:space="0" w:color="auto"/>
        <w:right w:val="none" w:sz="0" w:space="0" w:color="auto"/>
      </w:divBdr>
    </w:div>
    <w:div w:id="1297030097">
      <w:marLeft w:val="0"/>
      <w:marRight w:val="0"/>
      <w:marTop w:val="180"/>
      <w:marBottom w:val="0"/>
      <w:divBdr>
        <w:top w:val="none" w:sz="0" w:space="0" w:color="auto"/>
        <w:left w:val="none" w:sz="0" w:space="0" w:color="auto"/>
        <w:bottom w:val="none" w:sz="0" w:space="0" w:color="auto"/>
        <w:right w:val="none" w:sz="0" w:space="0" w:color="auto"/>
      </w:divBdr>
    </w:div>
    <w:div w:id="1301184462">
      <w:marLeft w:val="0"/>
      <w:marRight w:val="0"/>
      <w:marTop w:val="120"/>
      <w:marBottom w:val="0"/>
      <w:divBdr>
        <w:top w:val="none" w:sz="0" w:space="0" w:color="auto"/>
        <w:left w:val="none" w:sz="0" w:space="0" w:color="auto"/>
        <w:bottom w:val="none" w:sz="0" w:space="0" w:color="auto"/>
        <w:right w:val="none" w:sz="0" w:space="0" w:color="auto"/>
      </w:divBdr>
    </w:div>
    <w:div w:id="1302688761">
      <w:marLeft w:val="0"/>
      <w:marRight w:val="0"/>
      <w:marTop w:val="0"/>
      <w:marBottom w:val="0"/>
      <w:divBdr>
        <w:top w:val="none" w:sz="0" w:space="0" w:color="auto"/>
        <w:left w:val="none" w:sz="0" w:space="0" w:color="auto"/>
        <w:bottom w:val="none" w:sz="0" w:space="0" w:color="auto"/>
        <w:right w:val="none" w:sz="0" w:space="0" w:color="auto"/>
      </w:divBdr>
      <w:divsChild>
        <w:div w:id="236745611">
          <w:marLeft w:val="0"/>
          <w:marRight w:val="0"/>
          <w:marTop w:val="0"/>
          <w:marBottom w:val="0"/>
          <w:divBdr>
            <w:top w:val="none" w:sz="0" w:space="0" w:color="auto"/>
            <w:left w:val="none" w:sz="0" w:space="0" w:color="auto"/>
            <w:bottom w:val="none" w:sz="0" w:space="0" w:color="auto"/>
            <w:right w:val="none" w:sz="0" w:space="0" w:color="auto"/>
          </w:divBdr>
          <w:divsChild>
            <w:div w:id="21466548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05165043">
      <w:marLeft w:val="0"/>
      <w:marRight w:val="0"/>
      <w:marTop w:val="180"/>
      <w:marBottom w:val="0"/>
      <w:divBdr>
        <w:top w:val="none" w:sz="0" w:space="0" w:color="auto"/>
        <w:left w:val="none" w:sz="0" w:space="0" w:color="auto"/>
        <w:bottom w:val="none" w:sz="0" w:space="0" w:color="auto"/>
        <w:right w:val="none" w:sz="0" w:space="0" w:color="auto"/>
      </w:divBdr>
    </w:div>
    <w:div w:id="1306740784">
      <w:marLeft w:val="0"/>
      <w:marRight w:val="0"/>
      <w:marTop w:val="0"/>
      <w:marBottom w:val="0"/>
      <w:divBdr>
        <w:top w:val="none" w:sz="0" w:space="0" w:color="auto"/>
        <w:left w:val="none" w:sz="0" w:space="0" w:color="auto"/>
        <w:bottom w:val="none" w:sz="0" w:space="0" w:color="auto"/>
        <w:right w:val="none" w:sz="0" w:space="0" w:color="auto"/>
      </w:divBdr>
      <w:divsChild>
        <w:div w:id="1864979110">
          <w:marLeft w:val="0"/>
          <w:marRight w:val="0"/>
          <w:marTop w:val="180"/>
          <w:marBottom w:val="180"/>
          <w:divBdr>
            <w:top w:val="none" w:sz="0" w:space="0" w:color="auto"/>
            <w:left w:val="none" w:sz="0" w:space="0" w:color="auto"/>
            <w:bottom w:val="none" w:sz="0" w:space="0" w:color="auto"/>
            <w:right w:val="none" w:sz="0" w:space="0" w:color="auto"/>
          </w:divBdr>
        </w:div>
      </w:divsChild>
    </w:div>
    <w:div w:id="1311594321">
      <w:marLeft w:val="0"/>
      <w:marRight w:val="0"/>
      <w:marTop w:val="180"/>
      <w:marBottom w:val="0"/>
      <w:divBdr>
        <w:top w:val="none" w:sz="0" w:space="0" w:color="auto"/>
        <w:left w:val="none" w:sz="0" w:space="0" w:color="auto"/>
        <w:bottom w:val="none" w:sz="0" w:space="0" w:color="auto"/>
        <w:right w:val="none" w:sz="0" w:space="0" w:color="auto"/>
      </w:divBdr>
    </w:div>
    <w:div w:id="1317490437">
      <w:marLeft w:val="0"/>
      <w:marRight w:val="0"/>
      <w:marTop w:val="130"/>
      <w:marBottom w:val="120"/>
      <w:divBdr>
        <w:top w:val="none" w:sz="0" w:space="0" w:color="auto"/>
        <w:left w:val="none" w:sz="0" w:space="0" w:color="auto"/>
        <w:bottom w:val="none" w:sz="0" w:space="0" w:color="auto"/>
        <w:right w:val="none" w:sz="0" w:space="0" w:color="auto"/>
      </w:divBdr>
    </w:div>
    <w:div w:id="1319268988">
      <w:marLeft w:val="0"/>
      <w:marRight w:val="0"/>
      <w:marTop w:val="240"/>
      <w:marBottom w:val="0"/>
      <w:divBdr>
        <w:top w:val="none" w:sz="0" w:space="0" w:color="auto"/>
        <w:left w:val="none" w:sz="0" w:space="0" w:color="auto"/>
        <w:bottom w:val="none" w:sz="0" w:space="0" w:color="auto"/>
        <w:right w:val="none" w:sz="0" w:space="0" w:color="auto"/>
      </w:divBdr>
    </w:div>
    <w:div w:id="1322082076">
      <w:marLeft w:val="0"/>
      <w:marRight w:val="0"/>
      <w:marTop w:val="180"/>
      <w:marBottom w:val="0"/>
      <w:divBdr>
        <w:top w:val="none" w:sz="0" w:space="0" w:color="auto"/>
        <w:left w:val="none" w:sz="0" w:space="0" w:color="auto"/>
        <w:bottom w:val="none" w:sz="0" w:space="0" w:color="auto"/>
        <w:right w:val="none" w:sz="0" w:space="0" w:color="auto"/>
      </w:divBdr>
    </w:div>
    <w:div w:id="1324311695">
      <w:marLeft w:val="0"/>
      <w:marRight w:val="0"/>
      <w:marTop w:val="60"/>
      <w:marBottom w:val="120"/>
      <w:divBdr>
        <w:top w:val="none" w:sz="0" w:space="0" w:color="auto"/>
        <w:left w:val="none" w:sz="0" w:space="0" w:color="auto"/>
        <w:bottom w:val="none" w:sz="0" w:space="0" w:color="auto"/>
        <w:right w:val="none" w:sz="0" w:space="0" w:color="auto"/>
      </w:divBdr>
    </w:div>
    <w:div w:id="1325932115">
      <w:marLeft w:val="0"/>
      <w:marRight w:val="0"/>
      <w:marTop w:val="180"/>
      <w:marBottom w:val="0"/>
      <w:divBdr>
        <w:top w:val="none" w:sz="0" w:space="0" w:color="auto"/>
        <w:left w:val="none" w:sz="0" w:space="0" w:color="auto"/>
        <w:bottom w:val="none" w:sz="0" w:space="0" w:color="auto"/>
        <w:right w:val="none" w:sz="0" w:space="0" w:color="auto"/>
      </w:divBdr>
    </w:div>
    <w:div w:id="1330019899">
      <w:marLeft w:val="0"/>
      <w:marRight w:val="0"/>
      <w:marTop w:val="0"/>
      <w:marBottom w:val="0"/>
      <w:divBdr>
        <w:top w:val="none" w:sz="0" w:space="0" w:color="auto"/>
        <w:left w:val="none" w:sz="0" w:space="0" w:color="auto"/>
        <w:bottom w:val="none" w:sz="0" w:space="0" w:color="auto"/>
        <w:right w:val="none" w:sz="0" w:space="0" w:color="auto"/>
      </w:divBdr>
      <w:divsChild>
        <w:div w:id="1344476080">
          <w:marLeft w:val="0"/>
          <w:marRight w:val="0"/>
          <w:marTop w:val="0"/>
          <w:marBottom w:val="0"/>
          <w:divBdr>
            <w:top w:val="none" w:sz="0" w:space="0" w:color="auto"/>
            <w:left w:val="none" w:sz="0" w:space="0" w:color="auto"/>
            <w:bottom w:val="none" w:sz="0" w:space="0" w:color="auto"/>
            <w:right w:val="none" w:sz="0" w:space="0" w:color="auto"/>
          </w:divBdr>
          <w:divsChild>
            <w:div w:id="11874043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30871142">
      <w:marLeft w:val="0"/>
      <w:marRight w:val="0"/>
      <w:marTop w:val="60"/>
      <w:marBottom w:val="120"/>
      <w:divBdr>
        <w:top w:val="none" w:sz="0" w:space="0" w:color="auto"/>
        <w:left w:val="none" w:sz="0" w:space="0" w:color="auto"/>
        <w:bottom w:val="none" w:sz="0" w:space="0" w:color="auto"/>
        <w:right w:val="none" w:sz="0" w:space="0" w:color="auto"/>
      </w:divBdr>
    </w:div>
    <w:div w:id="1333221539">
      <w:marLeft w:val="0"/>
      <w:marRight w:val="0"/>
      <w:marTop w:val="180"/>
      <w:marBottom w:val="0"/>
      <w:divBdr>
        <w:top w:val="none" w:sz="0" w:space="0" w:color="auto"/>
        <w:left w:val="none" w:sz="0" w:space="0" w:color="auto"/>
        <w:bottom w:val="none" w:sz="0" w:space="0" w:color="auto"/>
        <w:right w:val="none" w:sz="0" w:space="0" w:color="auto"/>
      </w:divBdr>
    </w:div>
    <w:div w:id="1338146519">
      <w:marLeft w:val="0"/>
      <w:marRight w:val="0"/>
      <w:marTop w:val="120"/>
      <w:marBottom w:val="0"/>
      <w:divBdr>
        <w:top w:val="none" w:sz="0" w:space="0" w:color="auto"/>
        <w:left w:val="none" w:sz="0" w:space="0" w:color="auto"/>
        <w:bottom w:val="none" w:sz="0" w:space="0" w:color="auto"/>
        <w:right w:val="none" w:sz="0" w:space="0" w:color="auto"/>
      </w:divBdr>
    </w:div>
    <w:div w:id="1340546653">
      <w:marLeft w:val="0"/>
      <w:marRight w:val="0"/>
      <w:marTop w:val="120"/>
      <w:marBottom w:val="0"/>
      <w:divBdr>
        <w:top w:val="none" w:sz="0" w:space="0" w:color="auto"/>
        <w:left w:val="none" w:sz="0" w:space="0" w:color="auto"/>
        <w:bottom w:val="none" w:sz="0" w:space="0" w:color="auto"/>
        <w:right w:val="none" w:sz="0" w:space="0" w:color="auto"/>
      </w:divBdr>
      <w:divsChild>
        <w:div w:id="1067151800">
          <w:marLeft w:val="0"/>
          <w:marRight w:val="0"/>
          <w:marTop w:val="0"/>
          <w:marBottom w:val="0"/>
          <w:divBdr>
            <w:top w:val="none" w:sz="0" w:space="0" w:color="auto"/>
            <w:left w:val="none" w:sz="0" w:space="0" w:color="auto"/>
            <w:bottom w:val="none" w:sz="0" w:space="0" w:color="auto"/>
            <w:right w:val="none" w:sz="0" w:space="0" w:color="auto"/>
          </w:divBdr>
        </w:div>
        <w:div w:id="1041397814">
          <w:marLeft w:val="0"/>
          <w:marRight w:val="0"/>
          <w:marTop w:val="60"/>
          <w:marBottom w:val="0"/>
          <w:divBdr>
            <w:top w:val="none" w:sz="0" w:space="0" w:color="auto"/>
            <w:left w:val="none" w:sz="0" w:space="0" w:color="auto"/>
            <w:bottom w:val="none" w:sz="0" w:space="0" w:color="auto"/>
            <w:right w:val="none" w:sz="0" w:space="0" w:color="auto"/>
          </w:divBdr>
        </w:div>
        <w:div w:id="1482192014">
          <w:marLeft w:val="0"/>
          <w:marRight w:val="0"/>
          <w:marTop w:val="60"/>
          <w:marBottom w:val="0"/>
          <w:divBdr>
            <w:top w:val="none" w:sz="0" w:space="0" w:color="auto"/>
            <w:left w:val="none" w:sz="0" w:space="0" w:color="auto"/>
            <w:bottom w:val="none" w:sz="0" w:space="0" w:color="auto"/>
            <w:right w:val="none" w:sz="0" w:space="0" w:color="auto"/>
          </w:divBdr>
        </w:div>
      </w:divsChild>
    </w:div>
    <w:div w:id="1345131006">
      <w:marLeft w:val="0"/>
      <w:marRight w:val="0"/>
      <w:marTop w:val="180"/>
      <w:marBottom w:val="0"/>
      <w:divBdr>
        <w:top w:val="none" w:sz="0" w:space="0" w:color="auto"/>
        <w:left w:val="none" w:sz="0" w:space="0" w:color="auto"/>
        <w:bottom w:val="none" w:sz="0" w:space="0" w:color="auto"/>
        <w:right w:val="none" w:sz="0" w:space="0" w:color="auto"/>
      </w:divBdr>
    </w:div>
    <w:div w:id="1349716313">
      <w:marLeft w:val="0"/>
      <w:marRight w:val="0"/>
      <w:marTop w:val="120"/>
      <w:marBottom w:val="0"/>
      <w:divBdr>
        <w:top w:val="none" w:sz="0" w:space="0" w:color="auto"/>
        <w:left w:val="none" w:sz="0" w:space="0" w:color="auto"/>
        <w:bottom w:val="none" w:sz="0" w:space="0" w:color="auto"/>
        <w:right w:val="none" w:sz="0" w:space="0" w:color="auto"/>
      </w:divBdr>
    </w:div>
    <w:div w:id="1351224259">
      <w:marLeft w:val="0"/>
      <w:marRight w:val="0"/>
      <w:marTop w:val="160"/>
      <w:marBottom w:val="0"/>
      <w:divBdr>
        <w:top w:val="none" w:sz="0" w:space="0" w:color="auto"/>
        <w:left w:val="none" w:sz="0" w:space="0" w:color="auto"/>
        <w:bottom w:val="none" w:sz="0" w:space="0" w:color="auto"/>
        <w:right w:val="none" w:sz="0" w:space="0" w:color="auto"/>
      </w:divBdr>
    </w:div>
    <w:div w:id="1359547601">
      <w:marLeft w:val="0"/>
      <w:marRight w:val="0"/>
      <w:marTop w:val="180"/>
      <w:marBottom w:val="0"/>
      <w:divBdr>
        <w:top w:val="none" w:sz="0" w:space="0" w:color="auto"/>
        <w:left w:val="none" w:sz="0" w:space="0" w:color="auto"/>
        <w:bottom w:val="none" w:sz="0" w:space="0" w:color="auto"/>
        <w:right w:val="none" w:sz="0" w:space="0" w:color="auto"/>
      </w:divBdr>
    </w:div>
    <w:div w:id="1368021808">
      <w:marLeft w:val="0"/>
      <w:marRight w:val="0"/>
      <w:marTop w:val="130"/>
      <w:marBottom w:val="0"/>
      <w:divBdr>
        <w:top w:val="none" w:sz="0" w:space="0" w:color="auto"/>
        <w:left w:val="none" w:sz="0" w:space="0" w:color="auto"/>
        <w:bottom w:val="none" w:sz="0" w:space="0" w:color="auto"/>
        <w:right w:val="none" w:sz="0" w:space="0" w:color="auto"/>
      </w:divBdr>
    </w:div>
    <w:div w:id="1371347017">
      <w:marLeft w:val="0"/>
      <w:marRight w:val="0"/>
      <w:marTop w:val="180"/>
      <w:marBottom w:val="0"/>
      <w:divBdr>
        <w:top w:val="none" w:sz="0" w:space="0" w:color="auto"/>
        <w:left w:val="none" w:sz="0" w:space="0" w:color="auto"/>
        <w:bottom w:val="none" w:sz="0" w:space="0" w:color="auto"/>
        <w:right w:val="none" w:sz="0" w:space="0" w:color="auto"/>
      </w:divBdr>
    </w:div>
    <w:div w:id="1375886738">
      <w:marLeft w:val="0"/>
      <w:marRight w:val="0"/>
      <w:marTop w:val="180"/>
      <w:marBottom w:val="0"/>
      <w:divBdr>
        <w:top w:val="none" w:sz="0" w:space="0" w:color="auto"/>
        <w:left w:val="none" w:sz="0" w:space="0" w:color="auto"/>
        <w:bottom w:val="none" w:sz="0" w:space="0" w:color="auto"/>
        <w:right w:val="none" w:sz="0" w:space="0" w:color="auto"/>
      </w:divBdr>
    </w:div>
    <w:div w:id="1379664857">
      <w:marLeft w:val="0"/>
      <w:marRight w:val="0"/>
      <w:marTop w:val="180"/>
      <w:marBottom w:val="0"/>
      <w:divBdr>
        <w:top w:val="none" w:sz="0" w:space="0" w:color="auto"/>
        <w:left w:val="none" w:sz="0" w:space="0" w:color="auto"/>
        <w:bottom w:val="none" w:sz="0" w:space="0" w:color="auto"/>
        <w:right w:val="none" w:sz="0" w:space="0" w:color="auto"/>
      </w:divBdr>
    </w:div>
    <w:div w:id="1380520583">
      <w:marLeft w:val="0"/>
      <w:marRight w:val="0"/>
      <w:marTop w:val="60"/>
      <w:marBottom w:val="20"/>
      <w:divBdr>
        <w:top w:val="none" w:sz="0" w:space="0" w:color="auto"/>
        <w:left w:val="none" w:sz="0" w:space="0" w:color="auto"/>
        <w:bottom w:val="none" w:sz="0" w:space="0" w:color="auto"/>
        <w:right w:val="none" w:sz="0" w:space="0" w:color="auto"/>
      </w:divBdr>
    </w:div>
    <w:div w:id="1380670699">
      <w:marLeft w:val="0"/>
      <w:marRight w:val="0"/>
      <w:marTop w:val="120"/>
      <w:marBottom w:val="0"/>
      <w:divBdr>
        <w:top w:val="none" w:sz="0" w:space="0" w:color="auto"/>
        <w:left w:val="none" w:sz="0" w:space="0" w:color="auto"/>
        <w:bottom w:val="none" w:sz="0" w:space="0" w:color="auto"/>
        <w:right w:val="none" w:sz="0" w:space="0" w:color="auto"/>
      </w:divBdr>
    </w:div>
    <w:div w:id="1387026789">
      <w:marLeft w:val="0"/>
      <w:marRight w:val="0"/>
      <w:marTop w:val="120"/>
      <w:marBottom w:val="0"/>
      <w:divBdr>
        <w:top w:val="none" w:sz="0" w:space="0" w:color="auto"/>
        <w:left w:val="none" w:sz="0" w:space="0" w:color="auto"/>
        <w:bottom w:val="none" w:sz="0" w:space="0" w:color="auto"/>
        <w:right w:val="none" w:sz="0" w:space="0" w:color="auto"/>
      </w:divBdr>
    </w:div>
    <w:div w:id="1389960468">
      <w:marLeft w:val="0"/>
      <w:marRight w:val="0"/>
      <w:marTop w:val="180"/>
      <w:marBottom w:val="0"/>
      <w:divBdr>
        <w:top w:val="none" w:sz="0" w:space="0" w:color="auto"/>
        <w:left w:val="none" w:sz="0" w:space="0" w:color="auto"/>
        <w:bottom w:val="none" w:sz="0" w:space="0" w:color="auto"/>
        <w:right w:val="none" w:sz="0" w:space="0" w:color="auto"/>
      </w:divBdr>
    </w:div>
    <w:div w:id="1390304277">
      <w:marLeft w:val="0"/>
      <w:marRight w:val="0"/>
      <w:marTop w:val="120"/>
      <w:marBottom w:val="20"/>
      <w:divBdr>
        <w:top w:val="none" w:sz="0" w:space="0" w:color="auto"/>
        <w:left w:val="none" w:sz="0" w:space="0" w:color="auto"/>
        <w:bottom w:val="none" w:sz="0" w:space="0" w:color="auto"/>
        <w:right w:val="none" w:sz="0" w:space="0" w:color="auto"/>
      </w:divBdr>
    </w:div>
    <w:div w:id="1402946395">
      <w:marLeft w:val="0"/>
      <w:marRight w:val="0"/>
      <w:marTop w:val="60"/>
      <w:marBottom w:val="0"/>
      <w:divBdr>
        <w:top w:val="none" w:sz="0" w:space="0" w:color="auto"/>
        <w:left w:val="none" w:sz="0" w:space="0" w:color="auto"/>
        <w:bottom w:val="none" w:sz="0" w:space="0" w:color="auto"/>
        <w:right w:val="none" w:sz="0" w:space="0" w:color="auto"/>
      </w:divBdr>
    </w:div>
    <w:div w:id="1407604463">
      <w:marLeft w:val="0"/>
      <w:marRight w:val="0"/>
      <w:marTop w:val="180"/>
      <w:marBottom w:val="20"/>
      <w:divBdr>
        <w:top w:val="none" w:sz="0" w:space="0" w:color="auto"/>
        <w:left w:val="none" w:sz="0" w:space="0" w:color="auto"/>
        <w:bottom w:val="none" w:sz="0" w:space="0" w:color="auto"/>
        <w:right w:val="none" w:sz="0" w:space="0" w:color="auto"/>
      </w:divBdr>
    </w:div>
    <w:div w:id="1409307527">
      <w:marLeft w:val="0"/>
      <w:marRight w:val="0"/>
      <w:marTop w:val="120"/>
      <w:marBottom w:val="0"/>
      <w:divBdr>
        <w:top w:val="none" w:sz="0" w:space="0" w:color="auto"/>
        <w:left w:val="none" w:sz="0" w:space="0" w:color="auto"/>
        <w:bottom w:val="none" w:sz="0" w:space="0" w:color="auto"/>
        <w:right w:val="none" w:sz="0" w:space="0" w:color="auto"/>
      </w:divBdr>
    </w:div>
    <w:div w:id="1413047852">
      <w:marLeft w:val="0"/>
      <w:marRight w:val="0"/>
      <w:marTop w:val="180"/>
      <w:marBottom w:val="0"/>
      <w:divBdr>
        <w:top w:val="none" w:sz="0" w:space="0" w:color="auto"/>
        <w:left w:val="none" w:sz="0" w:space="0" w:color="auto"/>
        <w:bottom w:val="none" w:sz="0" w:space="0" w:color="auto"/>
        <w:right w:val="none" w:sz="0" w:space="0" w:color="auto"/>
      </w:divBdr>
    </w:div>
    <w:div w:id="1421173210">
      <w:marLeft w:val="0"/>
      <w:marRight w:val="0"/>
      <w:marTop w:val="160"/>
      <w:marBottom w:val="0"/>
      <w:divBdr>
        <w:top w:val="none" w:sz="0" w:space="0" w:color="auto"/>
        <w:left w:val="none" w:sz="0" w:space="0" w:color="auto"/>
        <w:bottom w:val="none" w:sz="0" w:space="0" w:color="auto"/>
        <w:right w:val="none" w:sz="0" w:space="0" w:color="auto"/>
      </w:divBdr>
    </w:div>
    <w:div w:id="1423262642">
      <w:marLeft w:val="0"/>
      <w:marRight w:val="0"/>
      <w:marTop w:val="180"/>
      <w:marBottom w:val="0"/>
      <w:divBdr>
        <w:top w:val="none" w:sz="0" w:space="0" w:color="auto"/>
        <w:left w:val="none" w:sz="0" w:space="0" w:color="auto"/>
        <w:bottom w:val="none" w:sz="0" w:space="0" w:color="auto"/>
        <w:right w:val="none" w:sz="0" w:space="0" w:color="auto"/>
      </w:divBdr>
    </w:div>
    <w:div w:id="1423377356">
      <w:marLeft w:val="0"/>
      <w:marRight w:val="0"/>
      <w:marTop w:val="180"/>
      <w:marBottom w:val="0"/>
      <w:divBdr>
        <w:top w:val="none" w:sz="0" w:space="0" w:color="auto"/>
        <w:left w:val="none" w:sz="0" w:space="0" w:color="auto"/>
        <w:bottom w:val="none" w:sz="0" w:space="0" w:color="auto"/>
        <w:right w:val="none" w:sz="0" w:space="0" w:color="auto"/>
      </w:divBdr>
    </w:div>
    <w:div w:id="1423452197">
      <w:marLeft w:val="0"/>
      <w:marRight w:val="0"/>
      <w:marTop w:val="180"/>
      <w:marBottom w:val="0"/>
      <w:divBdr>
        <w:top w:val="none" w:sz="0" w:space="0" w:color="auto"/>
        <w:left w:val="none" w:sz="0" w:space="0" w:color="auto"/>
        <w:bottom w:val="none" w:sz="0" w:space="0" w:color="auto"/>
        <w:right w:val="none" w:sz="0" w:space="0" w:color="auto"/>
      </w:divBdr>
    </w:div>
    <w:div w:id="1439060671">
      <w:marLeft w:val="0"/>
      <w:marRight w:val="0"/>
      <w:marTop w:val="60"/>
      <w:marBottom w:val="0"/>
      <w:divBdr>
        <w:top w:val="none" w:sz="0" w:space="0" w:color="auto"/>
        <w:left w:val="none" w:sz="0" w:space="0" w:color="auto"/>
        <w:bottom w:val="none" w:sz="0" w:space="0" w:color="auto"/>
        <w:right w:val="none" w:sz="0" w:space="0" w:color="auto"/>
      </w:divBdr>
    </w:div>
    <w:div w:id="1448960925">
      <w:marLeft w:val="0"/>
      <w:marRight w:val="0"/>
      <w:marTop w:val="180"/>
      <w:marBottom w:val="0"/>
      <w:divBdr>
        <w:top w:val="none" w:sz="0" w:space="0" w:color="auto"/>
        <w:left w:val="none" w:sz="0" w:space="0" w:color="auto"/>
        <w:bottom w:val="none" w:sz="0" w:space="0" w:color="auto"/>
        <w:right w:val="none" w:sz="0" w:space="0" w:color="auto"/>
      </w:divBdr>
    </w:div>
    <w:div w:id="1465007272">
      <w:marLeft w:val="0"/>
      <w:marRight w:val="0"/>
      <w:marTop w:val="0"/>
      <w:marBottom w:val="0"/>
      <w:divBdr>
        <w:top w:val="none" w:sz="0" w:space="0" w:color="auto"/>
        <w:left w:val="none" w:sz="0" w:space="0" w:color="auto"/>
        <w:bottom w:val="none" w:sz="0" w:space="0" w:color="auto"/>
        <w:right w:val="none" w:sz="0" w:space="0" w:color="auto"/>
      </w:divBdr>
      <w:divsChild>
        <w:div w:id="1911845992">
          <w:marLeft w:val="0"/>
          <w:marRight w:val="0"/>
          <w:marTop w:val="180"/>
          <w:marBottom w:val="180"/>
          <w:divBdr>
            <w:top w:val="none" w:sz="0" w:space="0" w:color="auto"/>
            <w:left w:val="none" w:sz="0" w:space="0" w:color="auto"/>
            <w:bottom w:val="none" w:sz="0" w:space="0" w:color="auto"/>
            <w:right w:val="none" w:sz="0" w:space="0" w:color="auto"/>
          </w:divBdr>
        </w:div>
      </w:divsChild>
    </w:div>
    <w:div w:id="1467510907">
      <w:marLeft w:val="0"/>
      <w:marRight w:val="0"/>
      <w:marTop w:val="160"/>
      <w:marBottom w:val="0"/>
      <w:divBdr>
        <w:top w:val="none" w:sz="0" w:space="0" w:color="auto"/>
        <w:left w:val="none" w:sz="0" w:space="0" w:color="auto"/>
        <w:bottom w:val="none" w:sz="0" w:space="0" w:color="auto"/>
        <w:right w:val="none" w:sz="0" w:space="0" w:color="auto"/>
      </w:divBdr>
    </w:div>
    <w:div w:id="1474326855">
      <w:marLeft w:val="0"/>
      <w:marRight w:val="0"/>
      <w:marTop w:val="180"/>
      <w:marBottom w:val="0"/>
      <w:divBdr>
        <w:top w:val="none" w:sz="0" w:space="0" w:color="auto"/>
        <w:left w:val="none" w:sz="0" w:space="0" w:color="auto"/>
        <w:bottom w:val="none" w:sz="0" w:space="0" w:color="auto"/>
        <w:right w:val="none" w:sz="0" w:space="0" w:color="auto"/>
      </w:divBdr>
    </w:div>
    <w:div w:id="1474440873">
      <w:marLeft w:val="0"/>
      <w:marRight w:val="0"/>
      <w:marTop w:val="180"/>
      <w:marBottom w:val="0"/>
      <w:divBdr>
        <w:top w:val="none" w:sz="0" w:space="0" w:color="auto"/>
        <w:left w:val="none" w:sz="0" w:space="0" w:color="auto"/>
        <w:bottom w:val="none" w:sz="0" w:space="0" w:color="auto"/>
        <w:right w:val="none" w:sz="0" w:space="0" w:color="auto"/>
      </w:divBdr>
    </w:div>
    <w:div w:id="1479803346">
      <w:marLeft w:val="0"/>
      <w:marRight w:val="0"/>
      <w:marTop w:val="180"/>
      <w:marBottom w:val="0"/>
      <w:divBdr>
        <w:top w:val="none" w:sz="0" w:space="0" w:color="auto"/>
        <w:left w:val="none" w:sz="0" w:space="0" w:color="auto"/>
        <w:bottom w:val="none" w:sz="0" w:space="0" w:color="auto"/>
        <w:right w:val="none" w:sz="0" w:space="0" w:color="auto"/>
      </w:divBdr>
    </w:div>
    <w:div w:id="1484276776">
      <w:marLeft w:val="0"/>
      <w:marRight w:val="0"/>
      <w:marTop w:val="130"/>
      <w:marBottom w:val="0"/>
      <w:divBdr>
        <w:top w:val="none" w:sz="0" w:space="0" w:color="auto"/>
        <w:left w:val="none" w:sz="0" w:space="0" w:color="auto"/>
        <w:bottom w:val="none" w:sz="0" w:space="0" w:color="auto"/>
        <w:right w:val="none" w:sz="0" w:space="0" w:color="auto"/>
      </w:divBdr>
    </w:div>
    <w:div w:id="1488860012">
      <w:marLeft w:val="0"/>
      <w:marRight w:val="0"/>
      <w:marTop w:val="180"/>
      <w:marBottom w:val="60"/>
      <w:divBdr>
        <w:top w:val="none" w:sz="0" w:space="0" w:color="auto"/>
        <w:left w:val="none" w:sz="0" w:space="0" w:color="auto"/>
        <w:bottom w:val="none" w:sz="0" w:space="0" w:color="auto"/>
        <w:right w:val="none" w:sz="0" w:space="0" w:color="auto"/>
      </w:divBdr>
    </w:div>
    <w:div w:id="1491558134">
      <w:marLeft w:val="0"/>
      <w:marRight w:val="0"/>
      <w:marTop w:val="180"/>
      <w:marBottom w:val="0"/>
      <w:divBdr>
        <w:top w:val="none" w:sz="0" w:space="0" w:color="auto"/>
        <w:left w:val="none" w:sz="0" w:space="0" w:color="auto"/>
        <w:bottom w:val="none" w:sz="0" w:space="0" w:color="auto"/>
        <w:right w:val="none" w:sz="0" w:space="0" w:color="auto"/>
      </w:divBdr>
    </w:div>
    <w:div w:id="1492142073">
      <w:marLeft w:val="0"/>
      <w:marRight w:val="0"/>
      <w:marTop w:val="180"/>
      <w:marBottom w:val="20"/>
      <w:divBdr>
        <w:top w:val="none" w:sz="0" w:space="0" w:color="auto"/>
        <w:left w:val="none" w:sz="0" w:space="0" w:color="auto"/>
        <w:bottom w:val="none" w:sz="0" w:space="0" w:color="auto"/>
        <w:right w:val="none" w:sz="0" w:space="0" w:color="auto"/>
      </w:divBdr>
    </w:div>
    <w:div w:id="1503737392">
      <w:marLeft w:val="0"/>
      <w:marRight w:val="0"/>
      <w:marTop w:val="240"/>
      <w:marBottom w:val="0"/>
      <w:divBdr>
        <w:top w:val="none" w:sz="0" w:space="0" w:color="auto"/>
        <w:left w:val="none" w:sz="0" w:space="0" w:color="auto"/>
        <w:bottom w:val="none" w:sz="0" w:space="0" w:color="auto"/>
        <w:right w:val="none" w:sz="0" w:space="0" w:color="auto"/>
      </w:divBdr>
    </w:div>
    <w:div w:id="1506433786">
      <w:marLeft w:val="0"/>
      <w:marRight w:val="0"/>
      <w:marTop w:val="180"/>
      <w:marBottom w:val="0"/>
      <w:divBdr>
        <w:top w:val="none" w:sz="0" w:space="0" w:color="auto"/>
        <w:left w:val="none" w:sz="0" w:space="0" w:color="auto"/>
        <w:bottom w:val="none" w:sz="0" w:space="0" w:color="auto"/>
        <w:right w:val="none" w:sz="0" w:space="0" w:color="auto"/>
      </w:divBdr>
    </w:div>
    <w:div w:id="1511094983">
      <w:marLeft w:val="0"/>
      <w:marRight w:val="0"/>
      <w:marTop w:val="180"/>
      <w:marBottom w:val="0"/>
      <w:divBdr>
        <w:top w:val="none" w:sz="0" w:space="0" w:color="auto"/>
        <w:left w:val="none" w:sz="0" w:space="0" w:color="auto"/>
        <w:bottom w:val="none" w:sz="0" w:space="0" w:color="auto"/>
        <w:right w:val="none" w:sz="0" w:space="0" w:color="auto"/>
      </w:divBdr>
    </w:div>
    <w:div w:id="1523712520">
      <w:marLeft w:val="0"/>
      <w:marRight w:val="0"/>
      <w:marTop w:val="180"/>
      <w:marBottom w:val="0"/>
      <w:divBdr>
        <w:top w:val="none" w:sz="0" w:space="0" w:color="auto"/>
        <w:left w:val="none" w:sz="0" w:space="0" w:color="auto"/>
        <w:bottom w:val="none" w:sz="0" w:space="0" w:color="auto"/>
        <w:right w:val="none" w:sz="0" w:space="0" w:color="auto"/>
      </w:divBdr>
    </w:div>
    <w:div w:id="1525822438">
      <w:marLeft w:val="0"/>
      <w:marRight w:val="0"/>
      <w:marTop w:val="120"/>
      <w:marBottom w:val="0"/>
      <w:divBdr>
        <w:top w:val="none" w:sz="0" w:space="0" w:color="auto"/>
        <w:left w:val="none" w:sz="0" w:space="0" w:color="auto"/>
        <w:bottom w:val="none" w:sz="0" w:space="0" w:color="auto"/>
        <w:right w:val="none" w:sz="0" w:space="0" w:color="auto"/>
      </w:divBdr>
    </w:div>
    <w:div w:id="1528060632">
      <w:marLeft w:val="0"/>
      <w:marRight w:val="0"/>
      <w:marTop w:val="180"/>
      <w:marBottom w:val="0"/>
      <w:divBdr>
        <w:top w:val="none" w:sz="0" w:space="0" w:color="auto"/>
        <w:left w:val="none" w:sz="0" w:space="0" w:color="auto"/>
        <w:bottom w:val="none" w:sz="0" w:space="0" w:color="auto"/>
        <w:right w:val="none" w:sz="0" w:space="0" w:color="auto"/>
      </w:divBdr>
    </w:div>
    <w:div w:id="1529685527">
      <w:marLeft w:val="0"/>
      <w:marRight w:val="0"/>
      <w:marTop w:val="0"/>
      <w:marBottom w:val="0"/>
      <w:divBdr>
        <w:top w:val="none" w:sz="0" w:space="0" w:color="auto"/>
        <w:left w:val="none" w:sz="0" w:space="0" w:color="auto"/>
        <w:bottom w:val="none" w:sz="0" w:space="0" w:color="auto"/>
        <w:right w:val="none" w:sz="0" w:space="0" w:color="auto"/>
      </w:divBdr>
      <w:divsChild>
        <w:div w:id="1735201308">
          <w:marLeft w:val="0"/>
          <w:marRight w:val="0"/>
          <w:marTop w:val="180"/>
          <w:marBottom w:val="180"/>
          <w:divBdr>
            <w:top w:val="none" w:sz="0" w:space="0" w:color="auto"/>
            <w:left w:val="none" w:sz="0" w:space="0" w:color="auto"/>
            <w:bottom w:val="none" w:sz="0" w:space="0" w:color="auto"/>
            <w:right w:val="none" w:sz="0" w:space="0" w:color="auto"/>
          </w:divBdr>
        </w:div>
      </w:divsChild>
    </w:div>
    <w:div w:id="1549224635">
      <w:marLeft w:val="0"/>
      <w:marRight w:val="0"/>
      <w:marTop w:val="60"/>
      <w:marBottom w:val="20"/>
      <w:divBdr>
        <w:top w:val="none" w:sz="0" w:space="0" w:color="auto"/>
        <w:left w:val="none" w:sz="0" w:space="0" w:color="auto"/>
        <w:bottom w:val="none" w:sz="0" w:space="0" w:color="auto"/>
        <w:right w:val="none" w:sz="0" w:space="0" w:color="auto"/>
      </w:divBdr>
    </w:div>
    <w:div w:id="1559974954">
      <w:marLeft w:val="0"/>
      <w:marRight w:val="0"/>
      <w:marTop w:val="180"/>
      <w:marBottom w:val="0"/>
      <w:divBdr>
        <w:top w:val="none" w:sz="0" w:space="0" w:color="auto"/>
        <w:left w:val="none" w:sz="0" w:space="0" w:color="auto"/>
        <w:bottom w:val="none" w:sz="0" w:space="0" w:color="auto"/>
        <w:right w:val="none" w:sz="0" w:space="0" w:color="auto"/>
      </w:divBdr>
    </w:div>
    <w:div w:id="1560050007">
      <w:marLeft w:val="0"/>
      <w:marRight w:val="0"/>
      <w:marTop w:val="240"/>
      <w:marBottom w:val="0"/>
      <w:divBdr>
        <w:top w:val="none" w:sz="0" w:space="0" w:color="auto"/>
        <w:left w:val="none" w:sz="0" w:space="0" w:color="auto"/>
        <w:bottom w:val="none" w:sz="0" w:space="0" w:color="auto"/>
        <w:right w:val="none" w:sz="0" w:space="0" w:color="auto"/>
      </w:divBdr>
    </w:div>
    <w:div w:id="1561749163">
      <w:marLeft w:val="0"/>
      <w:marRight w:val="0"/>
      <w:marTop w:val="180"/>
      <w:marBottom w:val="0"/>
      <w:divBdr>
        <w:top w:val="none" w:sz="0" w:space="0" w:color="auto"/>
        <w:left w:val="none" w:sz="0" w:space="0" w:color="auto"/>
        <w:bottom w:val="none" w:sz="0" w:space="0" w:color="auto"/>
        <w:right w:val="none" w:sz="0" w:space="0" w:color="auto"/>
      </w:divBdr>
    </w:div>
    <w:div w:id="1562591641">
      <w:marLeft w:val="0"/>
      <w:marRight w:val="0"/>
      <w:marTop w:val="180"/>
      <w:marBottom w:val="0"/>
      <w:divBdr>
        <w:top w:val="none" w:sz="0" w:space="0" w:color="auto"/>
        <w:left w:val="none" w:sz="0" w:space="0" w:color="auto"/>
        <w:bottom w:val="none" w:sz="0" w:space="0" w:color="auto"/>
        <w:right w:val="none" w:sz="0" w:space="0" w:color="auto"/>
      </w:divBdr>
    </w:div>
    <w:div w:id="1564095164">
      <w:marLeft w:val="0"/>
      <w:marRight w:val="0"/>
      <w:marTop w:val="0"/>
      <w:marBottom w:val="0"/>
      <w:divBdr>
        <w:top w:val="none" w:sz="0" w:space="0" w:color="auto"/>
        <w:left w:val="none" w:sz="0" w:space="0" w:color="auto"/>
        <w:bottom w:val="none" w:sz="0" w:space="0" w:color="auto"/>
        <w:right w:val="none" w:sz="0" w:space="0" w:color="auto"/>
      </w:divBdr>
      <w:divsChild>
        <w:div w:id="605117235">
          <w:marLeft w:val="0"/>
          <w:marRight w:val="0"/>
          <w:marTop w:val="180"/>
          <w:marBottom w:val="180"/>
          <w:divBdr>
            <w:top w:val="none" w:sz="0" w:space="0" w:color="auto"/>
            <w:left w:val="none" w:sz="0" w:space="0" w:color="auto"/>
            <w:bottom w:val="none" w:sz="0" w:space="0" w:color="auto"/>
            <w:right w:val="none" w:sz="0" w:space="0" w:color="auto"/>
          </w:divBdr>
        </w:div>
      </w:divsChild>
    </w:div>
    <w:div w:id="1565598681">
      <w:marLeft w:val="0"/>
      <w:marRight w:val="0"/>
      <w:marTop w:val="120"/>
      <w:marBottom w:val="120"/>
      <w:divBdr>
        <w:top w:val="none" w:sz="0" w:space="0" w:color="auto"/>
        <w:left w:val="none" w:sz="0" w:space="0" w:color="auto"/>
        <w:bottom w:val="none" w:sz="0" w:space="0" w:color="auto"/>
        <w:right w:val="none" w:sz="0" w:space="0" w:color="auto"/>
      </w:divBdr>
    </w:div>
    <w:div w:id="1568109457">
      <w:marLeft w:val="0"/>
      <w:marRight w:val="0"/>
      <w:marTop w:val="240"/>
      <w:marBottom w:val="0"/>
      <w:divBdr>
        <w:top w:val="none" w:sz="0" w:space="0" w:color="auto"/>
        <w:left w:val="none" w:sz="0" w:space="0" w:color="auto"/>
        <w:bottom w:val="none" w:sz="0" w:space="0" w:color="auto"/>
        <w:right w:val="none" w:sz="0" w:space="0" w:color="auto"/>
      </w:divBdr>
    </w:div>
    <w:div w:id="1571963647">
      <w:marLeft w:val="0"/>
      <w:marRight w:val="0"/>
      <w:marTop w:val="180"/>
      <w:marBottom w:val="120"/>
      <w:divBdr>
        <w:top w:val="none" w:sz="0" w:space="0" w:color="auto"/>
        <w:left w:val="none" w:sz="0" w:space="0" w:color="auto"/>
        <w:bottom w:val="none" w:sz="0" w:space="0" w:color="auto"/>
        <w:right w:val="none" w:sz="0" w:space="0" w:color="auto"/>
      </w:divBdr>
    </w:div>
    <w:div w:id="1579172627">
      <w:marLeft w:val="0"/>
      <w:marRight w:val="0"/>
      <w:marTop w:val="180"/>
      <w:marBottom w:val="0"/>
      <w:divBdr>
        <w:top w:val="none" w:sz="0" w:space="0" w:color="auto"/>
        <w:left w:val="none" w:sz="0" w:space="0" w:color="auto"/>
        <w:bottom w:val="none" w:sz="0" w:space="0" w:color="auto"/>
        <w:right w:val="none" w:sz="0" w:space="0" w:color="auto"/>
      </w:divBdr>
    </w:div>
    <w:div w:id="1587154483">
      <w:marLeft w:val="0"/>
      <w:marRight w:val="0"/>
      <w:marTop w:val="180"/>
      <w:marBottom w:val="0"/>
      <w:divBdr>
        <w:top w:val="none" w:sz="0" w:space="0" w:color="auto"/>
        <w:left w:val="none" w:sz="0" w:space="0" w:color="auto"/>
        <w:bottom w:val="none" w:sz="0" w:space="0" w:color="auto"/>
        <w:right w:val="none" w:sz="0" w:space="0" w:color="auto"/>
      </w:divBdr>
    </w:div>
    <w:div w:id="1591163125">
      <w:marLeft w:val="0"/>
      <w:marRight w:val="0"/>
      <w:marTop w:val="240"/>
      <w:marBottom w:val="0"/>
      <w:divBdr>
        <w:top w:val="none" w:sz="0" w:space="0" w:color="auto"/>
        <w:left w:val="none" w:sz="0" w:space="0" w:color="auto"/>
        <w:bottom w:val="none" w:sz="0" w:space="0" w:color="auto"/>
        <w:right w:val="none" w:sz="0" w:space="0" w:color="auto"/>
      </w:divBdr>
    </w:div>
    <w:div w:id="1591506579">
      <w:marLeft w:val="0"/>
      <w:marRight w:val="0"/>
      <w:marTop w:val="240"/>
      <w:marBottom w:val="0"/>
      <w:divBdr>
        <w:top w:val="none" w:sz="0" w:space="0" w:color="auto"/>
        <w:left w:val="none" w:sz="0" w:space="0" w:color="auto"/>
        <w:bottom w:val="none" w:sz="0" w:space="0" w:color="auto"/>
        <w:right w:val="none" w:sz="0" w:space="0" w:color="auto"/>
      </w:divBdr>
    </w:div>
    <w:div w:id="1592621354">
      <w:marLeft w:val="0"/>
      <w:marRight w:val="0"/>
      <w:marTop w:val="180"/>
      <w:marBottom w:val="0"/>
      <w:divBdr>
        <w:top w:val="none" w:sz="0" w:space="0" w:color="auto"/>
        <w:left w:val="none" w:sz="0" w:space="0" w:color="auto"/>
        <w:bottom w:val="none" w:sz="0" w:space="0" w:color="auto"/>
        <w:right w:val="none" w:sz="0" w:space="0" w:color="auto"/>
      </w:divBdr>
    </w:div>
    <w:div w:id="1597440363">
      <w:marLeft w:val="0"/>
      <w:marRight w:val="0"/>
      <w:marTop w:val="0"/>
      <w:marBottom w:val="0"/>
      <w:divBdr>
        <w:top w:val="none" w:sz="0" w:space="0" w:color="auto"/>
        <w:left w:val="none" w:sz="0" w:space="0" w:color="auto"/>
        <w:bottom w:val="none" w:sz="0" w:space="0" w:color="auto"/>
        <w:right w:val="none" w:sz="0" w:space="0" w:color="auto"/>
      </w:divBdr>
      <w:divsChild>
        <w:div w:id="719090872">
          <w:marLeft w:val="0"/>
          <w:marRight w:val="0"/>
          <w:marTop w:val="0"/>
          <w:marBottom w:val="0"/>
          <w:divBdr>
            <w:top w:val="none" w:sz="0" w:space="0" w:color="auto"/>
            <w:left w:val="none" w:sz="0" w:space="0" w:color="auto"/>
            <w:bottom w:val="none" w:sz="0" w:space="0" w:color="auto"/>
            <w:right w:val="none" w:sz="0" w:space="0" w:color="auto"/>
          </w:divBdr>
          <w:divsChild>
            <w:div w:id="8547293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98364089">
      <w:marLeft w:val="0"/>
      <w:marRight w:val="0"/>
      <w:marTop w:val="180"/>
      <w:marBottom w:val="0"/>
      <w:divBdr>
        <w:top w:val="none" w:sz="0" w:space="0" w:color="auto"/>
        <w:left w:val="none" w:sz="0" w:space="0" w:color="auto"/>
        <w:bottom w:val="none" w:sz="0" w:space="0" w:color="auto"/>
        <w:right w:val="none" w:sz="0" w:space="0" w:color="auto"/>
      </w:divBdr>
    </w:div>
    <w:div w:id="1600873125">
      <w:marLeft w:val="0"/>
      <w:marRight w:val="0"/>
      <w:marTop w:val="180"/>
      <w:marBottom w:val="0"/>
      <w:divBdr>
        <w:top w:val="none" w:sz="0" w:space="0" w:color="auto"/>
        <w:left w:val="none" w:sz="0" w:space="0" w:color="auto"/>
        <w:bottom w:val="none" w:sz="0" w:space="0" w:color="auto"/>
        <w:right w:val="none" w:sz="0" w:space="0" w:color="auto"/>
      </w:divBdr>
    </w:div>
    <w:div w:id="1604418651">
      <w:marLeft w:val="0"/>
      <w:marRight w:val="0"/>
      <w:marTop w:val="0"/>
      <w:marBottom w:val="0"/>
      <w:divBdr>
        <w:top w:val="none" w:sz="0" w:space="0" w:color="auto"/>
        <w:left w:val="none" w:sz="0" w:space="0" w:color="auto"/>
        <w:bottom w:val="none" w:sz="0" w:space="0" w:color="auto"/>
        <w:right w:val="none" w:sz="0" w:space="0" w:color="auto"/>
      </w:divBdr>
      <w:divsChild>
        <w:div w:id="622081751">
          <w:marLeft w:val="0"/>
          <w:marRight w:val="0"/>
          <w:marTop w:val="0"/>
          <w:marBottom w:val="0"/>
          <w:divBdr>
            <w:top w:val="none" w:sz="0" w:space="0" w:color="auto"/>
            <w:left w:val="none" w:sz="0" w:space="0" w:color="auto"/>
            <w:bottom w:val="none" w:sz="0" w:space="0" w:color="auto"/>
            <w:right w:val="none" w:sz="0" w:space="0" w:color="auto"/>
          </w:divBdr>
          <w:divsChild>
            <w:div w:id="6634324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05261183">
      <w:marLeft w:val="0"/>
      <w:marRight w:val="0"/>
      <w:marTop w:val="180"/>
      <w:marBottom w:val="0"/>
      <w:divBdr>
        <w:top w:val="none" w:sz="0" w:space="0" w:color="auto"/>
        <w:left w:val="none" w:sz="0" w:space="0" w:color="auto"/>
        <w:bottom w:val="none" w:sz="0" w:space="0" w:color="auto"/>
        <w:right w:val="none" w:sz="0" w:space="0" w:color="auto"/>
      </w:divBdr>
    </w:div>
    <w:div w:id="1606843149">
      <w:marLeft w:val="0"/>
      <w:marRight w:val="0"/>
      <w:marTop w:val="180"/>
      <w:marBottom w:val="0"/>
      <w:divBdr>
        <w:top w:val="none" w:sz="0" w:space="0" w:color="auto"/>
        <w:left w:val="none" w:sz="0" w:space="0" w:color="auto"/>
        <w:bottom w:val="none" w:sz="0" w:space="0" w:color="auto"/>
        <w:right w:val="none" w:sz="0" w:space="0" w:color="auto"/>
      </w:divBdr>
    </w:div>
    <w:div w:id="1608737161">
      <w:marLeft w:val="0"/>
      <w:marRight w:val="0"/>
      <w:marTop w:val="0"/>
      <w:marBottom w:val="0"/>
      <w:divBdr>
        <w:top w:val="none" w:sz="0" w:space="0" w:color="auto"/>
        <w:left w:val="none" w:sz="0" w:space="0" w:color="auto"/>
        <w:bottom w:val="none" w:sz="0" w:space="0" w:color="auto"/>
        <w:right w:val="none" w:sz="0" w:space="0" w:color="auto"/>
      </w:divBdr>
      <w:divsChild>
        <w:div w:id="1453327029">
          <w:marLeft w:val="0"/>
          <w:marRight w:val="0"/>
          <w:marTop w:val="0"/>
          <w:marBottom w:val="0"/>
          <w:divBdr>
            <w:top w:val="none" w:sz="0" w:space="0" w:color="auto"/>
            <w:left w:val="none" w:sz="0" w:space="0" w:color="auto"/>
            <w:bottom w:val="none" w:sz="0" w:space="0" w:color="auto"/>
            <w:right w:val="none" w:sz="0" w:space="0" w:color="auto"/>
          </w:divBdr>
          <w:divsChild>
            <w:div w:id="2040218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09700543">
      <w:marLeft w:val="0"/>
      <w:marRight w:val="0"/>
      <w:marTop w:val="0"/>
      <w:marBottom w:val="0"/>
      <w:divBdr>
        <w:top w:val="none" w:sz="0" w:space="0" w:color="auto"/>
        <w:left w:val="none" w:sz="0" w:space="0" w:color="auto"/>
        <w:bottom w:val="none" w:sz="0" w:space="0" w:color="auto"/>
        <w:right w:val="none" w:sz="0" w:space="0" w:color="auto"/>
      </w:divBdr>
    </w:div>
    <w:div w:id="1614896704">
      <w:marLeft w:val="0"/>
      <w:marRight w:val="0"/>
      <w:marTop w:val="0"/>
      <w:marBottom w:val="0"/>
      <w:divBdr>
        <w:top w:val="none" w:sz="0" w:space="0" w:color="auto"/>
        <w:left w:val="none" w:sz="0" w:space="0" w:color="auto"/>
        <w:bottom w:val="none" w:sz="0" w:space="0" w:color="auto"/>
        <w:right w:val="none" w:sz="0" w:space="0" w:color="auto"/>
      </w:divBdr>
      <w:divsChild>
        <w:div w:id="2112428076">
          <w:marLeft w:val="0"/>
          <w:marRight w:val="0"/>
          <w:marTop w:val="0"/>
          <w:marBottom w:val="0"/>
          <w:divBdr>
            <w:top w:val="none" w:sz="0" w:space="0" w:color="auto"/>
            <w:left w:val="none" w:sz="0" w:space="0" w:color="auto"/>
            <w:bottom w:val="none" w:sz="0" w:space="0" w:color="auto"/>
            <w:right w:val="none" w:sz="0" w:space="0" w:color="auto"/>
          </w:divBdr>
          <w:divsChild>
            <w:div w:id="7267575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20800814">
      <w:marLeft w:val="0"/>
      <w:marRight w:val="0"/>
      <w:marTop w:val="60"/>
      <w:marBottom w:val="120"/>
      <w:divBdr>
        <w:top w:val="none" w:sz="0" w:space="0" w:color="auto"/>
        <w:left w:val="none" w:sz="0" w:space="0" w:color="auto"/>
        <w:bottom w:val="none" w:sz="0" w:space="0" w:color="auto"/>
        <w:right w:val="none" w:sz="0" w:space="0" w:color="auto"/>
      </w:divBdr>
    </w:div>
    <w:div w:id="1627857900">
      <w:marLeft w:val="0"/>
      <w:marRight w:val="0"/>
      <w:marTop w:val="60"/>
      <w:marBottom w:val="0"/>
      <w:divBdr>
        <w:top w:val="none" w:sz="0" w:space="0" w:color="auto"/>
        <w:left w:val="none" w:sz="0" w:space="0" w:color="auto"/>
        <w:bottom w:val="none" w:sz="0" w:space="0" w:color="auto"/>
        <w:right w:val="none" w:sz="0" w:space="0" w:color="auto"/>
      </w:divBdr>
    </w:div>
    <w:div w:id="1633632715">
      <w:marLeft w:val="0"/>
      <w:marRight w:val="0"/>
      <w:marTop w:val="180"/>
      <w:marBottom w:val="0"/>
      <w:divBdr>
        <w:top w:val="none" w:sz="0" w:space="0" w:color="auto"/>
        <w:left w:val="none" w:sz="0" w:space="0" w:color="auto"/>
        <w:bottom w:val="none" w:sz="0" w:space="0" w:color="auto"/>
        <w:right w:val="none" w:sz="0" w:space="0" w:color="auto"/>
      </w:divBdr>
    </w:div>
    <w:div w:id="1643267750">
      <w:marLeft w:val="0"/>
      <w:marRight w:val="0"/>
      <w:marTop w:val="60"/>
      <w:marBottom w:val="120"/>
      <w:divBdr>
        <w:top w:val="none" w:sz="0" w:space="0" w:color="auto"/>
        <w:left w:val="none" w:sz="0" w:space="0" w:color="auto"/>
        <w:bottom w:val="none" w:sz="0" w:space="0" w:color="auto"/>
        <w:right w:val="none" w:sz="0" w:space="0" w:color="auto"/>
      </w:divBdr>
    </w:div>
    <w:div w:id="1644626978">
      <w:marLeft w:val="0"/>
      <w:marRight w:val="0"/>
      <w:marTop w:val="0"/>
      <w:marBottom w:val="0"/>
      <w:divBdr>
        <w:top w:val="none" w:sz="0" w:space="0" w:color="auto"/>
        <w:left w:val="none" w:sz="0" w:space="0" w:color="auto"/>
        <w:bottom w:val="none" w:sz="0" w:space="0" w:color="auto"/>
        <w:right w:val="none" w:sz="0" w:space="0" w:color="auto"/>
      </w:divBdr>
    </w:div>
    <w:div w:id="1648824383">
      <w:marLeft w:val="0"/>
      <w:marRight w:val="0"/>
      <w:marTop w:val="240"/>
      <w:marBottom w:val="0"/>
      <w:divBdr>
        <w:top w:val="none" w:sz="0" w:space="0" w:color="auto"/>
        <w:left w:val="none" w:sz="0" w:space="0" w:color="auto"/>
        <w:bottom w:val="none" w:sz="0" w:space="0" w:color="auto"/>
        <w:right w:val="none" w:sz="0" w:space="0" w:color="auto"/>
      </w:divBdr>
    </w:div>
    <w:div w:id="1649479153">
      <w:marLeft w:val="0"/>
      <w:marRight w:val="0"/>
      <w:marTop w:val="120"/>
      <w:marBottom w:val="0"/>
      <w:divBdr>
        <w:top w:val="none" w:sz="0" w:space="0" w:color="auto"/>
        <w:left w:val="none" w:sz="0" w:space="0" w:color="auto"/>
        <w:bottom w:val="none" w:sz="0" w:space="0" w:color="auto"/>
        <w:right w:val="none" w:sz="0" w:space="0" w:color="auto"/>
      </w:divBdr>
    </w:div>
    <w:div w:id="1655987703">
      <w:marLeft w:val="0"/>
      <w:marRight w:val="0"/>
      <w:marTop w:val="0"/>
      <w:marBottom w:val="0"/>
      <w:divBdr>
        <w:top w:val="none" w:sz="0" w:space="0" w:color="auto"/>
        <w:left w:val="none" w:sz="0" w:space="0" w:color="auto"/>
        <w:bottom w:val="none" w:sz="0" w:space="0" w:color="auto"/>
        <w:right w:val="none" w:sz="0" w:space="0" w:color="auto"/>
      </w:divBdr>
      <w:divsChild>
        <w:div w:id="678584856">
          <w:marLeft w:val="0"/>
          <w:marRight w:val="0"/>
          <w:marTop w:val="0"/>
          <w:marBottom w:val="0"/>
          <w:divBdr>
            <w:top w:val="none" w:sz="0" w:space="0" w:color="auto"/>
            <w:left w:val="none" w:sz="0" w:space="0" w:color="auto"/>
            <w:bottom w:val="none" w:sz="0" w:space="0" w:color="auto"/>
            <w:right w:val="none" w:sz="0" w:space="0" w:color="auto"/>
          </w:divBdr>
          <w:divsChild>
            <w:div w:id="902492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71063269">
      <w:marLeft w:val="0"/>
      <w:marRight w:val="0"/>
      <w:marTop w:val="180"/>
      <w:marBottom w:val="180"/>
      <w:divBdr>
        <w:top w:val="none" w:sz="0" w:space="0" w:color="auto"/>
        <w:left w:val="none" w:sz="0" w:space="0" w:color="auto"/>
        <w:bottom w:val="none" w:sz="0" w:space="0" w:color="auto"/>
        <w:right w:val="none" w:sz="0" w:space="0" w:color="auto"/>
      </w:divBdr>
    </w:div>
    <w:div w:id="1673605670">
      <w:marLeft w:val="0"/>
      <w:marRight w:val="0"/>
      <w:marTop w:val="60"/>
      <w:marBottom w:val="0"/>
      <w:divBdr>
        <w:top w:val="none" w:sz="0" w:space="0" w:color="auto"/>
        <w:left w:val="none" w:sz="0" w:space="0" w:color="auto"/>
        <w:bottom w:val="none" w:sz="0" w:space="0" w:color="auto"/>
        <w:right w:val="none" w:sz="0" w:space="0" w:color="auto"/>
      </w:divBdr>
    </w:div>
    <w:div w:id="1677263646">
      <w:marLeft w:val="0"/>
      <w:marRight w:val="0"/>
      <w:marTop w:val="0"/>
      <w:marBottom w:val="0"/>
      <w:divBdr>
        <w:top w:val="none" w:sz="0" w:space="0" w:color="auto"/>
        <w:left w:val="none" w:sz="0" w:space="0" w:color="auto"/>
        <w:bottom w:val="none" w:sz="0" w:space="0" w:color="auto"/>
        <w:right w:val="none" w:sz="0" w:space="0" w:color="auto"/>
      </w:divBdr>
      <w:divsChild>
        <w:div w:id="1194462155">
          <w:marLeft w:val="0"/>
          <w:marRight w:val="0"/>
          <w:marTop w:val="0"/>
          <w:marBottom w:val="0"/>
          <w:divBdr>
            <w:top w:val="none" w:sz="0" w:space="0" w:color="auto"/>
            <w:left w:val="none" w:sz="0" w:space="0" w:color="auto"/>
            <w:bottom w:val="none" w:sz="0" w:space="0" w:color="auto"/>
            <w:right w:val="none" w:sz="0" w:space="0" w:color="auto"/>
          </w:divBdr>
          <w:divsChild>
            <w:div w:id="17205477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78460676">
      <w:marLeft w:val="0"/>
      <w:marRight w:val="0"/>
      <w:marTop w:val="240"/>
      <w:marBottom w:val="180"/>
      <w:divBdr>
        <w:top w:val="none" w:sz="0" w:space="0" w:color="auto"/>
        <w:left w:val="none" w:sz="0" w:space="0" w:color="auto"/>
        <w:bottom w:val="none" w:sz="0" w:space="0" w:color="auto"/>
        <w:right w:val="none" w:sz="0" w:space="0" w:color="auto"/>
      </w:divBdr>
    </w:div>
    <w:div w:id="1679965365">
      <w:marLeft w:val="0"/>
      <w:marRight w:val="0"/>
      <w:marTop w:val="60"/>
      <w:marBottom w:val="20"/>
      <w:divBdr>
        <w:top w:val="none" w:sz="0" w:space="0" w:color="auto"/>
        <w:left w:val="none" w:sz="0" w:space="0" w:color="auto"/>
        <w:bottom w:val="none" w:sz="0" w:space="0" w:color="auto"/>
        <w:right w:val="none" w:sz="0" w:space="0" w:color="auto"/>
      </w:divBdr>
      <w:divsChild>
        <w:div w:id="943731876">
          <w:marLeft w:val="0"/>
          <w:marRight w:val="0"/>
          <w:marTop w:val="0"/>
          <w:marBottom w:val="0"/>
          <w:divBdr>
            <w:top w:val="none" w:sz="0" w:space="0" w:color="auto"/>
            <w:left w:val="none" w:sz="0" w:space="0" w:color="auto"/>
            <w:bottom w:val="none" w:sz="0" w:space="0" w:color="auto"/>
            <w:right w:val="none" w:sz="0" w:space="0" w:color="auto"/>
          </w:divBdr>
        </w:div>
        <w:div w:id="168105784">
          <w:marLeft w:val="0"/>
          <w:marRight w:val="0"/>
          <w:marTop w:val="0"/>
          <w:marBottom w:val="0"/>
          <w:divBdr>
            <w:top w:val="none" w:sz="0" w:space="0" w:color="auto"/>
            <w:left w:val="none" w:sz="0" w:space="0" w:color="auto"/>
            <w:bottom w:val="none" w:sz="0" w:space="0" w:color="auto"/>
            <w:right w:val="none" w:sz="0" w:space="0" w:color="auto"/>
          </w:divBdr>
        </w:div>
        <w:div w:id="1449616485">
          <w:marLeft w:val="0"/>
          <w:marRight w:val="0"/>
          <w:marTop w:val="0"/>
          <w:marBottom w:val="0"/>
          <w:divBdr>
            <w:top w:val="none" w:sz="0" w:space="0" w:color="auto"/>
            <w:left w:val="none" w:sz="0" w:space="0" w:color="auto"/>
            <w:bottom w:val="none" w:sz="0" w:space="0" w:color="auto"/>
            <w:right w:val="none" w:sz="0" w:space="0" w:color="auto"/>
          </w:divBdr>
        </w:div>
        <w:div w:id="586351539">
          <w:marLeft w:val="0"/>
          <w:marRight w:val="0"/>
          <w:marTop w:val="0"/>
          <w:marBottom w:val="0"/>
          <w:divBdr>
            <w:top w:val="none" w:sz="0" w:space="0" w:color="auto"/>
            <w:left w:val="none" w:sz="0" w:space="0" w:color="auto"/>
            <w:bottom w:val="none" w:sz="0" w:space="0" w:color="auto"/>
            <w:right w:val="none" w:sz="0" w:space="0" w:color="auto"/>
          </w:divBdr>
        </w:div>
        <w:div w:id="2131044790">
          <w:marLeft w:val="0"/>
          <w:marRight w:val="0"/>
          <w:marTop w:val="0"/>
          <w:marBottom w:val="0"/>
          <w:divBdr>
            <w:top w:val="none" w:sz="0" w:space="0" w:color="auto"/>
            <w:left w:val="none" w:sz="0" w:space="0" w:color="auto"/>
            <w:bottom w:val="none" w:sz="0" w:space="0" w:color="auto"/>
            <w:right w:val="none" w:sz="0" w:space="0" w:color="auto"/>
          </w:divBdr>
        </w:div>
      </w:divsChild>
    </w:div>
    <w:div w:id="1681082412">
      <w:marLeft w:val="0"/>
      <w:marRight w:val="0"/>
      <w:marTop w:val="180"/>
      <w:marBottom w:val="0"/>
      <w:divBdr>
        <w:top w:val="none" w:sz="0" w:space="0" w:color="auto"/>
        <w:left w:val="none" w:sz="0" w:space="0" w:color="auto"/>
        <w:bottom w:val="none" w:sz="0" w:space="0" w:color="auto"/>
        <w:right w:val="none" w:sz="0" w:space="0" w:color="auto"/>
      </w:divBdr>
    </w:div>
    <w:div w:id="1686863421">
      <w:marLeft w:val="0"/>
      <w:marRight w:val="0"/>
      <w:marTop w:val="180"/>
      <w:marBottom w:val="0"/>
      <w:divBdr>
        <w:top w:val="none" w:sz="0" w:space="0" w:color="auto"/>
        <w:left w:val="none" w:sz="0" w:space="0" w:color="auto"/>
        <w:bottom w:val="none" w:sz="0" w:space="0" w:color="auto"/>
        <w:right w:val="none" w:sz="0" w:space="0" w:color="auto"/>
      </w:divBdr>
    </w:div>
    <w:div w:id="1692143625">
      <w:marLeft w:val="0"/>
      <w:marRight w:val="0"/>
      <w:marTop w:val="0"/>
      <w:marBottom w:val="0"/>
      <w:divBdr>
        <w:top w:val="none" w:sz="0" w:space="0" w:color="auto"/>
        <w:left w:val="none" w:sz="0" w:space="0" w:color="auto"/>
        <w:bottom w:val="none" w:sz="0" w:space="0" w:color="auto"/>
        <w:right w:val="none" w:sz="0" w:space="0" w:color="auto"/>
      </w:divBdr>
      <w:divsChild>
        <w:div w:id="2017535485">
          <w:marLeft w:val="0"/>
          <w:marRight w:val="0"/>
          <w:marTop w:val="180"/>
          <w:marBottom w:val="180"/>
          <w:divBdr>
            <w:top w:val="none" w:sz="0" w:space="0" w:color="auto"/>
            <w:left w:val="none" w:sz="0" w:space="0" w:color="auto"/>
            <w:bottom w:val="none" w:sz="0" w:space="0" w:color="auto"/>
            <w:right w:val="none" w:sz="0" w:space="0" w:color="auto"/>
          </w:divBdr>
        </w:div>
      </w:divsChild>
    </w:div>
    <w:div w:id="1693413277">
      <w:marLeft w:val="0"/>
      <w:marRight w:val="0"/>
      <w:marTop w:val="180"/>
      <w:marBottom w:val="0"/>
      <w:divBdr>
        <w:top w:val="none" w:sz="0" w:space="0" w:color="auto"/>
        <w:left w:val="none" w:sz="0" w:space="0" w:color="auto"/>
        <w:bottom w:val="none" w:sz="0" w:space="0" w:color="auto"/>
        <w:right w:val="none" w:sz="0" w:space="0" w:color="auto"/>
      </w:divBdr>
    </w:div>
    <w:div w:id="1695418943">
      <w:marLeft w:val="0"/>
      <w:marRight w:val="0"/>
      <w:marTop w:val="120"/>
      <w:marBottom w:val="0"/>
      <w:divBdr>
        <w:top w:val="none" w:sz="0" w:space="0" w:color="auto"/>
        <w:left w:val="none" w:sz="0" w:space="0" w:color="auto"/>
        <w:bottom w:val="none" w:sz="0" w:space="0" w:color="auto"/>
        <w:right w:val="none" w:sz="0" w:space="0" w:color="auto"/>
      </w:divBdr>
    </w:div>
    <w:div w:id="1700736095">
      <w:marLeft w:val="0"/>
      <w:marRight w:val="0"/>
      <w:marTop w:val="180"/>
      <w:marBottom w:val="0"/>
      <w:divBdr>
        <w:top w:val="none" w:sz="0" w:space="0" w:color="auto"/>
        <w:left w:val="none" w:sz="0" w:space="0" w:color="auto"/>
        <w:bottom w:val="none" w:sz="0" w:space="0" w:color="auto"/>
        <w:right w:val="none" w:sz="0" w:space="0" w:color="auto"/>
      </w:divBdr>
    </w:div>
    <w:div w:id="1701197900">
      <w:marLeft w:val="0"/>
      <w:marRight w:val="0"/>
      <w:marTop w:val="180"/>
      <w:marBottom w:val="0"/>
      <w:divBdr>
        <w:top w:val="none" w:sz="0" w:space="0" w:color="auto"/>
        <w:left w:val="none" w:sz="0" w:space="0" w:color="auto"/>
        <w:bottom w:val="none" w:sz="0" w:space="0" w:color="auto"/>
        <w:right w:val="none" w:sz="0" w:space="0" w:color="auto"/>
      </w:divBdr>
    </w:div>
    <w:div w:id="1702198989">
      <w:marLeft w:val="0"/>
      <w:marRight w:val="0"/>
      <w:marTop w:val="180"/>
      <w:marBottom w:val="0"/>
      <w:divBdr>
        <w:top w:val="none" w:sz="0" w:space="0" w:color="auto"/>
        <w:left w:val="none" w:sz="0" w:space="0" w:color="auto"/>
        <w:bottom w:val="none" w:sz="0" w:space="0" w:color="auto"/>
        <w:right w:val="none" w:sz="0" w:space="0" w:color="auto"/>
      </w:divBdr>
    </w:div>
    <w:div w:id="1703826167">
      <w:marLeft w:val="0"/>
      <w:marRight w:val="0"/>
      <w:marTop w:val="180"/>
      <w:marBottom w:val="120"/>
      <w:divBdr>
        <w:top w:val="none" w:sz="0" w:space="0" w:color="auto"/>
        <w:left w:val="none" w:sz="0" w:space="0" w:color="auto"/>
        <w:bottom w:val="none" w:sz="0" w:space="0" w:color="auto"/>
        <w:right w:val="none" w:sz="0" w:space="0" w:color="auto"/>
      </w:divBdr>
    </w:div>
    <w:div w:id="1725373646">
      <w:marLeft w:val="0"/>
      <w:marRight w:val="0"/>
      <w:marTop w:val="180"/>
      <w:marBottom w:val="0"/>
      <w:divBdr>
        <w:top w:val="none" w:sz="0" w:space="0" w:color="auto"/>
        <w:left w:val="none" w:sz="0" w:space="0" w:color="auto"/>
        <w:bottom w:val="none" w:sz="0" w:space="0" w:color="auto"/>
        <w:right w:val="none" w:sz="0" w:space="0" w:color="auto"/>
      </w:divBdr>
    </w:div>
    <w:div w:id="1731268843">
      <w:marLeft w:val="0"/>
      <w:marRight w:val="0"/>
      <w:marTop w:val="180"/>
      <w:marBottom w:val="0"/>
      <w:divBdr>
        <w:top w:val="none" w:sz="0" w:space="0" w:color="auto"/>
        <w:left w:val="none" w:sz="0" w:space="0" w:color="auto"/>
        <w:bottom w:val="none" w:sz="0" w:space="0" w:color="auto"/>
        <w:right w:val="none" w:sz="0" w:space="0" w:color="auto"/>
      </w:divBdr>
    </w:div>
    <w:div w:id="1743798544">
      <w:marLeft w:val="0"/>
      <w:marRight w:val="0"/>
      <w:marTop w:val="180"/>
      <w:marBottom w:val="0"/>
      <w:divBdr>
        <w:top w:val="none" w:sz="0" w:space="0" w:color="auto"/>
        <w:left w:val="none" w:sz="0" w:space="0" w:color="auto"/>
        <w:bottom w:val="none" w:sz="0" w:space="0" w:color="auto"/>
        <w:right w:val="none" w:sz="0" w:space="0" w:color="auto"/>
      </w:divBdr>
    </w:div>
    <w:div w:id="1744404010">
      <w:marLeft w:val="0"/>
      <w:marRight w:val="0"/>
      <w:marTop w:val="240"/>
      <w:marBottom w:val="0"/>
      <w:divBdr>
        <w:top w:val="none" w:sz="0" w:space="0" w:color="auto"/>
        <w:left w:val="none" w:sz="0" w:space="0" w:color="auto"/>
        <w:bottom w:val="none" w:sz="0" w:space="0" w:color="auto"/>
        <w:right w:val="none" w:sz="0" w:space="0" w:color="auto"/>
      </w:divBdr>
    </w:div>
    <w:div w:id="1752312522">
      <w:marLeft w:val="0"/>
      <w:marRight w:val="0"/>
      <w:marTop w:val="180"/>
      <w:marBottom w:val="0"/>
      <w:divBdr>
        <w:top w:val="none" w:sz="0" w:space="0" w:color="auto"/>
        <w:left w:val="none" w:sz="0" w:space="0" w:color="auto"/>
        <w:bottom w:val="none" w:sz="0" w:space="0" w:color="auto"/>
        <w:right w:val="none" w:sz="0" w:space="0" w:color="auto"/>
      </w:divBdr>
    </w:div>
    <w:div w:id="1753235684">
      <w:marLeft w:val="0"/>
      <w:marRight w:val="0"/>
      <w:marTop w:val="180"/>
      <w:marBottom w:val="0"/>
      <w:divBdr>
        <w:top w:val="none" w:sz="0" w:space="0" w:color="auto"/>
        <w:left w:val="none" w:sz="0" w:space="0" w:color="auto"/>
        <w:bottom w:val="none" w:sz="0" w:space="0" w:color="auto"/>
        <w:right w:val="none" w:sz="0" w:space="0" w:color="auto"/>
      </w:divBdr>
    </w:div>
    <w:div w:id="1778021991">
      <w:marLeft w:val="0"/>
      <w:marRight w:val="0"/>
      <w:marTop w:val="200"/>
      <w:marBottom w:val="0"/>
      <w:divBdr>
        <w:top w:val="none" w:sz="0" w:space="0" w:color="auto"/>
        <w:left w:val="none" w:sz="0" w:space="0" w:color="auto"/>
        <w:bottom w:val="none" w:sz="0" w:space="0" w:color="auto"/>
        <w:right w:val="none" w:sz="0" w:space="0" w:color="auto"/>
      </w:divBdr>
    </w:div>
    <w:div w:id="1781681261">
      <w:marLeft w:val="0"/>
      <w:marRight w:val="0"/>
      <w:marTop w:val="240"/>
      <w:marBottom w:val="0"/>
      <w:divBdr>
        <w:top w:val="none" w:sz="0" w:space="0" w:color="auto"/>
        <w:left w:val="none" w:sz="0" w:space="0" w:color="auto"/>
        <w:bottom w:val="none" w:sz="0" w:space="0" w:color="auto"/>
        <w:right w:val="none" w:sz="0" w:space="0" w:color="auto"/>
      </w:divBdr>
    </w:div>
    <w:div w:id="1781950761">
      <w:marLeft w:val="0"/>
      <w:marRight w:val="0"/>
      <w:marTop w:val="180"/>
      <w:marBottom w:val="60"/>
      <w:divBdr>
        <w:top w:val="none" w:sz="0" w:space="0" w:color="auto"/>
        <w:left w:val="none" w:sz="0" w:space="0" w:color="auto"/>
        <w:bottom w:val="none" w:sz="0" w:space="0" w:color="auto"/>
        <w:right w:val="none" w:sz="0" w:space="0" w:color="auto"/>
      </w:divBdr>
    </w:div>
    <w:div w:id="1783760782">
      <w:marLeft w:val="0"/>
      <w:marRight w:val="0"/>
      <w:marTop w:val="180"/>
      <w:marBottom w:val="0"/>
      <w:divBdr>
        <w:top w:val="none" w:sz="0" w:space="0" w:color="auto"/>
        <w:left w:val="none" w:sz="0" w:space="0" w:color="auto"/>
        <w:bottom w:val="none" w:sz="0" w:space="0" w:color="auto"/>
        <w:right w:val="none" w:sz="0" w:space="0" w:color="auto"/>
      </w:divBdr>
    </w:div>
    <w:div w:id="1786270582">
      <w:marLeft w:val="0"/>
      <w:marRight w:val="0"/>
      <w:marTop w:val="0"/>
      <w:marBottom w:val="0"/>
      <w:divBdr>
        <w:top w:val="none" w:sz="0" w:space="0" w:color="auto"/>
        <w:left w:val="none" w:sz="0" w:space="0" w:color="auto"/>
        <w:bottom w:val="none" w:sz="0" w:space="0" w:color="auto"/>
        <w:right w:val="none" w:sz="0" w:space="0" w:color="auto"/>
      </w:divBdr>
      <w:divsChild>
        <w:div w:id="407924733">
          <w:marLeft w:val="0"/>
          <w:marRight w:val="0"/>
          <w:marTop w:val="180"/>
          <w:marBottom w:val="180"/>
          <w:divBdr>
            <w:top w:val="none" w:sz="0" w:space="0" w:color="auto"/>
            <w:left w:val="none" w:sz="0" w:space="0" w:color="auto"/>
            <w:bottom w:val="none" w:sz="0" w:space="0" w:color="auto"/>
            <w:right w:val="none" w:sz="0" w:space="0" w:color="auto"/>
          </w:divBdr>
        </w:div>
      </w:divsChild>
    </w:div>
    <w:div w:id="1790584513">
      <w:marLeft w:val="0"/>
      <w:marRight w:val="0"/>
      <w:marTop w:val="180"/>
      <w:marBottom w:val="0"/>
      <w:divBdr>
        <w:top w:val="none" w:sz="0" w:space="0" w:color="auto"/>
        <w:left w:val="none" w:sz="0" w:space="0" w:color="auto"/>
        <w:bottom w:val="none" w:sz="0" w:space="0" w:color="auto"/>
        <w:right w:val="none" w:sz="0" w:space="0" w:color="auto"/>
      </w:divBdr>
    </w:div>
    <w:div w:id="1810170543">
      <w:marLeft w:val="0"/>
      <w:marRight w:val="0"/>
      <w:marTop w:val="180"/>
      <w:marBottom w:val="0"/>
      <w:divBdr>
        <w:top w:val="none" w:sz="0" w:space="0" w:color="auto"/>
        <w:left w:val="none" w:sz="0" w:space="0" w:color="auto"/>
        <w:bottom w:val="none" w:sz="0" w:space="0" w:color="auto"/>
        <w:right w:val="none" w:sz="0" w:space="0" w:color="auto"/>
      </w:divBdr>
    </w:div>
    <w:div w:id="1811240836">
      <w:marLeft w:val="0"/>
      <w:marRight w:val="0"/>
      <w:marTop w:val="180"/>
      <w:marBottom w:val="0"/>
      <w:divBdr>
        <w:top w:val="none" w:sz="0" w:space="0" w:color="auto"/>
        <w:left w:val="none" w:sz="0" w:space="0" w:color="auto"/>
        <w:bottom w:val="none" w:sz="0" w:space="0" w:color="auto"/>
        <w:right w:val="none" w:sz="0" w:space="0" w:color="auto"/>
      </w:divBdr>
    </w:div>
    <w:div w:id="1817405958">
      <w:marLeft w:val="0"/>
      <w:marRight w:val="0"/>
      <w:marTop w:val="180"/>
      <w:marBottom w:val="0"/>
      <w:divBdr>
        <w:top w:val="none" w:sz="0" w:space="0" w:color="auto"/>
        <w:left w:val="none" w:sz="0" w:space="0" w:color="auto"/>
        <w:bottom w:val="none" w:sz="0" w:space="0" w:color="auto"/>
        <w:right w:val="none" w:sz="0" w:space="0" w:color="auto"/>
      </w:divBdr>
    </w:div>
    <w:div w:id="1819684578">
      <w:marLeft w:val="0"/>
      <w:marRight w:val="0"/>
      <w:marTop w:val="180"/>
      <w:marBottom w:val="0"/>
      <w:divBdr>
        <w:top w:val="none" w:sz="0" w:space="0" w:color="auto"/>
        <w:left w:val="none" w:sz="0" w:space="0" w:color="auto"/>
        <w:bottom w:val="none" w:sz="0" w:space="0" w:color="auto"/>
        <w:right w:val="none" w:sz="0" w:space="0" w:color="auto"/>
      </w:divBdr>
    </w:div>
    <w:div w:id="1827238530">
      <w:marLeft w:val="0"/>
      <w:marRight w:val="0"/>
      <w:marTop w:val="180"/>
      <w:marBottom w:val="0"/>
      <w:divBdr>
        <w:top w:val="none" w:sz="0" w:space="0" w:color="auto"/>
        <w:left w:val="none" w:sz="0" w:space="0" w:color="auto"/>
        <w:bottom w:val="none" w:sz="0" w:space="0" w:color="auto"/>
        <w:right w:val="none" w:sz="0" w:space="0" w:color="auto"/>
      </w:divBdr>
    </w:div>
    <w:div w:id="1832476593">
      <w:marLeft w:val="0"/>
      <w:marRight w:val="0"/>
      <w:marTop w:val="180"/>
      <w:marBottom w:val="0"/>
      <w:divBdr>
        <w:top w:val="none" w:sz="0" w:space="0" w:color="auto"/>
        <w:left w:val="none" w:sz="0" w:space="0" w:color="auto"/>
        <w:bottom w:val="none" w:sz="0" w:space="0" w:color="auto"/>
        <w:right w:val="none" w:sz="0" w:space="0" w:color="auto"/>
      </w:divBdr>
    </w:div>
    <w:div w:id="1832796298">
      <w:marLeft w:val="0"/>
      <w:marRight w:val="0"/>
      <w:marTop w:val="0"/>
      <w:marBottom w:val="0"/>
      <w:divBdr>
        <w:top w:val="none" w:sz="0" w:space="0" w:color="auto"/>
        <w:left w:val="none" w:sz="0" w:space="0" w:color="auto"/>
        <w:bottom w:val="none" w:sz="0" w:space="0" w:color="auto"/>
        <w:right w:val="none" w:sz="0" w:space="0" w:color="auto"/>
      </w:divBdr>
      <w:divsChild>
        <w:div w:id="1362974175">
          <w:marLeft w:val="0"/>
          <w:marRight w:val="0"/>
          <w:marTop w:val="0"/>
          <w:marBottom w:val="0"/>
          <w:divBdr>
            <w:top w:val="none" w:sz="0" w:space="0" w:color="auto"/>
            <w:left w:val="none" w:sz="0" w:space="0" w:color="auto"/>
            <w:bottom w:val="none" w:sz="0" w:space="0" w:color="auto"/>
            <w:right w:val="none" w:sz="0" w:space="0" w:color="auto"/>
          </w:divBdr>
          <w:divsChild>
            <w:div w:id="10658327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33065713">
      <w:marLeft w:val="0"/>
      <w:marRight w:val="0"/>
      <w:marTop w:val="0"/>
      <w:marBottom w:val="0"/>
      <w:divBdr>
        <w:top w:val="none" w:sz="0" w:space="0" w:color="auto"/>
        <w:left w:val="none" w:sz="0" w:space="0" w:color="auto"/>
        <w:bottom w:val="none" w:sz="0" w:space="0" w:color="auto"/>
        <w:right w:val="none" w:sz="0" w:space="0" w:color="auto"/>
      </w:divBdr>
      <w:divsChild>
        <w:div w:id="330569969">
          <w:marLeft w:val="0"/>
          <w:marRight w:val="0"/>
          <w:marTop w:val="0"/>
          <w:marBottom w:val="0"/>
          <w:divBdr>
            <w:top w:val="none" w:sz="0" w:space="0" w:color="auto"/>
            <w:left w:val="none" w:sz="0" w:space="0" w:color="auto"/>
            <w:bottom w:val="none" w:sz="0" w:space="0" w:color="auto"/>
            <w:right w:val="none" w:sz="0" w:space="0" w:color="auto"/>
          </w:divBdr>
          <w:divsChild>
            <w:div w:id="6881419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37963786">
      <w:marLeft w:val="0"/>
      <w:marRight w:val="0"/>
      <w:marTop w:val="60"/>
      <w:marBottom w:val="0"/>
      <w:divBdr>
        <w:top w:val="none" w:sz="0" w:space="0" w:color="auto"/>
        <w:left w:val="none" w:sz="0" w:space="0" w:color="auto"/>
        <w:bottom w:val="none" w:sz="0" w:space="0" w:color="auto"/>
        <w:right w:val="none" w:sz="0" w:space="0" w:color="auto"/>
      </w:divBdr>
    </w:div>
    <w:div w:id="1850022742">
      <w:marLeft w:val="0"/>
      <w:marRight w:val="0"/>
      <w:marTop w:val="180"/>
      <w:marBottom w:val="0"/>
      <w:divBdr>
        <w:top w:val="none" w:sz="0" w:space="0" w:color="auto"/>
        <w:left w:val="none" w:sz="0" w:space="0" w:color="auto"/>
        <w:bottom w:val="none" w:sz="0" w:space="0" w:color="auto"/>
        <w:right w:val="none" w:sz="0" w:space="0" w:color="auto"/>
      </w:divBdr>
    </w:div>
    <w:div w:id="1851989526">
      <w:marLeft w:val="0"/>
      <w:marRight w:val="0"/>
      <w:marTop w:val="180"/>
      <w:marBottom w:val="0"/>
      <w:divBdr>
        <w:top w:val="none" w:sz="0" w:space="0" w:color="auto"/>
        <w:left w:val="none" w:sz="0" w:space="0" w:color="auto"/>
        <w:bottom w:val="none" w:sz="0" w:space="0" w:color="auto"/>
        <w:right w:val="none" w:sz="0" w:space="0" w:color="auto"/>
      </w:divBdr>
    </w:div>
    <w:div w:id="1860199776">
      <w:marLeft w:val="0"/>
      <w:marRight w:val="0"/>
      <w:marTop w:val="180"/>
      <w:marBottom w:val="0"/>
      <w:divBdr>
        <w:top w:val="none" w:sz="0" w:space="0" w:color="auto"/>
        <w:left w:val="none" w:sz="0" w:space="0" w:color="auto"/>
        <w:bottom w:val="none" w:sz="0" w:space="0" w:color="auto"/>
        <w:right w:val="none" w:sz="0" w:space="0" w:color="auto"/>
      </w:divBdr>
    </w:div>
    <w:div w:id="1866164403">
      <w:marLeft w:val="0"/>
      <w:marRight w:val="0"/>
      <w:marTop w:val="180"/>
      <w:marBottom w:val="0"/>
      <w:divBdr>
        <w:top w:val="none" w:sz="0" w:space="0" w:color="auto"/>
        <w:left w:val="none" w:sz="0" w:space="0" w:color="auto"/>
        <w:bottom w:val="none" w:sz="0" w:space="0" w:color="auto"/>
        <w:right w:val="none" w:sz="0" w:space="0" w:color="auto"/>
      </w:divBdr>
    </w:div>
    <w:div w:id="1870415993">
      <w:marLeft w:val="0"/>
      <w:marRight w:val="0"/>
      <w:marTop w:val="180"/>
      <w:marBottom w:val="0"/>
      <w:divBdr>
        <w:top w:val="none" w:sz="0" w:space="0" w:color="auto"/>
        <w:left w:val="none" w:sz="0" w:space="0" w:color="auto"/>
        <w:bottom w:val="none" w:sz="0" w:space="0" w:color="auto"/>
        <w:right w:val="none" w:sz="0" w:space="0" w:color="auto"/>
      </w:divBdr>
    </w:div>
    <w:div w:id="1870871117">
      <w:marLeft w:val="0"/>
      <w:marRight w:val="0"/>
      <w:marTop w:val="60"/>
      <w:marBottom w:val="0"/>
      <w:divBdr>
        <w:top w:val="none" w:sz="0" w:space="0" w:color="auto"/>
        <w:left w:val="none" w:sz="0" w:space="0" w:color="auto"/>
        <w:bottom w:val="none" w:sz="0" w:space="0" w:color="auto"/>
        <w:right w:val="none" w:sz="0" w:space="0" w:color="auto"/>
      </w:divBdr>
    </w:div>
    <w:div w:id="1871844753">
      <w:marLeft w:val="0"/>
      <w:marRight w:val="0"/>
      <w:marTop w:val="180"/>
      <w:marBottom w:val="0"/>
      <w:divBdr>
        <w:top w:val="none" w:sz="0" w:space="0" w:color="auto"/>
        <w:left w:val="none" w:sz="0" w:space="0" w:color="auto"/>
        <w:bottom w:val="none" w:sz="0" w:space="0" w:color="auto"/>
        <w:right w:val="none" w:sz="0" w:space="0" w:color="auto"/>
      </w:divBdr>
    </w:div>
    <w:div w:id="1875654241">
      <w:marLeft w:val="0"/>
      <w:marRight w:val="0"/>
      <w:marTop w:val="180"/>
      <w:marBottom w:val="0"/>
      <w:divBdr>
        <w:top w:val="none" w:sz="0" w:space="0" w:color="auto"/>
        <w:left w:val="none" w:sz="0" w:space="0" w:color="auto"/>
        <w:bottom w:val="none" w:sz="0" w:space="0" w:color="auto"/>
        <w:right w:val="none" w:sz="0" w:space="0" w:color="auto"/>
      </w:divBdr>
    </w:div>
    <w:div w:id="1876427185">
      <w:marLeft w:val="0"/>
      <w:marRight w:val="0"/>
      <w:marTop w:val="180"/>
      <w:marBottom w:val="0"/>
      <w:divBdr>
        <w:top w:val="none" w:sz="0" w:space="0" w:color="auto"/>
        <w:left w:val="none" w:sz="0" w:space="0" w:color="auto"/>
        <w:bottom w:val="none" w:sz="0" w:space="0" w:color="auto"/>
        <w:right w:val="none" w:sz="0" w:space="0" w:color="auto"/>
      </w:divBdr>
    </w:div>
    <w:div w:id="1883864323">
      <w:marLeft w:val="0"/>
      <w:marRight w:val="0"/>
      <w:marTop w:val="60"/>
      <w:marBottom w:val="0"/>
      <w:divBdr>
        <w:top w:val="none" w:sz="0" w:space="0" w:color="auto"/>
        <w:left w:val="none" w:sz="0" w:space="0" w:color="auto"/>
        <w:bottom w:val="none" w:sz="0" w:space="0" w:color="auto"/>
        <w:right w:val="none" w:sz="0" w:space="0" w:color="auto"/>
      </w:divBdr>
    </w:div>
    <w:div w:id="1890797908">
      <w:marLeft w:val="0"/>
      <w:marRight w:val="0"/>
      <w:marTop w:val="0"/>
      <w:marBottom w:val="0"/>
      <w:divBdr>
        <w:top w:val="none" w:sz="0" w:space="0" w:color="auto"/>
        <w:left w:val="none" w:sz="0" w:space="0" w:color="auto"/>
        <w:bottom w:val="none" w:sz="0" w:space="0" w:color="auto"/>
        <w:right w:val="none" w:sz="0" w:space="0" w:color="auto"/>
      </w:divBdr>
      <w:divsChild>
        <w:div w:id="72091865">
          <w:marLeft w:val="0"/>
          <w:marRight w:val="0"/>
          <w:marTop w:val="0"/>
          <w:marBottom w:val="0"/>
          <w:divBdr>
            <w:top w:val="none" w:sz="0" w:space="0" w:color="auto"/>
            <w:left w:val="none" w:sz="0" w:space="0" w:color="auto"/>
            <w:bottom w:val="none" w:sz="0" w:space="0" w:color="auto"/>
            <w:right w:val="none" w:sz="0" w:space="0" w:color="auto"/>
          </w:divBdr>
          <w:divsChild>
            <w:div w:id="20743538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94459551">
      <w:marLeft w:val="0"/>
      <w:marRight w:val="0"/>
      <w:marTop w:val="120"/>
      <w:marBottom w:val="120"/>
      <w:divBdr>
        <w:top w:val="none" w:sz="0" w:space="0" w:color="auto"/>
        <w:left w:val="none" w:sz="0" w:space="0" w:color="auto"/>
        <w:bottom w:val="none" w:sz="0" w:space="0" w:color="auto"/>
        <w:right w:val="none" w:sz="0" w:space="0" w:color="auto"/>
      </w:divBdr>
    </w:div>
    <w:div w:id="1905295198">
      <w:marLeft w:val="0"/>
      <w:marRight w:val="0"/>
      <w:marTop w:val="60"/>
      <w:marBottom w:val="20"/>
      <w:divBdr>
        <w:top w:val="none" w:sz="0" w:space="0" w:color="auto"/>
        <w:left w:val="none" w:sz="0" w:space="0" w:color="auto"/>
        <w:bottom w:val="none" w:sz="0" w:space="0" w:color="auto"/>
        <w:right w:val="none" w:sz="0" w:space="0" w:color="auto"/>
      </w:divBdr>
    </w:div>
    <w:div w:id="1906329811">
      <w:marLeft w:val="0"/>
      <w:marRight w:val="0"/>
      <w:marTop w:val="180"/>
      <w:marBottom w:val="0"/>
      <w:divBdr>
        <w:top w:val="none" w:sz="0" w:space="0" w:color="auto"/>
        <w:left w:val="none" w:sz="0" w:space="0" w:color="auto"/>
        <w:bottom w:val="none" w:sz="0" w:space="0" w:color="auto"/>
        <w:right w:val="none" w:sz="0" w:space="0" w:color="auto"/>
      </w:divBdr>
    </w:div>
    <w:div w:id="1907838235">
      <w:marLeft w:val="0"/>
      <w:marRight w:val="0"/>
      <w:marTop w:val="180"/>
      <w:marBottom w:val="0"/>
      <w:divBdr>
        <w:top w:val="none" w:sz="0" w:space="0" w:color="auto"/>
        <w:left w:val="none" w:sz="0" w:space="0" w:color="auto"/>
        <w:bottom w:val="none" w:sz="0" w:space="0" w:color="auto"/>
        <w:right w:val="none" w:sz="0" w:space="0" w:color="auto"/>
      </w:divBdr>
    </w:div>
    <w:div w:id="1908413841">
      <w:marLeft w:val="0"/>
      <w:marRight w:val="0"/>
      <w:marTop w:val="180"/>
      <w:marBottom w:val="0"/>
      <w:divBdr>
        <w:top w:val="none" w:sz="0" w:space="0" w:color="auto"/>
        <w:left w:val="none" w:sz="0" w:space="0" w:color="auto"/>
        <w:bottom w:val="none" w:sz="0" w:space="0" w:color="auto"/>
        <w:right w:val="none" w:sz="0" w:space="0" w:color="auto"/>
      </w:divBdr>
    </w:div>
    <w:div w:id="1910729539">
      <w:marLeft w:val="0"/>
      <w:marRight w:val="0"/>
      <w:marTop w:val="0"/>
      <w:marBottom w:val="0"/>
      <w:divBdr>
        <w:top w:val="none" w:sz="0" w:space="0" w:color="auto"/>
        <w:left w:val="none" w:sz="0" w:space="0" w:color="auto"/>
        <w:bottom w:val="none" w:sz="0" w:space="0" w:color="auto"/>
        <w:right w:val="none" w:sz="0" w:space="0" w:color="auto"/>
      </w:divBdr>
      <w:divsChild>
        <w:div w:id="234708591">
          <w:marLeft w:val="0"/>
          <w:marRight w:val="0"/>
          <w:marTop w:val="0"/>
          <w:marBottom w:val="0"/>
          <w:divBdr>
            <w:top w:val="none" w:sz="0" w:space="0" w:color="auto"/>
            <w:left w:val="none" w:sz="0" w:space="0" w:color="auto"/>
            <w:bottom w:val="none" w:sz="0" w:space="0" w:color="auto"/>
            <w:right w:val="none" w:sz="0" w:space="0" w:color="auto"/>
          </w:divBdr>
          <w:divsChild>
            <w:div w:id="17718556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27183631">
      <w:marLeft w:val="0"/>
      <w:marRight w:val="0"/>
      <w:marTop w:val="180"/>
      <w:marBottom w:val="0"/>
      <w:divBdr>
        <w:top w:val="none" w:sz="0" w:space="0" w:color="auto"/>
        <w:left w:val="none" w:sz="0" w:space="0" w:color="auto"/>
        <w:bottom w:val="none" w:sz="0" w:space="0" w:color="auto"/>
        <w:right w:val="none" w:sz="0" w:space="0" w:color="auto"/>
      </w:divBdr>
    </w:div>
    <w:div w:id="1928078154">
      <w:marLeft w:val="0"/>
      <w:marRight w:val="0"/>
      <w:marTop w:val="0"/>
      <w:marBottom w:val="0"/>
      <w:divBdr>
        <w:top w:val="none" w:sz="0" w:space="0" w:color="auto"/>
        <w:left w:val="none" w:sz="0" w:space="0" w:color="auto"/>
        <w:bottom w:val="none" w:sz="0" w:space="0" w:color="auto"/>
        <w:right w:val="none" w:sz="0" w:space="0" w:color="auto"/>
      </w:divBdr>
      <w:divsChild>
        <w:div w:id="890924693">
          <w:marLeft w:val="0"/>
          <w:marRight w:val="0"/>
          <w:marTop w:val="0"/>
          <w:marBottom w:val="0"/>
          <w:divBdr>
            <w:top w:val="none" w:sz="0" w:space="0" w:color="auto"/>
            <w:left w:val="none" w:sz="0" w:space="0" w:color="auto"/>
            <w:bottom w:val="none" w:sz="0" w:space="0" w:color="auto"/>
            <w:right w:val="none" w:sz="0" w:space="0" w:color="auto"/>
          </w:divBdr>
          <w:divsChild>
            <w:div w:id="3465646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30459699">
      <w:marLeft w:val="0"/>
      <w:marRight w:val="0"/>
      <w:marTop w:val="180"/>
      <w:marBottom w:val="0"/>
      <w:divBdr>
        <w:top w:val="none" w:sz="0" w:space="0" w:color="auto"/>
        <w:left w:val="none" w:sz="0" w:space="0" w:color="auto"/>
        <w:bottom w:val="none" w:sz="0" w:space="0" w:color="auto"/>
        <w:right w:val="none" w:sz="0" w:space="0" w:color="auto"/>
      </w:divBdr>
    </w:div>
    <w:div w:id="1932546608">
      <w:marLeft w:val="0"/>
      <w:marRight w:val="0"/>
      <w:marTop w:val="20"/>
      <w:marBottom w:val="0"/>
      <w:divBdr>
        <w:top w:val="none" w:sz="0" w:space="0" w:color="auto"/>
        <w:left w:val="none" w:sz="0" w:space="0" w:color="auto"/>
        <w:bottom w:val="none" w:sz="0" w:space="0" w:color="auto"/>
        <w:right w:val="none" w:sz="0" w:space="0" w:color="auto"/>
      </w:divBdr>
    </w:div>
    <w:div w:id="1932741813">
      <w:marLeft w:val="0"/>
      <w:marRight w:val="0"/>
      <w:marTop w:val="180"/>
      <w:marBottom w:val="0"/>
      <w:divBdr>
        <w:top w:val="none" w:sz="0" w:space="0" w:color="auto"/>
        <w:left w:val="none" w:sz="0" w:space="0" w:color="auto"/>
        <w:bottom w:val="none" w:sz="0" w:space="0" w:color="auto"/>
        <w:right w:val="none" w:sz="0" w:space="0" w:color="auto"/>
      </w:divBdr>
    </w:div>
    <w:div w:id="1934390156">
      <w:marLeft w:val="0"/>
      <w:marRight w:val="0"/>
      <w:marTop w:val="180"/>
      <w:marBottom w:val="0"/>
      <w:divBdr>
        <w:top w:val="none" w:sz="0" w:space="0" w:color="auto"/>
        <w:left w:val="none" w:sz="0" w:space="0" w:color="auto"/>
        <w:bottom w:val="none" w:sz="0" w:space="0" w:color="auto"/>
        <w:right w:val="none" w:sz="0" w:space="0" w:color="auto"/>
      </w:divBdr>
    </w:div>
    <w:div w:id="1938948781">
      <w:marLeft w:val="0"/>
      <w:marRight w:val="0"/>
      <w:marTop w:val="180"/>
      <w:marBottom w:val="0"/>
      <w:divBdr>
        <w:top w:val="none" w:sz="0" w:space="0" w:color="auto"/>
        <w:left w:val="none" w:sz="0" w:space="0" w:color="auto"/>
        <w:bottom w:val="none" w:sz="0" w:space="0" w:color="auto"/>
        <w:right w:val="none" w:sz="0" w:space="0" w:color="auto"/>
      </w:divBdr>
    </w:div>
    <w:div w:id="1943953799">
      <w:marLeft w:val="0"/>
      <w:marRight w:val="0"/>
      <w:marTop w:val="0"/>
      <w:marBottom w:val="0"/>
      <w:divBdr>
        <w:top w:val="none" w:sz="0" w:space="0" w:color="auto"/>
        <w:left w:val="none" w:sz="0" w:space="0" w:color="auto"/>
        <w:bottom w:val="none" w:sz="0" w:space="0" w:color="auto"/>
        <w:right w:val="none" w:sz="0" w:space="0" w:color="auto"/>
      </w:divBdr>
      <w:divsChild>
        <w:div w:id="638850980">
          <w:marLeft w:val="0"/>
          <w:marRight w:val="0"/>
          <w:marTop w:val="180"/>
          <w:marBottom w:val="180"/>
          <w:divBdr>
            <w:top w:val="none" w:sz="0" w:space="0" w:color="auto"/>
            <w:left w:val="none" w:sz="0" w:space="0" w:color="auto"/>
            <w:bottom w:val="none" w:sz="0" w:space="0" w:color="auto"/>
            <w:right w:val="none" w:sz="0" w:space="0" w:color="auto"/>
          </w:divBdr>
        </w:div>
      </w:divsChild>
    </w:div>
    <w:div w:id="1949578358">
      <w:marLeft w:val="0"/>
      <w:marRight w:val="0"/>
      <w:marTop w:val="180"/>
      <w:marBottom w:val="0"/>
      <w:divBdr>
        <w:top w:val="none" w:sz="0" w:space="0" w:color="auto"/>
        <w:left w:val="none" w:sz="0" w:space="0" w:color="auto"/>
        <w:bottom w:val="none" w:sz="0" w:space="0" w:color="auto"/>
        <w:right w:val="none" w:sz="0" w:space="0" w:color="auto"/>
      </w:divBdr>
    </w:div>
    <w:div w:id="1961646841">
      <w:marLeft w:val="0"/>
      <w:marRight w:val="0"/>
      <w:marTop w:val="180"/>
      <w:marBottom w:val="120"/>
      <w:divBdr>
        <w:top w:val="none" w:sz="0" w:space="0" w:color="auto"/>
        <w:left w:val="none" w:sz="0" w:space="0" w:color="auto"/>
        <w:bottom w:val="none" w:sz="0" w:space="0" w:color="auto"/>
        <w:right w:val="none" w:sz="0" w:space="0" w:color="auto"/>
      </w:divBdr>
    </w:div>
    <w:div w:id="1961917918">
      <w:marLeft w:val="0"/>
      <w:marRight w:val="0"/>
      <w:marTop w:val="180"/>
      <w:marBottom w:val="0"/>
      <w:divBdr>
        <w:top w:val="none" w:sz="0" w:space="0" w:color="auto"/>
        <w:left w:val="none" w:sz="0" w:space="0" w:color="auto"/>
        <w:bottom w:val="none" w:sz="0" w:space="0" w:color="auto"/>
        <w:right w:val="none" w:sz="0" w:space="0" w:color="auto"/>
      </w:divBdr>
    </w:div>
    <w:div w:id="1966810823">
      <w:marLeft w:val="0"/>
      <w:marRight w:val="0"/>
      <w:marTop w:val="180"/>
      <w:marBottom w:val="0"/>
      <w:divBdr>
        <w:top w:val="none" w:sz="0" w:space="0" w:color="auto"/>
        <w:left w:val="none" w:sz="0" w:space="0" w:color="auto"/>
        <w:bottom w:val="none" w:sz="0" w:space="0" w:color="auto"/>
        <w:right w:val="none" w:sz="0" w:space="0" w:color="auto"/>
      </w:divBdr>
    </w:div>
    <w:div w:id="1968930438">
      <w:marLeft w:val="0"/>
      <w:marRight w:val="0"/>
      <w:marTop w:val="140"/>
      <w:marBottom w:val="180"/>
      <w:divBdr>
        <w:top w:val="none" w:sz="0" w:space="0" w:color="auto"/>
        <w:left w:val="none" w:sz="0" w:space="0" w:color="auto"/>
        <w:bottom w:val="none" w:sz="0" w:space="0" w:color="auto"/>
        <w:right w:val="none" w:sz="0" w:space="0" w:color="auto"/>
      </w:divBdr>
    </w:div>
    <w:div w:id="1969503358">
      <w:marLeft w:val="0"/>
      <w:marRight w:val="0"/>
      <w:marTop w:val="0"/>
      <w:marBottom w:val="0"/>
      <w:divBdr>
        <w:top w:val="none" w:sz="0" w:space="0" w:color="auto"/>
        <w:left w:val="none" w:sz="0" w:space="0" w:color="auto"/>
        <w:bottom w:val="none" w:sz="0" w:space="0" w:color="auto"/>
        <w:right w:val="none" w:sz="0" w:space="0" w:color="auto"/>
      </w:divBdr>
      <w:divsChild>
        <w:div w:id="474957935">
          <w:marLeft w:val="0"/>
          <w:marRight w:val="0"/>
          <w:marTop w:val="0"/>
          <w:marBottom w:val="0"/>
          <w:divBdr>
            <w:top w:val="none" w:sz="0" w:space="0" w:color="auto"/>
            <w:left w:val="none" w:sz="0" w:space="0" w:color="auto"/>
            <w:bottom w:val="none" w:sz="0" w:space="0" w:color="auto"/>
            <w:right w:val="none" w:sz="0" w:space="0" w:color="auto"/>
          </w:divBdr>
          <w:divsChild>
            <w:div w:id="11879087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71087290">
      <w:marLeft w:val="0"/>
      <w:marRight w:val="0"/>
      <w:marTop w:val="180"/>
      <w:marBottom w:val="0"/>
      <w:divBdr>
        <w:top w:val="none" w:sz="0" w:space="0" w:color="auto"/>
        <w:left w:val="none" w:sz="0" w:space="0" w:color="auto"/>
        <w:bottom w:val="none" w:sz="0" w:space="0" w:color="auto"/>
        <w:right w:val="none" w:sz="0" w:space="0" w:color="auto"/>
      </w:divBdr>
    </w:div>
    <w:div w:id="1974015738">
      <w:marLeft w:val="0"/>
      <w:marRight w:val="0"/>
      <w:marTop w:val="120"/>
      <w:marBottom w:val="20"/>
      <w:divBdr>
        <w:top w:val="none" w:sz="0" w:space="0" w:color="auto"/>
        <w:left w:val="none" w:sz="0" w:space="0" w:color="auto"/>
        <w:bottom w:val="none" w:sz="0" w:space="0" w:color="auto"/>
        <w:right w:val="none" w:sz="0" w:space="0" w:color="auto"/>
      </w:divBdr>
      <w:divsChild>
        <w:div w:id="9724789">
          <w:marLeft w:val="0"/>
          <w:marRight w:val="0"/>
          <w:marTop w:val="0"/>
          <w:marBottom w:val="0"/>
          <w:divBdr>
            <w:top w:val="none" w:sz="0" w:space="0" w:color="auto"/>
            <w:left w:val="none" w:sz="0" w:space="0" w:color="auto"/>
            <w:bottom w:val="none" w:sz="0" w:space="0" w:color="auto"/>
            <w:right w:val="none" w:sz="0" w:space="0" w:color="auto"/>
          </w:divBdr>
        </w:div>
      </w:divsChild>
    </w:div>
    <w:div w:id="1974018527">
      <w:marLeft w:val="0"/>
      <w:marRight w:val="0"/>
      <w:marTop w:val="180"/>
      <w:marBottom w:val="0"/>
      <w:divBdr>
        <w:top w:val="none" w:sz="0" w:space="0" w:color="auto"/>
        <w:left w:val="none" w:sz="0" w:space="0" w:color="auto"/>
        <w:bottom w:val="none" w:sz="0" w:space="0" w:color="auto"/>
        <w:right w:val="none" w:sz="0" w:space="0" w:color="auto"/>
      </w:divBdr>
    </w:div>
    <w:div w:id="1975939465">
      <w:marLeft w:val="0"/>
      <w:marRight w:val="0"/>
      <w:marTop w:val="120"/>
      <w:marBottom w:val="0"/>
      <w:divBdr>
        <w:top w:val="none" w:sz="0" w:space="0" w:color="auto"/>
        <w:left w:val="none" w:sz="0" w:space="0" w:color="auto"/>
        <w:bottom w:val="none" w:sz="0" w:space="0" w:color="auto"/>
        <w:right w:val="none" w:sz="0" w:space="0" w:color="auto"/>
      </w:divBdr>
    </w:div>
    <w:div w:id="1982226270">
      <w:marLeft w:val="0"/>
      <w:marRight w:val="0"/>
      <w:marTop w:val="180"/>
      <w:marBottom w:val="60"/>
      <w:divBdr>
        <w:top w:val="none" w:sz="0" w:space="0" w:color="auto"/>
        <w:left w:val="none" w:sz="0" w:space="0" w:color="auto"/>
        <w:bottom w:val="none" w:sz="0" w:space="0" w:color="auto"/>
        <w:right w:val="none" w:sz="0" w:space="0" w:color="auto"/>
      </w:divBdr>
    </w:div>
    <w:div w:id="1985432668">
      <w:marLeft w:val="0"/>
      <w:marRight w:val="0"/>
      <w:marTop w:val="180"/>
      <w:marBottom w:val="0"/>
      <w:divBdr>
        <w:top w:val="none" w:sz="0" w:space="0" w:color="auto"/>
        <w:left w:val="none" w:sz="0" w:space="0" w:color="auto"/>
        <w:bottom w:val="none" w:sz="0" w:space="0" w:color="auto"/>
        <w:right w:val="none" w:sz="0" w:space="0" w:color="auto"/>
      </w:divBdr>
    </w:div>
    <w:div w:id="1987054034">
      <w:marLeft w:val="0"/>
      <w:marRight w:val="0"/>
      <w:marTop w:val="180"/>
      <w:marBottom w:val="20"/>
      <w:divBdr>
        <w:top w:val="none" w:sz="0" w:space="0" w:color="auto"/>
        <w:left w:val="none" w:sz="0" w:space="0" w:color="auto"/>
        <w:bottom w:val="none" w:sz="0" w:space="0" w:color="auto"/>
        <w:right w:val="none" w:sz="0" w:space="0" w:color="auto"/>
      </w:divBdr>
    </w:div>
    <w:div w:id="1988196923">
      <w:marLeft w:val="0"/>
      <w:marRight w:val="0"/>
      <w:marTop w:val="180"/>
      <w:marBottom w:val="0"/>
      <w:divBdr>
        <w:top w:val="none" w:sz="0" w:space="0" w:color="auto"/>
        <w:left w:val="none" w:sz="0" w:space="0" w:color="auto"/>
        <w:bottom w:val="none" w:sz="0" w:space="0" w:color="auto"/>
        <w:right w:val="none" w:sz="0" w:space="0" w:color="auto"/>
      </w:divBdr>
    </w:div>
    <w:div w:id="1993364120">
      <w:marLeft w:val="0"/>
      <w:marRight w:val="0"/>
      <w:marTop w:val="180"/>
      <w:marBottom w:val="0"/>
      <w:divBdr>
        <w:top w:val="none" w:sz="0" w:space="0" w:color="auto"/>
        <w:left w:val="none" w:sz="0" w:space="0" w:color="auto"/>
        <w:bottom w:val="none" w:sz="0" w:space="0" w:color="auto"/>
        <w:right w:val="none" w:sz="0" w:space="0" w:color="auto"/>
      </w:divBdr>
    </w:div>
    <w:div w:id="1993438421">
      <w:marLeft w:val="0"/>
      <w:marRight w:val="0"/>
      <w:marTop w:val="0"/>
      <w:marBottom w:val="0"/>
      <w:divBdr>
        <w:top w:val="none" w:sz="0" w:space="0" w:color="auto"/>
        <w:left w:val="none" w:sz="0" w:space="0" w:color="auto"/>
        <w:bottom w:val="none" w:sz="0" w:space="0" w:color="auto"/>
        <w:right w:val="none" w:sz="0" w:space="0" w:color="auto"/>
      </w:divBdr>
      <w:divsChild>
        <w:div w:id="602541907">
          <w:marLeft w:val="0"/>
          <w:marRight w:val="0"/>
          <w:marTop w:val="0"/>
          <w:marBottom w:val="0"/>
          <w:divBdr>
            <w:top w:val="none" w:sz="0" w:space="0" w:color="auto"/>
            <w:left w:val="none" w:sz="0" w:space="0" w:color="auto"/>
            <w:bottom w:val="none" w:sz="0" w:space="0" w:color="auto"/>
            <w:right w:val="none" w:sz="0" w:space="0" w:color="auto"/>
          </w:divBdr>
          <w:divsChild>
            <w:div w:id="8572306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01806851">
      <w:marLeft w:val="0"/>
      <w:marRight w:val="0"/>
      <w:marTop w:val="120"/>
      <w:marBottom w:val="0"/>
      <w:divBdr>
        <w:top w:val="none" w:sz="0" w:space="0" w:color="auto"/>
        <w:left w:val="none" w:sz="0" w:space="0" w:color="auto"/>
        <w:bottom w:val="none" w:sz="0" w:space="0" w:color="auto"/>
        <w:right w:val="none" w:sz="0" w:space="0" w:color="auto"/>
      </w:divBdr>
    </w:div>
    <w:div w:id="2002998335">
      <w:marLeft w:val="0"/>
      <w:marRight w:val="0"/>
      <w:marTop w:val="180"/>
      <w:marBottom w:val="0"/>
      <w:divBdr>
        <w:top w:val="none" w:sz="0" w:space="0" w:color="auto"/>
        <w:left w:val="none" w:sz="0" w:space="0" w:color="auto"/>
        <w:bottom w:val="none" w:sz="0" w:space="0" w:color="auto"/>
        <w:right w:val="none" w:sz="0" w:space="0" w:color="auto"/>
      </w:divBdr>
    </w:div>
    <w:div w:id="2004890810">
      <w:marLeft w:val="0"/>
      <w:marRight w:val="0"/>
      <w:marTop w:val="240"/>
      <w:marBottom w:val="0"/>
      <w:divBdr>
        <w:top w:val="none" w:sz="0" w:space="0" w:color="auto"/>
        <w:left w:val="none" w:sz="0" w:space="0" w:color="auto"/>
        <w:bottom w:val="none" w:sz="0" w:space="0" w:color="auto"/>
        <w:right w:val="none" w:sz="0" w:space="0" w:color="auto"/>
      </w:divBdr>
    </w:div>
    <w:div w:id="2009013884">
      <w:marLeft w:val="0"/>
      <w:marRight w:val="0"/>
      <w:marTop w:val="180"/>
      <w:marBottom w:val="0"/>
      <w:divBdr>
        <w:top w:val="none" w:sz="0" w:space="0" w:color="auto"/>
        <w:left w:val="none" w:sz="0" w:space="0" w:color="auto"/>
        <w:bottom w:val="none" w:sz="0" w:space="0" w:color="auto"/>
        <w:right w:val="none" w:sz="0" w:space="0" w:color="auto"/>
      </w:divBdr>
    </w:div>
    <w:div w:id="2014069891">
      <w:marLeft w:val="0"/>
      <w:marRight w:val="0"/>
      <w:marTop w:val="180"/>
      <w:marBottom w:val="0"/>
      <w:divBdr>
        <w:top w:val="none" w:sz="0" w:space="0" w:color="auto"/>
        <w:left w:val="none" w:sz="0" w:space="0" w:color="auto"/>
        <w:bottom w:val="none" w:sz="0" w:space="0" w:color="auto"/>
        <w:right w:val="none" w:sz="0" w:space="0" w:color="auto"/>
      </w:divBdr>
    </w:div>
    <w:div w:id="2015374514">
      <w:marLeft w:val="0"/>
      <w:marRight w:val="0"/>
      <w:marTop w:val="200"/>
      <w:marBottom w:val="0"/>
      <w:divBdr>
        <w:top w:val="none" w:sz="0" w:space="0" w:color="auto"/>
        <w:left w:val="none" w:sz="0" w:space="0" w:color="auto"/>
        <w:bottom w:val="none" w:sz="0" w:space="0" w:color="auto"/>
        <w:right w:val="none" w:sz="0" w:space="0" w:color="auto"/>
      </w:divBdr>
    </w:div>
    <w:div w:id="2022966605">
      <w:marLeft w:val="0"/>
      <w:marRight w:val="0"/>
      <w:marTop w:val="180"/>
      <w:marBottom w:val="20"/>
      <w:divBdr>
        <w:top w:val="none" w:sz="0" w:space="0" w:color="auto"/>
        <w:left w:val="none" w:sz="0" w:space="0" w:color="auto"/>
        <w:bottom w:val="none" w:sz="0" w:space="0" w:color="auto"/>
        <w:right w:val="none" w:sz="0" w:space="0" w:color="auto"/>
      </w:divBdr>
    </w:div>
    <w:div w:id="2023817518">
      <w:marLeft w:val="0"/>
      <w:marRight w:val="0"/>
      <w:marTop w:val="180"/>
      <w:marBottom w:val="0"/>
      <w:divBdr>
        <w:top w:val="none" w:sz="0" w:space="0" w:color="auto"/>
        <w:left w:val="none" w:sz="0" w:space="0" w:color="auto"/>
        <w:bottom w:val="none" w:sz="0" w:space="0" w:color="auto"/>
        <w:right w:val="none" w:sz="0" w:space="0" w:color="auto"/>
      </w:divBdr>
    </w:div>
    <w:div w:id="2023820117">
      <w:marLeft w:val="0"/>
      <w:marRight w:val="0"/>
      <w:marTop w:val="240"/>
      <w:marBottom w:val="0"/>
      <w:divBdr>
        <w:top w:val="none" w:sz="0" w:space="0" w:color="auto"/>
        <w:left w:val="none" w:sz="0" w:space="0" w:color="auto"/>
        <w:bottom w:val="none" w:sz="0" w:space="0" w:color="auto"/>
        <w:right w:val="none" w:sz="0" w:space="0" w:color="auto"/>
      </w:divBdr>
    </w:div>
    <w:div w:id="2028210757">
      <w:marLeft w:val="0"/>
      <w:marRight w:val="0"/>
      <w:marTop w:val="180"/>
      <w:marBottom w:val="0"/>
      <w:divBdr>
        <w:top w:val="none" w:sz="0" w:space="0" w:color="auto"/>
        <w:left w:val="none" w:sz="0" w:space="0" w:color="auto"/>
        <w:bottom w:val="none" w:sz="0" w:space="0" w:color="auto"/>
        <w:right w:val="none" w:sz="0" w:space="0" w:color="auto"/>
      </w:divBdr>
    </w:div>
    <w:div w:id="2028410420">
      <w:marLeft w:val="0"/>
      <w:marRight w:val="0"/>
      <w:marTop w:val="0"/>
      <w:marBottom w:val="0"/>
      <w:divBdr>
        <w:top w:val="none" w:sz="0" w:space="0" w:color="auto"/>
        <w:left w:val="none" w:sz="0" w:space="0" w:color="auto"/>
        <w:bottom w:val="none" w:sz="0" w:space="0" w:color="auto"/>
        <w:right w:val="none" w:sz="0" w:space="0" w:color="auto"/>
      </w:divBdr>
      <w:divsChild>
        <w:div w:id="48694542">
          <w:marLeft w:val="0"/>
          <w:marRight w:val="0"/>
          <w:marTop w:val="0"/>
          <w:marBottom w:val="0"/>
          <w:divBdr>
            <w:top w:val="none" w:sz="0" w:space="0" w:color="auto"/>
            <w:left w:val="none" w:sz="0" w:space="0" w:color="auto"/>
            <w:bottom w:val="none" w:sz="0" w:space="0" w:color="auto"/>
            <w:right w:val="none" w:sz="0" w:space="0" w:color="auto"/>
          </w:divBdr>
          <w:divsChild>
            <w:div w:id="7915588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36156873">
      <w:marLeft w:val="0"/>
      <w:marRight w:val="0"/>
      <w:marTop w:val="240"/>
      <w:marBottom w:val="0"/>
      <w:divBdr>
        <w:top w:val="none" w:sz="0" w:space="0" w:color="auto"/>
        <w:left w:val="none" w:sz="0" w:space="0" w:color="auto"/>
        <w:bottom w:val="none" w:sz="0" w:space="0" w:color="auto"/>
        <w:right w:val="none" w:sz="0" w:space="0" w:color="auto"/>
      </w:divBdr>
    </w:div>
    <w:div w:id="2037461498">
      <w:marLeft w:val="0"/>
      <w:marRight w:val="0"/>
      <w:marTop w:val="240"/>
      <w:marBottom w:val="0"/>
      <w:divBdr>
        <w:top w:val="none" w:sz="0" w:space="0" w:color="auto"/>
        <w:left w:val="none" w:sz="0" w:space="0" w:color="auto"/>
        <w:bottom w:val="none" w:sz="0" w:space="0" w:color="auto"/>
        <w:right w:val="none" w:sz="0" w:space="0" w:color="auto"/>
      </w:divBdr>
    </w:div>
    <w:div w:id="2040623221">
      <w:marLeft w:val="0"/>
      <w:marRight w:val="0"/>
      <w:marTop w:val="180"/>
      <w:marBottom w:val="0"/>
      <w:divBdr>
        <w:top w:val="none" w:sz="0" w:space="0" w:color="auto"/>
        <w:left w:val="none" w:sz="0" w:space="0" w:color="auto"/>
        <w:bottom w:val="none" w:sz="0" w:space="0" w:color="auto"/>
        <w:right w:val="none" w:sz="0" w:space="0" w:color="auto"/>
      </w:divBdr>
    </w:div>
    <w:div w:id="2042708169">
      <w:marLeft w:val="0"/>
      <w:marRight w:val="0"/>
      <w:marTop w:val="180"/>
      <w:marBottom w:val="0"/>
      <w:divBdr>
        <w:top w:val="none" w:sz="0" w:space="0" w:color="auto"/>
        <w:left w:val="none" w:sz="0" w:space="0" w:color="auto"/>
        <w:bottom w:val="none" w:sz="0" w:space="0" w:color="auto"/>
        <w:right w:val="none" w:sz="0" w:space="0" w:color="auto"/>
      </w:divBdr>
    </w:div>
    <w:div w:id="2043432857">
      <w:marLeft w:val="0"/>
      <w:marRight w:val="0"/>
      <w:marTop w:val="0"/>
      <w:marBottom w:val="0"/>
      <w:divBdr>
        <w:top w:val="none" w:sz="0" w:space="0" w:color="auto"/>
        <w:left w:val="none" w:sz="0" w:space="0" w:color="auto"/>
        <w:bottom w:val="none" w:sz="0" w:space="0" w:color="auto"/>
        <w:right w:val="none" w:sz="0" w:space="0" w:color="auto"/>
      </w:divBdr>
      <w:divsChild>
        <w:div w:id="1225141898">
          <w:marLeft w:val="0"/>
          <w:marRight w:val="0"/>
          <w:marTop w:val="180"/>
          <w:marBottom w:val="180"/>
          <w:divBdr>
            <w:top w:val="none" w:sz="0" w:space="0" w:color="auto"/>
            <w:left w:val="none" w:sz="0" w:space="0" w:color="auto"/>
            <w:bottom w:val="none" w:sz="0" w:space="0" w:color="auto"/>
            <w:right w:val="none" w:sz="0" w:space="0" w:color="auto"/>
          </w:divBdr>
        </w:div>
      </w:divsChild>
    </w:div>
    <w:div w:id="2044624095">
      <w:marLeft w:val="0"/>
      <w:marRight w:val="0"/>
      <w:marTop w:val="240"/>
      <w:marBottom w:val="0"/>
      <w:divBdr>
        <w:top w:val="none" w:sz="0" w:space="0" w:color="auto"/>
        <w:left w:val="none" w:sz="0" w:space="0" w:color="auto"/>
        <w:bottom w:val="none" w:sz="0" w:space="0" w:color="auto"/>
        <w:right w:val="none" w:sz="0" w:space="0" w:color="auto"/>
      </w:divBdr>
    </w:div>
    <w:div w:id="2054765397">
      <w:marLeft w:val="0"/>
      <w:marRight w:val="0"/>
      <w:marTop w:val="180"/>
      <w:marBottom w:val="0"/>
      <w:divBdr>
        <w:top w:val="none" w:sz="0" w:space="0" w:color="auto"/>
        <w:left w:val="none" w:sz="0" w:space="0" w:color="auto"/>
        <w:bottom w:val="none" w:sz="0" w:space="0" w:color="auto"/>
        <w:right w:val="none" w:sz="0" w:space="0" w:color="auto"/>
      </w:divBdr>
    </w:div>
    <w:div w:id="2059935052">
      <w:marLeft w:val="0"/>
      <w:marRight w:val="0"/>
      <w:marTop w:val="180"/>
      <w:marBottom w:val="0"/>
      <w:divBdr>
        <w:top w:val="none" w:sz="0" w:space="0" w:color="auto"/>
        <w:left w:val="none" w:sz="0" w:space="0" w:color="auto"/>
        <w:bottom w:val="none" w:sz="0" w:space="0" w:color="auto"/>
        <w:right w:val="none" w:sz="0" w:space="0" w:color="auto"/>
      </w:divBdr>
    </w:div>
    <w:div w:id="2060471491">
      <w:marLeft w:val="0"/>
      <w:marRight w:val="0"/>
      <w:marTop w:val="180"/>
      <w:marBottom w:val="0"/>
      <w:divBdr>
        <w:top w:val="none" w:sz="0" w:space="0" w:color="auto"/>
        <w:left w:val="none" w:sz="0" w:space="0" w:color="auto"/>
        <w:bottom w:val="none" w:sz="0" w:space="0" w:color="auto"/>
        <w:right w:val="none" w:sz="0" w:space="0" w:color="auto"/>
      </w:divBdr>
    </w:div>
    <w:div w:id="2075198241">
      <w:marLeft w:val="0"/>
      <w:marRight w:val="0"/>
      <w:marTop w:val="180"/>
      <w:marBottom w:val="0"/>
      <w:divBdr>
        <w:top w:val="none" w:sz="0" w:space="0" w:color="auto"/>
        <w:left w:val="none" w:sz="0" w:space="0" w:color="auto"/>
        <w:bottom w:val="none" w:sz="0" w:space="0" w:color="auto"/>
        <w:right w:val="none" w:sz="0" w:space="0" w:color="auto"/>
      </w:divBdr>
    </w:div>
    <w:div w:id="2077974281">
      <w:marLeft w:val="0"/>
      <w:marRight w:val="0"/>
      <w:marTop w:val="60"/>
      <w:marBottom w:val="0"/>
      <w:divBdr>
        <w:top w:val="none" w:sz="0" w:space="0" w:color="auto"/>
        <w:left w:val="none" w:sz="0" w:space="0" w:color="auto"/>
        <w:bottom w:val="none" w:sz="0" w:space="0" w:color="auto"/>
        <w:right w:val="none" w:sz="0" w:space="0" w:color="auto"/>
      </w:divBdr>
    </w:div>
    <w:div w:id="2079938546">
      <w:marLeft w:val="0"/>
      <w:marRight w:val="0"/>
      <w:marTop w:val="0"/>
      <w:marBottom w:val="0"/>
      <w:divBdr>
        <w:top w:val="none" w:sz="0" w:space="0" w:color="auto"/>
        <w:left w:val="none" w:sz="0" w:space="0" w:color="auto"/>
        <w:bottom w:val="none" w:sz="0" w:space="0" w:color="auto"/>
        <w:right w:val="none" w:sz="0" w:space="0" w:color="auto"/>
      </w:divBdr>
      <w:divsChild>
        <w:div w:id="1720009452">
          <w:marLeft w:val="0"/>
          <w:marRight w:val="0"/>
          <w:marTop w:val="0"/>
          <w:marBottom w:val="0"/>
          <w:divBdr>
            <w:top w:val="none" w:sz="0" w:space="0" w:color="auto"/>
            <w:left w:val="none" w:sz="0" w:space="0" w:color="auto"/>
            <w:bottom w:val="none" w:sz="0" w:space="0" w:color="auto"/>
            <w:right w:val="none" w:sz="0" w:space="0" w:color="auto"/>
          </w:divBdr>
          <w:divsChild>
            <w:div w:id="12731298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81172128">
      <w:marLeft w:val="0"/>
      <w:marRight w:val="0"/>
      <w:marTop w:val="180"/>
      <w:marBottom w:val="0"/>
      <w:divBdr>
        <w:top w:val="none" w:sz="0" w:space="0" w:color="auto"/>
        <w:left w:val="none" w:sz="0" w:space="0" w:color="auto"/>
        <w:bottom w:val="none" w:sz="0" w:space="0" w:color="auto"/>
        <w:right w:val="none" w:sz="0" w:space="0" w:color="auto"/>
      </w:divBdr>
    </w:div>
    <w:div w:id="2081440969">
      <w:marLeft w:val="0"/>
      <w:marRight w:val="0"/>
      <w:marTop w:val="60"/>
      <w:marBottom w:val="0"/>
      <w:divBdr>
        <w:top w:val="none" w:sz="0" w:space="0" w:color="auto"/>
        <w:left w:val="none" w:sz="0" w:space="0" w:color="auto"/>
        <w:bottom w:val="none" w:sz="0" w:space="0" w:color="auto"/>
        <w:right w:val="none" w:sz="0" w:space="0" w:color="auto"/>
      </w:divBdr>
    </w:div>
    <w:div w:id="2082294510">
      <w:marLeft w:val="0"/>
      <w:marRight w:val="0"/>
      <w:marTop w:val="0"/>
      <w:marBottom w:val="0"/>
      <w:divBdr>
        <w:top w:val="none" w:sz="0" w:space="0" w:color="auto"/>
        <w:left w:val="none" w:sz="0" w:space="0" w:color="auto"/>
        <w:bottom w:val="none" w:sz="0" w:space="0" w:color="auto"/>
        <w:right w:val="none" w:sz="0" w:space="0" w:color="auto"/>
      </w:divBdr>
      <w:divsChild>
        <w:div w:id="1537423701">
          <w:marLeft w:val="0"/>
          <w:marRight w:val="0"/>
          <w:marTop w:val="0"/>
          <w:marBottom w:val="0"/>
          <w:divBdr>
            <w:top w:val="none" w:sz="0" w:space="0" w:color="auto"/>
            <w:left w:val="none" w:sz="0" w:space="0" w:color="auto"/>
            <w:bottom w:val="none" w:sz="0" w:space="0" w:color="auto"/>
            <w:right w:val="none" w:sz="0" w:space="0" w:color="auto"/>
          </w:divBdr>
          <w:divsChild>
            <w:div w:id="14184025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82366079">
      <w:marLeft w:val="0"/>
      <w:marRight w:val="0"/>
      <w:marTop w:val="240"/>
      <w:marBottom w:val="0"/>
      <w:divBdr>
        <w:top w:val="none" w:sz="0" w:space="0" w:color="auto"/>
        <w:left w:val="none" w:sz="0" w:space="0" w:color="auto"/>
        <w:bottom w:val="none" w:sz="0" w:space="0" w:color="auto"/>
        <w:right w:val="none" w:sz="0" w:space="0" w:color="auto"/>
      </w:divBdr>
    </w:div>
    <w:div w:id="2089647598">
      <w:marLeft w:val="0"/>
      <w:marRight w:val="0"/>
      <w:marTop w:val="180"/>
      <w:marBottom w:val="0"/>
      <w:divBdr>
        <w:top w:val="none" w:sz="0" w:space="0" w:color="auto"/>
        <w:left w:val="none" w:sz="0" w:space="0" w:color="auto"/>
        <w:bottom w:val="none" w:sz="0" w:space="0" w:color="auto"/>
        <w:right w:val="none" w:sz="0" w:space="0" w:color="auto"/>
      </w:divBdr>
    </w:div>
    <w:div w:id="2093315759">
      <w:marLeft w:val="0"/>
      <w:marRight w:val="0"/>
      <w:marTop w:val="0"/>
      <w:marBottom w:val="0"/>
      <w:divBdr>
        <w:top w:val="none" w:sz="0" w:space="0" w:color="auto"/>
        <w:left w:val="none" w:sz="0" w:space="0" w:color="auto"/>
        <w:bottom w:val="none" w:sz="0" w:space="0" w:color="auto"/>
        <w:right w:val="none" w:sz="0" w:space="0" w:color="auto"/>
      </w:divBdr>
      <w:divsChild>
        <w:div w:id="577634928">
          <w:marLeft w:val="0"/>
          <w:marRight w:val="0"/>
          <w:marTop w:val="180"/>
          <w:marBottom w:val="180"/>
          <w:divBdr>
            <w:top w:val="none" w:sz="0" w:space="0" w:color="auto"/>
            <w:left w:val="none" w:sz="0" w:space="0" w:color="auto"/>
            <w:bottom w:val="none" w:sz="0" w:space="0" w:color="auto"/>
            <w:right w:val="none" w:sz="0" w:space="0" w:color="auto"/>
          </w:divBdr>
        </w:div>
      </w:divsChild>
    </w:div>
    <w:div w:id="2097901714">
      <w:marLeft w:val="0"/>
      <w:marRight w:val="0"/>
      <w:marTop w:val="180"/>
      <w:marBottom w:val="120"/>
      <w:divBdr>
        <w:top w:val="none" w:sz="0" w:space="0" w:color="auto"/>
        <w:left w:val="none" w:sz="0" w:space="0" w:color="auto"/>
        <w:bottom w:val="none" w:sz="0" w:space="0" w:color="auto"/>
        <w:right w:val="none" w:sz="0" w:space="0" w:color="auto"/>
      </w:divBdr>
    </w:div>
    <w:div w:id="2098860796">
      <w:marLeft w:val="0"/>
      <w:marRight w:val="0"/>
      <w:marTop w:val="120"/>
      <w:marBottom w:val="0"/>
      <w:divBdr>
        <w:top w:val="none" w:sz="0" w:space="0" w:color="auto"/>
        <w:left w:val="none" w:sz="0" w:space="0" w:color="auto"/>
        <w:bottom w:val="none" w:sz="0" w:space="0" w:color="auto"/>
        <w:right w:val="none" w:sz="0" w:space="0" w:color="auto"/>
      </w:divBdr>
    </w:div>
    <w:div w:id="2099252789">
      <w:marLeft w:val="0"/>
      <w:marRight w:val="0"/>
      <w:marTop w:val="180"/>
      <w:marBottom w:val="0"/>
      <w:divBdr>
        <w:top w:val="none" w:sz="0" w:space="0" w:color="auto"/>
        <w:left w:val="none" w:sz="0" w:space="0" w:color="auto"/>
        <w:bottom w:val="none" w:sz="0" w:space="0" w:color="auto"/>
        <w:right w:val="none" w:sz="0" w:space="0" w:color="auto"/>
      </w:divBdr>
    </w:div>
    <w:div w:id="2101563091">
      <w:marLeft w:val="0"/>
      <w:marRight w:val="0"/>
      <w:marTop w:val="180"/>
      <w:marBottom w:val="0"/>
      <w:divBdr>
        <w:top w:val="none" w:sz="0" w:space="0" w:color="auto"/>
        <w:left w:val="none" w:sz="0" w:space="0" w:color="auto"/>
        <w:bottom w:val="none" w:sz="0" w:space="0" w:color="auto"/>
        <w:right w:val="none" w:sz="0" w:space="0" w:color="auto"/>
      </w:divBdr>
    </w:div>
    <w:div w:id="2102405986">
      <w:marLeft w:val="0"/>
      <w:marRight w:val="0"/>
      <w:marTop w:val="180"/>
      <w:marBottom w:val="20"/>
      <w:divBdr>
        <w:top w:val="none" w:sz="0" w:space="0" w:color="auto"/>
        <w:left w:val="none" w:sz="0" w:space="0" w:color="auto"/>
        <w:bottom w:val="none" w:sz="0" w:space="0" w:color="auto"/>
        <w:right w:val="none" w:sz="0" w:space="0" w:color="auto"/>
      </w:divBdr>
    </w:div>
    <w:div w:id="2111966763">
      <w:marLeft w:val="0"/>
      <w:marRight w:val="0"/>
      <w:marTop w:val="180"/>
      <w:marBottom w:val="0"/>
      <w:divBdr>
        <w:top w:val="none" w:sz="0" w:space="0" w:color="auto"/>
        <w:left w:val="none" w:sz="0" w:space="0" w:color="auto"/>
        <w:bottom w:val="none" w:sz="0" w:space="0" w:color="auto"/>
        <w:right w:val="none" w:sz="0" w:space="0" w:color="auto"/>
      </w:divBdr>
    </w:div>
    <w:div w:id="2114402440">
      <w:marLeft w:val="0"/>
      <w:marRight w:val="0"/>
      <w:marTop w:val="180"/>
      <w:marBottom w:val="0"/>
      <w:divBdr>
        <w:top w:val="none" w:sz="0" w:space="0" w:color="auto"/>
        <w:left w:val="none" w:sz="0" w:space="0" w:color="auto"/>
        <w:bottom w:val="none" w:sz="0" w:space="0" w:color="auto"/>
        <w:right w:val="none" w:sz="0" w:space="0" w:color="auto"/>
      </w:divBdr>
    </w:div>
    <w:div w:id="2115130085">
      <w:marLeft w:val="0"/>
      <w:marRight w:val="0"/>
      <w:marTop w:val="0"/>
      <w:marBottom w:val="0"/>
      <w:divBdr>
        <w:top w:val="none" w:sz="0" w:space="0" w:color="auto"/>
        <w:left w:val="none" w:sz="0" w:space="0" w:color="auto"/>
        <w:bottom w:val="none" w:sz="0" w:space="0" w:color="auto"/>
        <w:right w:val="none" w:sz="0" w:space="0" w:color="auto"/>
      </w:divBdr>
      <w:divsChild>
        <w:div w:id="140510979">
          <w:marLeft w:val="0"/>
          <w:marRight w:val="0"/>
          <w:marTop w:val="0"/>
          <w:marBottom w:val="0"/>
          <w:divBdr>
            <w:top w:val="none" w:sz="0" w:space="0" w:color="auto"/>
            <w:left w:val="none" w:sz="0" w:space="0" w:color="auto"/>
            <w:bottom w:val="none" w:sz="0" w:space="0" w:color="auto"/>
            <w:right w:val="none" w:sz="0" w:space="0" w:color="auto"/>
          </w:divBdr>
          <w:divsChild>
            <w:div w:id="5789035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19325702">
      <w:marLeft w:val="0"/>
      <w:marRight w:val="0"/>
      <w:marTop w:val="0"/>
      <w:marBottom w:val="0"/>
      <w:divBdr>
        <w:top w:val="none" w:sz="0" w:space="0" w:color="auto"/>
        <w:left w:val="none" w:sz="0" w:space="0" w:color="auto"/>
        <w:bottom w:val="none" w:sz="0" w:space="0" w:color="auto"/>
        <w:right w:val="none" w:sz="0" w:space="0" w:color="auto"/>
      </w:divBdr>
      <w:divsChild>
        <w:div w:id="1772047272">
          <w:marLeft w:val="0"/>
          <w:marRight w:val="0"/>
          <w:marTop w:val="0"/>
          <w:marBottom w:val="0"/>
          <w:divBdr>
            <w:top w:val="none" w:sz="0" w:space="0" w:color="auto"/>
            <w:left w:val="none" w:sz="0" w:space="0" w:color="auto"/>
            <w:bottom w:val="none" w:sz="0" w:space="0" w:color="auto"/>
            <w:right w:val="none" w:sz="0" w:space="0" w:color="auto"/>
          </w:divBdr>
          <w:divsChild>
            <w:div w:id="4882067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30317845">
      <w:marLeft w:val="0"/>
      <w:marRight w:val="0"/>
      <w:marTop w:val="180"/>
      <w:marBottom w:val="0"/>
      <w:divBdr>
        <w:top w:val="none" w:sz="0" w:space="0" w:color="auto"/>
        <w:left w:val="none" w:sz="0" w:space="0" w:color="auto"/>
        <w:bottom w:val="none" w:sz="0" w:space="0" w:color="auto"/>
        <w:right w:val="none" w:sz="0" w:space="0" w:color="auto"/>
      </w:divBdr>
    </w:div>
    <w:div w:id="2135785260">
      <w:marLeft w:val="0"/>
      <w:marRight w:val="0"/>
      <w:marTop w:val="120"/>
      <w:marBottom w:val="0"/>
      <w:divBdr>
        <w:top w:val="none" w:sz="0" w:space="0" w:color="auto"/>
        <w:left w:val="none" w:sz="0" w:space="0" w:color="auto"/>
        <w:bottom w:val="none" w:sz="0" w:space="0" w:color="auto"/>
        <w:right w:val="none" w:sz="0" w:space="0" w:color="auto"/>
      </w:divBdr>
    </w:div>
    <w:div w:id="2144694383">
      <w:marLeft w:val="0"/>
      <w:marRight w:val="0"/>
      <w:marTop w:val="0"/>
      <w:marBottom w:val="0"/>
      <w:divBdr>
        <w:top w:val="none" w:sz="0" w:space="0" w:color="auto"/>
        <w:left w:val="none" w:sz="0" w:space="0" w:color="auto"/>
        <w:bottom w:val="none" w:sz="0" w:space="0" w:color="auto"/>
        <w:right w:val="none" w:sz="0" w:space="0" w:color="auto"/>
      </w:divBdr>
      <w:divsChild>
        <w:div w:id="2029599198">
          <w:marLeft w:val="0"/>
          <w:marRight w:val="0"/>
          <w:marTop w:val="18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projects\LLMs\new_data_collection\data_new\htm\ABM%20INDUSTRIES%20INC%20DE\abm-20230131_g5.jpg" TargetMode="External"/><Relationship Id="rId13" Type="http://schemas.openxmlformats.org/officeDocument/2006/relationships/hyperlink" Target="abm1312023ex32.htm" TargetMode="External"/><Relationship Id="rId3" Type="http://schemas.openxmlformats.org/officeDocument/2006/relationships/webSettings" Target="webSettings.xml"/><Relationship Id="rId7" Type="http://schemas.openxmlformats.org/officeDocument/2006/relationships/image" Target="file:///E:\projects\LLMs\new_data_collection\data_new\htm\ABM%20INDUSTRIES%20INC%20DE\abm-20230131_g4.jpg" TargetMode="External"/><Relationship Id="rId12" Type="http://schemas.openxmlformats.org/officeDocument/2006/relationships/hyperlink" Target="abm1312023e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E:\projects\LLMs\new_data_collection\data_new\htm\ABM%20INDUSTRIES%20INC%20DE\abm-20230131_g3.jpg" TargetMode="External"/><Relationship Id="rId11" Type="http://schemas.openxmlformats.org/officeDocument/2006/relationships/hyperlink" Target="abm1312023ex311.htm" TargetMode="External"/><Relationship Id="rId5" Type="http://schemas.openxmlformats.org/officeDocument/2006/relationships/image" Target="file:///E:\projects\LLMs\new_data_collection\data_new\htm\ABM%20INDUSTRIES%20INC%20DE\abm-20230131_g2.jpg" TargetMode="External"/><Relationship Id="rId15" Type="http://schemas.openxmlformats.org/officeDocument/2006/relationships/theme" Target="theme/theme1.xml"/><Relationship Id="rId10" Type="http://schemas.openxmlformats.org/officeDocument/2006/relationships/image" Target="file:///E:\projects\LLMs\new_data_collection\data_new\htm\ABM%20INDUSTRIES%20INC%20DE\abm-20230131_g7.jpg" TargetMode="External"/><Relationship Id="rId4" Type="http://schemas.openxmlformats.org/officeDocument/2006/relationships/image" Target="file:///E:\projects\LLMs\new_data_collection\data_new\htm\ABM%20INDUSTRIES%20INC%20DE\abm-20230131_g1.jpg" TargetMode="External"/><Relationship Id="rId9" Type="http://schemas.openxmlformats.org/officeDocument/2006/relationships/image" Target="file:///E:\projects\LLMs\new_data_collection\data_new\htm\ABM%20INDUSTRIES%20INC%20DE\abm-20230131_g6.jp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17784</Words>
  <Characters>101373</Characters>
  <Application>Microsoft Office Word</Application>
  <DocSecurity>0</DocSecurity>
  <Lines>844</Lines>
  <Paragraphs>237</Paragraphs>
  <ScaleCrop>false</ScaleCrop>
  <Company/>
  <LinksUpToDate>false</LinksUpToDate>
  <CharactersWithSpaces>118920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abm-20230131</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