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E83B" w14:textId="5F366B8D" w:rsidR="00A74A1E" w:rsidRDefault="00807990">
      <w:r>
        <w:t xml:space="preserve"> </w:t>
      </w:r>
    </w:p>
    <w:p w14:paraId="1426E83C" w14:textId="77777777" w:rsidR="00A74A1E" w:rsidRDefault="00807990">
      <w:pPr>
        <w:rPr>
          <w:vanish/>
        </w:rPr>
      </w:pPr>
      <w:r>
        <w:rPr>
          <w:rFonts w:ascii="宋体" w:eastAsia="宋体" w:hAnsi="宋体" w:cs="宋体"/>
          <w:vanish/>
        </w:rPr>
        <w:t xml:space="preserve">false2020Q30000002488December </w:t>
      </w:r>
      <w:r>
        <w:rPr>
          <w:rFonts w:ascii="宋体" w:eastAsia="宋体" w:hAnsi="宋体" w:cs="宋体"/>
          <w:vanish/>
        </w:rPr>
        <w:t>2600000024882019-12-292020-09-26xbrli:shares00000024882020-10-23iso4217:USD00000024882020-06-282020-09-2600000024882019-06-302019-09-2800000024882018-12-302019-09-28iso4217:USDxbrli:shares0000002488us-gaap:AccumulatedGainLossNetCashFlowHedgeParentMember202</w:t>
      </w:r>
      <w:r>
        <w:rPr>
          <w:rFonts w:ascii="宋体" w:eastAsia="宋体" w:hAnsi="宋体" w:cs="宋体"/>
          <w:vanish/>
        </w:rPr>
        <w:t>0-06-282020-09-260000002488us-gaap:AccumulatedGainLossNetCashFlowHedgeParentMember2019-06-302019-09-280000002488us-gaap:AccumulatedGainLossNetCashFlowHedgeParentMember2019-12-292020-09-260000002488us-gaap:AccumulatedGainLossNetCashFlowHedgeParentMember2018</w:t>
      </w:r>
      <w:r>
        <w:rPr>
          <w:rFonts w:ascii="宋体" w:eastAsia="宋体" w:hAnsi="宋体" w:cs="宋体"/>
          <w:vanish/>
        </w:rPr>
        <w:t>-12-302019-09-2800000024882020-09-2600000024882019-12-2800000024882018-12-2900000024882019-09-280000002488us-gaap:CommonStockMember2020-06-270000002488us-gaap:CommonStockMember2019-06-290000002488us-gaap:CommonStockMember2019-12-280000002488us-gaap:CommonS</w:t>
      </w:r>
      <w:r>
        <w:rPr>
          <w:rFonts w:ascii="宋体" w:eastAsia="宋体" w:hAnsi="宋体" w:cs="宋体"/>
          <w:vanish/>
        </w:rPr>
        <w:t>tockMember2018-12-290000002488us-gaap:CommonStockMember2018-12-302019-09-280000002488us-gaap:CommonStockMember2020-09-260000002488us-gaap:CommonStockMember2019-09-280000002488us-gaap:AdditionalPaidInCapitalMember2020-06-270000002488us-gaap:AdditionalPaidIn</w:t>
      </w:r>
      <w:r>
        <w:rPr>
          <w:rFonts w:ascii="宋体" w:eastAsia="宋体" w:hAnsi="宋体" w:cs="宋体"/>
          <w:vanish/>
        </w:rPr>
        <w:t>CapitalMember2019-06-290000002488us-gaap:AdditionalPaidInCapitalMember2019-12-280000002488us-gaap:AdditionalPaidInCapitalMember2018-12-290000002488us-gaap:AdditionalPaidInCapitalMember2020-06-282020-09-260000002488us-gaap:AdditionalPaidInCapitalMember2019-</w:t>
      </w:r>
      <w:r>
        <w:rPr>
          <w:rFonts w:ascii="宋体" w:eastAsia="宋体" w:hAnsi="宋体" w:cs="宋体"/>
          <w:vanish/>
        </w:rPr>
        <w:t>06-302019-09-280000002488us-gaap:AdditionalPaidInCapitalMember2019-12-292020-09-260000002488us-gaap:AdditionalPaidInCapitalMember2018-12-302019-09-280000002488us-gaap:AdditionalPaidInCapitalMember2020-09-260000002488us-gaap:AdditionalPaidInCapitalMember201</w:t>
      </w:r>
      <w:r>
        <w:rPr>
          <w:rFonts w:ascii="宋体" w:eastAsia="宋体" w:hAnsi="宋体" w:cs="宋体"/>
          <w:vanish/>
        </w:rPr>
        <w:t>9-09-280000002488us-gaap:TreasuryStockMember2020-06-270000002488us-gaap:TreasuryStockMember2019-06-290000002488us-gaap:TreasuryStockMember2019-12-280000002488us-gaap:TreasuryStockMember2018-12-290000002488us-gaap:TreasuryStockMember2018-12-302019-09-280000</w:t>
      </w:r>
      <w:r>
        <w:rPr>
          <w:rFonts w:ascii="宋体" w:eastAsia="宋体" w:hAnsi="宋体" w:cs="宋体"/>
          <w:vanish/>
        </w:rPr>
        <w:t>002488us-gaap:TreasuryStockMember2020-06-282020-09-260000002488us-gaap:TreasuryStockMember2019-06-302019-09-280000002488us-gaap:TreasuryStockMember2019-12-292020-09-260000002488us-gaap:TreasuryStockMember2020-09-260000002488us-gaap:TreasuryStockMember2019-</w:t>
      </w:r>
      <w:r>
        <w:rPr>
          <w:rFonts w:ascii="宋体" w:eastAsia="宋体" w:hAnsi="宋体" w:cs="宋体"/>
          <w:vanish/>
        </w:rPr>
        <w:t>09-280000002488us-gaap:RetainedEarningsMember2020-06-270000002488us-gaap:RetainedEarningsMember2019-06-290000002488us-gaap:RetainedEarningsMember2019-12-280000002488us-gaap:RetainedEarningsMember2018-12-290000002488us-gaap:RetainedEarningsMember2020-06-282</w:t>
      </w:r>
      <w:r>
        <w:rPr>
          <w:rFonts w:ascii="宋体" w:eastAsia="宋体" w:hAnsi="宋体" w:cs="宋体"/>
          <w:vanish/>
        </w:rPr>
        <w:t>020-09-260000002488us-gaap:RetainedEarningsMember2019-06-302019-09-280000002488us-gaap:RetainedEarningsMember2019-12-292020-09-260000002488us-gaap:RetainedEarningsMember2018-12-302019-09-280000002488us-gaap:RetainedEarningsMember2020-09-260000002488us-gaap</w:t>
      </w:r>
      <w:r>
        <w:rPr>
          <w:rFonts w:ascii="宋体" w:eastAsia="宋体" w:hAnsi="宋体" w:cs="宋体"/>
          <w:vanish/>
        </w:rPr>
        <w:t>:RetainedEarningsMember2019-09-280000002488us-gaap:AccumulatedOtherComprehensiveIncomeMember2020-06-270000002488us-gaap:AccumulatedOtherComprehensiveIncomeMember2019-06-290000002488us-gaap:AccumulatedOtherComprehensiveIncomeMember2019-12-280000002488us-gaa</w:t>
      </w:r>
      <w:r>
        <w:rPr>
          <w:rFonts w:ascii="宋体" w:eastAsia="宋体" w:hAnsi="宋体" w:cs="宋体"/>
          <w:vanish/>
        </w:rPr>
        <w:t>p:AccumulatedOtherComprehensiveIncomeMember2018-12-290000002488us-gaap:AccumulatedOtherComprehensiveIncomeMember2020-06-282020-09-260000002488us-gaap:AccumulatedOtherComprehensiveIncomeMember2019-06-302019-09-280000002488us-gaap:AccumulatedOtherComprehensi</w:t>
      </w:r>
      <w:r>
        <w:rPr>
          <w:rFonts w:ascii="宋体" w:eastAsia="宋体" w:hAnsi="宋体" w:cs="宋体"/>
          <w:vanish/>
        </w:rPr>
        <w:t>veIncomeMember2019-12-292020-09-260000002488us-gaap:AccumulatedOtherComprehensiveIncomeMember2018-12-302019-09-280000002488us-gaap:AccumulatedOtherComprehensiveIncomeMember2020-09-260000002488us-gaap:AccumulatedOtherComprehensiveIncomeMember2019-09-28xbrli</w:t>
      </w:r>
      <w:r>
        <w:rPr>
          <w:rFonts w:ascii="宋体" w:eastAsia="宋体" w:hAnsi="宋体" w:cs="宋体"/>
          <w:vanish/>
        </w:rPr>
        <w:t>:pure0000002488us-gaap:TransferredOverTimeMember2020-06-282020-09-260000002488us-gaap:TransferredOverTimeMember2019-12-292020-09-260000002488us-gaap:TransferredOverTimeMember2019-06-302019-09-280000002488us-gaap:TransferredOverTimeMember2018-12-302019-09-2</w:t>
      </w:r>
      <w:r>
        <w:rPr>
          <w:rFonts w:ascii="宋体" w:eastAsia="宋体" w:hAnsi="宋体" w:cs="宋体"/>
          <w:vanish/>
        </w:rPr>
        <w:t>80000002488us-gaap:BankTimeDepositsMember2020-09-260000002488us-gaap:CommercialPaperMember2020-09-260000002488us-gaap:CommercialPaperMember2019-12-2800000024882020-09-262020-09-260000002488us-gaap:CorporateJointVentureMemberamd:ATMPJVMember2020-09-26amd:jo</w:t>
      </w:r>
      <w:r>
        <w:rPr>
          <w:rFonts w:ascii="宋体" w:eastAsia="宋体" w:hAnsi="宋体" w:cs="宋体"/>
          <w:vanish/>
        </w:rPr>
        <w:t>int_venture0000002488us-gaap:CorporateJointVentureMemberamd:ATMPJVMember2019-12-280000002488us-gaap:CorporateJointVentureMemberamd:ATMPJVMember2020-06-282020-09-260000002488us-gaap:CorporateJointVentureMemberamd:ATMPJVMember2019-12-292020-09-260000002488us</w:t>
      </w:r>
      <w:r>
        <w:rPr>
          <w:rFonts w:ascii="宋体" w:eastAsia="宋体" w:hAnsi="宋体" w:cs="宋体"/>
          <w:vanish/>
        </w:rPr>
        <w:t>-gaap:CorporateJointVentureMemberamd:ATMPJVMember2019-06-302019-09-280000002488us-gaap:CorporateJointVentureMemberamd:ATMPJVMember2018-12-302019-09-280000002488amd:THATICJVMemberus-gaap:CorporateJointVentureMember2020-09-260000002488amd:THATICJVMemberus-ga</w:t>
      </w:r>
      <w:r>
        <w:rPr>
          <w:rFonts w:ascii="宋体" w:eastAsia="宋体" w:hAnsi="宋体" w:cs="宋体"/>
          <w:vanish/>
        </w:rPr>
        <w:t>ap:CorporateJointVentureMember2019-12-280000002488amd:THATICJVMemberamd:LicensingGainMember2016-02-290000002488amd:THATICJVMemberamd:LicensingGainMember2018-12-302019-09-280000002488amd:A2.125ConvertibleSeniorNotesDue2026Memberus-gaap:ConvertibleDebtMember</w:t>
      </w:r>
      <w:r>
        <w:rPr>
          <w:rFonts w:ascii="宋体" w:eastAsia="宋体" w:hAnsi="宋体" w:cs="宋体"/>
          <w:vanish/>
        </w:rPr>
        <w:t>2020-09-260000002488amd:A2.125ConvertibleSeniorNotesDue2026Memberus-gaap:ConvertibleDebtMember2019-12-280000002488amd:A750SeniorNotesDue2022Memberus-gaap:SeniorNotesMember2020-09-260000002488amd:A750SeniorNotesDue2022Memberus-gaap:SeniorNotesMember2019-12-</w:t>
      </w:r>
      <w:r>
        <w:rPr>
          <w:rFonts w:ascii="宋体" w:eastAsia="宋体" w:hAnsi="宋体" w:cs="宋体"/>
          <w:vanish/>
        </w:rPr>
        <w:t>280000002488amd:A2.125ConvertibleSeniorNotesDue2026Memberus-gaap:ConvertibleDebtMember2016-09-30amd:day0000002488amd:A2.125ConvertibleSeniorNotesDue2026Memberus-gaap:ConvertibleDebtMember2016-09-012016-09-300000002488amd:A2.125ConvertibleSeniorNotesDue2026</w:t>
      </w:r>
      <w:r>
        <w:rPr>
          <w:rFonts w:ascii="宋体" w:eastAsia="宋体" w:hAnsi="宋体" w:cs="宋体"/>
          <w:vanish/>
        </w:rPr>
        <w:t>Memberus-gaap:ConvertibleDebtMember2019-12-292020-09-260000002488amd:A2.125ConvertibleSeniorNotesDue2026Memberus-gaap:ConvertibleDebtMember2020-06-282020-09-260000002488amd:A750SeniorNotesDue2022Memberus-gaap:SeniorNotesMember2012-08-150000002488us-gaap:Re</w:t>
      </w:r>
      <w:r>
        <w:rPr>
          <w:rFonts w:ascii="宋体" w:eastAsia="宋体" w:hAnsi="宋体" w:cs="宋体"/>
          <w:vanish/>
        </w:rPr>
        <w:t>volvingCreditFacilityMemberus-gaap:RevolvingCreditFacilityMember2019-06-070000002488us-gaap:RevolvingCreditFacilityMemberus-gaap:RevolvingCreditFacilityMember2019-06-072019-06-070000002488amd:SwinglineSubfacilityMemberus-gaap:RevolvingCreditFacilityMember2</w:t>
      </w:r>
      <w:r>
        <w:rPr>
          <w:rFonts w:ascii="宋体" w:eastAsia="宋体" w:hAnsi="宋体" w:cs="宋体"/>
          <w:vanish/>
        </w:rPr>
        <w:t>019-06-070000002488us-gaap:RevolvingCreditFacilityMemberus-gaap:LetterOfCreditMember2019-06-070000002488us-gaap:RevolvingCreditFacilityMemberus-gaap:RevolvingCreditFacilityMember2020-04-062020-04-060000002488us-gaap:RevolvingCreditFacilityMemberus-gaap:Rev</w:t>
      </w:r>
      <w:r>
        <w:rPr>
          <w:rFonts w:ascii="宋体" w:eastAsia="宋体" w:hAnsi="宋体" w:cs="宋体"/>
          <w:vanish/>
        </w:rPr>
        <w:t>olvingCreditFacilityMember2020-04-060000002488us-gaap:RevolvingCreditFacilityMemberus-gaap:RevolvingCreditFacilityMember2020-07-062020-07-060000002488us-gaap:RevolvingCreditFacilityMemberus-gaap:RevolvingCreditFacilityMember2020-09-260000002488us-gaap:Comm</w:t>
      </w:r>
      <w:r>
        <w:rPr>
          <w:rFonts w:ascii="宋体" w:eastAsia="宋体" w:hAnsi="宋体" w:cs="宋体"/>
          <w:vanish/>
        </w:rPr>
        <w:t>ercialPaperMemberus-gaap:FairValueInputsLevel2Member2020-09-260000002488us-gaap:CommercialPaperMemberus-gaap:FairValueInputsLevel2Member2019-12-280000002488us-gaap:MutualFundMemberus-gaap:FairValueInputsLevel1Member2020-09-260000002488us-gaap:MutualFundMem</w:t>
      </w:r>
      <w:r>
        <w:rPr>
          <w:rFonts w:ascii="宋体" w:eastAsia="宋体" w:hAnsi="宋体" w:cs="宋体"/>
          <w:vanish/>
        </w:rPr>
        <w:t>berus-gaap:FairValueInputsLevel1Member2019-12-280000002488us-gaap:CarryingReportedAmountFairValueDisclosureMember2020-09-260000002488us-gaap:FairValueInputsLevel2Memberus-gaap:EstimateOfFairValueFairValueDisclosureMember2020-09-260000002488us-gaap:Carrying</w:t>
      </w:r>
      <w:r>
        <w:rPr>
          <w:rFonts w:ascii="宋体" w:eastAsia="宋体" w:hAnsi="宋体" w:cs="宋体"/>
          <w:vanish/>
        </w:rPr>
        <w:t>ReportedAmountFairValueDisclosureMember2019-12-280000002488us-gaap:FairValueInputsLevel2Memberus-gaap:EstimateOfFairValueFairValueDisclosureMember2019-12-280000002488us-gaap:CashFlowHedgingMemberus-gaap:ForeignExchangeContractMember2019-12-292020-09-260000</w:t>
      </w:r>
      <w:r>
        <w:rPr>
          <w:rFonts w:ascii="宋体" w:eastAsia="宋体" w:hAnsi="宋体" w:cs="宋体"/>
          <w:vanish/>
        </w:rPr>
        <w:t>002488us-gaap:NondesignatedMemberus-gaap:ForeignExchangeContractMember2019-12-292020-09-260000002488us-gaap:ForeignExchangeContractMember2020-09-260000002488us-gaap:ForeignExchangeContractMember2019-12-280000002488amd:A2.125ConvertibleSeniorNotesDue2026Mem</w:t>
      </w:r>
      <w:r>
        <w:rPr>
          <w:rFonts w:ascii="宋体" w:eastAsia="宋体" w:hAnsi="宋体" w:cs="宋体"/>
          <w:vanish/>
        </w:rPr>
        <w:t>beramd:A2.125ConvertibleSeniorNotesDue2026Member2020-09-260000002488us-gaap:ConvertibleDebtSecuritiesMember2020-06-282020-09-260000002488us-gaap:ConvertibleDebtSecuritiesMember2019-12-292020-09-260000002488amd:A2.125ConvertibleSeniorNotesDue2026Memberamd:A</w:t>
      </w:r>
      <w:r>
        <w:rPr>
          <w:rFonts w:ascii="宋体" w:eastAsia="宋体" w:hAnsi="宋体" w:cs="宋体"/>
          <w:vanish/>
        </w:rPr>
        <w:t>2.125ConvertibleSeniorNotesDue2026Member2019-09-280000002488us-gaap:ConvertibleDebtSecuritiesMember2019-06-302019-09-280000002488us-gaap:ConvertibleDebtSecuritiesMember2018-12-302019-09-280000002488us-gaap:CommonStockMember2020-06-270000002488us-gaap:Commo</w:t>
      </w:r>
      <w:r>
        <w:rPr>
          <w:rFonts w:ascii="宋体" w:eastAsia="宋体" w:hAnsi="宋体" w:cs="宋体"/>
          <w:vanish/>
        </w:rPr>
        <w:t>nStockMember2019-06-290000002488us-gaap:CommonStockMember2019-12-280000002488us-gaap:CommonStockMember2018-12-290000002488us-gaap:CommonStockMember2020-06-282020-09-260000002488us-gaap:CommonStockMember2019-06-302019-09-280000002488us-gaap:CommonStockMembe</w:t>
      </w:r>
      <w:r>
        <w:rPr>
          <w:rFonts w:ascii="宋体" w:eastAsia="宋体" w:hAnsi="宋体" w:cs="宋体"/>
          <w:vanish/>
        </w:rPr>
        <w:t>r2019-12-292020-09-260000002488us-gaap:CommonStockMember2018-12-302019-09-280000002488us-gaap:TreasuryStockMember2020-06-282020-09-260000002488us-gaap:TreasuryStockMember2019-06-302019-09-280000002488us-gaap:TreasuryStockMember2019-12-292020-09-26000000248</w:t>
      </w:r>
      <w:r>
        <w:rPr>
          <w:rFonts w:ascii="宋体" w:eastAsia="宋体" w:hAnsi="宋体" w:cs="宋体"/>
          <w:vanish/>
        </w:rPr>
        <w:t>8us-gaap:TreasuryStockMember2018-12-302019-09-280000002488us-gaap:CommonStockMember2020-09-260000002488us-gaap:CommonStockMember2019-09-280000002488us-gaap:CostOfSalesMember2020-06-282020-09-260000002488us-gaap:CostOfSalesMember2019-06-302019-09-2800000024</w:t>
      </w:r>
      <w:r>
        <w:rPr>
          <w:rFonts w:ascii="宋体" w:eastAsia="宋体" w:hAnsi="宋体" w:cs="宋体"/>
          <w:vanish/>
        </w:rPr>
        <w:t>88us-gaap:CostOfSalesMember2019-12-292020-09-260000002488us-gaap:CostOfSalesMember2018-12-302019-09-280000002488us-gaap:ResearchAndDevelopmentExpenseMember2020-06-282020-09-260000002488us-gaap:ResearchAndDevelopmentExpenseMember2019-06-302019-09-2800000024</w:t>
      </w:r>
      <w:r>
        <w:rPr>
          <w:rFonts w:ascii="宋体" w:eastAsia="宋体" w:hAnsi="宋体" w:cs="宋体"/>
          <w:vanish/>
        </w:rPr>
        <w:t>88us-gaap:ResearchAndDevelopmentExpenseMember2019-12-292020-09-260000002488us-gaap:ResearchAndDevelopmentExpenseMember2018-12-302019-09-280000002488us-gaap:SellingGeneralAndAdministrativeExpensesMember2020-06-282020-09-260000002488us-gaap:SellingGeneralAnd</w:t>
      </w:r>
      <w:r>
        <w:rPr>
          <w:rFonts w:ascii="宋体" w:eastAsia="宋体" w:hAnsi="宋体" w:cs="宋体"/>
          <w:vanish/>
        </w:rPr>
        <w:t>AdministrativeExpensesMember2019-06-302019-09-280000002488us-gaap:SellingGeneralAndAdministrativeExpensesMember2019-12-292020-09-260000002488us-gaap:SellingGeneralAndAdministrativeExpensesMember2018-12-302019-09-28amd:segment0000002488amd:ComputingandGraph</w:t>
      </w:r>
      <w:r>
        <w:rPr>
          <w:rFonts w:ascii="宋体" w:eastAsia="宋体" w:hAnsi="宋体" w:cs="宋体"/>
          <w:vanish/>
        </w:rPr>
        <w:t>icsMember2020-06-282020-09-260000002488amd:ComputingandGraphicsMember2019-06-302019-09-280000002488amd:ComputingandGraphicsMember2019-12-292020-09-260000002488amd:ComputingandGraphicsMember2018-12-302019-09-280000002488amd:EnterpriseEmbeddedandSemiCustomMe</w:t>
      </w:r>
      <w:r>
        <w:rPr>
          <w:rFonts w:ascii="宋体" w:eastAsia="宋体" w:hAnsi="宋体" w:cs="宋体"/>
          <w:vanish/>
        </w:rPr>
        <w:t>mber2020-06-282020-09-260000002488amd:EnterpriseEmbeddedandSemiCustomMember2019-06-302019-09-280000002488amd:EnterpriseEmbeddedandSemiCustomMember2019-12-292020-09-260000002488amd:EnterpriseEmbeddedandSemiCustomMember2018-12-302019-09-280000002488amd:Compu</w:t>
      </w:r>
      <w:r>
        <w:rPr>
          <w:rFonts w:ascii="宋体" w:eastAsia="宋体" w:hAnsi="宋体" w:cs="宋体"/>
          <w:vanish/>
        </w:rPr>
        <w:t>tingandGraphicsMemberus-gaap:OperatingSegmentsMember2020-06-282020-09-260000002488amd:ComputingandGraphicsMemberus-gaap:OperatingSegmentsMember2019-06-302019-09-280000002488amd:ComputingandGraphicsMemberus-gaap:OperatingSegmentsMember2019-12-292020-09-2600</w:t>
      </w:r>
      <w:r>
        <w:rPr>
          <w:rFonts w:ascii="宋体" w:eastAsia="宋体" w:hAnsi="宋体" w:cs="宋体"/>
          <w:vanish/>
        </w:rPr>
        <w:t>00002488amd:ComputingandGraphicsMemberus-gaap:OperatingSegmentsMember2018-12-302019-09-280000002488amd:EnterpriseEmbeddedandSemiCustomMemberus-gaap:OperatingSegmentsMember2020-06-282020-09-260000002488amd:EnterpriseEmbeddedandSemiCustomMemberus-gaap:Operat</w:t>
      </w:r>
      <w:r>
        <w:rPr>
          <w:rFonts w:ascii="宋体" w:eastAsia="宋体" w:hAnsi="宋体" w:cs="宋体"/>
          <w:vanish/>
        </w:rPr>
        <w:t>ingSegmentsMember2019-06-302019-09-280000002488amd:EnterpriseEmbeddedandSemiCustomMemberus-gaap:OperatingSegmentsMember2019-12-292020-09-260000002488amd:EnterpriseEmbeddedandSemiCustomMemberus-gaap:OperatingSegmentsMember2018-12-302019-09-280000002488us-ga</w:t>
      </w:r>
      <w:r>
        <w:rPr>
          <w:rFonts w:ascii="宋体" w:eastAsia="宋体" w:hAnsi="宋体" w:cs="宋体"/>
          <w:vanish/>
        </w:rPr>
        <w:t>ap:MaterialReconcilingItemsMember2020-06-282020-09-260000002488us-gaap:MaterialReconcilingItemsMember2019-06-302019-09-280000002488us-gaap:MaterialReconcilingItemsMember2019-12-292020-09-260000002488us-gaap:MaterialReconcilingItemsMember2018-12-302019-09-2</w:t>
      </w:r>
      <w:r>
        <w:rPr>
          <w:rFonts w:ascii="宋体" w:eastAsia="宋体" w:hAnsi="宋体" w:cs="宋体"/>
          <w:vanish/>
        </w:rPr>
        <w:t>80000002488amd:XilinxIncMemberus-gaap:SubsequentEventMember2020-10-262020-10-260000002488amd:XilinxIncMemberus-gaap:SubsequentEventMember2020-10-260000002488us-gaap:SubsequentEventMember2020-10-260000002488srt:ScenarioForecastMemberamd:XilinxIncMemberus-ga</w:t>
      </w:r>
      <w:r>
        <w:rPr>
          <w:rFonts w:ascii="宋体" w:eastAsia="宋体" w:hAnsi="宋体" w:cs="宋体"/>
          <w:vanish/>
        </w:rPr>
        <w:t>ap:SubsequentEventMember2020-10-262020-10-26</w:t>
      </w:r>
    </w:p>
    <w:p w14:paraId="1426E83D" w14:textId="77777777" w:rsidR="00A74A1E" w:rsidRDefault="00A74A1E"/>
    <w:p w14:paraId="1426E83E" w14:textId="77777777" w:rsidR="00A74A1E" w:rsidRDefault="00807990">
      <w:pPr>
        <w:jc w:val="center"/>
      </w:pPr>
      <w:r>
        <w:rPr>
          <w:rFonts w:ascii="Arial" w:eastAsia="宋体" w:hAnsi="Arial" w:cs="Arial"/>
          <w:b/>
          <w:bCs/>
          <w:color w:val="000000"/>
        </w:rPr>
        <w:t>UNITED STATES SECURITIES AND EXCHANGE COMMISSION</w:t>
      </w:r>
    </w:p>
    <w:p w14:paraId="1426E83F" w14:textId="77777777" w:rsidR="00A74A1E" w:rsidRDefault="00807990">
      <w:pPr>
        <w:jc w:val="center"/>
      </w:pPr>
      <w:r>
        <w:rPr>
          <w:rFonts w:ascii="Arial" w:eastAsia="宋体" w:hAnsi="Arial" w:cs="Arial"/>
          <w:b/>
          <w:bCs/>
          <w:color w:val="000000"/>
        </w:rPr>
        <w:t>Washington, D.C. 20549</w:t>
      </w:r>
      <w:r>
        <w:rPr>
          <w:rFonts w:ascii="Arial" w:eastAsia="宋体" w:hAnsi="Arial" w:cs="Arial"/>
          <w:color w:val="000000"/>
        </w:rPr>
        <w:t> </w:t>
      </w:r>
    </w:p>
    <w:p w14:paraId="1426E840" w14:textId="77777777" w:rsidR="00A74A1E" w:rsidRDefault="00A74A1E">
      <w:pPr>
        <w:jc w:val="center"/>
      </w:pPr>
    </w:p>
    <w:p w14:paraId="1426E841" w14:textId="77777777" w:rsidR="00A74A1E" w:rsidRDefault="00807990">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A74A1E" w14:paraId="1426E84B" w14:textId="77777777">
        <w:trPr>
          <w:jc w:val="center"/>
        </w:trPr>
        <w:tc>
          <w:tcPr>
            <w:tcW w:w="50" w:type="pct"/>
            <w:shd w:val="clear" w:color="auto" w:fill="auto"/>
          </w:tcPr>
          <w:p w14:paraId="1426E842" w14:textId="77777777" w:rsidR="00A74A1E" w:rsidRDefault="00A74A1E">
            <w:pPr>
              <w:rPr>
                <w:rFonts w:ascii="宋体"/>
              </w:rPr>
            </w:pPr>
          </w:p>
        </w:tc>
        <w:tc>
          <w:tcPr>
            <w:tcW w:w="1806" w:type="pct"/>
            <w:shd w:val="clear" w:color="auto" w:fill="auto"/>
          </w:tcPr>
          <w:p w14:paraId="1426E843" w14:textId="77777777" w:rsidR="00A74A1E" w:rsidRDefault="00A74A1E">
            <w:pPr>
              <w:rPr>
                <w:rFonts w:ascii="宋体"/>
              </w:rPr>
            </w:pPr>
          </w:p>
        </w:tc>
        <w:tc>
          <w:tcPr>
            <w:tcW w:w="5" w:type="pct"/>
            <w:shd w:val="clear" w:color="auto" w:fill="auto"/>
          </w:tcPr>
          <w:p w14:paraId="1426E844" w14:textId="77777777" w:rsidR="00A74A1E" w:rsidRDefault="00A74A1E">
            <w:pPr>
              <w:rPr>
                <w:rFonts w:ascii="宋体"/>
              </w:rPr>
            </w:pPr>
          </w:p>
        </w:tc>
        <w:tc>
          <w:tcPr>
            <w:tcW w:w="50" w:type="pct"/>
            <w:shd w:val="clear" w:color="auto" w:fill="auto"/>
          </w:tcPr>
          <w:p w14:paraId="1426E845" w14:textId="77777777" w:rsidR="00A74A1E" w:rsidRDefault="00A74A1E">
            <w:pPr>
              <w:rPr>
                <w:rFonts w:ascii="宋体"/>
              </w:rPr>
            </w:pPr>
          </w:p>
        </w:tc>
        <w:tc>
          <w:tcPr>
            <w:tcW w:w="1222" w:type="pct"/>
            <w:shd w:val="clear" w:color="auto" w:fill="auto"/>
          </w:tcPr>
          <w:p w14:paraId="1426E846" w14:textId="77777777" w:rsidR="00A74A1E" w:rsidRDefault="00A74A1E">
            <w:pPr>
              <w:rPr>
                <w:rFonts w:ascii="宋体"/>
              </w:rPr>
            </w:pPr>
          </w:p>
        </w:tc>
        <w:tc>
          <w:tcPr>
            <w:tcW w:w="5" w:type="pct"/>
            <w:shd w:val="clear" w:color="auto" w:fill="auto"/>
          </w:tcPr>
          <w:p w14:paraId="1426E847" w14:textId="77777777" w:rsidR="00A74A1E" w:rsidRDefault="00A74A1E">
            <w:pPr>
              <w:rPr>
                <w:rFonts w:ascii="宋体"/>
              </w:rPr>
            </w:pPr>
          </w:p>
        </w:tc>
        <w:tc>
          <w:tcPr>
            <w:tcW w:w="50" w:type="pct"/>
            <w:shd w:val="clear" w:color="auto" w:fill="auto"/>
          </w:tcPr>
          <w:p w14:paraId="1426E848" w14:textId="77777777" w:rsidR="00A74A1E" w:rsidRDefault="00A74A1E">
            <w:pPr>
              <w:rPr>
                <w:rFonts w:ascii="宋体"/>
              </w:rPr>
            </w:pPr>
          </w:p>
        </w:tc>
        <w:tc>
          <w:tcPr>
            <w:tcW w:w="1806" w:type="pct"/>
            <w:shd w:val="clear" w:color="auto" w:fill="auto"/>
          </w:tcPr>
          <w:p w14:paraId="1426E849" w14:textId="77777777" w:rsidR="00A74A1E" w:rsidRDefault="00A74A1E">
            <w:pPr>
              <w:rPr>
                <w:rFonts w:ascii="宋体"/>
              </w:rPr>
            </w:pPr>
          </w:p>
        </w:tc>
        <w:tc>
          <w:tcPr>
            <w:tcW w:w="5" w:type="pct"/>
            <w:shd w:val="clear" w:color="auto" w:fill="auto"/>
          </w:tcPr>
          <w:p w14:paraId="1426E84A" w14:textId="77777777" w:rsidR="00A74A1E" w:rsidRDefault="00A74A1E">
            <w:pPr>
              <w:rPr>
                <w:rFonts w:ascii="宋体"/>
              </w:rPr>
            </w:pPr>
          </w:p>
        </w:tc>
      </w:tr>
      <w:tr w:rsidR="00A74A1E" w14:paraId="1426E84F" w14:textId="77777777">
        <w:trPr>
          <w:trHeight w:val="60"/>
          <w:jc w:val="center"/>
        </w:trPr>
        <w:tc>
          <w:tcPr>
            <w:tcW w:w="0" w:type="auto"/>
            <w:gridSpan w:val="3"/>
            <w:shd w:val="clear" w:color="auto" w:fill="auto"/>
            <w:tcMar>
              <w:top w:w="0" w:type="dxa"/>
              <w:left w:w="20" w:type="dxa"/>
              <w:bottom w:w="0" w:type="dxa"/>
              <w:right w:w="20" w:type="dxa"/>
            </w:tcMar>
          </w:tcPr>
          <w:p w14:paraId="1426E84C"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4D"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4E" w14:textId="77777777" w:rsidR="00A74A1E" w:rsidRDefault="00A74A1E">
            <w:pPr>
              <w:rPr>
                <w:rFonts w:ascii="宋体"/>
              </w:rPr>
            </w:pPr>
          </w:p>
        </w:tc>
      </w:tr>
    </w:tbl>
    <w:p w14:paraId="1426E850" w14:textId="77777777" w:rsidR="00A74A1E" w:rsidRDefault="00807990">
      <w:pPr>
        <w:jc w:val="center"/>
      </w:pPr>
      <w:r>
        <w:rPr>
          <w:rFonts w:ascii="Arial" w:eastAsia="宋体" w:hAnsi="Arial" w:cs="Arial"/>
          <w:color w:val="000000"/>
          <w:sz w:val="20"/>
          <w:szCs w:val="20"/>
        </w:rPr>
        <w:t> </w:t>
      </w:r>
    </w:p>
    <w:p w14:paraId="1426E851" w14:textId="77777777" w:rsidR="00A74A1E" w:rsidRDefault="00807990">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A74A1E" w14:paraId="1426E858" w14:textId="77777777">
        <w:tc>
          <w:tcPr>
            <w:tcW w:w="50" w:type="pct"/>
            <w:shd w:val="clear" w:color="auto" w:fill="auto"/>
          </w:tcPr>
          <w:p w14:paraId="1426E852" w14:textId="77777777" w:rsidR="00A74A1E" w:rsidRDefault="00A74A1E">
            <w:pPr>
              <w:rPr>
                <w:rFonts w:ascii="宋体"/>
              </w:rPr>
            </w:pPr>
          </w:p>
        </w:tc>
        <w:tc>
          <w:tcPr>
            <w:tcW w:w="99" w:type="pct"/>
            <w:shd w:val="clear" w:color="auto" w:fill="auto"/>
          </w:tcPr>
          <w:p w14:paraId="1426E853" w14:textId="77777777" w:rsidR="00A74A1E" w:rsidRDefault="00A74A1E">
            <w:pPr>
              <w:rPr>
                <w:rFonts w:ascii="宋体"/>
              </w:rPr>
            </w:pPr>
          </w:p>
        </w:tc>
        <w:tc>
          <w:tcPr>
            <w:tcW w:w="5" w:type="pct"/>
            <w:shd w:val="clear" w:color="auto" w:fill="auto"/>
          </w:tcPr>
          <w:p w14:paraId="1426E854" w14:textId="77777777" w:rsidR="00A74A1E" w:rsidRDefault="00A74A1E">
            <w:pPr>
              <w:rPr>
                <w:rFonts w:ascii="宋体"/>
              </w:rPr>
            </w:pPr>
          </w:p>
        </w:tc>
        <w:tc>
          <w:tcPr>
            <w:tcW w:w="50" w:type="pct"/>
            <w:shd w:val="clear" w:color="auto" w:fill="auto"/>
          </w:tcPr>
          <w:p w14:paraId="1426E855" w14:textId="77777777" w:rsidR="00A74A1E" w:rsidRDefault="00A74A1E">
            <w:pPr>
              <w:rPr>
                <w:rFonts w:ascii="宋体"/>
              </w:rPr>
            </w:pPr>
          </w:p>
        </w:tc>
        <w:tc>
          <w:tcPr>
            <w:tcW w:w="4790" w:type="pct"/>
            <w:shd w:val="clear" w:color="auto" w:fill="auto"/>
          </w:tcPr>
          <w:p w14:paraId="1426E856" w14:textId="77777777" w:rsidR="00A74A1E" w:rsidRDefault="00A74A1E">
            <w:pPr>
              <w:rPr>
                <w:rFonts w:ascii="宋体"/>
              </w:rPr>
            </w:pPr>
          </w:p>
        </w:tc>
        <w:tc>
          <w:tcPr>
            <w:tcW w:w="5" w:type="pct"/>
            <w:shd w:val="clear" w:color="auto" w:fill="auto"/>
          </w:tcPr>
          <w:p w14:paraId="1426E857" w14:textId="77777777" w:rsidR="00A74A1E" w:rsidRDefault="00A74A1E">
            <w:pPr>
              <w:rPr>
                <w:rFonts w:ascii="宋体"/>
              </w:rPr>
            </w:pPr>
          </w:p>
        </w:tc>
      </w:tr>
      <w:tr w:rsidR="00A74A1E" w14:paraId="1426E85B" w14:textId="77777777">
        <w:tc>
          <w:tcPr>
            <w:tcW w:w="0" w:type="auto"/>
            <w:gridSpan w:val="3"/>
            <w:shd w:val="clear" w:color="auto" w:fill="auto"/>
            <w:tcMar>
              <w:top w:w="40" w:type="dxa"/>
              <w:left w:w="20" w:type="dxa"/>
              <w:bottom w:w="40" w:type="dxa"/>
              <w:right w:w="20" w:type="dxa"/>
            </w:tcMar>
          </w:tcPr>
          <w:p w14:paraId="1426E859" w14:textId="77777777" w:rsidR="00A74A1E" w:rsidRDefault="0080799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1426E85A" w14:textId="77777777" w:rsidR="00A74A1E" w:rsidRDefault="00807990">
            <w:pPr>
              <w:textAlignment w:val="top"/>
            </w:pPr>
            <w:r>
              <w:rPr>
                <w:rFonts w:ascii="Arial" w:eastAsia="宋体" w:hAnsi="Arial" w:cs="Arial"/>
                <w:color w:val="000000"/>
                <w:sz w:val="19"/>
                <w:szCs w:val="19"/>
              </w:rPr>
              <w:t xml:space="preserve">QUARTERLY REPORT PURSUANT TO SECTION 13 OR 15 (d) OF THE SECURITIES EXCHANGE ACT OF </w:t>
            </w:r>
            <w:r>
              <w:rPr>
                <w:rFonts w:ascii="Arial" w:eastAsia="宋体" w:hAnsi="Arial" w:cs="Arial"/>
                <w:color w:val="000000"/>
                <w:sz w:val="19"/>
                <w:szCs w:val="19"/>
              </w:rPr>
              <w:t>1934</w:t>
            </w:r>
          </w:p>
        </w:tc>
      </w:tr>
    </w:tbl>
    <w:p w14:paraId="1426E85C" w14:textId="77777777" w:rsidR="00A74A1E" w:rsidRDefault="00807990">
      <w:r>
        <w:rPr>
          <w:rFonts w:ascii="Arial" w:eastAsia="宋体" w:hAnsi="Arial" w:cs="Arial"/>
          <w:color w:val="000000"/>
          <w:sz w:val="19"/>
          <w:szCs w:val="19"/>
        </w:rPr>
        <w:t xml:space="preserve">For the quarterly period ended September 26, 2020 </w:t>
      </w:r>
    </w:p>
    <w:p w14:paraId="1426E85D" w14:textId="77777777" w:rsidR="00A74A1E" w:rsidRDefault="00807990">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A74A1E" w14:paraId="1426E864" w14:textId="77777777">
        <w:tc>
          <w:tcPr>
            <w:tcW w:w="50" w:type="pct"/>
            <w:shd w:val="clear" w:color="auto" w:fill="auto"/>
          </w:tcPr>
          <w:p w14:paraId="1426E85E" w14:textId="77777777" w:rsidR="00A74A1E" w:rsidRDefault="00A74A1E">
            <w:pPr>
              <w:rPr>
                <w:rFonts w:ascii="宋体"/>
              </w:rPr>
            </w:pPr>
          </w:p>
        </w:tc>
        <w:tc>
          <w:tcPr>
            <w:tcW w:w="99" w:type="pct"/>
            <w:shd w:val="clear" w:color="auto" w:fill="auto"/>
          </w:tcPr>
          <w:p w14:paraId="1426E85F" w14:textId="77777777" w:rsidR="00A74A1E" w:rsidRDefault="00A74A1E">
            <w:pPr>
              <w:rPr>
                <w:rFonts w:ascii="宋体"/>
              </w:rPr>
            </w:pPr>
          </w:p>
        </w:tc>
        <w:tc>
          <w:tcPr>
            <w:tcW w:w="5" w:type="pct"/>
            <w:shd w:val="clear" w:color="auto" w:fill="auto"/>
          </w:tcPr>
          <w:p w14:paraId="1426E860" w14:textId="77777777" w:rsidR="00A74A1E" w:rsidRDefault="00A74A1E">
            <w:pPr>
              <w:rPr>
                <w:rFonts w:ascii="宋体"/>
              </w:rPr>
            </w:pPr>
          </w:p>
        </w:tc>
        <w:tc>
          <w:tcPr>
            <w:tcW w:w="50" w:type="pct"/>
            <w:shd w:val="clear" w:color="auto" w:fill="auto"/>
          </w:tcPr>
          <w:p w14:paraId="1426E861" w14:textId="77777777" w:rsidR="00A74A1E" w:rsidRDefault="00A74A1E">
            <w:pPr>
              <w:rPr>
                <w:rFonts w:ascii="宋体"/>
              </w:rPr>
            </w:pPr>
          </w:p>
        </w:tc>
        <w:tc>
          <w:tcPr>
            <w:tcW w:w="4790" w:type="pct"/>
            <w:shd w:val="clear" w:color="auto" w:fill="auto"/>
          </w:tcPr>
          <w:p w14:paraId="1426E862" w14:textId="77777777" w:rsidR="00A74A1E" w:rsidRDefault="00A74A1E">
            <w:pPr>
              <w:rPr>
                <w:rFonts w:ascii="宋体"/>
              </w:rPr>
            </w:pPr>
          </w:p>
        </w:tc>
        <w:tc>
          <w:tcPr>
            <w:tcW w:w="5" w:type="pct"/>
            <w:shd w:val="clear" w:color="auto" w:fill="auto"/>
          </w:tcPr>
          <w:p w14:paraId="1426E863" w14:textId="77777777" w:rsidR="00A74A1E" w:rsidRDefault="00A74A1E">
            <w:pPr>
              <w:rPr>
                <w:rFonts w:ascii="宋体"/>
              </w:rPr>
            </w:pPr>
          </w:p>
        </w:tc>
      </w:tr>
      <w:tr w:rsidR="00A74A1E" w14:paraId="1426E867" w14:textId="77777777">
        <w:tc>
          <w:tcPr>
            <w:tcW w:w="0" w:type="auto"/>
            <w:gridSpan w:val="3"/>
            <w:shd w:val="clear" w:color="auto" w:fill="auto"/>
            <w:tcMar>
              <w:top w:w="40" w:type="dxa"/>
              <w:left w:w="20" w:type="dxa"/>
              <w:bottom w:w="40" w:type="dxa"/>
              <w:right w:w="20" w:type="dxa"/>
            </w:tcMar>
          </w:tcPr>
          <w:p w14:paraId="1426E865" w14:textId="77777777" w:rsidR="00A74A1E" w:rsidRDefault="00807990">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1426E866" w14:textId="77777777" w:rsidR="00A74A1E" w:rsidRDefault="00807990">
            <w:pPr>
              <w:textAlignment w:val="top"/>
            </w:pPr>
            <w:r>
              <w:rPr>
                <w:rFonts w:ascii="Arial" w:eastAsia="宋体" w:hAnsi="Arial" w:cs="Arial"/>
                <w:color w:val="000000"/>
                <w:sz w:val="19"/>
                <w:szCs w:val="19"/>
              </w:rPr>
              <w:t>TRANSITION REPORT PURSUANT TO SECTION 13 OR 15 (d) OF THE SECURITIES EXCHANGE ACT OF 1934</w:t>
            </w:r>
          </w:p>
        </w:tc>
      </w:tr>
    </w:tbl>
    <w:p w14:paraId="1426E868" w14:textId="77777777" w:rsidR="00A74A1E" w:rsidRDefault="00807990">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1426E869" w14:textId="77777777" w:rsidR="00A74A1E" w:rsidRDefault="00807990">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A74A1E" w14:paraId="1426E873" w14:textId="77777777">
        <w:trPr>
          <w:jc w:val="center"/>
        </w:trPr>
        <w:tc>
          <w:tcPr>
            <w:tcW w:w="50" w:type="pct"/>
            <w:shd w:val="clear" w:color="auto" w:fill="auto"/>
          </w:tcPr>
          <w:p w14:paraId="1426E86A" w14:textId="77777777" w:rsidR="00A74A1E" w:rsidRDefault="00A74A1E">
            <w:pPr>
              <w:rPr>
                <w:rFonts w:ascii="宋体"/>
              </w:rPr>
            </w:pPr>
          </w:p>
        </w:tc>
        <w:tc>
          <w:tcPr>
            <w:tcW w:w="1806" w:type="pct"/>
            <w:shd w:val="clear" w:color="auto" w:fill="auto"/>
          </w:tcPr>
          <w:p w14:paraId="1426E86B" w14:textId="77777777" w:rsidR="00A74A1E" w:rsidRDefault="00A74A1E">
            <w:pPr>
              <w:rPr>
                <w:rFonts w:ascii="宋体"/>
              </w:rPr>
            </w:pPr>
          </w:p>
        </w:tc>
        <w:tc>
          <w:tcPr>
            <w:tcW w:w="5" w:type="pct"/>
            <w:shd w:val="clear" w:color="auto" w:fill="auto"/>
          </w:tcPr>
          <w:p w14:paraId="1426E86C" w14:textId="77777777" w:rsidR="00A74A1E" w:rsidRDefault="00A74A1E">
            <w:pPr>
              <w:rPr>
                <w:rFonts w:ascii="宋体"/>
              </w:rPr>
            </w:pPr>
          </w:p>
        </w:tc>
        <w:tc>
          <w:tcPr>
            <w:tcW w:w="50" w:type="pct"/>
            <w:shd w:val="clear" w:color="auto" w:fill="auto"/>
          </w:tcPr>
          <w:p w14:paraId="1426E86D" w14:textId="77777777" w:rsidR="00A74A1E" w:rsidRDefault="00A74A1E">
            <w:pPr>
              <w:rPr>
                <w:rFonts w:ascii="宋体"/>
              </w:rPr>
            </w:pPr>
          </w:p>
        </w:tc>
        <w:tc>
          <w:tcPr>
            <w:tcW w:w="1222" w:type="pct"/>
            <w:shd w:val="clear" w:color="auto" w:fill="auto"/>
          </w:tcPr>
          <w:p w14:paraId="1426E86E" w14:textId="77777777" w:rsidR="00A74A1E" w:rsidRDefault="00A74A1E">
            <w:pPr>
              <w:rPr>
                <w:rFonts w:ascii="宋体"/>
              </w:rPr>
            </w:pPr>
          </w:p>
        </w:tc>
        <w:tc>
          <w:tcPr>
            <w:tcW w:w="5" w:type="pct"/>
            <w:shd w:val="clear" w:color="auto" w:fill="auto"/>
          </w:tcPr>
          <w:p w14:paraId="1426E86F" w14:textId="77777777" w:rsidR="00A74A1E" w:rsidRDefault="00A74A1E">
            <w:pPr>
              <w:rPr>
                <w:rFonts w:ascii="宋体"/>
              </w:rPr>
            </w:pPr>
          </w:p>
        </w:tc>
        <w:tc>
          <w:tcPr>
            <w:tcW w:w="50" w:type="pct"/>
            <w:shd w:val="clear" w:color="auto" w:fill="auto"/>
          </w:tcPr>
          <w:p w14:paraId="1426E870" w14:textId="77777777" w:rsidR="00A74A1E" w:rsidRDefault="00A74A1E">
            <w:pPr>
              <w:rPr>
                <w:rFonts w:ascii="宋体"/>
              </w:rPr>
            </w:pPr>
          </w:p>
        </w:tc>
        <w:tc>
          <w:tcPr>
            <w:tcW w:w="1806" w:type="pct"/>
            <w:shd w:val="clear" w:color="auto" w:fill="auto"/>
          </w:tcPr>
          <w:p w14:paraId="1426E871" w14:textId="77777777" w:rsidR="00A74A1E" w:rsidRDefault="00A74A1E">
            <w:pPr>
              <w:rPr>
                <w:rFonts w:ascii="宋体"/>
              </w:rPr>
            </w:pPr>
          </w:p>
        </w:tc>
        <w:tc>
          <w:tcPr>
            <w:tcW w:w="5" w:type="pct"/>
            <w:shd w:val="clear" w:color="auto" w:fill="auto"/>
          </w:tcPr>
          <w:p w14:paraId="1426E872" w14:textId="77777777" w:rsidR="00A74A1E" w:rsidRDefault="00A74A1E">
            <w:pPr>
              <w:rPr>
                <w:rFonts w:ascii="宋体"/>
              </w:rPr>
            </w:pPr>
          </w:p>
        </w:tc>
      </w:tr>
      <w:tr w:rsidR="00A74A1E" w14:paraId="1426E877" w14:textId="77777777">
        <w:trPr>
          <w:trHeight w:val="60"/>
          <w:jc w:val="center"/>
        </w:trPr>
        <w:tc>
          <w:tcPr>
            <w:tcW w:w="0" w:type="auto"/>
            <w:gridSpan w:val="3"/>
            <w:shd w:val="clear" w:color="auto" w:fill="auto"/>
            <w:tcMar>
              <w:top w:w="0" w:type="dxa"/>
              <w:left w:w="20" w:type="dxa"/>
              <w:bottom w:w="0" w:type="dxa"/>
              <w:right w:w="20" w:type="dxa"/>
            </w:tcMar>
          </w:tcPr>
          <w:p w14:paraId="1426E874"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75"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76" w14:textId="77777777" w:rsidR="00A74A1E" w:rsidRDefault="00A74A1E">
            <w:pPr>
              <w:rPr>
                <w:rFonts w:ascii="宋体"/>
              </w:rPr>
            </w:pPr>
          </w:p>
        </w:tc>
      </w:tr>
    </w:tbl>
    <w:p w14:paraId="1426E878" w14:textId="77777777" w:rsidR="00A74A1E" w:rsidRDefault="00807990">
      <w:pPr>
        <w:spacing w:before="180"/>
        <w:jc w:val="center"/>
      </w:pPr>
      <w:r>
        <w:rPr>
          <w:rFonts w:ascii="Arial" w:eastAsia="宋体" w:hAnsi="Arial" w:cs="Arial"/>
          <w:color w:val="000000"/>
          <w:sz w:val="20"/>
          <w:szCs w:val="20"/>
        </w:rPr>
        <w:t> </w:t>
      </w:r>
    </w:p>
    <w:p w14:paraId="1426E879" w14:textId="77777777" w:rsidR="00A74A1E" w:rsidRDefault="00807990">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Viewer9_files/amd-20200926_g1.jpg"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426FC0A" wp14:editId="1426FC0B">
            <wp:extent cx="304800" cy="304800"/>
            <wp:effectExtent l="0" t="0" r="0" b="0"/>
            <wp:docPr id="1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426E87A" w14:textId="77777777" w:rsidR="00A74A1E" w:rsidRDefault="00807990">
      <w:pPr>
        <w:jc w:val="center"/>
      </w:pPr>
      <w:r>
        <w:rPr>
          <w:rFonts w:ascii="Arial" w:eastAsia="宋体" w:hAnsi="Arial" w:cs="Arial"/>
          <w:b/>
          <w:bCs/>
          <w:color w:val="000000"/>
          <w:sz w:val="40"/>
          <w:szCs w:val="40"/>
        </w:rPr>
        <w:t>ADVANCED MICRO DEVICES, INC.</w:t>
      </w:r>
    </w:p>
    <w:p w14:paraId="1426E87B" w14:textId="77777777" w:rsidR="00A74A1E" w:rsidRDefault="00807990">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A74A1E" w14:paraId="1426E885" w14:textId="77777777">
        <w:trPr>
          <w:jc w:val="center"/>
        </w:trPr>
        <w:tc>
          <w:tcPr>
            <w:tcW w:w="50" w:type="pct"/>
            <w:shd w:val="clear" w:color="auto" w:fill="auto"/>
          </w:tcPr>
          <w:p w14:paraId="1426E87C" w14:textId="77777777" w:rsidR="00A74A1E" w:rsidRDefault="00A74A1E">
            <w:pPr>
              <w:rPr>
                <w:rFonts w:ascii="宋体"/>
              </w:rPr>
            </w:pPr>
          </w:p>
        </w:tc>
        <w:tc>
          <w:tcPr>
            <w:tcW w:w="1806" w:type="pct"/>
            <w:shd w:val="clear" w:color="auto" w:fill="auto"/>
          </w:tcPr>
          <w:p w14:paraId="1426E87D" w14:textId="77777777" w:rsidR="00A74A1E" w:rsidRDefault="00A74A1E">
            <w:pPr>
              <w:rPr>
                <w:rFonts w:ascii="宋体"/>
              </w:rPr>
            </w:pPr>
          </w:p>
        </w:tc>
        <w:tc>
          <w:tcPr>
            <w:tcW w:w="5" w:type="pct"/>
            <w:shd w:val="clear" w:color="auto" w:fill="auto"/>
          </w:tcPr>
          <w:p w14:paraId="1426E87E" w14:textId="77777777" w:rsidR="00A74A1E" w:rsidRDefault="00A74A1E">
            <w:pPr>
              <w:rPr>
                <w:rFonts w:ascii="宋体"/>
              </w:rPr>
            </w:pPr>
          </w:p>
        </w:tc>
        <w:tc>
          <w:tcPr>
            <w:tcW w:w="50" w:type="pct"/>
            <w:shd w:val="clear" w:color="auto" w:fill="auto"/>
          </w:tcPr>
          <w:p w14:paraId="1426E87F" w14:textId="77777777" w:rsidR="00A74A1E" w:rsidRDefault="00A74A1E">
            <w:pPr>
              <w:rPr>
                <w:rFonts w:ascii="宋体"/>
              </w:rPr>
            </w:pPr>
          </w:p>
        </w:tc>
        <w:tc>
          <w:tcPr>
            <w:tcW w:w="1222" w:type="pct"/>
            <w:shd w:val="clear" w:color="auto" w:fill="auto"/>
          </w:tcPr>
          <w:p w14:paraId="1426E880" w14:textId="77777777" w:rsidR="00A74A1E" w:rsidRDefault="00A74A1E">
            <w:pPr>
              <w:rPr>
                <w:rFonts w:ascii="宋体"/>
              </w:rPr>
            </w:pPr>
          </w:p>
        </w:tc>
        <w:tc>
          <w:tcPr>
            <w:tcW w:w="5" w:type="pct"/>
            <w:shd w:val="clear" w:color="auto" w:fill="auto"/>
          </w:tcPr>
          <w:p w14:paraId="1426E881" w14:textId="77777777" w:rsidR="00A74A1E" w:rsidRDefault="00A74A1E">
            <w:pPr>
              <w:rPr>
                <w:rFonts w:ascii="宋体"/>
              </w:rPr>
            </w:pPr>
          </w:p>
        </w:tc>
        <w:tc>
          <w:tcPr>
            <w:tcW w:w="50" w:type="pct"/>
            <w:shd w:val="clear" w:color="auto" w:fill="auto"/>
          </w:tcPr>
          <w:p w14:paraId="1426E882" w14:textId="77777777" w:rsidR="00A74A1E" w:rsidRDefault="00A74A1E">
            <w:pPr>
              <w:rPr>
                <w:rFonts w:ascii="宋体"/>
              </w:rPr>
            </w:pPr>
          </w:p>
        </w:tc>
        <w:tc>
          <w:tcPr>
            <w:tcW w:w="1806" w:type="pct"/>
            <w:shd w:val="clear" w:color="auto" w:fill="auto"/>
          </w:tcPr>
          <w:p w14:paraId="1426E883" w14:textId="77777777" w:rsidR="00A74A1E" w:rsidRDefault="00A74A1E">
            <w:pPr>
              <w:rPr>
                <w:rFonts w:ascii="宋体"/>
              </w:rPr>
            </w:pPr>
          </w:p>
        </w:tc>
        <w:tc>
          <w:tcPr>
            <w:tcW w:w="5" w:type="pct"/>
            <w:shd w:val="clear" w:color="auto" w:fill="auto"/>
          </w:tcPr>
          <w:p w14:paraId="1426E884" w14:textId="77777777" w:rsidR="00A74A1E" w:rsidRDefault="00A74A1E">
            <w:pPr>
              <w:rPr>
                <w:rFonts w:ascii="宋体"/>
              </w:rPr>
            </w:pPr>
          </w:p>
        </w:tc>
      </w:tr>
      <w:tr w:rsidR="00A74A1E" w14:paraId="1426E889" w14:textId="77777777">
        <w:trPr>
          <w:trHeight w:val="60"/>
          <w:jc w:val="center"/>
        </w:trPr>
        <w:tc>
          <w:tcPr>
            <w:tcW w:w="0" w:type="auto"/>
            <w:gridSpan w:val="3"/>
            <w:shd w:val="clear" w:color="auto" w:fill="auto"/>
            <w:tcMar>
              <w:top w:w="0" w:type="dxa"/>
              <w:left w:w="20" w:type="dxa"/>
              <w:bottom w:w="0" w:type="dxa"/>
              <w:right w:w="20" w:type="dxa"/>
            </w:tcMar>
          </w:tcPr>
          <w:p w14:paraId="1426E886"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87"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88" w14:textId="77777777" w:rsidR="00A74A1E" w:rsidRDefault="00A74A1E">
            <w:pPr>
              <w:rPr>
                <w:rFonts w:ascii="宋体"/>
              </w:rPr>
            </w:pPr>
          </w:p>
        </w:tc>
      </w:tr>
    </w:tbl>
    <w:p w14:paraId="1426E88A" w14:textId="77777777" w:rsidR="00A74A1E" w:rsidRDefault="00A74A1E">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A74A1E" w14:paraId="1426E897" w14:textId="77777777">
        <w:trPr>
          <w:jc w:val="center"/>
        </w:trPr>
        <w:tc>
          <w:tcPr>
            <w:tcW w:w="50" w:type="pct"/>
            <w:shd w:val="clear" w:color="auto" w:fill="auto"/>
          </w:tcPr>
          <w:p w14:paraId="1426E88B" w14:textId="77777777" w:rsidR="00A74A1E" w:rsidRDefault="00A74A1E">
            <w:pPr>
              <w:rPr>
                <w:rFonts w:ascii="宋体"/>
              </w:rPr>
            </w:pPr>
          </w:p>
        </w:tc>
        <w:tc>
          <w:tcPr>
            <w:tcW w:w="2075" w:type="pct"/>
            <w:shd w:val="clear" w:color="auto" w:fill="auto"/>
          </w:tcPr>
          <w:p w14:paraId="1426E88C" w14:textId="77777777" w:rsidR="00A74A1E" w:rsidRDefault="00A74A1E">
            <w:pPr>
              <w:rPr>
                <w:rFonts w:ascii="宋体"/>
              </w:rPr>
            </w:pPr>
          </w:p>
        </w:tc>
        <w:tc>
          <w:tcPr>
            <w:tcW w:w="5" w:type="pct"/>
            <w:shd w:val="clear" w:color="auto" w:fill="auto"/>
          </w:tcPr>
          <w:p w14:paraId="1426E88D" w14:textId="77777777" w:rsidR="00A74A1E" w:rsidRDefault="00A74A1E">
            <w:pPr>
              <w:rPr>
                <w:rFonts w:ascii="宋体"/>
              </w:rPr>
            </w:pPr>
          </w:p>
        </w:tc>
        <w:tc>
          <w:tcPr>
            <w:tcW w:w="50" w:type="pct"/>
            <w:shd w:val="clear" w:color="auto" w:fill="auto"/>
          </w:tcPr>
          <w:p w14:paraId="1426E88E" w14:textId="77777777" w:rsidR="00A74A1E" w:rsidRDefault="00A74A1E">
            <w:pPr>
              <w:rPr>
                <w:rFonts w:ascii="宋体"/>
              </w:rPr>
            </w:pPr>
          </w:p>
        </w:tc>
        <w:tc>
          <w:tcPr>
            <w:tcW w:w="314" w:type="pct"/>
            <w:shd w:val="clear" w:color="auto" w:fill="auto"/>
          </w:tcPr>
          <w:p w14:paraId="1426E88F" w14:textId="77777777" w:rsidR="00A74A1E" w:rsidRDefault="00A74A1E">
            <w:pPr>
              <w:rPr>
                <w:rFonts w:ascii="宋体"/>
              </w:rPr>
            </w:pPr>
          </w:p>
        </w:tc>
        <w:tc>
          <w:tcPr>
            <w:tcW w:w="5" w:type="pct"/>
            <w:shd w:val="clear" w:color="auto" w:fill="auto"/>
          </w:tcPr>
          <w:p w14:paraId="1426E890" w14:textId="77777777" w:rsidR="00A74A1E" w:rsidRDefault="00A74A1E">
            <w:pPr>
              <w:rPr>
                <w:rFonts w:ascii="宋体"/>
              </w:rPr>
            </w:pPr>
          </w:p>
        </w:tc>
        <w:tc>
          <w:tcPr>
            <w:tcW w:w="50" w:type="pct"/>
            <w:shd w:val="clear" w:color="auto" w:fill="auto"/>
          </w:tcPr>
          <w:p w14:paraId="1426E891" w14:textId="77777777" w:rsidR="00A74A1E" w:rsidRDefault="00A74A1E">
            <w:pPr>
              <w:rPr>
                <w:rFonts w:ascii="宋体"/>
              </w:rPr>
            </w:pPr>
          </w:p>
        </w:tc>
        <w:tc>
          <w:tcPr>
            <w:tcW w:w="314" w:type="pct"/>
            <w:shd w:val="clear" w:color="auto" w:fill="auto"/>
          </w:tcPr>
          <w:p w14:paraId="1426E892" w14:textId="77777777" w:rsidR="00A74A1E" w:rsidRDefault="00A74A1E">
            <w:pPr>
              <w:rPr>
                <w:rFonts w:ascii="宋体"/>
              </w:rPr>
            </w:pPr>
          </w:p>
        </w:tc>
        <w:tc>
          <w:tcPr>
            <w:tcW w:w="5" w:type="pct"/>
            <w:shd w:val="clear" w:color="auto" w:fill="auto"/>
          </w:tcPr>
          <w:p w14:paraId="1426E893" w14:textId="77777777" w:rsidR="00A74A1E" w:rsidRDefault="00A74A1E">
            <w:pPr>
              <w:rPr>
                <w:rFonts w:ascii="宋体"/>
              </w:rPr>
            </w:pPr>
          </w:p>
        </w:tc>
        <w:tc>
          <w:tcPr>
            <w:tcW w:w="50" w:type="pct"/>
            <w:shd w:val="clear" w:color="auto" w:fill="auto"/>
          </w:tcPr>
          <w:p w14:paraId="1426E894" w14:textId="77777777" w:rsidR="00A74A1E" w:rsidRDefault="00A74A1E">
            <w:pPr>
              <w:rPr>
                <w:rFonts w:ascii="宋体"/>
              </w:rPr>
            </w:pPr>
          </w:p>
        </w:tc>
        <w:tc>
          <w:tcPr>
            <w:tcW w:w="2075" w:type="pct"/>
            <w:shd w:val="clear" w:color="auto" w:fill="auto"/>
          </w:tcPr>
          <w:p w14:paraId="1426E895" w14:textId="77777777" w:rsidR="00A74A1E" w:rsidRDefault="00A74A1E">
            <w:pPr>
              <w:rPr>
                <w:rFonts w:ascii="宋体"/>
              </w:rPr>
            </w:pPr>
          </w:p>
        </w:tc>
        <w:tc>
          <w:tcPr>
            <w:tcW w:w="5" w:type="pct"/>
            <w:shd w:val="clear" w:color="auto" w:fill="auto"/>
          </w:tcPr>
          <w:p w14:paraId="1426E896" w14:textId="77777777" w:rsidR="00A74A1E" w:rsidRDefault="00A74A1E">
            <w:pPr>
              <w:rPr>
                <w:rFonts w:ascii="宋体"/>
              </w:rPr>
            </w:pPr>
          </w:p>
        </w:tc>
      </w:tr>
      <w:tr w:rsidR="00A74A1E" w14:paraId="1426E89C" w14:textId="77777777">
        <w:trPr>
          <w:jc w:val="center"/>
        </w:trPr>
        <w:tc>
          <w:tcPr>
            <w:tcW w:w="0" w:type="auto"/>
            <w:gridSpan w:val="3"/>
            <w:shd w:val="clear" w:color="auto" w:fill="auto"/>
            <w:tcMar>
              <w:top w:w="40" w:type="dxa"/>
              <w:left w:w="20" w:type="dxa"/>
              <w:bottom w:w="40" w:type="dxa"/>
              <w:right w:w="20" w:type="dxa"/>
            </w:tcMar>
          </w:tcPr>
          <w:p w14:paraId="1426E898" w14:textId="77777777" w:rsidR="00A74A1E" w:rsidRDefault="00807990">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0" w:type="dxa"/>
              <w:left w:w="20" w:type="dxa"/>
              <w:bottom w:w="0" w:type="dxa"/>
              <w:right w:w="20" w:type="dxa"/>
            </w:tcMar>
          </w:tcPr>
          <w:p w14:paraId="1426E899"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9A"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89B" w14:textId="77777777" w:rsidR="00A74A1E" w:rsidRDefault="00807990">
            <w:pPr>
              <w:jc w:val="center"/>
              <w:textAlignment w:val="top"/>
            </w:pPr>
            <w:r>
              <w:rPr>
                <w:rFonts w:ascii="Arial" w:eastAsia="宋体" w:hAnsi="Arial" w:cs="Arial"/>
                <w:b/>
                <w:bCs/>
                <w:color w:val="000000"/>
                <w:sz w:val="20"/>
                <w:szCs w:val="20"/>
              </w:rPr>
              <w:t>94-1692300</w:t>
            </w:r>
          </w:p>
        </w:tc>
      </w:tr>
      <w:tr w:rsidR="00A74A1E" w14:paraId="1426E8A1" w14:textId="77777777">
        <w:trPr>
          <w:jc w:val="center"/>
        </w:trPr>
        <w:tc>
          <w:tcPr>
            <w:tcW w:w="0" w:type="auto"/>
            <w:gridSpan w:val="3"/>
            <w:shd w:val="clear" w:color="auto" w:fill="auto"/>
            <w:tcMar>
              <w:top w:w="40" w:type="dxa"/>
              <w:left w:w="20" w:type="dxa"/>
              <w:bottom w:w="40" w:type="dxa"/>
              <w:right w:w="20" w:type="dxa"/>
            </w:tcMar>
            <w:vAlign w:val="bottom"/>
          </w:tcPr>
          <w:p w14:paraId="1426E89D" w14:textId="77777777" w:rsidR="00A74A1E" w:rsidRDefault="00807990">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tcPr>
          <w:p w14:paraId="1426E89E"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9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A0" w14:textId="77777777" w:rsidR="00A74A1E" w:rsidRDefault="00807990">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1426E8A2" w14:textId="77777777" w:rsidR="00A74A1E" w:rsidRDefault="00A74A1E">
      <w:pPr>
        <w:jc w:val="center"/>
      </w:pPr>
    </w:p>
    <w:p w14:paraId="1426E8A3" w14:textId="77777777" w:rsidR="00A74A1E" w:rsidRDefault="00807990">
      <w:pPr>
        <w:jc w:val="center"/>
      </w:pPr>
      <w:r>
        <w:rPr>
          <w:rFonts w:ascii="Arial" w:eastAsia="宋体" w:hAnsi="Arial" w:cs="Arial"/>
          <w:b/>
          <w:bCs/>
          <w:color w:val="000000"/>
          <w:sz w:val="20"/>
          <w:szCs w:val="20"/>
        </w:rPr>
        <w:t xml:space="preserve">2485 Augustine Drive </w:t>
      </w:r>
    </w:p>
    <w:p w14:paraId="1426E8A4" w14:textId="77777777" w:rsidR="00A74A1E" w:rsidRDefault="00807990">
      <w:pPr>
        <w:jc w:val="center"/>
      </w:pPr>
      <w:r>
        <w:rPr>
          <w:rFonts w:ascii="Arial" w:eastAsia="宋体" w:hAnsi="Arial" w:cs="Arial"/>
          <w:b/>
          <w:bCs/>
          <w:color w:val="000000"/>
          <w:sz w:val="20"/>
          <w:szCs w:val="20"/>
        </w:rPr>
        <w:t xml:space="preserve">Santa Clara, California 95054 </w:t>
      </w:r>
    </w:p>
    <w:p w14:paraId="1426E8A5" w14:textId="77777777" w:rsidR="00A74A1E" w:rsidRDefault="00807990">
      <w:pPr>
        <w:jc w:val="center"/>
      </w:pPr>
      <w:r>
        <w:rPr>
          <w:rFonts w:ascii="Arial" w:eastAsia="宋体" w:hAnsi="Arial" w:cs="Arial"/>
          <w:color w:val="000000"/>
          <w:sz w:val="16"/>
          <w:szCs w:val="16"/>
        </w:rPr>
        <w:t>(Address of principal executive offices)</w:t>
      </w:r>
    </w:p>
    <w:p w14:paraId="1426E8A6" w14:textId="77777777" w:rsidR="00A74A1E" w:rsidRDefault="00A74A1E">
      <w:pPr>
        <w:jc w:val="center"/>
      </w:pPr>
    </w:p>
    <w:p w14:paraId="1426E8A7" w14:textId="77777777" w:rsidR="00A74A1E" w:rsidRDefault="00807990">
      <w:pPr>
        <w:jc w:val="center"/>
      </w:pPr>
      <w:r>
        <w:rPr>
          <w:rFonts w:ascii="Arial" w:eastAsia="宋体" w:hAnsi="Arial" w:cs="Arial"/>
          <w:b/>
          <w:bCs/>
          <w:color w:val="000000"/>
          <w:sz w:val="20"/>
          <w:szCs w:val="20"/>
        </w:rPr>
        <w:t xml:space="preserve">(408) 749-4000 </w:t>
      </w:r>
    </w:p>
    <w:p w14:paraId="1426E8A8" w14:textId="77777777" w:rsidR="00A74A1E" w:rsidRDefault="00807990">
      <w:pPr>
        <w:jc w:val="center"/>
      </w:pPr>
      <w:r>
        <w:rPr>
          <w:rFonts w:ascii="Arial" w:eastAsia="宋体" w:hAnsi="Arial" w:cs="Arial"/>
          <w:color w:val="000000"/>
          <w:sz w:val="16"/>
          <w:szCs w:val="16"/>
        </w:rPr>
        <w:t>Registrant’s telephone number, including area code</w:t>
      </w:r>
    </w:p>
    <w:p w14:paraId="1426E8A9" w14:textId="77777777" w:rsidR="00A74A1E" w:rsidRDefault="00A74A1E">
      <w:pPr>
        <w:jc w:val="center"/>
      </w:pPr>
    </w:p>
    <w:p w14:paraId="1426E8AA" w14:textId="77777777" w:rsidR="00A74A1E" w:rsidRDefault="00807990">
      <w:pPr>
        <w:jc w:val="center"/>
      </w:pPr>
      <w:r>
        <w:rPr>
          <w:rFonts w:ascii="Arial" w:eastAsia="宋体" w:hAnsi="Arial" w:cs="Arial"/>
          <w:color w:val="000000"/>
          <w:sz w:val="16"/>
          <w:szCs w:val="16"/>
        </w:rPr>
        <w:t>N/A</w:t>
      </w:r>
    </w:p>
    <w:p w14:paraId="1426E8AB" w14:textId="77777777" w:rsidR="00A74A1E" w:rsidRDefault="00807990">
      <w:pPr>
        <w:jc w:val="center"/>
      </w:pPr>
      <w:r>
        <w:rPr>
          <w:rFonts w:ascii="Arial" w:eastAsia="宋体" w:hAnsi="Arial" w:cs="Arial"/>
          <w:color w:val="000000"/>
          <w:sz w:val="16"/>
          <w:szCs w:val="16"/>
        </w:rPr>
        <w:t>(Former name, former address and former fiscal year, if changed since last report)</w:t>
      </w:r>
    </w:p>
    <w:p w14:paraId="1426E8AC" w14:textId="77777777" w:rsidR="00A74A1E" w:rsidRDefault="00A74A1E">
      <w:pPr>
        <w:jc w:val="center"/>
      </w:pPr>
    </w:p>
    <w:p w14:paraId="1426E8AD" w14:textId="77777777" w:rsidR="00A74A1E" w:rsidRDefault="00807990">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A74A1E" w14:paraId="1426E8B7" w14:textId="77777777">
        <w:trPr>
          <w:jc w:val="center"/>
        </w:trPr>
        <w:tc>
          <w:tcPr>
            <w:tcW w:w="50" w:type="pct"/>
            <w:shd w:val="clear" w:color="auto" w:fill="auto"/>
          </w:tcPr>
          <w:p w14:paraId="1426E8AE" w14:textId="77777777" w:rsidR="00A74A1E" w:rsidRDefault="00A74A1E">
            <w:pPr>
              <w:rPr>
                <w:rFonts w:ascii="宋体"/>
              </w:rPr>
            </w:pPr>
          </w:p>
        </w:tc>
        <w:tc>
          <w:tcPr>
            <w:tcW w:w="1545" w:type="pct"/>
            <w:shd w:val="clear" w:color="auto" w:fill="auto"/>
          </w:tcPr>
          <w:p w14:paraId="1426E8AF" w14:textId="77777777" w:rsidR="00A74A1E" w:rsidRDefault="00A74A1E">
            <w:pPr>
              <w:rPr>
                <w:rFonts w:ascii="宋体"/>
              </w:rPr>
            </w:pPr>
          </w:p>
        </w:tc>
        <w:tc>
          <w:tcPr>
            <w:tcW w:w="5" w:type="pct"/>
            <w:shd w:val="clear" w:color="auto" w:fill="auto"/>
          </w:tcPr>
          <w:p w14:paraId="1426E8B0" w14:textId="77777777" w:rsidR="00A74A1E" w:rsidRDefault="00A74A1E">
            <w:pPr>
              <w:rPr>
                <w:rFonts w:ascii="宋体"/>
              </w:rPr>
            </w:pPr>
          </w:p>
        </w:tc>
        <w:tc>
          <w:tcPr>
            <w:tcW w:w="50" w:type="pct"/>
            <w:shd w:val="clear" w:color="auto" w:fill="auto"/>
          </w:tcPr>
          <w:p w14:paraId="1426E8B1" w14:textId="77777777" w:rsidR="00A74A1E" w:rsidRDefault="00A74A1E">
            <w:pPr>
              <w:rPr>
                <w:rFonts w:ascii="宋体"/>
              </w:rPr>
            </w:pPr>
          </w:p>
        </w:tc>
        <w:tc>
          <w:tcPr>
            <w:tcW w:w="939" w:type="pct"/>
            <w:shd w:val="clear" w:color="auto" w:fill="auto"/>
          </w:tcPr>
          <w:p w14:paraId="1426E8B2" w14:textId="77777777" w:rsidR="00A74A1E" w:rsidRDefault="00A74A1E">
            <w:pPr>
              <w:rPr>
                <w:rFonts w:ascii="宋体"/>
              </w:rPr>
            </w:pPr>
          </w:p>
        </w:tc>
        <w:tc>
          <w:tcPr>
            <w:tcW w:w="5" w:type="pct"/>
            <w:shd w:val="clear" w:color="auto" w:fill="auto"/>
          </w:tcPr>
          <w:p w14:paraId="1426E8B3" w14:textId="77777777" w:rsidR="00A74A1E" w:rsidRDefault="00A74A1E">
            <w:pPr>
              <w:rPr>
                <w:rFonts w:ascii="宋体"/>
              </w:rPr>
            </w:pPr>
          </w:p>
        </w:tc>
        <w:tc>
          <w:tcPr>
            <w:tcW w:w="50" w:type="pct"/>
            <w:shd w:val="clear" w:color="auto" w:fill="auto"/>
          </w:tcPr>
          <w:p w14:paraId="1426E8B4" w14:textId="77777777" w:rsidR="00A74A1E" w:rsidRDefault="00A74A1E">
            <w:pPr>
              <w:rPr>
                <w:rFonts w:ascii="宋体"/>
              </w:rPr>
            </w:pPr>
          </w:p>
        </w:tc>
        <w:tc>
          <w:tcPr>
            <w:tcW w:w="2350" w:type="pct"/>
            <w:shd w:val="clear" w:color="auto" w:fill="auto"/>
          </w:tcPr>
          <w:p w14:paraId="1426E8B5" w14:textId="77777777" w:rsidR="00A74A1E" w:rsidRDefault="00A74A1E">
            <w:pPr>
              <w:rPr>
                <w:rFonts w:ascii="宋体"/>
              </w:rPr>
            </w:pPr>
          </w:p>
        </w:tc>
        <w:tc>
          <w:tcPr>
            <w:tcW w:w="5" w:type="pct"/>
            <w:shd w:val="clear" w:color="auto" w:fill="auto"/>
          </w:tcPr>
          <w:p w14:paraId="1426E8B6" w14:textId="77777777" w:rsidR="00A74A1E" w:rsidRDefault="00A74A1E">
            <w:pPr>
              <w:rPr>
                <w:rFonts w:ascii="宋体"/>
              </w:rPr>
            </w:pPr>
          </w:p>
        </w:tc>
      </w:tr>
      <w:tr w:rsidR="00A74A1E" w14:paraId="1426E8BB" w14:textId="77777777">
        <w:trPr>
          <w:jc w:val="center"/>
        </w:trPr>
        <w:tc>
          <w:tcPr>
            <w:tcW w:w="0" w:type="auto"/>
            <w:gridSpan w:val="3"/>
            <w:shd w:val="clear" w:color="auto" w:fill="auto"/>
            <w:tcMar>
              <w:top w:w="40" w:type="dxa"/>
              <w:left w:w="20" w:type="dxa"/>
              <w:bottom w:w="40" w:type="dxa"/>
              <w:right w:w="20" w:type="dxa"/>
            </w:tcMar>
          </w:tcPr>
          <w:p w14:paraId="1426E8B8" w14:textId="77777777" w:rsidR="00A74A1E" w:rsidRDefault="00807990">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1426E8B9" w14:textId="77777777" w:rsidR="00A74A1E" w:rsidRDefault="00807990">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1426E8BA" w14:textId="77777777" w:rsidR="00A74A1E" w:rsidRDefault="00807990">
            <w:pPr>
              <w:spacing w:after="40"/>
              <w:jc w:val="center"/>
              <w:textAlignment w:val="top"/>
            </w:pPr>
            <w:r>
              <w:rPr>
                <w:rFonts w:ascii="Arial" w:eastAsia="宋体" w:hAnsi="Arial" w:cs="Arial"/>
                <w:color w:val="000000"/>
                <w:sz w:val="16"/>
                <w:szCs w:val="16"/>
              </w:rPr>
              <w:t> Name of each exchange on which registered</w:t>
            </w:r>
          </w:p>
        </w:tc>
      </w:tr>
      <w:tr w:rsidR="00A74A1E" w14:paraId="1426E8BF" w14:textId="77777777">
        <w:trPr>
          <w:jc w:val="center"/>
        </w:trPr>
        <w:tc>
          <w:tcPr>
            <w:tcW w:w="0" w:type="auto"/>
            <w:gridSpan w:val="3"/>
            <w:shd w:val="clear" w:color="auto" w:fill="auto"/>
            <w:tcMar>
              <w:top w:w="40" w:type="dxa"/>
              <w:left w:w="20" w:type="dxa"/>
              <w:bottom w:w="40" w:type="dxa"/>
              <w:right w:w="20" w:type="dxa"/>
            </w:tcMar>
            <w:vAlign w:val="bottom"/>
          </w:tcPr>
          <w:p w14:paraId="1426E8BC" w14:textId="77777777" w:rsidR="00A74A1E" w:rsidRDefault="00807990">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1426E8BD" w14:textId="77777777" w:rsidR="00A74A1E" w:rsidRDefault="00807990">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1426E8BE" w14:textId="77777777" w:rsidR="00A74A1E" w:rsidRDefault="00807990">
            <w:pPr>
              <w:spacing w:after="40"/>
              <w:jc w:val="center"/>
              <w:textAlignment w:val="bottom"/>
            </w:pPr>
            <w:r>
              <w:rPr>
                <w:rFonts w:ascii="Arial" w:eastAsia="宋体" w:hAnsi="Arial" w:cs="Arial"/>
                <w:b/>
                <w:bCs/>
                <w:color w:val="000000"/>
                <w:sz w:val="20"/>
                <w:szCs w:val="20"/>
              </w:rPr>
              <w:t>The Nasdaq Global Select Market</w:t>
            </w:r>
          </w:p>
        </w:tc>
      </w:tr>
    </w:tbl>
    <w:p w14:paraId="1426E8C0" w14:textId="77777777" w:rsidR="00A74A1E" w:rsidRDefault="00807990">
      <w:pPr>
        <w:spacing w:before="120"/>
        <w:jc w:val="both"/>
      </w:pPr>
      <w:r>
        <w:rPr>
          <w:rFonts w:ascii="Arial" w:eastAsia="宋体" w:hAnsi="Arial" w:cs="Arial"/>
          <w:color w:val="000000"/>
          <w:sz w:val="16"/>
          <w:szCs w:val="16"/>
        </w:rPr>
        <w:lastRenderedPageBreak/>
        <w:t>Indicate by check mark whether the registrant: (1) has filed all reports required to be filed by Section 13 or 15(d) of the Securities Exchange A</w:t>
      </w:r>
      <w:r>
        <w:rPr>
          <w:rFonts w:ascii="Arial" w:eastAsia="宋体" w:hAnsi="Arial" w:cs="Arial"/>
          <w:color w:val="000000"/>
          <w:sz w:val="16"/>
          <w:szCs w:val="16"/>
        </w:rPr>
        <w:t>ct of 1934 (the Exchange Act) during the preceding 12 months (or for such shorter period that the registrant was required to file such reports), and (2) has been subject to such filing requirements for the past 90 days.    Yes ☑ No ¨</w:t>
      </w:r>
    </w:p>
    <w:p w14:paraId="1426E8C1" w14:textId="77777777" w:rsidR="00A74A1E" w:rsidRDefault="00807990">
      <w:pPr>
        <w:spacing w:before="120"/>
        <w:jc w:val="both"/>
      </w:pPr>
      <w:r>
        <w:rPr>
          <w:rFonts w:ascii="Arial" w:eastAsia="宋体" w:hAnsi="Arial" w:cs="Arial"/>
          <w:color w:val="000000"/>
          <w:sz w:val="16"/>
          <w:szCs w:val="16"/>
        </w:rPr>
        <w:t>Indicate by check mark</w:t>
      </w:r>
      <w:r>
        <w:rPr>
          <w:rFonts w:ascii="Arial" w:eastAsia="宋体" w:hAnsi="Arial" w:cs="Arial"/>
          <w:color w:val="000000"/>
          <w:sz w:val="16"/>
          <w:szCs w:val="16"/>
        </w:rPr>
        <w:t xml:space="preserve"> whether the registrant has submitted electronically every Interactive Data File required to be submitted pursuant to Rule 405 of Regulation S-T during the preceding 12 months (or for such shorter period that the registrant was required to submit such file</w:t>
      </w:r>
      <w:r>
        <w:rPr>
          <w:rFonts w:ascii="Arial" w:eastAsia="宋体" w:hAnsi="Arial" w:cs="Arial"/>
          <w:color w:val="000000"/>
          <w:sz w:val="16"/>
          <w:szCs w:val="16"/>
        </w:rPr>
        <w:t>s).    Yes ☑    No ¨</w:t>
      </w:r>
    </w:p>
    <w:p w14:paraId="1426E8C2" w14:textId="77777777" w:rsidR="00A74A1E" w:rsidRDefault="00807990">
      <w:pPr>
        <w:spacing w:before="120"/>
        <w:jc w:val="both"/>
      </w:pPr>
      <w:r>
        <w:rPr>
          <w:rFonts w:ascii="Arial" w:eastAsia="宋体" w:hAnsi="Arial" w:cs="Arial"/>
          <w:color w:val="000000"/>
          <w:sz w:val="16"/>
          <w:szCs w:val="16"/>
        </w:rPr>
        <w:t xml:space="preserve">Indicate by check mark whether the registrant is a large accelerated filer, an accelerated filer, a non-accelerated filer or a smaller reporting company. See definition of “large accelerated filer,” “accelerated filer,” </w:t>
      </w:r>
      <w:r>
        <w:rPr>
          <w:rFonts w:ascii="Arial" w:eastAsia="宋体" w:hAnsi="Arial" w:cs="Arial"/>
          <w:color w:val="000000"/>
          <w:sz w:val="16"/>
          <w:szCs w:val="16"/>
        </w:rPr>
        <w:t>“smaller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3"/>
        <w:gridCol w:w="36"/>
        <w:gridCol w:w="61"/>
        <w:gridCol w:w="1403"/>
        <w:gridCol w:w="36"/>
        <w:gridCol w:w="36"/>
        <w:gridCol w:w="36"/>
        <w:gridCol w:w="36"/>
        <w:gridCol w:w="37"/>
        <w:gridCol w:w="1239"/>
        <w:gridCol w:w="36"/>
      </w:tblGrid>
      <w:tr w:rsidR="00A74A1E" w14:paraId="1426E8E1" w14:textId="77777777">
        <w:tc>
          <w:tcPr>
            <w:tcW w:w="50" w:type="pct"/>
            <w:shd w:val="clear" w:color="auto" w:fill="auto"/>
          </w:tcPr>
          <w:p w14:paraId="1426E8C3" w14:textId="77777777" w:rsidR="00A74A1E" w:rsidRDefault="00A74A1E">
            <w:pPr>
              <w:rPr>
                <w:rFonts w:ascii="宋体"/>
              </w:rPr>
            </w:pPr>
          </w:p>
        </w:tc>
        <w:tc>
          <w:tcPr>
            <w:tcW w:w="1228" w:type="pct"/>
            <w:shd w:val="clear" w:color="auto" w:fill="auto"/>
          </w:tcPr>
          <w:p w14:paraId="1426E8C4" w14:textId="77777777" w:rsidR="00A74A1E" w:rsidRDefault="00A74A1E">
            <w:pPr>
              <w:rPr>
                <w:rFonts w:ascii="宋体"/>
              </w:rPr>
            </w:pPr>
          </w:p>
        </w:tc>
        <w:tc>
          <w:tcPr>
            <w:tcW w:w="5" w:type="pct"/>
            <w:shd w:val="clear" w:color="auto" w:fill="auto"/>
          </w:tcPr>
          <w:p w14:paraId="1426E8C5" w14:textId="77777777" w:rsidR="00A74A1E" w:rsidRDefault="00A74A1E">
            <w:pPr>
              <w:rPr>
                <w:rFonts w:ascii="宋体"/>
              </w:rPr>
            </w:pPr>
          </w:p>
        </w:tc>
        <w:tc>
          <w:tcPr>
            <w:tcW w:w="5" w:type="pct"/>
            <w:shd w:val="clear" w:color="auto" w:fill="auto"/>
          </w:tcPr>
          <w:p w14:paraId="1426E8C6" w14:textId="77777777" w:rsidR="00A74A1E" w:rsidRDefault="00A74A1E">
            <w:pPr>
              <w:rPr>
                <w:rFonts w:ascii="宋体"/>
              </w:rPr>
            </w:pPr>
          </w:p>
        </w:tc>
        <w:tc>
          <w:tcPr>
            <w:tcW w:w="29" w:type="pct"/>
            <w:shd w:val="clear" w:color="auto" w:fill="auto"/>
          </w:tcPr>
          <w:p w14:paraId="1426E8C7" w14:textId="77777777" w:rsidR="00A74A1E" w:rsidRDefault="00A74A1E">
            <w:pPr>
              <w:rPr>
                <w:rFonts w:ascii="宋体"/>
              </w:rPr>
            </w:pPr>
          </w:p>
        </w:tc>
        <w:tc>
          <w:tcPr>
            <w:tcW w:w="5" w:type="pct"/>
            <w:shd w:val="clear" w:color="auto" w:fill="auto"/>
          </w:tcPr>
          <w:p w14:paraId="1426E8C8" w14:textId="77777777" w:rsidR="00A74A1E" w:rsidRDefault="00A74A1E">
            <w:pPr>
              <w:rPr>
                <w:rFonts w:ascii="宋体"/>
              </w:rPr>
            </w:pPr>
          </w:p>
        </w:tc>
        <w:tc>
          <w:tcPr>
            <w:tcW w:w="50" w:type="pct"/>
            <w:shd w:val="clear" w:color="auto" w:fill="auto"/>
          </w:tcPr>
          <w:p w14:paraId="1426E8C9" w14:textId="77777777" w:rsidR="00A74A1E" w:rsidRDefault="00A74A1E">
            <w:pPr>
              <w:rPr>
                <w:rFonts w:ascii="宋体"/>
              </w:rPr>
            </w:pPr>
          </w:p>
        </w:tc>
        <w:tc>
          <w:tcPr>
            <w:tcW w:w="128" w:type="pct"/>
            <w:shd w:val="clear" w:color="auto" w:fill="auto"/>
          </w:tcPr>
          <w:p w14:paraId="1426E8CA" w14:textId="77777777" w:rsidR="00A74A1E" w:rsidRDefault="00A74A1E">
            <w:pPr>
              <w:rPr>
                <w:rFonts w:ascii="宋体"/>
              </w:rPr>
            </w:pPr>
          </w:p>
        </w:tc>
        <w:tc>
          <w:tcPr>
            <w:tcW w:w="5" w:type="pct"/>
            <w:shd w:val="clear" w:color="auto" w:fill="auto"/>
          </w:tcPr>
          <w:p w14:paraId="1426E8CB" w14:textId="77777777" w:rsidR="00A74A1E" w:rsidRDefault="00A74A1E">
            <w:pPr>
              <w:rPr>
                <w:rFonts w:ascii="宋体"/>
              </w:rPr>
            </w:pPr>
          </w:p>
        </w:tc>
        <w:tc>
          <w:tcPr>
            <w:tcW w:w="5" w:type="pct"/>
            <w:shd w:val="clear" w:color="auto" w:fill="auto"/>
          </w:tcPr>
          <w:p w14:paraId="1426E8CC" w14:textId="77777777" w:rsidR="00A74A1E" w:rsidRDefault="00A74A1E">
            <w:pPr>
              <w:rPr>
                <w:rFonts w:ascii="宋体"/>
              </w:rPr>
            </w:pPr>
          </w:p>
        </w:tc>
        <w:tc>
          <w:tcPr>
            <w:tcW w:w="29" w:type="pct"/>
            <w:shd w:val="clear" w:color="auto" w:fill="auto"/>
          </w:tcPr>
          <w:p w14:paraId="1426E8CD" w14:textId="77777777" w:rsidR="00A74A1E" w:rsidRDefault="00A74A1E">
            <w:pPr>
              <w:rPr>
                <w:rFonts w:ascii="宋体"/>
              </w:rPr>
            </w:pPr>
          </w:p>
        </w:tc>
        <w:tc>
          <w:tcPr>
            <w:tcW w:w="5" w:type="pct"/>
            <w:shd w:val="clear" w:color="auto" w:fill="auto"/>
          </w:tcPr>
          <w:p w14:paraId="1426E8CE" w14:textId="77777777" w:rsidR="00A74A1E" w:rsidRDefault="00A74A1E">
            <w:pPr>
              <w:rPr>
                <w:rFonts w:ascii="宋体"/>
              </w:rPr>
            </w:pPr>
          </w:p>
        </w:tc>
        <w:tc>
          <w:tcPr>
            <w:tcW w:w="50" w:type="pct"/>
            <w:shd w:val="clear" w:color="auto" w:fill="auto"/>
          </w:tcPr>
          <w:p w14:paraId="1426E8CF" w14:textId="77777777" w:rsidR="00A74A1E" w:rsidRDefault="00A74A1E">
            <w:pPr>
              <w:rPr>
                <w:rFonts w:ascii="宋体"/>
              </w:rPr>
            </w:pPr>
          </w:p>
        </w:tc>
        <w:tc>
          <w:tcPr>
            <w:tcW w:w="1212" w:type="pct"/>
            <w:shd w:val="clear" w:color="auto" w:fill="auto"/>
          </w:tcPr>
          <w:p w14:paraId="1426E8D0" w14:textId="77777777" w:rsidR="00A74A1E" w:rsidRDefault="00A74A1E">
            <w:pPr>
              <w:rPr>
                <w:rFonts w:ascii="宋体"/>
              </w:rPr>
            </w:pPr>
          </w:p>
        </w:tc>
        <w:tc>
          <w:tcPr>
            <w:tcW w:w="5" w:type="pct"/>
            <w:shd w:val="clear" w:color="auto" w:fill="auto"/>
          </w:tcPr>
          <w:p w14:paraId="1426E8D1" w14:textId="77777777" w:rsidR="00A74A1E" w:rsidRDefault="00A74A1E">
            <w:pPr>
              <w:rPr>
                <w:rFonts w:ascii="宋体"/>
              </w:rPr>
            </w:pPr>
          </w:p>
        </w:tc>
        <w:tc>
          <w:tcPr>
            <w:tcW w:w="5" w:type="pct"/>
            <w:shd w:val="clear" w:color="auto" w:fill="auto"/>
          </w:tcPr>
          <w:p w14:paraId="1426E8D2" w14:textId="77777777" w:rsidR="00A74A1E" w:rsidRDefault="00A74A1E">
            <w:pPr>
              <w:rPr>
                <w:rFonts w:ascii="宋体"/>
              </w:rPr>
            </w:pPr>
          </w:p>
        </w:tc>
        <w:tc>
          <w:tcPr>
            <w:tcW w:w="29" w:type="pct"/>
            <w:shd w:val="clear" w:color="auto" w:fill="auto"/>
          </w:tcPr>
          <w:p w14:paraId="1426E8D3" w14:textId="77777777" w:rsidR="00A74A1E" w:rsidRDefault="00A74A1E">
            <w:pPr>
              <w:rPr>
                <w:rFonts w:ascii="宋体"/>
              </w:rPr>
            </w:pPr>
          </w:p>
        </w:tc>
        <w:tc>
          <w:tcPr>
            <w:tcW w:w="5" w:type="pct"/>
            <w:shd w:val="clear" w:color="auto" w:fill="auto"/>
          </w:tcPr>
          <w:p w14:paraId="1426E8D4" w14:textId="77777777" w:rsidR="00A74A1E" w:rsidRDefault="00A74A1E">
            <w:pPr>
              <w:rPr>
                <w:rFonts w:ascii="宋体"/>
              </w:rPr>
            </w:pPr>
          </w:p>
        </w:tc>
        <w:tc>
          <w:tcPr>
            <w:tcW w:w="50" w:type="pct"/>
            <w:shd w:val="clear" w:color="auto" w:fill="auto"/>
          </w:tcPr>
          <w:p w14:paraId="1426E8D5" w14:textId="77777777" w:rsidR="00A74A1E" w:rsidRDefault="00A74A1E">
            <w:pPr>
              <w:rPr>
                <w:rFonts w:ascii="宋体"/>
              </w:rPr>
            </w:pPr>
          </w:p>
        </w:tc>
        <w:tc>
          <w:tcPr>
            <w:tcW w:w="168" w:type="pct"/>
            <w:shd w:val="clear" w:color="auto" w:fill="auto"/>
          </w:tcPr>
          <w:p w14:paraId="1426E8D6" w14:textId="77777777" w:rsidR="00A74A1E" w:rsidRDefault="00A74A1E">
            <w:pPr>
              <w:rPr>
                <w:rFonts w:ascii="宋体"/>
              </w:rPr>
            </w:pPr>
          </w:p>
        </w:tc>
        <w:tc>
          <w:tcPr>
            <w:tcW w:w="5" w:type="pct"/>
            <w:shd w:val="clear" w:color="auto" w:fill="auto"/>
          </w:tcPr>
          <w:p w14:paraId="1426E8D7" w14:textId="77777777" w:rsidR="00A74A1E" w:rsidRDefault="00A74A1E">
            <w:pPr>
              <w:rPr>
                <w:rFonts w:ascii="宋体"/>
              </w:rPr>
            </w:pPr>
          </w:p>
        </w:tc>
        <w:tc>
          <w:tcPr>
            <w:tcW w:w="50" w:type="pct"/>
            <w:shd w:val="clear" w:color="auto" w:fill="auto"/>
          </w:tcPr>
          <w:p w14:paraId="1426E8D8" w14:textId="77777777" w:rsidR="00A74A1E" w:rsidRDefault="00A74A1E">
            <w:pPr>
              <w:rPr>
                <w:rFonts w:ascii="宋体"/>
              </w:rPr>
            </w:pPr>
          </w:p>
        </w:tc>
        <w:tc>
          <w:tcPr>
            <w:tcW w:w="941" w:type="pct"/>
            <w:shd w:val="clear" w:color="auto" w:fill="auto"/>
          </w:tcPr>
          <w:p w14:paraId="1426E8D9" w14:textId="77777777" w:rsidR="00A74A1E" w:rsidRDefault="00A74A1E">
            <w:pPr>
              <w:rPr>
                <w:rFonts w:ascii="宋体"/>
              </w:rPr>
            </w:pPr>
          </w:p>
        </w:tc>
        <w:tc>
          <w:tcPr>
            <w:tcW w:w="5" w:type="pct"/>
            <w:shd w:val="clear" w:color="auto" w:fill="auto"/>
          </w:tcPr>
          <w:p w14:paraId="1426E8DA" w14:textId="77777777" w:rsidR="00A74A1E" w:rsidRDefault="00A74A1E">
            <w:pPr>
              <w:rPr>
                <w:rFonts w:ascii="宋体"/>
              </w:rPr>
            </w:pPr>
          </w:p>
        </w:tc>
        <w:tc>
          <w:tcPr>
            <w:tcW w:w="5" w:type="pct"/>
            <w:shd w:val="clear" w:color="auto" w:fill="auto"/>
          </w:tcPr>
          <w:p w14:paraId="1426E8DB" w14:textId="77777777" w:rsidR="00A74A1E" w:rsidRDefault="00A74A1E">
            <w:pPr>
              <w:rPr>
                <w:rFonts w:ascii="宋体"/>
              </w:rPr>
            </w:pPr>
          </w:p>
        </w:tc>
        <w:tc>
          <w:tcPr>
            <w:tcW w:w="29" w:type="pct"/>
            <w:shd w:val="clear" w:color="auto" w:fill="auto"/>
          </w:tcPr>
          <w:p w14:paraId="1426E8DC" w14:textId="77777777" w:rsidR="00A74A1E" w:rsidRDefault="00A74A1E">
            <w:pPr>
              <w:rPr>
                <w:rFonts w:ascii="宋体"/>
              </w:rPr>
            </w:pPr>
          </w:p>
        </w:tc>
        <w:tc>
          <w:tcPr>
            <w:tcW w:w="5" w:type="pct"/>
            <w:shd w:val="clear" w:color="auto" w:fill="auto"/>
          </w:tcPr>
          <w:p w14:paraId="1426E8DD" w14:textId="77777777" w:rsidR="00A74A1E" w:rsidRDefault="00A74A1E">
            <w:pPr>
              <w:rPr>
                <w:rFonts w:ascii="宋体"/>
              </w:rPr>
            </w:pPr>
          </w:p>
        </w:tc>
        <w:tc>
          <w:tcPr>
            <w:tcW w:w="50" w:type="pct"/>
            <w:shd w:val="clear" w:color="auto" w:fill="auto"/>
          </w:tcPr>
          <w:p w14:paraId="1426E8DE" w14:textId="77777777" w:rsidR="00A74A1E" w:rsidRDefault="00A74A1E">
            <w:pPr>
              <w:rPr>
                <w:rFonts w:ascii="宋体"/>
              </w:rPr>
            </w:pPr>
          </w:p>
        </w:tc>
        <w:tc>
          <w:tcPr>
            <w:tcW w:w="830" w:type="pct"/>
            <w:shd w:val="clear" w:color="auto" w:fill="auto"/>
          </w:tcPr>
          <w:p w14:paraId="1426E8DF" w14:textId="77777777" w:rsidR="00A74A1E" w:rsidRDefault="00A74A1E">
            <w:pPr>
              <w:rPr>
                <w:rFonts w:ascii="宋体"/>
              </w:rPr>
            </w:pPr>
          </w:p>
        </w:tc>
        <w:tc>
          <w:tcPr>
            <w:tcW w:w="5" w:type="pct"/>
            <w:shd w:val="clear" w:color="auto" w:fill="auto"/>
          </w:tcPr>
          <w:p w14:paraId="1426E8E0" w14:textId="77777777" w:rsidR="00A74A1E" w:rsidRDefault="00A74A1E">
            <w:pPr>
              <w:rPr>
                <w:rFonts w:ascii="宋体"/>
              </w:rPr>
            </w:pPr>
          </w:p>
        </w:tc>
      </w:tr>
      <w:tr w:rsidR="00A74A1E" w14:paraId="1426E8EC" w14:textId="77777777">
        <w:tc>
          <w:tcPr>
            <w:tcW w:w="0" w:type="auto"/>
            <w:gridSpan w:val="3"/>
            <w:shd w:val="clear" w:color="auto" w:fill="auto"/>
            <w:tcMar>
              <w:top w:w="40" w:type="dxa"/>
              <w:left w:w="20" w:type="dxa"/>
              <w:bottom w:w="40" w:type="dxa"/>
              <w:right w:w="20" w:type="dxa"/>
            </w:tcMar>
            <w:vAlign w:val="bottom"/>
          </w:tcPr>
          <w:p w14:paraId="1426E8E2" w14:textId="77777777" w:rsidR="00A74A1E" w:rsidRDefault="00807990">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tcPr>
          <w:p w14:paraId="1426E8E3"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E4" w14:textId="77777777" w:rsidR="00A74A1E" w:rsidRDefault="00807990">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426E8E5"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E6" w14:textId="77777777" w:rsidR="00A74A1E" w:rsidRDefault="00807990">
            <w:pPr>
              <w:textAlignment w:val="bottom"/>
            </w:pPr>
            <w:r>
              <w:rPr>
                <w:rFonts w:ascii="Arial" w:eastAsia="宋体" w:hAnsi="Arial" w:cs="Arial"/>
                <w:color w:val="000000"/>
                <w:sz w:val="16"/>
                <w:szCs w:val="16"/>
              </w:rPr>
              <w:t>Accelerated filer</w:t>
            </w:r>
          </w:p>
        </w:tc>
        <w:tc>
          <w:tcPr>
            <w:tcW w:w="0" w:type="auto"/>
            <w:gridSpan w:val="3"/>
            <w:shd w:val="clear" w:color="auto" w:fill="auto"/>
            <w:tcMar>
              <w:top w:w="0" w:type="dxa"/>
              <w:left w:w="20" w:type="dxa"/>
              <w:bottom w:w="0" w:type="dxa"/>
              <w:right w:w="20" w:type="dxa"/>
            </w:tcMar>
          </w:tcPr>
          <w:p w14:paraId="1426E8E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E8" w14:textId="77777777" w:rsidR="00A74A1E" w:rsidRDefault="00807990">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1426E8E9" w14:textId="77777777" w:rsidR="00A74A1E" w:rsidRDefault="00807990">
            <w:pPr>
              <w:textAlignment w:val="top"/>
            </w:pPr>
            <w:r>
              <w:rPr>
                <w:rFonts w:ascii="Arial" w:eastAsia="宋体"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tcPr>
          <w:p w14:paraId="1426E8EA"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8EB" w14:textId="77777777" w:rsidR="00A74A1E" w:rsidRDefault="00807990">
            <w:pPr>
              <w:spacing w:before="180"/>
              <w:textAlignment w:val="top"/>
            </w:pPr>
            <w:r>
              <w:rPr>
                <w:rFonts w:ascii="Arial" w:eastAsia="宋体" w:hAnsi="Arial" w:cs="Arial"/>
                <w:color w:val="000000"/>
                <w:sz w:val="16"/>
                <w:szCs w:val="16"/>
              </w:rPr>
              <w:t>☐</w:t>
            </w:r>
          </w:p>
        </w:tc>
      </w:tr>
      <w:tr w:rsidR="00A74A1E" w14:paraId="1426E8F7" w14:textId="77777777">
        <w:tc>
          <w:tcPr>
            <w:tcW w:w="0" w:type="auto"/>
            <w:gridSpan w:val="3"/>
            <w:shd w:val="clear" w:color="auto" w:fill="auto"/>
            <w:tcMar>
              <w:top w:w="40" w:type="dxa"/>
              <w:left w:w="20" w:type="dxa"/>
              <w:bottom w:w="40" w:type="dxa"/>
              <w:right w:w="20" w:type="dxa"/>
            </w:tcMar>
          </w:tcPr>
          <w:p w14:paraId="1426E8ED" w14:textId="77777777" w:rsidR="00A74A1E" w:rsidRDefault="00807990">
            <w:pPr>
              <w:textAlignment w:val="top"/>
            </w:pPr>
            <w:r>
              <w:rPr>
                <w:rFonts w:ascii="Arial" w:eastAsia="宋体"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tcPr>
          <w:p w14:paraId="1426E8EE"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EF" w14:textId="77777777" w:rsidR="00A74A1E" w:rsidRDefault="00807990">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426E8F0"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8F1" w14:textId="77777777" w:rsidR="00A74A1E" w:rsidRDefault="00807990">
            <w:pPr>
              <w:textAlignment w:val="top"/>
            </w:pPr>
            <w:r>
              <w:rPr>
                <w:rFonts w:ascii="Arial" w:eastAsia="宋体"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tcPr>
          <w:p w14:paraId="1426E8F2"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8F3" w14:textId="77777777" w:rsidR="00A74A1E" w:rsidRDefault="00807990">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426E8F4"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E8F5"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8F6" w14:textId="77777777" w:rsidR="00A74A1E" w:rsidRDefault="00807990">
            <w:pPr>
              <w:spacing w:before="180"/>
              <w:textAlignment w:val="top"/>
            </w:pPr>
            <w:r>
              <w:rPr>
                <w:rFonts w:ascii="Arial" w:eastAsia="宋体" w:hAnsi="Arial" w:cs="Arial"/>
                <w:color w:val="000000"/>
                <w:sz w:val="16"/>
                <w:szCs w:val="16"/>
              </w:rPr>
              <w:t>☐</w:t>
            </w:r>
          </w:p>
        </w:tc>
      </w:tr>
    </w:tbl>
    <w:p w14:paraId="1426E8F8" w14:textId="77777777" w:rsidR="00A74A1E" w:rsidRDefault="00807990">
      <w:r>
        <w:rPr>
          <w:rFonts w:ascii="Arial" w:eastAsia="宋体" w:hAnsi="Arial" w:cs="Arial"/>
          <w:color w:val="000000"/>
          <w:sz w:val="16"/>
          <w:szCs w:val="16"/>
        </w:rPr>
        <w:t xml:space="preserve">If an emerging growth company, </w:t>
      </w:r>
      <w:r>
        <w:rPr>
          <w:rFonts w:ascii="Arial" w:eastAsia="宋体" w:hAnsi="Arial" w:cs="Arial"/>
          <w:color w:val="000000"/>
          <w:sz w:val="16"/>
          <w:szCs w:val="16"/>
        </w:rPr>
        <w:t>indicate by check mark if the registrant has elected not to use the extended transition period for complying with any new or revised financial accounting standards provided pursuant to Section 13(a) of the Exchange Act. ¨</w:t>
      </w:r>
    </w:p>
    <w:p w14:paraId="1426E8F9" w14:textId="77777777" w:rsidR="00A74A1E" w:rsidRDefault="00807990">
      <w:pPr>
        <w:spacing w:before="180"/>
        <w:jc w:val="both"/>
      </w:pPr>
      <w:r>
        <w:rPr>
          <w:rFonts w:ascii="Arial" w:eastAsia="宋体" w:hAnsi="Arial" w:cs="Arial"/>
          <w:color w:val="000000"/>
          <w:sz w:val="16"/>
          <w:szCs w:val="16"/>
        </w:rPr>
        <w:t>Indicate by check mark whether the</w:t>
      </w:r>
      <w:r>
        <w:rPr>
          <w:rFonts w:ascii="Arial" w:eastAsia="宋体" w:hAnsi="Arial" w:cs="Arial"/>
          <w:color w:val="000000"/>
          <w:sz w:val="16"/>
          <w:szCs w:val="16"/>
        </w:rPr>
        <w:t xml:space="preserve"> registrant is a shell company (as defined by Rule 12b-2 of the Exchange Act). Yes  ☐  No ☑</w:t>
      </w:r>
    </w:p>
    <w:p w14:paraId="1426E8FA" w14:textId="77777777" w:rsidR="00A74A1E" w:rsidRDefault="00807990">
      <w:pPr>
        <w:spacing w:before="180"/>
        <w:jc w:val="both"/>
      </w:pPr>
      <w:r>
        <w:rPr>
          <w:rFonts w:ascii="Arial" w:eastAsia="宋体" w:hAnsi="Arial" w:cs="Arial"/>
          <w:color w:val="000000"/>
          <w:sz w:val="16"/>
          <w:szCs w:val="16"/>
        </w:rPr>
        <w:t>Indicate the number of shares outstanding of the registrant’s common stock, $0.01 par value, as of October 23, 2020: 1,202,711,638</w:t>
      </w:r>
    </w:p>
    <w:p w14:paraId="1426E8FB" w14:textId="77777777" w:rsidR="00A74A1E" w:rsidRDefault="00A74A1E"/>
    <w:p w14:paraId="1426E8FC" w14:textId="77777777" w:rsidR="00A74A1E" w:rsidRDefault="00807990">
      <w:r>
        <w:pict w14:anchorId="1426FC0C">
          <v:rect id="_x0000_i1025" style="width:415.3pt;height:1.5pt" o:hralign="center" o:hrstd="t" o:hr="t" fillcolor="#a0a0a0" stroked="f"/>
        </w:pict>
      </w:r>
    </w:p>
    <w:p w14:paraId="1426E8FD" w14:textId="77777777" w:rsidR="00A74A1E" w:rsidRDefault="00A74A1E">
      <w:pPr>
        <w:spacing w:before="60"/>
      </w:pPr>
    </w:p>
    <w:p w14:paraId="1426E8FE" w14:textId="77777777" w:rsidR="00A74A1E" w:rsidRDefault="00807990">
      <w:pPr>
        <w:jc w:val="center"/>
      </w:pPr>
      <w:r>
        <w:rPr>
          <w:rFonts w:ascii="Arial" w:eastAsia="宋体" w:hAnsi="Arial" w:cs="Arial"/>
          <w:b/>
          <w:bCs/>
          <w:color w:val="000000"/>
          <w:sz w:val="20"/>
          <w:szCs w:val="20"/>
        </w:rPr>
        <w:t>INDEX</w:t>
      </w:r>
    </w:p>
    <w:p w14:paraId="1426E8FF" w14:textId="77777777" w:rsidR="00A74A1E" w:rsidRDefault="00807990">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8"/>
        <w:gridCol w:w="710"/>
        <w:gridCol w:w="37"/>
        <w:gridCol w:w="69"/>
        <w:gridCol w:w="6587"/>
        <w:gridCol w:w="38"/>
        <w:gridCol w:w="74"/>
        <w:gridCol w:w="705"/>
        <w:gridCol w:w="36"/>
      </w:tblGrid>
      <w:tr w:rsidR="00A74A1E" w14:paraId="1426E909" w14:textId="77777777">
        <w:tc>
          <w:tcPr>
            <w:tcW w:w="50" w:type="pct"/>
            <w:shd w:val="clear" w:color="auto" w:fill="auto"/>
          </w:tcPr>
          <w:p w14:paraId="1426E900" w14:textId="77777777" w:rsidR="00A74A1E" w:rsidRDefault="00A74A1E">
            <w:pPr>
              <w:rPr>
                <w:rFonts w:ascii="宋体"/>
              </w:rPr>
            </w:pPr>
          </w:p>
        </w:tc>
        <w:tc>
          <w:tcPr>
            <w:tcW w:w="435" w:type="pct"/>
            <w:shd w:val="clear" w:color="auto" w:fill="auto"/>
          </w:tcPr>
          <w:p w14:paraId="1426E901" w14:textId="77777777" w:rsidR="00A74A1E" w:rsidRDefault="00A74A1E">
            <w:pPr>
              <w:rPr>
                <w:rFonts w:ascii="宋体"/>
              </w:rPr>
            </w:pPr>
          </w:p>
        </w:tc>
        <w:tc>
          <w:tcPr>
            <w:tcW w:w="5" w:type="pct"/>
            <w:shd w:val="clear" w:color="auto" w:fill="auto"/>
          </w:tcPr>
          <w:p w14:paraId="1426E902" w14:textId="77777777" w:rsidR="00A74A1E" w:rsidRDefault="00A74A1E">
            <w:pPr>
              <w:rPr>
                <w:rFonts w:ascii="宋体"/>
              </w:rPr>
            </w:pPr>
          </w:p>
        </w:tc>
        <w:tc>
          <w:tcPr>
            <w:tcW w:w="50" w:type="pct"/>
            <w:shd w:val="clear" w:color="auto" w:fill="auto"/>
          </w:tcPr>
          <w:p w14:paraId="1426E903" w14:textId="77777777" w:rsidR="00A74A1E" w:rsidRDefault="00A74A1E">
            <w:pPr>
              <w:rPr>
                <w:rFonts w:ascii="宋体"/>
              </w:rPr>
            </w:pPr>
          </w:p>
        </w:tc>
        <w:tc>
          <w:tcPr>
            <w:tcW w:w="3964" w:type="pct"/>
            <w:shd w:val="clear" w:color="auto" w:fill="auto"/>
          </w:tcPr>
          <w:p w14:paraId="1426E904" w14:textId="77777777" w:rsidR="00A74A1E" w:rsidRDefault="00A74A1E">
            <w:pPr>
              <w:rPr>
                <w:rFonts w:ascii="宋体"/>
              </w:rPr>
            </w:pPr>
          </w:p>
        </w:tc>
        <w:tc>
          <w:tcPr>
            <w:tcW w:w="5" w:type="pct"/>
            <w:shd w:val="clear" w:color="auto" w:fill="auto"/>
          </w:tcPr>
          <w:p w14:paraId="1426E905" w14:textId="77777777" w:rsidR="00A74A1E" w:rsidRDefault="00A74A1E">
            <w:pPr>
              <w:rPr>
                <w:rFonts w:ascii="宋体"/>
              </w:rPr>
            </w:pPr>
          </w:p>
        </w:tc>
        <w:tc>
          <w:tcPr>
            <w:tcW w:w="50" w:type="pct"/>
            <w:shd w:val="clear" w:color="auto" w:fill="auto"/>
          </w:tcPr>
          <w:p w14:paraId="1426E906" w14:textId="77777777" w:rsidR="00A74A1E" w:rsidRDefault="00A74A1E">
            <w:pPr>
              <w:rPr>
                <w:rFonts w:ascii="宋体"/>
              </w:rPr>
            </w:pPr>
          </w:p>
        </w:tc>
        <w:tc>
          <w:tcPr>
            <w:tcW w:w="435" w:type="pct"/>
            <w:shd w:val="clear" w:color="auto" w:fill="auto"/>
          </w:tcPr>
          <w:p w14:paraId="1426E907" w14:textId="77777777" w:rsidR="00A74A1E" w:rsidRDefault="00A74A1E">
            <w:pPr>
              <w:rPr>
                <w:rFonts w:ascii="宋体"/>
              </w:rPr>
            </w:pPr>
          </w:p>
        </w:tc>
        <w:tc>
          <w:tcPr>
            <w:tcW w:w="5" w:type="pct"/>
            <w:shd w:val="clear" w:color="auto" w:fill="auto"/>
          </w:tcPr>
          <w:p w14:paraId="1426E908" w14:textId="77777777" w:rsidR="00A74A1E" w:rsidRDefault="00A74A1E">
            <w:pPr>
              <w:rPr>
                <w:rFonts w:ascii="宋体"/>
              </w:rPr>
            </w:pPr>
          </w:p>
        </w:tc>
      </w:tr>
      <w:tr w:rsidR="00A74A1E" w14:paraId="1426E90D" w14:textId="77777777">
        <w:tc>
          <w:tcPr>
            <w:tcW w:w="0" w:type="auto"/>
            <w:gridSpan w:val="3"/>
            <w:shd w:val="clear" w:color="auto" w:fill="auto"/>
            <w:tcMar>
              <w:top w:w="40" w:type="dxa"/>
              <w:left w:w="20" w:type="dxa"/>
              <w:bottom w:w="40" w:type="dxa"/>
              <w:right w:w="20" w:type="dxa"/>
            </w:tcMar>
            <w:vAlign w:val="bottom"/>
          </w:tcPr>
          <w:p w14:paraId="1426E90A" w14:textId="77777777" w:rsidR="00A74A1E" w:rsidRDefault="00807990">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426E90B" w14:textId="77777777" w:rsidR="00A74A1E" w:rsidRDefault="00807990">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426E90C" w14:textId="77777777" w:rsidR="00A74A1E" w:rsidRDefault="00807990">
            <w:pPr>
              <w:jc w:val="center"/>
              <w:textAlignment w:val="bottom"/>
            </w:pPr>
            <w:r>
              <w:rPr>
                <w:rFonts w:ascii="Arial" w:eastAsia="宋体" w:hAnsi="Arial" w:cs="Arial"/>
                <w:b/>
                <w:bCs/>
                <w:color w:val="000000"/>
                <w:sz w:val="16"/>
                <w:szCs w:val="16"/>
              </w:rPr>
              <w:t>Page No.</w:t>
            </w:r>
          </w:p>
        </w:tc>
      </w:tr>
      <w:tr w:rsidR="00A74A1E" w14:paraId="1426E910" w14:textId="77777777">
        <w:tc>
          <w:tcPr>
            <w:tcW w:w="0" w:type="auto"/>
            <w:gridSpan w:val="6"/>
            <w:shd w:val="clear" w:color="auto" w:fill="auto"/>
            <w:tcMar>
              <w:top w:w="40" w:type="dxa"/>
              <w:left w:w="20" w:type="dxa"/>
              <w:bottom w:w="40" w:type="dxa"/>
              <w:right w:w="20" w:type="dxa"/>
            </w:tcMar>
          </w:tcPr>
          <w:p w14:paraId="1426E90E" w14:textId="77777777" w:rsidR="00A74A1E" w:rsidRDefault="00807990">
            <w:pPr>
              <w:jc w:val="center"/>
              <w:textAlignment w:val="top"/>
            </w:pPr>
            <w:hyperlink r:id="rId7" w:anchor="i085ced848dae4c39ac325a7edbc9b133_10" w:history="1">
              <w:r>
                <w:rPr>
                  <w:rStyle w:val="a5"/>
                  <w:rFonts w:ascii="Arial" w:eastAsia="宋体" w:hAnsi="Arial" w:cs="Arial"/>
                  <w:b/>
                  <w:bCs/>
                  <w:color w:val="000000"/>
                  <w:sz w:val="20"/>
                  <w:szCs w:val="20"/>
                  <w:u w:val="none"/>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tcPr>
          <w:p w14:paraId="1426E90F" w14:textId="77777777" w:rsidR="00A74A1E" w:rsidRDefault="00A74A1E">
            <w:pPr>
              <w:rPr>
                <w:rFonts w:ascii="宋体"/>
              </w:rPr>
            </w:pPr>
          </w:p>
        </w:tc>
      </w:tr>
      <w:tr w:rsidR="00A74A1E" w14:paraId="1426E914" w14:textId="77777777">
        <w:tc>
          <w:tcPr>
            <w:tcW w:w="0" w:type="auto"/>
            <w:gridSpan w:val="3"/>
            <w:shd w:val="clear" w:color="auto" w:fill="auto"/>
            <w:tcMar>
              <w:top w:w="40" w:type="dxa"/>
              <w:left w:w="20" w:type="dxa"/>
              <w:bottom w:w="40" w:type="dxa"/>
              <w:right w:w="20" w:type="dxa"/>
            </w:tcMar>
          </w:tcPr>
          <w:p w14:paraId="1426E911" w14:textId="77777777" w:rsidR="00A74A1E" w:rsidRDefault="00807990">
            <w:pPr>
              <w:textAlignment w:val="top"/>
            </w:pPr>
            <w:hyperlink r:id="rId8" w:anchor="i085ced848dae4c39ac325a7edbc9b133_13"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1426E912" w14:textId="77777777" w:rsidR="00A74A1E" w:rsidRDefault="00807990">
            <w:pPr>
              <w:textAlignment w:val="bottom"/>
            </w:pPr>
            <w:hyperlink r:id="rId9" w:anchor="i085ced848dae4c39ac325a7edbc9b133_13" w:history="1">
              <w:r>
                <w:rPr>
                  <w:rStyle w:val="a5"/>
                  <w:rFonts w:ascii="Arial" w:eastAsia="宋体" w:hAnsi="Arial" w:cs="Arial"/>
                  <w:color w:val="0E32E1"/>
                  <w:sz w:val="20"/>
                  <w:szCs w:val="20"/>
                  <w:u w:val="none"/>
                </w:rPr>
                <w:t>Condensed Consolid</w:t>
              </w:r>
              <w:r>
                <w:rPr>
                  <w:rStyle w:val="a5"/>
                  <w:rFonts w:ascii="Arial" w:eastAsia="宋体" w:hAnsi="Arial" w:cs="Arial"/>
                  <w:color w:val="0E32E1"/>
                  <w:sz w:val="20"/>
                  <w:szCs w:val="20"/>
                  <w:u w:val="none"/>
                </w:rPr>
                <w:t>ated Financial Statements (Unaudited)</w:t>
              </w:r>
            </w:hyperlink>
          </w:p>
        </w:tc>
        <w:tc>
          <w:tcPr>
            <w:tcW w:w="0" w:type="auto"/>
            <w:gridSpan w:val="3"/>
            <w:shd w:val="clear" w:color="auto" w:fill="auto"/>
            <w:tcMar>
              <w:top w:w="0" w:type="dxa"/>
              <w:left w:w="20" w:type="dxa"/>
              <w:bottom w:w="0" w:type="dxa"/>
              <w:right w:w="20" w:type="dxa"/>
            </w:tcMar>
          </w:tcPr>
          <w:p w14:paraId="1426E913" w14:textId="77777777" w:rsidR="00A74A1E" w:rsidRDefault="00A74A1E">
            <w:pPr>
              <w:rPr>
                <w:rFonts w:ascii="宋体"/>
              </w:rPr>
            </w:pPr>
          </w:p>
        </w:tc>
      </w:tr>
      <w:tr w:rsidR="00A74A1E" w14:paraId="1426E918" w14:textId="77777777">
        <w:tc>
          <w:tcPr>
            <w:tcW w:w="0" w:type="auto"/>
            <w:gridSpan w:val="3"/>
            <w:shd w:val="clear" w:color="auto" w:fill="auto"/>
            <w:tcMar>
              <w:top w:w="0" w:type="dxa"/>
              <w:left w:w="20" w:type="dxa"/>
              <w:bottom w:w="0" w:type="dxa"/>
              <w:right w:w="20" w:type="dxa"/>
            </w:tcMar>
          </w:tcPr>
          <w:p w14:paraId="1426E915"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16" w14:textId="77777777" w:rsidR="00A74A1E" w:rsidRDefault="00807990">
            <w:pPr>
              <w:textAlignment w:val="top"/>
            </w:pPr>
            <w:hyperlink r:id="rId10" w:anchor="i085ced848dae4c39ac325a7edbc9b133_16" w:history="1">
              <w:r>
                <w:rPr>
                  <w:rStyle w:val="a5"/>
                  <w:rFonts w:ascii="Arial" w:eastAsia="宋体"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1426E917" w14:textId="77777777" w:rsidR="00A74A1E" w:rsidRDefault="00807990">
            <w:pPr>
              <w:jc w:val="right"/>
              <w:textAlignment w:val="top"/>
            </w:pPr>
            <w:hyperlink r:id="rId11" w:anchor="i085ced848dae4c39ac325a7edbc9b133_16" w:history="1">
              <w:r>
                <w:rPr>
                  <w:rStyle w:val="a5"/>
                  <w:rFonts w:ascii="Arial" w:eastAsia="宋体" w:hAnsi="Arial" w:cs="Arial"/>
                  <w:color w:val="0E32E1"/>
                  <w:sz w:val="20"/>
                  <w:szCs w:val="20"/>
                  <w:u w:val="none"/>
                </w:rPr>
                <w:t>3</w:t>
              </w:r>
            </w:hyperlink>
          </w:p>
        </w:tc>
      </w:tr>
      <w:tr w:rsidR="00A74A1E" w14:paraId="1426E91C" w14:textId="77777777">
        <w:tc>
          <w:tcPr>
            <w:tcW w:w="0" w:type="auto"/>
            <w:gridSpan w:val="3"/>
            <w:shd w:val="clear" w:color="auto" w:fill="auto"/>
            <w:tcMar>
              <w:top w:w="0" w:type="dxa"/>
              <w:left w:w="20" w:type="dxa"/>
              <w:bottom w:w="0" w:type="dxa"/>
              <w:right w:w="20" w:type="dxa"/>
            </w:tcMar>
          </w:tcPr>
          <w:p w14:paraId="1426E919"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1A" w14:textId="77777777" w:rsidR="00A74A1E" w:rsidRDefault="00807990">
            <w:pPr>
              <w:textAlignment w:val="top"/>
            </w:pPr>
            <w:hyperlink r:id="rId12" w:anchor="i085ced848dae4c39ac325a7edbc9b133_19" w:history="1">
              <w:r>
                <w:rPr>
                  <w:rStyle w:val="a5"/>
                  <w:rFonts w:ascii="Arial" w:eastAsia="宋体"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1426E91B" w14:textId="77777777" w:rsidR="00A74A1E" w:rsidRDefault="00807990">
            <w:pPr>
              <w:jc w:val="right"/>
              <w:textAlignment w:val="top"/>
            </w:pPr>
            <w:hyperlink r:id="rId13" w:anchor="i085ced848dae4c39ac325a7edbc9b133_19" w:history="1">
              <w:r>
                <w:rPr>
                  <w:rStyle w:val="a5"/>
                  <w:rFonts w:ascii="Arial" w:eastAsia="宋体" w:hAnsi="Arial" w:cs="Arial"/>
                  <w:color w:val="0E32E1"/>
                  <w:sz w:val="20"/>
                  <w:szCs w:val="20"/>
                  <w:u w:val="none"/>
                </w:rPr>
                <w:t>4</w:t>
              </w:r>
            </w:hyperlink>
          </w:p>
        </w:tc>
      </w:tr>
      <w:tr w:rsidR="00A74A1E" w14:paraId="1426E920" w14:textId="77777777">
        <w:tc>
          <w:tcPr>
            <w:tcW w:w="0" w:type="auto"/>
            <w:gridSpan w:val="3"/>
            <w:shd w:val="clear" w:color="auto" w:fill="auto"/>
            <w:tcMar>
              <w:top w:w="0" w:type="dxa"/>
              <w:left w:w="20" w:type="dxa"/>
              <w:bottom w:w="0" w:type="dxa"/>
              <w:right w:w="20" w:type="dxa"/>
            </w:tcMar>
          </w:tcPr>
          <w:p w14:paraId="1426E91D"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1E" w14:textId="77777777" w:rsidR="00A74A1E" w:rsidRDefault="00807990">
            <w:pPr>
              <w:textAlignment w:val="top"/>
            </w:pPr>
            <w:hyperlink r:id="rId14" w:anchor="i085ced848dae4c39ac325a7edbc9b133_22" w:history="1">
              <w:r>
                <w:rPr>
                  <w:rStyle w:val="a5"/>
                  <w:rFonts w:ascii="Arial" w:eastAsia="宋体"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1426E91F" w14:textId="77777777" w:rsidR="00A74A1E" w:rsidRDefault="00807990">
            <w:pPr>
              <w:jc w:val="right"/>
              <w:textAlignment w:val="top"/>
            </w:pPr>
            <w:hyperlink r:id="rId15" w:anchor="i085ced848dae4c39ac325a7edbc9b133_22" w:history="1">
              <w:r>
                <w:rPr>
                  <w:rStyle w:val="a5"/>
                  <w:rFonts w:ascii="Arial" w:eastAsia="宋体" w:hAnsi="Arial" w:cs="Arial"/>
                  <w:color w:val="0E32E1"/>
                  <w:sz w:val="20"/>
                  <w:szCs w:val="20"/>
                  <w:u w:val="none"/>
                </w:rPr>
                <w:t>5</w:t>
              </w:r>
            </w:hyperlink>
          </w:p>
        </w:tc>
      </w:tr>
      <w:tr w:rsidR="00A74A1E" w14:paraId="1426E924" w14:textId="77777777">
        <w:tc>
          <w:tcPr>
            <w:tcW w:w="0" w:type="auto"/>
            <w:gridSpan w:val="3"/>
            <w:shd w:val="clear" w:color="auto" w:fill="auto"/>
            <w:tcMar>
              <w:top w:w="0" w:type="dxa"/>
              <w:left w:w="20" w:type="dxa"/>
              <w:bottom w:w="0" w:type="dxa"/>
              <w:right w:w="20" w:type="dxa"/>
            </w:tcMar>
          </w:tcPr>
          <w:p w14:paraId="1426E921"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22" w14:textId="77777777" w:rsidR="00A74A1E" w:rsidRDefault="00807990">
            <w:pPr>
              <w:textAlignment w:val="top"/>
            </w:pPr>
            <w:hyperlink r:id="rId16" w:anchor="i085ced848dae4c39ac325a7edbc9b133_25" w:history="1">
              <w:r>
                <w:rPr>
                  <w:rStyle w:val="a5"/>
                  <w:rFonts w:ascii="Arial" w:eastAsia="宋体"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1426E923" w14:textId="77777777" w:rsidR="00A74A1E" w:rsidRDefault="00807990">
            <w:pPr>
              <w:jc w:val="right"/>
              <w:textAlignment w:val="top"/>
            </w:pPr>
            <w:hyperlink r:id="rId17" w:anchor="i085ced848dae4c39ac325a7edbc9b133_25" w:history="1">
              <w:r>
                <w:rPr>
                  <w:rStyle w:val="a5"/>
                  <w:rFonts w:ascii="Arial" w:eastAsia="宋体" w:hAnsi="Arial" w:cs="Arial"/>
                  <w:color w:val="0E32E1"/>
                  <w:sz w:val="20"/>
                  <w:szCs w:val="20"/>
                  <w:u w:val="none"/>
                </w:rPr>
                <w:t>6</w:t>
              </w:r>
            </w:hyperlink>
          </w:p>
        </w:tc>
      </w:tr>
      <w:tr w:rsidR="00A74A1E" w14:paraId="1426E928" w14:textId="77777777">
        <w:tc>
          <w:tcPr>
            <w:tcW w:w="0" w:type="auto"/>
            <w:gridSpan w:val="3"/>
            <w:shd w:val="clear" w:color="auto" w:fill="auto"/>
            <w:tcMar>
              <w:top w:w="0" w:type="dxa"/>
              <w:left w:w="20" w:type="dxa"/>
              <w:bottom w:w="0" w:type="dxa"/>
              <w:right w:w="20" w:type="dxa"/>
            </w:tcMar>
          </w:tcPr>
          <w:p w14:paraId="1426E925"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26" w14:textId="77777777" w:rsidR="00A74A1E" w:rsidRDefault="00807990">
            <w:pPr>
              <w:textAlignment w:val="top"/>
            </w:pPr>
            <w:hyperlink r:id="rId18" w:anchor="i085ced848dae4c39ac325a7edbc9b133_28" w:history="1">
              <w:r>
                <w:rPr>
                  <w:rStyle w:val="a5"/>
                  <w:rFonts w:ascii="Arial" w:eastAsia="宋体" w:hAnsi="Arial" w:cs="Arial"/>
                  <w:color w:val="0E32E1"/>
                  <w:sz w:val="20"/>
                  <w:szCs w:val="20"/>
                  <w:u w:val="none"/>
                </w:rPr>
                <w:t>Condensed Consolidated Statements of Stockholders’ Equit</w:t>
              </w:r>
              <w:r>
                <w:rPr>
                  <w:rStyle w:val="a5"/>
                  <w:rFonts w:ascii="Arial" w:eastAsia="宋体" w:hAnsi="Arial" w:cs="Arial"/>
                  <w:color w:val="0E32E1"/>
                  <w:sz w:val="20"/>
                  <w:szCs w:val="20"/>
                  <w:u w:val="none"/>
                </w:rPr>
                <w:t>y</w:t>
              </w:r>
            </w:hyperlink>
          </w:p>
        </w:tc>
        <w:tc>
          <w:tcPr>
            <w:tcW w:w="0" w:type="auto"/>
            <w:gridSpan w:val="3"/>
            <w:shd w:val="clear" w:color="auto" w:fill="auto"/>
            <w:tcMar>
              <w:top w:w="40" w:type="dxa"/>
              <w:left w:w="20" w:type="dxa"/>
              <w:bottom w:w="40" w:type="dxa"/>
              <w:right w:w="20" w:type="dxa"/>
            </w:tcMar>
          </w:tcPr>
          <w:p w14:paraId="1426E927" w14:textId="77777777" w:rsidR="00A74A1E" w:rsidRDefault="00807990">
            <w:pPr>
              <w:jc w:val="right"/>
              <w:textAlignment w:val="top"/>
            </w:pPr>
            <w:hyperlink r:id="rId19" w:anchor="i085ced848dae4c39ac325a7edbc9b133_28" w:history="1">
              <w:r>
                <w:rPr>
                  <w:rStyle w:val="a5"/>
                  <w:rFonts w:ascii="Arial" w:eastAsia="宋体" w:hAnsi="Arial" w:cs="Arial"/>
                  <w:color w:val="0E32E1"/>
                  <w:sz w:val="20"/>
                  <w:szCs w:val="20"/>
                  <w:u w:val="none"/>
                </w:rPr>
                <w:t>7</w:t>
              </w:r>
            </w:hyperlink>
          </w:p>
        </w:tc>
      </w:tr>
      <w:tr w:rsidR="00A74A1E" w14:paraId="1426E92C" w14:textId="77777777">
        <w:tc>
          <w:tcPr>
            <w:tcW w:w="0" w:type="auto"/>
            <w:gridSpan w:val="3"/>
            <w:shd w:val="clear" w:color="auto" w:fill="auto"/>
            <w:tcMar>
              <w:top w:w="0" w:type="dxa"/>
              <w:left w:w="20" w:type="dxa"/>
              <w:bottom w:w="0" w:type="dxa"/>
              <w:right w:w="20" w:type="dxa"/>
            </w:tcMar>
          </w:tcPr>
          <w:p w14:paraId="1426E929"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E92A" w14:textId="77777777" w:rsidR="00A74A1E" w:rsidRDefault="00807990">
            <w:pPr>
              <w:textAlignment w:val="top"/>
            </w:pPr>
            <w:hyperlink r:id="rId20" w:anchor="i085ced848dae4c39ac325a7edbc9b133_31" w:history="1">
              <w:r>
                <w:rPr>
                  <w:rStyle w:val="a5"/>
                  <w:rFonts w:ascii="Arial" w:eastAsia="宋体"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1426E92B" w14:textId="77777777" w:rsidR="00A74A1E" w:rsidRDefault="00807990">
            <w:pPr>
              <w:jc w:val="right"/>
              <w:textAlignment w:val="top"/>
            </w:pPr>
            <w:hyperlink r:id="rId21" w:anchor="i085ced848dae4c39ac325a7edbc9b133_31" w:history="1">
              <w:r>
                <w:rPr>
                  <w:rStyle w:val="a5"/>
                  <w:rFonts w:ascii="Arial" w:eastAsia="宋体" w:hAnsi="Arial" w:cs="Arial"/>
                  <w:color w:val="0E32E1"/>
                  <w:sz w:val="20"/>
                  <w:szCs w:val="20"/>
                  <w:u w:val="none"/>
                </w:rPr>
                <w:t>8</w:t>
              </w:r>
            </w:hyperlink>
          </w:p>
        </w:tc>
      </w:tr>
      <w:tr w:rsidR="00A74A1E" w14:paraId="1426E930" w14:textId="77777777">
        <w:tc>
          <w:tcPr>
            <w:tcW w:w="0" w:type="auto"/>
            <w:gridSpan w:val="3"/>
            <w:shd w:val="clear" w:color="auto" w:fill="auto"/>
            <w:tcMar>
              <w:top w:w="40" w:type="dxa"/>
              <w:left w:w="20" w:type="dxa"/>
              <w:bottom w:w="40" w:type="dxa"/>
              <w:right w:w="20" w:type="dxa"/>
            </w:tcMar>
          </w:tcPr>
          <w:p w14:paraId="1426E92D" w14:textId="77777777" w:rsidR="00A74A1E" w:rsidRDefault="00807990">
            <w:pPr>
              <w:textAlignment w:val="top"/>
            </w:pPr>
            <w:hyperlink r:id="rId22" w:anchor="i085ced848dae4c39ac325a7edbc9b133_76"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1426E92E" w14:textId="77777777" w:rsidR="00A74A1E" w:rsidRDefault="00807990">
            <w:pPr>
              <w:textAlignment w:val="bottom"/>
            </w:pPr>
            <w:hyperlink r:id="rId23" w:anchor="i085ced848dae4c39ac325a7edbc9b133_76" w:history="1">
              <w:r>
                <w:rPr>
                  <w:rStyle w:val="a5"/>
                  <w:rFonts w:ascii="Arial" w:eastAsia="宋体"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1426E92F" w14:textId="77777777" w:rsidR="00A74A1E" w:rsidRDefault="00807990">
            <w:pPr>
              <w:jc w:val="right"/>
              <w:textAlignment w:val="bottom"/>
            </w:pPr>
            <w:hyperlink r:id="rId24" w:anchor="i085ced848dae4c39ac325a7edbc9b133_76" w:history="1">
              <w:r>
                <w:rPr>
                  <w:rStyle w:val="a5"/>
                  <w:rFonts w:ascii="Arial" w:eastAsia="宋体" w:hAnsi="Arial" w:cs="Arial"/>
                  <w:color w:val="0E32E1"/>
                  <w:sz w:val="20"/>
                  <w:szCs w:val="20"/>
                  <w:u w:val="none"/>
                </w:rPr>
                <w:t>20</w:t>
              </w:r>
            </w:hyperlink>
          </w:p>
        </w:tc>
      </w:tr>
      <w:tr w:rsidR="00A74A1E" w14:paraId="1426E934" w14:textId="77777777">
        <w:tc>
          <w:tcPr>
            <w:tcW w:w="0" w:type="auto"/>
            <w:gridSpan w:val="3"/>
            <w:shd w:val="clear" w:color="auto" w:fill="auto"/>
            <w:tcMar>
              <w:top w:w="40" w:type="dxa"/>
              <w:left w:w="20" w:type="dxa"/>
              <w:bottom w:w="40" w:type="dxa"/>
              <w:right w:w="20" w:type="dxa"/>
            </w:tcMar>
          </w:tcPr>
          <w:p w14:paraId="1426E931" w14:textId="77777777" w:rsidR="00A74A1E" w:rsidRDefault="00807990">
            <w:pPr>
              <w:textAlignment w:val="top"/>
            </w:pPr>
            <w:hyperlink r:id="rId25" w:anchor="i085ced848dae4c39ac325a7edbc9b133_127" w:history="1">
              <w:r>
                <w:rPr>
                  <w:rStyle w:val="a5"/>
                  <w:rFonts w:ascii="Arial" w:eastAsia="宋体"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1426E932" w14:textId="77777777" w:rsidR="00A74A1E" w:rsidRDefault="00807990">
            <w:pPr>
              <w:textAlignment w:val="bottom"/>
            </w:pPr>
            <w:hyperlink r:id="rId26" w:anchor="i085ced848dae4c39ac325a7edbc9b133_127" w:history="1">
              <w:r>
                <w:rPr>
                  <w:rStyle w:val="a5"/>
                  <w:rFonts w:ascii="Arial" w:eastAsia="宋体" w:hAnsi="Arial" w:cs="Arial"/>
                  <w:color w:val="0E32E1"/>
                  <w:sz w:val="20"/>
                  <w:szCs w:val="20"/>
                  <w:u w:val="none"/>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1426E933" w14:textId="77777777" w:rsidR="00A74A1E" w:rsidRDefault="00807990">
            <w:pPr>
              <w:jc w:val="right"/>
              <w:textAlignment w:val="bottom"/>
            </w:pPr>
            <w:hyperlink r:id="rId27" w:anchor="i085ced848dae4c39ac325a7edbc9b133_127" w:history="1">
              <w:r>
                <w:rPr>
                  <w:rStyle w:val="a5"/>
                  <w:rFonts w:ascii="Arial" w:eastAsia="宋体" w:hAnsi="Arial" w:cs="Arial"/>
                  <w:color w:val="0E32E1"/>
                  <w:sz w:val="20"/>
                  <w:szCs w:val="20"/>
                  <w:u w:val="none"/>
                </w:rPr>
                <w:t>29</w:t>
              </w:r>
            </w:hyperlink>
          </w:p>
        </w:tc>
      </w:tr>
      <w:tr w:rsidR="00A74A1E" w14:paraId="1426E938" w14:textId="77777777">
        <w:tc>
          <w:tcPr>
            <w:tcW w:w="0" w:type="auto"/>
            <w:gridSpan w:val="3"/>
            <w:shd w:val="clear" w:color="auto" w:fill="auto"/>
            <w:tcMar>
              <w:top w:w="40" w:type="dxa"/>
              <w:left w:w="20" w:type="dxa"/>
              <w:bottom w:w="40" w:type="dxa"/>
              <w:right w:w="20" w:type="dxa"/>
            </w:tcMar>
          </w:tcPr>
          <w:p w14:paraId="1426E935" w14:textId="77777777" w:rsidR="00A74A1E" w:rsidRDefault="00807990">
            <w:pPr>
              <w:textAlignment w:val="top"/>
            </w:pPr>
            <w:hyperlink r:id="rId28" w:anchor="i085ced848dae4c39ac325a7edbc9b133_130" w:history="1">
              <w:r>
                <w:rPr>
                  <w:rStyle w:val="a5"/>
                  <w:rFonts w:ascii="Arial" w:eastAsia="宋体"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1426E936" w14:textId="77777777" w:rsidR="00A74A1E" w:rsidRDefault="00807990">
            <w:pPr>
              <w:textAlignment w:val="bottom"/>
            </w:pPr>
            <w:hyperlink r:id="rId29" w:anchor="i085ced848dae4c39ac325a7edbc9b133_130" w:history="1">
              <w:r>
                <w:rPr>
                  <w:rStyle w:val="a5"/>
                  <w:rFonts w:ascii="Arial" w:eastAsia="宋体"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1426E937" w14:textId="77777777" w:rsidR="00A74A1E" w:rsidRDefault="00807990">
            <w:pPr>
              <w:jc w:val="right"/>
              <w:textAlignment w:val="bottom"/>
            </w:pPr>
            <w:hyperlink r:id="rId30" w:anchor="i085ced848dae4c39ac325a7edbc9b133_130" w:history="1">
              <w:r>
                <w:rPr>
                  <w:rStyle w:val="a5"/>
                  <w:rFonts w:ascii="Arial" w:eastAsia="宋体" w:hAnsi="Arial" w:cs="Arial"/>
                  <w:color w:val="0E32E1"/>
                  <w:sz w:val="20"/>
                  <w:szCs w:val="20"/>
                  <w:u w:val="none"/>
                </w:rPr>
                <w:t>29</w:t>
              </w:r>
            </w:hyperlink>
          </w:p>
        </w:tc>
      </w:tr>
      <w:tr w:rsidR="00A74A1E" w14:paraId="1426E93B" w14:textId="77777777">
        <w:tc>
          <w:tcPr>
            <w:tcW w:w="0" w:type="auto"/>
            <w:gridSpan w:val="6"/>
            <w:shd w:val="clear" w:color="auto" w:fill="auto"/>
            <w:tcMar>
              <w:top w:w="40" w:type="dxa"/>
              <w:left w:w="20" w:type="dxa"/>
              <w:bottom w:w="40" w:type="dxa"/>
              <w:right w:w="20" w:type="dxa"/>
            </w:tcMar>
          </w:tcPr>
          <w:p w14:paraId="1426E939" w14:textId="77777777" w:rsidR="00A74A1E" w:rsidRDefault="00807990">
            <w:pPr>
              <w:jc w:val="center"/>
              <w:textAlignment w:val="top"/>
            </w:pPr>
            <w:hyperlink r:id="rId31" w:anchor="i085ced848dae4c39ac325a7edbc9b133_133" w:history="1">
              <w:r>
                <w:rPr>
                  <w:rStyle w:val="a5"/>
                  <w:rFonts w:ascii="Arial" w:eastAsia="宋体" w:hAnsi="Arial" w:cs="Arial"/>
                  <w:b/>
                  <w:bCs/>
                  <w:color w:val="000000"/>
                  <w:sz w:val="20"/>
                  <w:szCs w:val="20"/>
                  <w:u w:val="none"/>
                </w:rPr>
                <w:t>Part II Other Information</w:t>
              </w:r>
            </w:hyperlink>
          </w:p>
        </w:tc>
        <w:tc>
          <w:tcPr>
            <w:tcW w:w="0" w:type="auto"/>
            <w:gridSpan w:val="3"/>
            <w:shd w:val="clear" w:color="auto" w:fill="auto"/>
            <w:tcMar>
              <w:top w:w="0" w:type="dxa"/>
              <w:left w:w="20" w:type="dxa"/>
              <w:bottom w:w="0" w:type="dxa"/>
              <w:right w:w="20" w:type="dxa"/>
            </w:tcMar>
          </w:tcPr>
          <w:p w14:paraId="1426E93A" w14:textId="77777777" w:rsidR="00A74A1E" w:rsidRDefault="00A74A1E">
            <w:pPr>
              <w:rPr>
                <w:rFonts w:ascii="宋体"/>
              </w:rPr>
            </w:pPr>
          </w:p>
        </w:tc>
      </w:tr>
      <w:tr w:rsidR="00A74A1E" w14:paraId="1426E93F" w14:textId="77777777">
        <w:trPr>
          <w:hidden/>
        </w:trPr>
        <w:tc>
          <w:tcPr>
            <w:tcW w:w="0" w:type="auto"/>
            <w:gridSpan w:val="3"/>
            <w:shd w:val="clear" w:color="auto" w:fill="auto"/>
          </w:tcPr>
          <w:p w14:paraId="1426E93C" w14:textId="77777777" w:rsidR="00A74A1E" w:rsidRDefault="00A74A1E">
            <w:pPr>
              <w:rPr>
                <w:rFonts w:ascii="宋体"/>
                <w:vanish/>
              </w:rPr>
            </w:pPr>
          </w:p>
        </w:tc>
        <w:tc>
          <w:tcPr>
            <w:tcW w:w="0" w:type="auto"/>
            <w:gridSpan w:val="3"/>
            <w:shd w:val="clear" w:color="auto" w:fill="auto"/>
          </w:tcPr>
          <w:p w14:paraId="1426E93D" w14:textId="77777777" w:rsidR="00A74A1E" w:rsidRDefault="00A74A1E">
            <w:pPr>
              <w:rPr>
                <w:rFonts w:ascii="宋体"/>
                <w:vanish/>
              </w:rPr>
            </w:pPr>
          </w:p>
        </w:tc>
        <w:tc>
          <w:tcPr>
            <w:tcW w:w="0" w:type="auto"/>
            <w:gridSpan w:val="3"/>
            <w:shd w:val="clear" w:color="auto" w:fill="auto"/>
          </w:tcPr>
          <w:p w14:paraId="1426E93E" w14:textId="77777777" w:rsidR="00A74A1E" w:rsidRDefault="00A74A1E">
            <w:pPr>
              <w:rPr>
                <w:rFonts w:ascii="宋体"/>
                <w:vanish/>
              </w:rPr>
            </w:pPr>
          </w:p>
        </w:tc>
      </w:tr>
      <w:tr w:rsidR="00A74A1E" w14:paraId="1426E943" w14:textId="77777777">
        <w:tc>
          <w:tcPr>
            <w:tcW w:w="0" w:type="auto"/>
            <w:gridSpan w:val="3"/>
            <w:shd w:val="clear" w:color="auto" w:fill="auto"/>
            <w:tcMar>
              <w:top w:w="40" w:type="dxa"/>
              <w:left w:w="20" w:type="dxa"/>
              <w:bottom w:w="40" w:type="dxa"/>
              <w:right w:w="20" w:type="dxa"/>
            </w:tcMar>
          </w:tcPr>
          <w:p w14:paraId="1426E940" w14:textId="77777777" w:rsidR="00A74A1E" w:rsidRDefault="00807990">
            <w:pPr>
              <w:textAlignment w:val="top"/>
            </w:pPr>
            <w:hyperlink r:id="rId32" w:anchor="i085ced848dae4c39ac325a7edbc9b133_136"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1426E941" w14:textId="77777777" w:rsidR="00A74A1E" w:rsidRDefault="00807990">
            <w:pPr>
              <w:textAlignment w:val="bottom"/>
            </w:pPr>
            <w:hyperlink r:id="rId33" w:anchor="i085ced848dae4c39ac325a7edbc9b133_136" w:history="1">
              <w:r>
                <w:rPr>
                  <w:rStyle w:val="a5"/>
                  <w:rFonts w:ascii="Arial" w:eastAsia="宋体"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1426E942" w14:textId="77777777" w:rsidR="00A74A1E" w:rsidRDefault="00807990">
            <w:pPr>
              <w:jc w:val="right"/>
              <w:textAlignment w:val="bottom"/>
            </w:pPr>
            <w:hyperlink r:id="rId34" w:anchor="i085ced848dae4c39ac325a7edbc9b133_136" w:history="1">
              <w:r>
                <w:rPr>
                  <w:rStyle w:val="a5"/>
                  <w:rFonts w:ascii="Arial" w:eastAsia="宋体" w:hAnsi="Arial" w:cs="Arial"/>
                  <w:color w:val="0E32E1"/>
                  <w:sz w:val="20"/>
                  <w:szCs w:val="20"/>
                  <w:u w:val="none"/>
                </w:rPr>
                <w:t>30</w:t>
              </w:r>
            </w:hyperlink>
          </w:p>
        </w:tc>
      </w:tr>
      <w:tr w:rsidR="00A74A1E" w14:paraId="1426E947" w14:textId="77777777">
        <w:tc>
          <w:tcPr>
            <w:tcW w:w="0" w:type="auto"/>
            <w:gridSpan w:val="3"/>
            <w:shd w:val="clear" w:color="auto" w:fill="auto"/>
            <w:tcMar>
              <w:top w:w="40" w:type="dxa"/>
              <w:left w:w="20" w:type="dxa"/>
              <w:bottom w:w="40" w:type="dxa"/>
              <w:right w:w="20" w:type="dxa"/>
            </w:tcMar>
          </w:tcPr>
          <w:p w14:paraId="1426E944" w14:textId="77777777" w:rsidR="00A74A1E" w:rsidRDefault="00807990">
            <w:pPr>
              <w:textAlignment w:val="top"/>
            </w:pPr>
            <w:hyperlink r:id="rId35" w:anchor="i085ced848dae4c39ac325a7edbc9b133_139" w:history="1">
              <w:r>
                <w:rPr>
                  <w:rStyle w:val="a5"/>
                  <w:rFonts w:ascii="Arial" w:eastAsia="宋体"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1426E945" w14:textId="77777777" w:rsidR="00A74A1E" w:rsidRDefault="00807990">
            <w:pPr>
              <w:textAlignment w:val="bottom"/>
            </w:pPr>
            <w:hyperlink r:id="rId36" w:anchor="i085ced848dae4c39ac325a7edbc9b133_139" w:history="1">
              <w:r>
                <w:rPr>
                  <w:rStyle w:val="a5"/>
                  <w:rFonts w:ascii="Arial" w:eastAsia="宋体"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1426E946" w14:textId="77777777" w:rsidR="00A74A1E" w:rsidRDefault="00807990">
            <w:pPr>
              <w:jc w:val="right"/>
              <w:textAlignment w:val="bottom"/>
            </w:pPr>
            <w:hyperlink r:id="rId37" w:anchor="i085ced848dae4c39ac325a7edbc9b133_139" w:history="1">
              <w:r>
                <w:rPr>
                  <w:rStyle w:val="a5"/>
                  <w:rFonts w:ascii="Arial" w:eastAsia="宋体" w:hAnsi="Arial" w:cs="Arial"/>
                  <w:color w:val="0E32E1"/>
                  <w:sz w:val="20"/>
                  <w:szCs w:val="20"/>
                  <w:u w:val="none"/>
                </w:rPr>
                <w:t>30</w:t>
              </w:r>
            </w:hyperlink>
          </w:p>
        </w:tc>
      </w:tr>
      <w:tr w:rsidR="00A74A1E" w14:paraId="1426E94B" w14:textId="77777777">
        <w:tc>
          <w:tcPr>
            <w:tcW w:w="0" w:type="auto"/>
            <w:gridSpan w:val="3"/>
            <w:shd w:val="clear" w:color="auto" w:fill="auto"/>
            <w:tcMar>
              <w:top w:w="40" w:type="dxa"/>
              <w:left w:w="20" w:type="dxa"/>
              <w:bottom w:w="40" w:type="dxa"/>
              <w:right w:w="20" w:type="dxa"/>
            </w:tcMar>
          </w:tcPr>
          <w:p w14:paraId="1426E948" w14:textId="77777777" w:rsidR="00A74A1E" w:rsidRDefault="00807990">
            <w:pPr>
              <w:textAlignment w:val="top"/>
            </w:pPr>
            <w:hyperlink r:id="rId38" w:anchor="i085ced848dae4c39ac325a7edbc9b133_142"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1426E949" w14:textId="77777777" w:rsidR="00A74A1E" w:rsidRDefault="00807990">
            <w:pPr>
              <w:textAlignment w:val="top"/>
            </w:pPr>
            <w:hyperlink r:id="rId39" w:anchor="i085ced848dae4c39ac325a7edbc9b133_142" w:history="1">
              <w:r>
                <w:rPr>
                  <w:rStyle w:val="a5"/>
                  <w:rFonts w:ascii="Arial" w:eastAsia="宋体"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1426E94A" w14:textId="77777777" w:rsidR="00A74A1E" w:rsidRDefault="00807990">
            <w:pPr>
              <w:jc w:val="right"/>
              <w:textAlignment w:val="top"/>
            </w:pPr>
            <w:hyperlink r:id="rId40" w:anchor="i085ced848dae4c39ac325a7edbc9b133_142" w:history="1">
              <w:r>
                <w:rPr>
                  <w:rStyle w:val="a5"/>
                  <w:rFonts w:ascii="Arial" w:eastAsia="宋体" w:hAnsi="Arial" w:cs="Arial"/>
                  <w:color w:val="0E32E1"/>
                  <w:sz w:val="20"/>
                  <w:szCs w:val="20"/>
                  <w:u w:val="none"/>
                </w:rPr>
                <w:t>49</w:t>
              </w:r>
            </w:hyperlink>
          </w:p>
        </w:tc>
      </w:tr>
      <w:tr w:rsidR="00A74A1E" w14:paraId="1426E94F" w14:textId="77777777">
        <w:tc>
          <w:tcPr>
            <w:tcW w:w="0" w:type="auto"/>
            <w:gridSpan w:val="3"/>
            <w:shd w:val="clear" w:color="auto" w:fill="auto"/>
            <w:tcMar>
              <w:top w:w="40" w:type="dxa"/>
              <w:left w:w="20" w:type="dxa"/>
              <w:bottom w:w="40" w:type="dxa"/>
              <w:right w:w="20" w:type="dxa"/>
            </w:tcMar>
          </w:tcPr>
          <w:p w14:paraId="1426E94C" w14:textId="77777777" w:rsidR="00A74A1E" w:rsidRDefault="00807990">
            <w:pPr>
              <w:textAlignment w:val="top"/>
            </w:pPr>
            <w:hyperlink r:id="rId41" w:anchor="i085ced848dae4c39ac325a7edbc9b133_145" w:history="1">
              <w:r>
                <w:rPr>
                  <w:rStyle w:val="a5"/>
                  <w:rFonts w:ascii="Arial" w:eastAsia="宋体"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1426E94D" w14:textId="77777777" w:rsidR="00A74A1E" w:rsidRDefault="00807990">
            <w:pPr>
              <w:textAlignment w:val="bottom"/>
            </w:pPr>
            <w:hyperlink r:id="rId42" w:anchor="i085ced848dae4c39ac325a7edbc9b133_145" w:history="1">
              <w:r>
                <w:rPr>
                  <w:rStyle w:val="a5"/>
                  <w:rFonts w:ascii="Arial" w:eastAsia="宋体"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1426E94E" w14:textId="77777777" w:rsidR="00A74A1E" w:rsidRDefault="00807990">
            <w:pPr>
              <w:jc w:val="right"/>
              <w:textAlignment w:val="bottom"/>
            </w:pPr>
            <w:hyperlink r:id="rId43" w:anchor="i085ced848dae4c39ac325a7edbc9b133_145" w:history="1">
              <w:r>
                <w:rPr>
                  <w:rStyle w:val="a5"/>
                  <w:rFonts w:ascii="Arial" w:eastAsia="宋体" w:hAnsi="Arial" w:cs="Arial"/>
                  <w:color w:val="0E32E1"/>
                  <w:sz w:val="20"/>
                  <w:szCs w:val="20"/>
                  <w:u w:val="none"/>
                </w:rPr>
                <w:t>50</w:t>
              </w:r>
            </w:hyperlink>
          </w:p>
        </w:tc>
      </w:tr>
      <w:tr w:rsidR="00A74A1E" w14:paraId="1426E952" w14:textId="77777777">
        <w:tc>
          <w:tcPr>
            <w:tcW w:w="0" w:type="auto"/>
            <w:gridSpan w:val="6"/>
            <w:shd w:val="clear" w:color="auto" w:fill="auto"/>
            <w:tcMar>
              <w:top w:w="40" w:type="dxa"/>
              <w:left w:w="20" w:type="dxa"/>
              <w:bottom w:w="40" w:type="dxa"/>
              <w:right w:w="20" w:type="dxa"/>
            </w:tcMar>
          </w:tcPr>
          <w:p w14:paraId="1426E950" w14:textId="77777777" w:rsidR="00A74A1E" w:rsidRDefault="00807990">
            <w:pPr>
              <w:textAlignment w:val="top"/>
            </w:pPr>
            <w:hyperlink r:id="rId44" w:anchor="i085ced848dae4c39ac325a7edbc9b133_148" w:history="1">
              <w:r>
                <w:rPr>
                  <w:rStyle w:val="a5"/>
                  <w:rFonts w:ascii="Arial" w:eastAsia="宋体" w:hAnsi="Arial" w:cs="Arial"/>
                  <w:color w:val="0E32E1"/>
                  <w:sz w:val="20"/>
                  <w:szCs w:val="20"/>
                  <w:u w:val="none"/>
                </w:rPr>
                <w:t>Signature</w:t>
              </w:r>
            </w:hyperlink>
          </w:p>
        </w:tc>
        <w:tc>
          <w:tcPr>
            <w:tcW w:w="0" w:type="auto"/>
            <w:gridSpan w:val="3"/>
            <w:shd w:val="clear" w:color="auto" w:fill="auto"/>
            <w:tcMar>
              <w:top w:w="40" w:type="dxa"/>
              <w:left w:w="20" w:type="dxa"/>
              <w:bottom w:w="40" w:type="dxa"/>
              <w:right w:w="20" w:type="dxa"/>
            </w:tcMar>
            <w:vAlign w:val="bottom"/>
          </w:tcPr>
          <w:p w14:paraId="1426E951" w14:textId="77777777" w:rsidR="00A74A1E" w:rsidRDefault="00807990">
            <w:pPr>
              <w:jc w:val="right"/>
              <w:textAlignment w:val="bottom"/>
            </w:pPr>
            <w:hyperlink r:id="rId45" w:anchor="i085ced848dae4c39ac325a7edbc9b133_148" w:history="1">
              <w:r>
                <w:rPr>
                  <w:rStyle w:val="a5"/>
                  <w:rFonts w:ascii="Arial" w:eastAsia="宋体" w:hAnsi="Arial" w:cs="Arial"/>
                  <w:color w:val="0E32E1"/>
                  <w:sz w:val="20"/>
                  <w:szCs w:val="20"/>
                  <w:u w:val="none"/>
                </w:rPr>
                <w:t>51</w:t>
              </w:r>
            </w:hyperlink>
          </w:p>
        </w:tc>
      </w:tr>
    </w:tbl>
    <w:p w14:paraId="1426E953" w14:textId="77777777" w:rsidR="00A74A1E" w:rsidRDefault="00807990">
      <w:pPr>
        <w:jc w:val="center"/>
      </w:pPr>
      <w:r>
        <w:rPr>
          <w:rFonts w:ascii="Arial" w:eastAsia="宋体" w:hAnsi="Arial" w:cs="Arial"/>
          <w:color w:val="000000"/>
          <w:sz w:val="20"/>
          <w:szCs w:val="20"/>
        </w:rPr>
        <w:t>2</w:t>
      </w:r>
    </w:p>
    <w:p w14:paraId="1426E954" w14:textId="77777777" w:rsidR="00A74A1E" w:rsidRDefault="00807990">
      <w:r>
        <w:pict w14:anchorId="1426FC0D">
          <v:rect id="_x0000_i1026" style="width:415.3pt;height:1.5pt" o:hralign="center" o:hrstd="t" o:hr="t" fillcolor="#a0a0a0" stroked="f"/>
        </w:pict>
      </w:r>
    </w:p>
    <w:p w14:paraId="1426E955" w14:textId="77777777" w:rsidR="00A74A1E" w:rsidRDefault="00A74A1E">
      <w:pPr>
        <w:spacing w:before="60"/>
      </w:pPr>
    </w:p>
    <w:p w14:paraId="1426E956" w14:textId="77777777" w:rsidR="00A74A1E" w:rsidRDefault="00807990">
      <w:pPr>
        <w:jc w:val="center"/>
      </w:pPr>
      <w:r>
        <w:rPr>
          <w:rFonts w:ascii="Arial" w:eastAsia="宋体" w:hAnsi="Arial" w:cs="Arial"/>
          <w:b/>
          <w:bCs/>
          <w:color w:val="000000"/>
          <w:sz w:val="20"/>
          <w:szCs w:val="20"/>
        </w:rPr>
        <w:t>PART I. FINANCIAL INFORMATION</w:t>
      </w:r>
    </w:p>
    <w:p w14:paraId="1426E957" w14:textId="77777777" w:rsidR="00A74A1E" w:rsidRDefault="00807990">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A74A1E" w14:paraId="1426E95E" w14:textId="77777777">
        <w:tc>
          <w:tcPr>
            <w:tcW w:w="50" w:type="pct"/>
            <w:shd w:val="clear" w:color="auto" w:fill="auto"/>
          </w:tcPr>
          <w:p w14:paraId="1426E958" w14:textId="77777777" w:rsidR="00A74A1E" w:rsidRDefault="00A74A1E">
            <w:pPr>
              <w:rPr>
                <w:rFonts w:ascii="宋体"/>
              </w:rPr>
            </w:pPr>
          </w:p>
        </w:tc>
        <w:tc>
          <w:tcPr>
            <w:tcW w:w="783" w:type="pct"/>
            <w:shd w:val="clear" w:color="auto" w:fill="auto"/>
          </w:tcPr>
          <w:p w14:paraId="1426E959" w14:textId="77777777" w:rsidR="00A74A1E" w:rsidRDefault="00A74A1E">
            <w:pPr>
              <w:rPr>
                <w:rFonts w:ascii="宋体"/>
              </w:rPr>
            </w:pPr>
          </w:p>
        </w:tc>
        <w:tc>
          <w:tcPr>
            <w:tcW w:w="5" w:type="pct"/>
            <w:shd w:val="clear" w:color="auto" w:fill="auto"/>
          </w:tcPr>
          <w:p w14:paraId="1426E95A" w14:textId="77777777" w:rsidR="00A74A1E" w:rsidRDefault="00A74A1E">
            <w:pPr>
              <w:rPr>
                <w:rFonts w:ascii="宋体"/>
              </w:rPr>
            </w:pPr>
          </w:p>
        </w:tc>
        <w:tc>
          <w:tcPr>
            <w:tcW w:w="50" w:type="pct"/>
            <w:shd w:val="clear" w:color="auto" w:fill="auto"/>
          </w:tcPr>
          <w:p w14:paraId="1426E95B" w14:textId="77777777" w:rsidR="00A74A1E" w:rsidRDefault="00A74A1E">
            <w:pPr>
              <w:rPr>
                <w:rFonts w:ascii="宋体"/>
              </w:rPr>
            </w:pPr>
          </w:p>
        </w:tc>
        <w:tc>
          <w:tcPr>
            <w:tcW w:w="4106" w:type="pct"/>
            <w:shd w:val="clear" w:color="auto" w:fill="auto"/>
          </w:tcPr>
          <w:p w14:paraId="1426E95C" w14:textId="77777777" w:rsidR="00A74A1E" w:rsidRDefault="00A74A1E">
            <w:pPr>
              <w:rPr>
                <w:rFonts w:ascii="宋体"/>
              </w:rPr>
            </w:pPr>
          </w:p>
        </w:tc>
        <w:tc>
          <w:tcPr>
            <w:tcW w:w="5" w:type="pct"/>
            <w:shd w:val="clear" w:color="auto" w:fill="auto"/>
          </w:tcPr>
          <w:p w14:paraId="1426E95D" w14:textId="77777777" w:rsidR="00A74A1E" w:rsidRDefault="00A74A1E">
            <w:pPr>
              <w:rPr>
                <w:rFonts w:ascii="宋体"/>
              </w:rPr>
            </w:pPr>
          </w:p>
        </w:tc>
      </w:tr>
      <w:tr w:rsidR="00A74A1E" w14:paraId="1426E961" w14:textId="77777777">
        <w:tc>
          <w:tcPr>
            <w:tcW w:w="0" w:type="auto"/>
            <w:gridSpan w:val="3"/>
            <w:shd w:val="clear" w:color="auto" w:fill="auto"/>
            <w:tcMar>
              <w:top w:w="40" w:type="dxa"/>
              <w:left w:w="20" w:type="dxa"/>
              <w:bottom w:w="40" w:type="dxa"/>
              <w:right w:w="20" w:type="dxa"/>
            </w:tcMar>
          </w:tcPr>
          <w:p w14:paraId="1426E95F" w14:textId="77777777" w:rsidR="00A74A1E" w:rsidRDefault="00807990">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1426E960" w14:textId="77777777" w:rsidR="00A74A1E" w:rsidRDefault="00807990">
            <w:pPr>
              <w:textAlignment w:val="top"/>
            </w:pPr>
            <w:r>
              <w:rPr>
                <w:rFonts w:ascii="Arial" w:eastAsia="宋体" w:hAnsi="Arial" w:cs="Arial"/>
                <w:b/>
                <w:bCs/>
                <w:color w:val="000000"/>
                <w:sz w:val="20"/>
                <w:szCs w:val="20"/>
              </w:rPr>
              <w:t>CONDENSED CONSOLIDATED FINANCIAL STATEMENTS</w:t>
            </w:r>
          </w:p>
        </w:tc>
      </w:tr>
    </w:tbl>
    <w:p w14:paraId="1426E962" w14:textId="77777777" w:rsidR="00A74A1E" w:rsidRDefault="00A74A1E">
      <w:pPr>
        <w:jc w:val="center"/>
      </w:pPr>
    </w:p>
    <w:p w14:paraId="1426E963" w14:textId="77777777" w:rsidR="00A74A1E" w:rsidRDefault="00807990">
      <w:pPr>
        <w:jc w:val="center"/>
      </w:pPr>
      <w:r>
        <w:rPr>
          <w:rFonts w:ascii="Arial" w:eastAsia="宋体" w:hAnsi="Arial" w:cs="Arial"/>
          <w:b/>
          <w:bCs/>
          <w:color w:val="000000"/>
          <w:sz w:val="20"/>
          <w:szCs w:val="20"/>
        </w:rPr>
        <w:t>Advanced Micro Devices, Inc.</w:t>
      </w:r>
    </w:p>
    <w:p w14:paraId="1426E964" w14:textId="77777777" w:rsidR="00A74A1E" w:rsidRDefault="00807990">
      <w:pPr>
        <w:spacing w:before="100"/>
        <w:jc w:val="center"/>
      </w:pPr>
      <w:r>
        <w:rPr>
          <w:rFonts w:ascii="Arial" w:eastAsia="宋体" w:hAnsi="Arial" w:cs="Arial"/>
          <w:b/>
          <w:bCs/>
          <w:color w:val="000000"/>
          <w:sz w:val="20"/>
          <w:szCs w:val="20"/>
        </w:rPr>
        <w:t>Condensed Consolidated Statements of Operations</w:t>
      </w:r>
    </w:p>
    <w:p w14:paraId="1426E965" w14:textId="77777777" w:rsidR="00A74A1E" w:rsidRDefault="00807990">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71"/>
        <w:gridCol w:w="39"/>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A74A1E" w14:paraId="1426E97E" w14:textId="77777777">
        <w:trPr>
          <w:jc w:val="center"/>
        </w:trPr>
        <w:tc>
          <w:tcPr>
            <w:tcW w:w="50" w:type="pct"/>
            <w:shd w:val="clear" w:color="auto" w:fill="auto"/>
          </w:tcPr>
          <w:p w14:paraId="1426E966" w14:textId="77777777" w:rsidR="00A74A1E" w:rsidRDefault="00A74A1E">
            <w:pPr>
              <w:rPr>
                <w:rFonts w:ascii="宋体"/>
              </w:rPr>
            </w:pPr>
          </w:p>
        </w:tc>
        <w:tc>
          <w:tcPr>
            <w:tcW w:w="2518" w:type="pct"/>
            <w:shd w:val="clear" w:color="auto" w:fill="auto"/>
          </w:tcPr>
          <w:p w14:paraId="1426E967" w14:textId="77777777" w:rsidR="00A74A1E" w:rsidRDefault="00A74A1E">
            <w:pPr>
              <w:rPr>
                <w:rFonts w:ascii="宋体"/>
              </w:rPr>
            </w:pPr>
          </w:p>
        </w:tc>
        <w:tc>
          <w:tcPr>
            <w:tcW w:w="5" w:type="pct"/>
            <w:shd w:val="clear" w:color="auto" w:fill="auto"/>
          </w:tcPr>
          <w:p w14:paraId="1426E968" w14:textId="77777777" w:rsidR="00A74A1E" w:rsidRDefault="00A74A1E">
            <w:pPr>
              <w:rPr>
                <w:rFonts w:ascii="宋体"/>
              </w:rPr>
            </w:pPr>
          </w:p>
        </w:tc>
        <w:tc>
          <w:tcPr>
            <w:tcW w:w="50" w:type="pct"/>
            <w:shd w:val="clear" w:color="auto" w:fill="auto"/>
          </w:tcPr>
          <w:p w14:paraId="1426E969" w14:textId="77777777" w:rsidR="00A74A1E" w:rsidRDefault="00A74A1E">
            <w:pPr>
              <w:rPr>
                <w:rFonts w:ascii="宋体"/>
              </w:rPr>
            </w:pPr>
          </w:p>
        </w:tc>
        <w:tc>
          <w:tcPr>
            <w:tcW w:w="529" w:type="pct"/>
            <w:shd w:val="clear" w:color="auto" w:fill="auto"/>
          </w:tcPr>
          <w:p w14:paraId="1426E96A" w14:textId="77777777" w:rsidR="00A74A1E" w:rsidRDefault="00A74A1E">
            <w:pPr>
              <w:rPr>
                <w:rFonts w:ascii="宋体"/>
              </w:rPr>
            </w:pPr>
          </w:p>
        </w:tc>
        <w:tc>
          <w:tcPr>
            <w:tcW w:w="5" w:type="pct"/>
            <w:shd w:val="clear" w:color="auto" w:fill="auto"/>
          </w:tcPr>
          <w:p w14:paraId="1426E96B" w14:textId="77777777" w:rsidR="00A74A1E" w:rsidRDefault="00A74A1E">
            <w:pPr>
              <w:rPr>
                <w:rFonts w:ascii="宋体"/>
              </w:rPr>
            </w:pPr>
          </w:p>
        </w:tc>
        <w:tc>
          <w:tcPr>
            <w:tcW w:w="5" w:type="pct"/>
            <w:shd w:val="clear" w:color="auto" w:fill="auto"/>
          </w:tcPr>
          <w:p w14:paraId="1426E96C" w14:textId="77777777" w:rsidR="00A74A1E" w:rsidRDefault="00A74A1E">
            <w:pPr>
              <w:rPr>
                <w:rFonts w:ascii="宋体"/>
              </w:rPr>
            </w:pPr>
          </w:p>
        </w:tc>
        <w:tc>
          <w:tcPr>
            <w:tcW w:w="19" w:type="pct"/>
            <w:shd w:val="clear" w:color="auto" w:fill="auto"/>
          </w:tcPr>
          <w:p w14:paraId="1426E96D" w14:textId="77777777" w:rsidR="00A74A1E" w:rsidRDefault="00A74A1E">
            <w:pPr>
              <w:rPr>
                <w:rFonts w:ascii="宋体"/>
              </w:rPr>
            </w:pPr>
          </w:p>
        </w:tc>
        <w:tc>
          <w:tcPr>
            <w:tcW w:w="5" w:type="pct"/>
            <w:shd w:val="clear" w:color="auto" w:fill="auto"/>
          </w:tcPr>
          <w:p w14:paraId="1426E96E" w14:textId="77777777" w:rsidR="00A74A1E" w:rsidRDefault="00A74A1E">
            <w:pPr>
              <w:rPr>
                <w:rFonts w:ascii="宋体"/>
              </w:rPr>
            </w:pPr>
          </w:p>
        </w:tc>
        <w:tc>
          <w:tcPr>
            <w:tcW w:w="50" w:type="pct"/>
            <w:shd w:val="clear" w:color="auto" w:fill="auto"/>
          </w:tcPr>
          <w:p w14:paraId="1426E96F" w14:textId="77777777" w:rsidR="00A74A1E" w:rsidRDefault="00A74A1E">
            <w:pPr>
              <w:rPr>
                <w:rFonts w:ascii="宋体"/>
              </w:rPr>
            </w:pPr>
          </w:p>
        </w:tc>
        <w:tc>
          <w:tcPr>
            <w:tcW w:w="529" w:type="pct"/>
            <w:shd w:val="clear" w:color="auto" w:fill="auto"/>
          </w:tcPr>
          <w:p w14:paraId="1426E970" w14:textId="77777777" w:rsidR="00A74A1E" w:rsidRDefault="00A74A1E">
            <w:pPr>
              <w:rPr>
                <w:rFonts w:ascii="宋体"/>
              </w:rPr>
            </w:pPr>
          </w:p>
        </w:tc>
        <w:tc>
          <w:tcPr>
            <w:tcW w:w="5" w:type="pct"/>
            <w:shd w:val="clear" w:color="auto" w:fill="auto"/>
          </w:tcPr>
          <w:p w14:paraId="1426E971" w14:textId="77777777" w:rsidR="00A74A1E" w:rsidRDefault="00A74A1E">
            <w:pPr>
              <w:rPr>
                <w:rFonts w:ascii="宋体"/>
              </w:rPr>
            </w:pPr>
          </w:p>
        </w:tc>
        <w:tc>
          <w:tcPr>
            <w:tcW w:w="5" w:type="pct"/>
            <w:shd w:val="clear" w:color="auto" w:fill="auto"/>
          </w:tcPr>
          <w:p w14:paraId="1426E972" w14:textId="77777777" w:rsidR="00A74A1E" w:rsidRDefault="00A74A1E">
            <w:pPr>
              <w:rPr>
                <w:rFonts w:ascii="宋体"/>
              </w:rPr>
            </w:pPr>
          </w:p>
        </w:tc>
        <w:tc>
          <w:tcPr>
            <w:tcW w:w="19" w:type="pct"/>
            <w:shd w:val="clear" w:color="auto" w:fill="auto"/>
          </w:tcPr>
          <w:p w14:paraId="1426E973" w14:textId="77777777" w:rsidR="00A74A1E" w:rsidRDefault="00A74A1E">
            <w:pPr>
              <w:rPr>
                <w:rFonts w:ascii="宋体"/>
              </w:rPr>
            </w:pPr>
          </w:p>
        </w:tc>
        <w:tc>
          <w:tcPr>
            <w:tcW w:w="5" w:type="pct"/>
            <w:shd w:val="clear" w:color="auto" w:fill="auto"/>
          </w:tcPr>
          <w:p w14:paraId="1426E974" w14:textId="77777777" w:rsidR="00A74A1E" w:rsidRDefault="00A74A1E">
            <w:pPr>
              <w:rPr>
                <w:rFonts w:ascii="宋体"/>
              </w:rPr>
            </w:pPr>
          </w:p>
        </w:tc>
        <w:tc>
          <w:tcPr>
            <w:tcW w:w="50" w:type="pct"/>
            <w:shd w:val="clear" w:color="auto" w:fill="auto"/>
          </w:tcPr>
          <w:p w14:paraId="1426E975" w14:textId="77777777" w:rsidR="00A74A1E" w:rsidRDefault="00A74A1E">
            <w:pPr>
              <w:rPr>
                <w:rFonts w:ascii="宋体"/>
              </w:rPr>
            </w:pPr>
          </w:p>
        </w:tc>
        <w:tc>
          <w:tcPr>
            <w:tcW w:w="529" w:type="pct"/>
            <w:shd w:val="clear" w:color="auto" w:fill="auto"/>
          </w:tcPr>
          <w:p w14:paraId="1426E976" w14:textId="77777777" w:rsidR="00A74A1E" w:rsidRDefault="00A74A1E">
            <w:pPr>
              <w:rPr>
                <w:rFonts w:ascii="宋体"/>
              </w:rPr>
            </w:pPr>
          </w:p>
        </w:tc>
        <w:tc>
          <w:tcPr>
            <w:tcW w:w="5" w:type="pct"/>
            <w:shd w:val="clear" w:color="auto" w:fill="auto"/>
          </w:tcPr>
          <w:p w14:paraId="1426E977" w14:textId="77777777" w:rsidR="00A74A1E" w:rsidRDefault="00A74A1E">
            <w:pPr>
              <w:rPr>
                <w:rFonts w:ascii="宋体"/>
              </w:rPr>
            </w:pPr>
          </w:p>
        </w:tc>
        <w:tc>
          <w:tcPr>
            <w:tcW w:w="5" w:type="pct"/>
            <w:shd w:val="clear" w:color="auto" w:fill="auto"/>
          </w:tcPr>
          <w:p w14:paraId="1426E978" w14:textId="77777777" w:rsidR="00A74A1E" w:rsidRDefault="00A74A1E">
            <w:pPr>
              <w:rPr>
                <w:rFonts w:ascii="宋体"/>
              </w:rPr>
            </w:pPr>
          </w:p>
        </w:tc>
        <w:tc>
          <w:tcPr>
            <w:tcW w:w="19" w:type="pct"/>
            <w:shd w:val="clear" w:color="auto" w:fill="auto"/>
          </w:tcPr>
          <w:p w14:paraId="1426E979" w14:textId="77777777" w:rsidR="00A74A1E" w:rsidRDefault="00A74A1E">
            <w:pPr>
              <w:rPr>
                <w:rFonts w:ascii="宋体"/>
              </w:rPr>
            </w:pPr>
          </w:p>
        </w:tc>
        <w:tc>
          <w:tcPr>
            <w:tcW w:w="5" w:type="pct"/>
            <w:shd w:val="clear" w:color="auto" w:fill="auto"/>
          </w:tcPr>
          <w:p w14:paraId="1426E97A" w14:textId="77777777" w:rsidR="00A74A1E" w:rsidRDefault="00A74A1E">
            <w:pPr>
              <w:rPr>
                <w:rFonts w:ascii="宋体"/>
              </w:rPr>
            </w:pPr>
          </w:p>
        </w:tc>
        <w:tc>
          <w:tcPr>
            <w:tcW w:w="50" w:type="pct"/>
            <w:shd w:val="clear" w:color="auto" w:fill="auto"/>
          </w:tcPr>
          <w:p w14:paraId="1426E97B" w14:textId="77777777" w:rsidR="00A74A1E" w:rsidRDefault="00A74A1E">
            <w:pPr>
              <w:rPr>
                <w:rFonts w:ascii="宋体"/>
              </w:rPr>
            </w:pPr>
          </w:p>
        </w:tc>
        <w:tc>
          <w:tcPr>
            <w:tcW w:w="530" w:type="pct"/>
            <w:shd w:val="clear" w:color="auto" w:fill="auto"/>
          </w:tcPr>
          <w:p w14:paraId="1426E97C" w14:textId="77777777" w:rsidR="00A74A1E" w:rsidRDefault="00A74A1E">
            <w:pPr>
              <w:rPr>
                <w:rFonts w:ascii="宋体"/>
              </w:rPr>
            </w:pPr>
          </w:p>
        </w:tc>
        <w:tc>
          <w:tcPr>
            <w:tcW w:w="5" w:type="pct"/>
            <w:shd w:val="clear" w:color="auto" w:fill="auto"/>
          </w:tcPr>
          <w:p w14:paraId="1426E97D" w14:textId="77777777" w:rsidR="00A74A1E" w:rsidRDefault="00A74A1E">
            <w:pPr>
              <w:rPr>
                <w:rFonts w:ascii="宋体"/>
              </w:rPr>
            </w:pPr>
          </w:p>
        </w:tc>
      </w:tr>
      <w:tr w:rsidR="00A74A1E" w14:paraId="1426E983" w14:textId="77777777">
        <w:trPr>
          <w:jc w:val="center"/>
        </w:trPr>
        <w:tc>
          <w:tcPr>
            <w:tcW w:w="0" w:type="auto"/>
            <w:gridSpan w:val="3"/>
            <w:shd w:val="clear" w:color="auto" w:fill="auto"/>
            <w:tcMar>
              <w:top w:w="40" w:type="dxa"/>
              <w:left w:w="20" w:type="dxa"/>
              <w:bottom w:w="40" w:type="dxa"/>
              <w:right w:w="20" w:type="dxa"/>
            </w:tcMar>
            <w:vAlign w:val="bottom"/>
          </w:tcPr>
          <w:p w14:paraId="1426E97F" w14:textId="77777777" w:rsidR="00A74A1E" w:rsidRDefault="00807990">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426E980"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E981"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E982"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E98C" w14:textId="77777777">
        <w:trPr>
          <w:jc w:val="center"/>
        </w:trPr>
        <w:tc>
          <w:tcPr>
            <w:tcW w:w="0" w:type="auto"/>
            <w:gridSpan w:val="3"/>
            <w:shd w:val="clear" w:color="auto" w:fill="auto"/>
            <w:tcMar>
              <w:top w:w="40" w:type="dxa"/>
              <w:left w:w="20" w:type="dxa"/>
              <w:bottom w:w="40" w:type="dxa"/>
              <w:right w:w="20" w:type="dxa"/>
            </w:tcMar>
            <w:vAlign w:val="bottom"/>
          </w:tcPr>
          <w:p w14:paraId="1426E984" w14:textId="77777777" w:rsidR="00A74A1E" w:rsidRDefault="00807990">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E985"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E986"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987"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E988"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989"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E98A"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98B"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E98F" w14:textId="77777777">
        <w:trPr>
          <w:jc w:val="center"/>
        </w:trPr>
        <w:tc>
          <w:tcPr>
            <w:tcW w:w="0" w:type="auto"/>
            <w:gridSpan w:val="3"/>
            <w:shd w:val="clear" w:color="auto" w:fill="auto"/>
            <w:tcMar>
              <w:top w:w="40" w:type="dxa"/>
              <w:left w:w="20" w:type="dxa"/>
              <w:bottom w:w="40" w:type="dxa"/>
              <w:right w:w="20" w:type="dxa"/>
            </w:tcMar>
            <w:vAlign w:val="bottom"/>
          </w:tcPr>
          <w:p w14:paraId="1426E98D" w14:textId="77777777" w:rsidR="00A74A1E" w:rsidRDefault="00807990">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E98E" w14:textId="77777777" w:rsidR="00A74A1E" w:rsidRDefault="00807990">
            <w:pPr>
              <w:jc w:val="center"/>
              <w:textAlignment w:val="bottom"/>
            </w:pPr>
            <w:r>
              <w:rPr>
                <w:rFonts w:ascii="Arial" w:eastAsia="宋体" w:hAnsi="Arial" w:cs="Arial"/>
                <w:b/>
                <w:bCs/>
                <w:color w:val="000000"/>
                <w:sz w:val="16"/>
                <w:szCs w:val="16"/>
              </w:rPr>
              <w:t>(In millions, except per share amounts)</w:t>
            </w:r>
          </w:p>
        </w:tc>
      </w:tr>
      <w:tr w:rsidR="00A74A1E" w14:paraId="1426E9A0" w14:textId="77777777">
        <w:trPr>
          <w:jc w:val="center"/>
        </w:trPr>
        <w:tc>
          <w:tcPr>
            <w:tcW w:w="0" w:type="auto"/>
            <w:gridSpan w:val="3"/>
            <w:shd w:val="clear" w:color="auto" w:fill="CCEEFF"/>
            <w:tcMar>
              <w:top w:w="40" w:type="dxa"/>
              <w:left w:w="20" w:type="dxa"/>
              <w:bottom w:w="40" w:type="dxa"/>
              <w:right w:w="20" w:type="dxa"/>
            </w:tcMar>
            <w:vAlign w:val="bottom"/>
          </w:tcPr>
          <w:p w14:paraId="1426E990" w14:textId="77777777" w:rsidR="00A74A1E" w:rsidRDefault="00807990">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1426E99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992" w14:textId="77777777" w:rsidR="00A74A1E" w:rsidRDefault="00807990">
            <w:pPr>
              <w:jc w:val="right"/>
              <w:textAlignment w:val="bottom"/>
            </w:pPr>
            <w:r>
              <w:rPr>
                <w:rFonts w:ascii="Arial" w:eastAsia="宋体" w:hAnsi="Arial" w:cs="Arial"/>
                <w:color w:val="000000"/>
                <w:sz w:val="20"/>
                <w:szCs w:val="20"/>
              </w:rPr>
              <w:t>2,801 </w:t>
            </w:r>
          </w:p>
        </w:tc>
        <w:tc>
          <w:tcPr>
            <w:tcW w:w="0" w:type="auto"/>
            <w:shd w:val="clear" w:color="auto" w:fill="CCEEFF"/>
            <w:tcMar>
              <w:top w:w="40" w:type="dxa"/>
              <w:left w:w="0" w:type="dxa"/>
              <w:bottom w:w="40" w:type="dxa"/>
              <w:right w:w="20" w:type="dxa"/>
            </w:tcMar>
            <w:vAlign w:val="bottom"/>
          </w:tcPr>
          <w:p w14:paraId="1426E99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94"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99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996" w14:textId="77777777" w:rsidR="00A74A1E" w:rsidRDefault="00807990">
            <w:pPr>
              <w:jc w:val="right"/>
              <w:textAlignment w:val="bottom"/>
            </w:pPr>
            <w:r>
              <w:rPr>
                <w:rFonts w:ascii="Arial" w:eastAsia="宋体" w:hAnsi="Arial" w:cs="Arial"/>
                <w:color w:val="000000"/>
                <w:sz w:val="20"/>
                <w:szCs w:val="20"/>
              </w:rPr>
              <w:t>1,801 </w:t>
            </w:r>
          </w:p>
        </w:tc>
        <w:tc>
          <w:tcPr>
            <w:tcW w:w="0" w:type="auto"/>
            <w:shd w:val="clear" w:color="auto" w:fill="CCEEFF"/>
            <w:tcMar>
              <w:top w:w="40" w:type="dxa"/>
              <w:left w:w="0" w:type="dxa"/>
              <w:bottom w:w="40" w:type="dxa"/>
              <w:right w:w="20" w:type="dxa"/>
            </w:tcMar>
            <w:vAlign w:val="bottom"/>
          </w:tcPr>
          <w:p w14:paraId="1426E99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98"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99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99A" w14:textId="77777777" w:rsidR="00A74A1E" w:rsidRDefault="00807990">
            <w:pPr>
              <w:jc w:val="right"/>
              <w:textAlignment w:val="bottom"/>
            </w:pPr>
            <w:r>
              <w:rPr>
                <w:rFonts w:ascii="Arial" w:eastAsia="宋体" w:hAnsi="Arial" w:cs="Arial"/>
                <w:color w:val="000000"/>
                <w:sz w:val="20"/>
                <w:szCs w:val="20"/>
              </w:rPr>
              <w:t>6,519 </w:t>
            </w:r>
          </w:p>
        </w:tc>
        <w:tc>
          <w:tcPr>
            <w:tcW w:w="0" w:type="auto"/>
            <w:shd w:val="clear" w:color="auto" w:fill="CCEEFF"/>
            <w:tcMar>
              <w:top w:w="40" w:type="dxa"/>
              <w:left w:w="0" w:type="dxa"/>
              <w:bottom w:w="40" w:type="dxa"/>
              <w:right w:w="20" w:type="dxa"/>
            </w:tcMar>
            <w:vAlign w:val="bottom"/>
          </w:tcPr>
          <w:p w14:paraId="1426E99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9C"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99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99E" w14:textId="77777777" w:rsidR="00A74A1E" w:rsidRDefault="00807990">
            <w:pPr>
              <w:jc w:val="right"/>
              <w:textAlignment w:val="bottom"/>
            </w:pPr>
            <w:r>
              <w:rPr>
                <w:rFonts w:ascii="Arial" w:eastAsia="宋体" w:hAnsi="Arial" w:cs="Arial"/>
                <w:color w:val="000000"/>
                <w:sz w:val="20"/>
                <w:szCs w:val="20"/>
              </w:rPr>
              <w:t>4,604 </w:t>
            </w:r>
          </w:p>
        </w:tc>
        <w:tc>
          <w:tcPr>
            <w:tcW w:w="0" w:type="auto"/>
            <w:shd w:val="clear" w:color="auto" w:fill="CCEEFF"/>
            <w:tcMar>
              <w:top w:w="40" w:type="dxa"/>
              <w:left w:w="0" w:type="dxa"/>
              <w:bottom w:w="40" w:type="dxa"/>
              <w:right w:w="20" w:type="dxa"/>
            </w:tcMar>
            <w:vAlign w:val="bottom"/>
          </w:tcPr>
          <w:p w14:paraId="1426E99F" w14:textId="77777777" w:rsidR="00A74A1E" w:rsidRDefault="00A74A1E">
            <w:pPr>
              <w:jc w:val="right"/>
              <w:rPr>
                <w:rFonts w:ascii="宋体"/>
              </w:rPr>
            </w:pPr>
          </w:p>
        </w:tc>
      </w:tr>
      <w:tr w:rsidR="00A74A1E" w14:paraId="1426E9AD" w14:textId="77777777">
        <w:trPr>
          <w:jc w:val="center"/>
        </w:trPr>
        <w:tc>
          <w:tcPr>
            <w:tcW w:w="0" w:type="auto"/>
            <w:gridSpan w:val="3"/>
            <w:shd w:val="clear" w:color="auto" w:fill="FFFFFF"/>
            <w:tcMar>
              <w:top w:w="40" w:type="dxa"/>
              <w:left w:w="20" w:type="dxa"/>
              <w:bottom w:w="40" w:type="dxa"/>
              <w:right w:w="20" w:type="dxa"/>
            </w:tcMar>
            <w:vAlign w:val="bottom"/>
          </w:tcPr>
          <w:p w14:paraId="1426E9A1" w14:textId="77777777" w:rsidR="00A74A1E" w:rsidRDefault="00807990">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1426E9A2" w14:textId="77777777" w:rsidR="00A74A1E" w:rsidRDefault="00807990">
            <w:pPr>
              <w:jc w:val="right"/>
              <w:textAlignment w:val="bottom"/>
            </w:pPr>
            <w:r>
              <w:rPr>
                <w:rFonts w:ascii="Arial" w:eastAsia="宋体" w:hAnsi="Arial" w:cs="Arial"/>
                <w:color w:val="000000"/>
                <w:sz w:val="20"/>
                <w:szCs w:val="20"/>
              </w:rPr>
              <w:t>1,571 </w:t>
            </w:r>
          </w:p>
        </w:tc>
        <w:tc>
          <w:tcPr>
            <w:tcW w:w="0" w:type="auto"/>
            <w:shd w:val="clear" w:color="auto" w:fill="FFFFFF"/>
            <w:tcMar>
              <w:top w:w="40" w:type="dxa"/>
              <w:left w:w="0" w:type="dxa"/>
              <w:bottom w:w="40" w:type="dxa"/>
              <w:right w:w="20" w:type="dxa"/>
            </w:tcMar>
            <w:vAlign w:val="bottom"/>
          </w:tcPr>
          <w:p w14:paraId="1426E9A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A4"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A5" w14:textId="77777777" w:rsidR="00A74A1E" w:rsidRDefault="00807990">
            <w:pPr>
              <w:jc w:val="right"/>
              <w:textAlignment w:val="bottom"/>
            </w:pPr>
            <w:r>
              <w:rPr>
                <w:rFonts w:ascii="Arial" w:eastAsia="宋体" w:hAnsi="Arial" w:cs="Arial"/>
                <w:color w:val="000000"/>
                <w:sz w:val="20"/>
                <w:szCs w:val="20"/>
              </w:rPr>
              <w:t>1,024 </w:t>
            </w:r>
          </w:p>
        </w:tc>
        <w:tc>
          <w:tcPr>
            <w:tcW w:w="0" w:type="auto"/>
            <w:shd w:val="clear" w:color="auto" w:fill="FFFFFF"/>
            <w:tcMar>
              <w:top w:w="40" w:type="dxa"/>
              <w:left w:w="0" w:type="dxa"/>
              <w:bottom w:w="40" w:type="dxa"/>
              <w:right w:w="20" w:type="dxa"/>
            </w:tcMar>
            <w:vAlign w:val="bottom"/>
          </w:tcPr>
          <w:p w14:paraId="1426E9A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A7"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A8" w14:textId="77777777" w:rsidR="00A74A1E" w:rsidRDefault="00807990">
            <w:pPr>
              <w:jc w:val="right"/>
              <w:textAlignment w:val="bottom"/>
            </w:pPr>
            <w:r>
              <w:rPr>
                <w:rFonts w:ascii="Arial" w:eastAsia="宋体" w:hAnsi="Arial" w:cs="Arial"/>
                <w:color w:val="000000"/>
                <w:sz w:val="20"/>
                <w:szCs w:val="20"/>
              </w:rPr>
              <w:t>3,623 </w:t>
            </w:r>
          </w:p>
        </w:tc>
        <w:tc>
          <w:tcPr>
            <w:tcW w:w="0" w:type="auto"/>
            <w:shd w:val="clear" w:color="auto" w:fill="FFFFFF"/>
            <w:tcMar>
              <w:top w:w="40" w:type="dxa"/>
              <w:left w:w="0" w:type="dxa"/>
              <w:bottom w:w="40" w:type="dxa"/>
              <w:right w:w="20" w:type="dxa"/>
            </w:tcMar>
            <w:vAlign w:val="bottom"/>
          </w:tcPr>
          <w:p w14:paraId="1426E9A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A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AB" w14:textId="77777777" w:rsidR="00A74A1E" w:rsidRDefault="00807990">
            <w:pPr>
              <w:jc w:val="right"/>
              <w:textAlignment w:val="bottom"/>
            </w:pPr>
            <w:r>
              <w:rPr>
                <w:rFonts w:ascii="Arial" w:eastAsia="宋体" w:hAnsi="Arial" w:cs="Arial"/>
                <w:color w:val="000000"/>
                <w:sz w:val="20"/>
                <w:szCs w:val="20"/>
              </w:rPr>
              <w:t>2,685 </w:t>
            </w:r>
          </w:p>
        </w:tc>
        <w:tc>
          <w:tcPr>
            <w:tcW w:w="0" w:type="auto"/>
            <w:shd w:val="clear" w:color="auto" w:fill="FFFFFF"/>
            <w:tcMar>
              <w:top w:w="40" w:type="dxa"/>
              <w:left w:w="0" w:type="dxa"/>
              <w:bottom w:w="40" w:type="dxa"/>
              <w:right w:w="20" w:type="dxa"/>
            </w:tcMar>
            <w:vAlign w:val="bottom"/>
          </w:tcPr>
          <w:p w14:paraId="1426E9AC" w14:textId="77777777" w:rsidR="00A74A1E" w:rsidRDefault="00A74A1E">
            <w:pPr>
              <w:jc w:val="right"/>
              <w:rPr>
                <w:rFonts w:ascii="宋体"/>
              </w:rPr>
            </w:pPr>
          </w:p>
        </w:tc>
      </w:tr>
      <w:tr w:rsidR="00A74A1E" w14:paraId="1426E9BA" w14:textId="77777777">
        <w:trPr>
          <w:jc w:val="center"/>
        </w:trPr>
        <w:tc>
          <w:tcPr>
            <w:tcW w:w="0" w:type="auto"/>
            <w:gridSpan w:val="3"/>
            <w:shd w:val="clear" w:color="auto" w:fill="CCEEFF"/>
            <w:tcMar>
              <w:top w:w="40" w:type="dxa"/>
              <w:left w:w="360" w:type="dxa"/>
              <w:bottom w:w="40" w:type="dxa"/>
              <w:right w:w="20" w:type="dxa"/>
            </w:tcMar>
            <w:vAlign w:val="bottom"/>
          </w:tcPr>
          <w:p w14:paraId="1426E9AE" w14:textId="77777777" w:rsidR="00A74A1E" w:rsidRDefault="00807990">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9AF" w14:textId="77777777" w:rsidR="00A74A1E" w:rsidRDefault="00807990">
            <w:pPr>
              <w:jc w:val="right"/>
              <w:textAlignment w:val="bottom"/>
            </w:pPr>
            <w:r>
              <w:rPr>
                <w:rFonts w:ascii="Arial" w:eastAsia="宋体" w:hAnsi="Arial" w:cs="Arial"/>
                <w:color w:val="000000"/>
                <w:sz w:val="20"/>
                <w:szCs w:val="20"/>
              </w:rPr>
              <w:t>1,230 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9B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B1"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9B2" w14:textId="77777777" w:rsidR="00A74A1E" w:rsidRDefault="00807990">
            <w:pPr>
              <w:jc w:val="right"/>
              <w:textAlignment w:val="bottom"/>
            </w:pPr>
            <w:r>
              <w:rPr>
                <w:rFonts w:ascii="Arial" w:eastAsia="宋体" w:hAnsi="Arial" w:cs="Arial"/>
                <w:color w:val="000000"/>
                <w:sz w:val="20"/>
                <w:szCs w:val="20"/>
              </w:rPr>
              <w:t>777 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9B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B4"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9B5" w14:textId="77777777" w:rsidR="00A74A1E" w:rsidRDefault="00807990">
            <w:pPr>
              <w:jc w:val="right"/>
              <w:textAlignment w:val="bottom"/>
            </w:pPr>
            <w:r>
              <w:rPr>
                <w:rFonts w:ascii="Arial" w:eastAsia="宋体" w:hAnsi="Arial" w:cs="Arial"/>
                <w:color w:val="000000"/>
                <w:sz w:val="20"/>
                <w:szCs w:val="20"/>
              </w:rPr>
              <w:t>2,896 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9B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B7"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9B8" w14:textId="77777777" w:rsidR="00A74A1E" w:rsidRDefault="00807990">
            <w:pPr>
              <w:jc w:val="right"/>
              <w:textAlignment w:val="bottom"/>
            </w:pPr>
            <w:r>
              <w:rPr>
                <w:rFonts w:ascii="Arial" w:eastAsia="宋体" w:hAnsi="Arial" w:cs="Arial"/>
                <w:color w:val="000000"/>
                <w:sz w:val="20"/>
                <w:szCs w:val="20"/>
              </w:rPr>
              <w:t>1,919 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9B9" w14:textId="77777777" w:rsidR="00A74A1E" w:rsidRDefault="00A74A1E">
            <w:pPr>
              <w:jc w:val="right"/>
              <w:rPr>
                <w:rFonts w:ascii="宋体"/>
              </w:rPr>
            </w:pPr>
          </w:p>
        </w:tc>
      </w:tr>
      <w:tr w:rsidR="00A74A1E" w14:paraId="1426E9C3" w14:textId="77777777">
        <w:trPr>
          <w:trHeight w:val="300"/>
          <w:jc w:val="center"/>
        </w:trPr>
        <w:tc>
          <w:tcPr>
            <w:tcW w:w="0" w:type="auto"/>
            <w:gridSpan w:val="3"/>
            <w:shd w:val="clear" w:color="auto" w:fill="FFFFFF"/>
            <w:tcMar>
              <w:top w:w="0" w:type="dxa"/>
              <w:left w:w="20" w:type="dxa"/>
              <w:bottom w:w="0" w:type="dxa"/>
              <w:right w:w="20" w:type="dxa"/>
            </w:tcMar>
          </w:tcPr>
          <w:p w14:paraId="1426E9BB"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BC"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BD"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BE"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BF"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C0"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C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9C2" w14:textId="77777777" w:rsidR="00A74A1E" w:rsidRDefault="00A74A1E">
            <w:pPr>
              <w:rPr>
                <w:rFonts w:ascii="宋体"/>
              </w:rPr>
            </w:pPr>
          </w:p>
        </w:tc>
      </w:tr>
      <w:tr w:rsidR="00A74A1E" w14:paraId="1426E9D0" w14:textId="77777777">
        <w:trPr>
          <w:jc w:val="center"/>
        </w:trPr>
        <w:tc>
          <w:tcPr>
            <w:tcW w:w="0" w:type="auto"/>
            <w:gridSpan w:val="3"/>
            <w:shd w:val="clear" w:color="auto" w:fill="CCEEFF"/>
            <w:tcMar>
              <w:top w:w="40" w:type="dxa"/>
              <w:left w:w="20" w:type="dxa"/>
              <w:bottom w:w="40" w:type="dxa"/>
              <w:right w:w="20" w:type="dxa"/>
            </w:tcMar>
            <w:vAlign w:val="bottom"/>
          </w:tcPr>
          <w:p w14:paraId="1426E9C4" w14:textId="77777777" w:rsidR="00A74A1E" w:rsidRDefault="00807990">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1426E9C5" w14:textId="77777777" w:rsidR="00A74A1E" w:rsidRDefault="00807990">
            <w:pPr>
              <w:jc w:val="right"/>
              <w:textAlignment w:val="bottom"/>
            </w:pPr>
            <w:r>
              <w:rPr>
                <w:rFonts w:ascii="Arial" w:eastAsia="宋体" w:hAnsi="Arial" w:cs="Arial"/>
                <w:color w:val="000000"/>
                <w:sz w:val="20"/>
                <w:szCs w:val="20"/>
              </w:rPr>
              <w:t>508 </w:t>
            </w:r>
          </w:p>
        </w:tc>
        <w:tc>
          <w:tcPr>
            <w:tcW w:w="0" w:type="auto"/>
            <w:shd w:val="clear" w:color="auto" w:fill="CCEEFF"/>
            <w:tcMar>
              <w:top w:w="40" w:type="dxa"/>
              <w:left w:w="0" w:type="dxa"/>
              <w:bottom w:w="40" w:type="dxa"/>
              <w:right w:w="20" w:type="dxa"/>
            </w:tcMar>
            <w:vAlign w:val="bottom"/>
          </w:tcPr>
          <w:p w14:paraId="1426E9C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C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C8" w14:textId="77777777" w:rsidR="00A74A1E" w:rsidRDefault="00807990">
            <w:pPr>
              <w:jc w:val="right"/>
              <w:textAlignment w:val="bottom"/>
            </w:pPr>
            <w:r>
              <w:rPr>
                <w:rFonts w:ascii="Arial" w:eastAsia="宋体" w:hAnsi="Arial" w:cs="Arial"/>
                <w:color w:val="000000"/>
                <w:sz w:val="20"/>
                <w:szCs w:val="20"/>
              </w:rPr>
              <w:t>406 </w:t>
            </w:r>
          </w:p>
        </w:tc>
        <w:tc>
          <w:tcPr>
            <w:tcW w:w="0" w:type="auto"/>
            <w:shd w:val="clear" w:color="auto" w:fill="CCEEFF"/>
            <w:tcMar>
              <w:top w:w="40" w:type="dxa"/>
              <w:left w:w="0" w:type="dxa"/>
              <w:bottom w:w="40" w:type="dxa"/>
              <w:right w:w="20" w:type="dxa"/>
            </w:tcMar>
            <w:vAlign w:val="bottom"/>
          </w:tcPr>
          <w:p w14:paraId="1426E9C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C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CB" w14:textId="77777777" w:rsidR="00A74A1E" w:rsidRDefault="00807990">
            <w:pPr>
              <w:jc w:val="right"/>
              <w:textAlignment w:val="bottom"/>
            </w:pPr>
            <w:r>
              <w:rPr>
                <w:rFonts w:ascii="Arial" w:eastAsia="宋体" w:hAnsi="Arial" w:cs="Arial"/>
                <w:color w:val="000000"/>
                <w:sz w:val="20"/>
                <w:szCs w:val="20"/>
              </w:rPr>
              <w:t>1,410 </w:t>
            </w:r>
          </w:p>
        </w:tc>
        <w:tc>
          <w:tcPr>
            <w:tcW w:w="0" w:type="auto"/>
            <w:shd w:val="clear" w:color="auto" w:fill="CCEEFF"/>
            <w:tcMar>
              <w:top w:w="40" w:type="dxa"/>
              <w:left w:w="0" w:type="dxa"/>
              <w:bottom w:w="40" w:type="dxa"/>
              <w:right w:w="20" w:type="dxa"/>
            </w:tcMar>
            <w:vAlign w:val="bottom"/>
          </w:tcPr>
          <w:p w14:paraId="1426E9C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C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CE" w14:textId="77777777" w:rsidR="00A74A1E" w:rsidRDefault="00807990">
            <w:pPr>
              <w:jc w:val="right"/>
              <w:textAlignment w:val="bottom"/>
            </w:pPr>
            <w:r>
              <w:rPr>
                <w:rFonts w:ascii="Arial" w:eastAsia="宋体" w:hAnsi="Arial" w:cs="Arial"/>
                <w:color w:val="000000"/>
                <w:sz w:val="20"/>
                <w:szCs w:val="20"/>
              </w:rPr>
              <w:t>1,152 </w:t>
            </w:r>
          </w:p>
        </w:tc>
        <w:tc>
          <w:tcPr>
            <w:tcW w:w="0" w:type="auto"/>
            <w:shd w:val="clear" w:color="auto" w:fill="CCEEFF"/>
            <w:tcMar>
              <w:top w:w="40" w:type="dxa"/>
              <w:left w:w="0" w:type="dxa"/>
              <w:bottom w:w="40" w:type="dxa"/>
              <w:right w:w="20" w:type="dxa"/>
            </w:tcMar>
            <w:vAlign w:val="bottom"/>
          </w:tcPr>
          <w:p w14:paraId="1426E9CF" w14:textId="77777777" w:rsidR="00A74A1E" w:rsidRDefault="00A74A1E">
            <w:pPr>
              <w:jc w:val="right"/>
              <w:rPr>
                <w:rFonts w:ascii="宋体"/>
              </w:rPr>
            </w:pPr>
          </w:p>
        </w:tc>
      </w:tr>
      <w:tr w:rsidR="00A74A1E" w14:paraId="1426E9DD" w14:textId="77777777">
        <w:trPr>
          <w:jc w:val="center"/>
        </w:trPr>
        <w:tc>
          <w:tcPr>
            <w:tcW w:w="0" w:type="auto"/>
            <w:gridSpan w:val="3"/>
            <w:shd w:val="clear" w:color="auto" w:fill="FFFFFF"/>
            <w:tcMar>
              <w:top w:w="40" w:type="dxa"/>
              <w:left w:w="20" w:type="dxa"/>
              <w:bottom w:w="40" w:type="dxa"/>
              <w:right w:w="20" w:type="dxa"/>
            </w:tcMar>
            <w:vAlign w:val="bottom"/>
          </w:tcPr>
          <w:p w14:paraId="1426E9D1" w14:textId="77777777" w:rsidR="00A74A1E" w:rsidRDefault="00807990">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1426E9D2" w14:textId="77777777" w:rsidR="00A74A1E" w:rsidRDefault="00807990">
            <w:pPr>
              <w:jc w:val="right"/>
              <w:textAlignment w:val="bottom"/>
            </w:pPr>
            <w:r>
              <w:rPr>
                <w:rFonts w:ascii="Arial" w:eastAsia="宋体" w:hAnsi="Arial" w:cs="Arial"/>
                <w:color w:val="000000"/>
                <w:sz w:val="20"/>
                <w:szCs w:val="20"/>
              </w:rPr>
              <w:t>273 </w:t>
            </w:r>
          </w:p>
        </w:tc>
        <w:tc>
          <w:tcPr>
            <w:tcW w:w="0" w:type="auto"/>
            <w:shd w:val="clear" w:color="auto" w:fill="FFFFFF"/>
            <w:tcMar>
              <w:top w:w="40" w:type="dxa"/>
              <w:left w:w="0" w:type="dxa"/>
              <w:bottom w:w="40" w:type="dxa"/>
              <w:right w:w="20" w:type="dxa"/>
            </w:tcMar>
            <w:vAlign w:val="bottom"/>
          </w:tcPr>
          <w:p w14:paraId="1426E9D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D4"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D5" w14:textId="77777777" w:rsidR="00A74A1E" w:rsidRDefault="00807990">
            <w:pPr>
              <w:jc w:val="right"/>
              <w:textAlignment w:val="bottom"/>
            </w:pPr>
            <w:r>
              <w:rPr>
                <w:rFonts w:ascii="Arial" w:eastAsia="宋体" w:hAnsi="Arial" w:cs="Arial"/>
                <w:color w:val="000000"/>
                <w:sz w:val="20"/>
                <w:szCs w:val="20"/>
              </w:rPr>
              <w:t>185 </w:t>
            </w:r>
          </w:p>
        </w:tc>
        <w:tc>
          <w:tcPr>
            <w:tcW w:w="0" w:type="auto"/>
            <w:shd w:val="clear" w:color="auto" w:fill="FFFFFF"/>
            <w:tcMar>
              <w:top w:w="40" w:type="dxa"/>
              <w:left w:w="0" w:type="dxa"/>
              <w:bottom w:w="40" w:type="dxa"/>
              <w:right w:w="20" w:type="dxa"/>
            </w:tcMar>
            <w:vAlign w:val="bottom"/>
          </w:tcPr>
          <w:p w14:paraId="1426E9D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D7"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D8" w14:textId="77777777" w:rsidR="00A74A1E" w:rsidRDefault="00807990">
            <w:pPr>
              <w:jc w:val="right"/>
              <w:textAlignment w:val="bottom"/>
            </w:pPr>
            <w:r>
              <w:rPr>
                <w:rFonts w:ascii="Arial" w:eastAsia="宋体"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1426E9D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D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9DB" w14:textId="77777777" w:rsidR="00A74A1E" w:rsidRDefault="00807990">
            <w:pPr>
              <w:jc w:val="right"/>
              <w:textAlignment w:val="bottom"/>
            </w:pPr>
            <w:r>
              <w:rPr>
                <w:rFonts w:ascii="Arial" w:eastAsia="宋体" w:hAnsi="Arial" w:cs="Arial"/>
                <w:color w:val="000000"/>
                <w:sz w:val="20"/>
                <w:szCs w:val="20"/>
              </w:rPr>
              <w:t>544 </w:t>
            </w:r>
          </w:p>
        </w:tc>
        <w:tc>
          <w:tcPr>
            <w:tcW w:w="0" w:type="auto"/>
            <w:shd w:val="clear" w:color="auto" w:fill="FFFFFF"/>
            <w:tcMar>
              <w:top w:w="40" w:type="dxa"/>
              <w:left w:w="0" w:type="dxa"/>
              <w:bottom w:w="40" w:type="dxa"/>
              <w:right w:w="20" w:type="dxa"/>
            </w:tcMar>
            <w:vAlign w:val="bottom"/>
          </w:tcPr>
          <w:p w14:paraId="1426E9DC" w14:textId="77777777" w:rsidR="00A74A1E" w:rsidRDefault="00A74A1E">
            <w:pPr>
              <w:jc w:val="right"/>
              <w:rPr>
                <w:rFonts w:ascii="宋体"/>
              </w:rPr>
            </w:pPr>
          </w:p>
        </w:tc>
      </w:tr>
      <w:tr w:rsidR="00A74A1E" w14:paraId="1426E9E6" w14:textId="77777777">
        <w:trPr>
          <w:jc w:val="center"/>
          <w:hidden/>
        </w:trPr>
        <w:tc>
          <w:tcPr>
            <w:tcW w:w="0" w:type="auto"/>
            <w:gridSpan w:val="3"/>
            <w:shd w:val="clear" w:color="auto" w:fill="auto"/>
          </w:tcPr>
          <w:p w14:paraId="1426E9DE" w14:textId="77777777" w:rsidR="00A74A1E" w:rsidRDefault="00A74A1E">
            <w:pPr>
              <w:rPr>
                <w:rFonts w:ascii="宋体"/>
                <w:vanish/>
              </w:rPr>
            </w:pPr>
          </w:p>
        </w:tc>
        <w:tc>
          <w:tcPr>
            <w:tcW w:w="0" w:type="auto"/>
            <w:gridSpan w:val="3"/>
            <w:shd w:val="clear" w:color="auto" w:fill="auto"/>
          </w:tcPr>
          <w:p w14:paraId="1426E9DF" w14:textId="77777777" w:rsidR="00A74A1E" w:rsidRDefault="00A74A1E">
            <w:pPr>
              <w:rPr>
                <w:rFonts w:ascii="宋体"/>
                <w:vanish/>
              </w:rPr>
            </w:pPr>
          </w:p>
        </w:tc>
        <w:tc>
          <w:tcPr>
            <w:tcW w:w="0" w:type="auto"/>
            <w:gridSpan w:val="3"/>
            <w:shd w:val="clear" w:color="auto" w:fill="auto"/>
          </w:tcPr>
          <w:p w14:paraId="1426E9E0" w14:textId="77777777" w:rsidR="00A74A1E" w:rsidRDefault="00A74A1E">
            <w:pPr>
              <w:rPr>
                <w:rFonts w:ascii="宋体"/>
                <w:vanish/>
              </w:rPr>
            </w:pPr>
          </w:p>
        </w:tc>
        <w:tc>
          <w:tcPr>
            <w:tcW w:w="0" w:type="auto"/>
            <w:gridSpan w:val="3"/>
            <w:shd w:val="clear" w:color="auto" w:fill="auto"/>
          </w:tcPr>
          <w:p w14:paraId="1426E9E1" w14:textId="77777777" w:rsidR="00A74A1E" w:rsidRDefault="00A74A1E">
            <w:pPr>
              <w:rPr>
                <w:rFonts w:ascii="宋体"/>
                <w:vanish/>
              </w:rPr>
            </w:pPr>
          </w:p>
        </w:tc>
        <w:tc>
          <w:tcPr>
            <w:tcW w:w="0" w:type="auto"/>
            <w:gridSpan w:val="3"/>
            <w:shd w:val="clear" w:color="auto" w:fill="auto"/>
          </w:tcPr>
          <w:p w14:paraId="1426E9E2" w14:textId="77777777" w:rsidR="00A74A1E" w:rsidRDefault="00A74A1E">
            <w:pPr>
              <w:rPr>
                <w:rFonts w:ascii="宋体"/>
                <w:vanish/>
              </w:rPr>
            </w:pPr>
          </w:p>
        </w:tc>
        <w:tc>
          <w:tcPr>
            <w:tcW w:w="0" w:type="auto"/>
            <w:gridSpan w:val="3"/>
            <w:shd w:val="clear" w:color="auto" w:fill="auto"/>
          </w:tcPr>
          <w:p w14:paraId="1426E9E3" w14:textId="77777777" w:rsidR="00A74A1E" w:rsidRDefault="00A74A1E">
            <w:pPr>
              <w:rPr>
                <w:rFonts w:ascii="宋体"/>
                <w:vanish/>
              </w:rPr>
            </w:pPr>
          </w:p>
        </w:tc>
        <w:tc>
          <w:tcPr>
            <w:tcW w:w="0" w:type="auto"/>
            <w:gridSpan w:val="3"/>
            <w:shd w:val="clear" w:color="auto" w:fill="auto"/>
          </w:tcPr>
          <w:p w14:paraId="1426E9E4" w14:textId="77777777" w:rsidR="00A74A1E" w:rsidRDefault="00A74A1E">
            <w:pPr>
              <w:rPr>
                <w:rFonts w:ascii="宋体"/>
                <w:vanish/>
              </w:rPr>
            </w:pPr>
          </w:p>
        </w:tc>
        <w:tc>
          <w:tcPr>
            <w:tcW w:w="0" w:type="auto"/>
            <w:gridSpan w:val="3"/>
            <w:shd w:val="clear" w:color="auto" w:fill="auto"/>
          </w:tcPr>
          <w:p w14:paraId="1426E9E5" w14:textId="77777777" w:rsidR="00A74A1E" w:rsidRDefault="00A74A1E">
            <w:pPr>
              <w:rPr>
                <w:rFonts w:ascii="宋体"/>
                <w:vanish/>
              </w:rPr>
            </w:pPr>
          </w:p>
        </w:tc>
      </w:tr>
      <w:tr w:rsidR="00A74A1E" w14:paraId="1426E9F3" w14:textId="77777777">
        <w:trPr>
          <w:jc w:val="center"/>
        </w:trPr>
        <w:tc>
          <w:tcPr>
            <w:tcW w:w="0" w:type="auto"/>
            <w:gridSpan w:val="3"/>
            <w:shd w:val="clear" w:color="auto" w:fill="CCEEFF"/>
            <w:tcMar>
              <w:top w:w="40" w:type="dxa"/>
              <w:left w:w="20" w:type="dxa"/>
              <w:bottom w:w="40" w:type="dxa"/>
              <w:right w:w="20" w:type="dxa"/>
            </w:tcMar>
            <w:vAlign w:val="bottom"/>
          </w:tcPr>
          <w:p w14:paraId="1426E9E7" w14:textId="77777777" w:rsidR="00A74A1E" w:rsidRDefault="00807990">
            <w:pPr>
              <w:textAlignment w:val="bottom"/>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1426E9E8"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E9E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E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EB"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E9E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E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EE"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E9E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9F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9F1" w14:textId="77777777" w:rsidR="00A74A1E" w:rsidRDefault="00807990">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1426E9F2" w14:textId="77777777" w:rsidR="00A74A1E" w:rsidRDefault="00A74A1E">
            <w:pPr>
              <w:jc w:val="right"/>
              <w:rPr>
                <w:rFonts w:ascii="宋体"/>
              </w:rPr>
            </w:pPr>
          </w:p>
        </w:tc>
      </w:tr>
      <w:tr w:rsidR="00A74A1E" w14:paraId="1426EA00" w14:textId="77777777">
        <w:trPr>
          <w:jc w:val="center"/>
        </w:trPr>
        <w:tc>
          <w:tcPr>
            <w:tcW w:w="0" w:type="auto"/>
            <w:gridSpan w:val="3"/>
            <w:shd w:val="clear" w:color="auto" w:fill="FFFFFF"/>
            <w:tcMar>
              <w:top w:w="40" w:type="dxa"/>
              <w:left w:w="360" w:type="dxa"/>
              <w:bottom w:w="40" w:type="dxa"/>
              <w:right w:w="20" w:type="dxa"/>
            </w:tcMar>
            <w:vAlign w:val="bottom"/>
          </w:tcPr>
          <w:p w14:paraId="1426E9F4" w14:textId="77777777" w:rsidR="00A74A1E" w:rsidRDefault="00807990">
            <w:pPr>
              <w:textAlignment w:val="bottom"/>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9F5" w14:textId="77777777" w:rsidR="00A74A1E" w:rsidRDefault="00807990">
            <w:pPr>
              <w:jc w:val="right"/>
              <w:textAlignment w:val="bottom"/>
            </w:pPr>
            <w:r>
              <w:rPr>
                <w:rFonts w:ascii="Arial" w:eastAsia="宋体" w:hAnsi="Arial" w:cs="Arial"/>
                <w:color w:val="000000"/>
                <w:sz w:val="20"/>
                <w:szCs w:val="20"/>
              </w:rPr>
              <w:t>449 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9F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F7"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9F8" w14:textId="77777777" w:rsidR="00A74A1E" w:rsidRDefault="00807990">
            <w:pPr>
              <w:jc w:val="right"/>
              <w:textAlignment w:val="bottom"/>
            </w:pPr>
            <w:r>
              <w:rPr>
                <w:rFonts w:ascii="Arial" w:eastAsia="宋体" w:hAnsi="Arial" w:cs="Arial"/>
                <w:color w:val="000000"/>
                <w:sz w:val="20"/>
                <w:szCs w:val="20"/>
              </w:rPr>
              <w:t>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9F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FA"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9FB" w14:textId="77777777" w:rsidR="00A74A1E" w:rsidRDefault="00807990">
            <w:pPr>
              <w:jc w:val="right"/>
              <w:textAlignment w:val="bottom"/>
            </w:pPr>
            <w:r>
              <w:rPr>
                <w:rFonts w:ascii="Arial" w:eastAsia="宋体" w:hAnsi="Arial" w:cs="Arial"/>
                <w:color w:val="000000"/>
                <w:sz w:val="20"/>
                <w:szCs w:val="20"/>
              </w:rPr>
              <w:t>799 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9F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9FD"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9FE" w14:textId="77777777" w:rsidR="00A74A1E" w:rsidRDefault="00807990">
            <w:pPr>
              <w:jc w:val="right"/>
              <w:textAlignment w:val="bottom"/>
            </w:pPr>
            <w:r>
              <w:rPr>
                <w:rFonts w:ascii="Arial" w:eastAsia="宋体" w:hAnsi="Arial" w:cs="Arial"/>
                <w:color w:val="000000"/>
                <w:sz w:val="20"/>
                <w:szCs w:val="20"/>
              </w:rPr>
              <w:t>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9FF" w14:textId="77777777" w:rsidR="00A74A1E" w:rsidRDefault="00A74A1E">
            <w:pPr>
              <w:jc w:val="right"/>
              <w:rPr>
                <w:rFonts w:ascii="宋体"/>
              </w:rPr>
            </w:pPr>
          </w:p>
        </w:tc>
      </w:tr>
      <w:tr w:rsidR="00A74A1E" w14:paraId="1426EA09" w14:textId="77777777">
        <w:trPr>
          <w:trHeight w:val="300"/>
          <w:jc w:val="center"/>
        </w:trPr>
        <w:tc>
          <w:tcPr>
            <w:tcW w:w="0" w:type="auto"/>
            <w:gridSpan w:val="3"/>
            <w:shd w:val="clear" w:color="auto" w:fill="CCEEFF"/>
            <w:tcMar>
              <w:top w:w="0" w:type="dxa"/>
              <w:left w:w="20" w:type="dxa"/>
              <w:bottom w:w="0" w:type="dxa"/>
              <w:right w:w="20" w:type="dxa"/>
            </w:tcMar>
          </w:tcPr>
          <w:p w14:paraId="1426EA0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5"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6"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7"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08" w14:textId="77777777" w:rsidR="00A74A1E" w:rsidRDefault="00A74A1E">
            <w:pPr>
              <w:rPr>
                <w:rFonts w:ascii="宋体"/>
              </w:rPr>
            </w:pPr>
          </w:p>
        </w:tc>
      </w:tr>
      <w:tr w:rsidR="00A74A1E" w14:paraId="1426EA16" w14:textId="77777777">
        <w:trPr>
          <w:jc w:val="center"/>
        </w:trPr>
        <w:tc>
          <w:tcPr>
            <w:tcW w:w="0" w:type="auto"/>
            <w:gridSpan w:val="3"/>
            <w:shd w:val="clear" w:color="auto" w:fill="FFFFFF"/>
            <w:tcMar>
              <w:top w:w="40" w:type="dxa"/>
              <w:left w:w="20" w:type="dxa"/>
              <w:bottom w:w="40" w:type="dxa"/>
              <w:right w:w="20" w:type="dxa"/>
            </w:tcMar>
            <w:vAlign w:val="bottom"/>
          </w:tcPr>
          <w:p w14:paraId="1426EA0A" w14:textId="77777777" w:rsidR="00A74A1E" w:rsidRDefault="00807990">
            <w:pPr>
              <w:textAlignment w:val="bottom"/>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426EA0B" w14:textId="77777777" w:rsidR="00A74A1E" w:rsidRDefault="00807990">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1426EA0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0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0E" w14:textId="77777777" w:rsidR="00A74A1E" w:rsidRDefault="00807990">
            <w:pPr>
              <w:jc w:val="right"/>
              <w:textAlignment w:val="bottom"/>
            </w:pPr>
            <w:r>
              <w:rPr>
                <w:rFonts w:ascii="Arial" w:eastAsia="宋体" w:hAnsi="Arial" w:cs="Arial"/>
                <w:color w:val="000000"/>
                <w:sz w:val="20"/>
                <w:szCs w:val="20"/>
              </w:rPr>
              <w:t>(24)</w:t>
            </w:r>
          </w:p>
        </w:tc>
        <w:tc>
          <w:tcPr>
            <w:tcW w:w="0" w:type="auto"/>
            <w:shd w:val="clear" w:color="auto" w:fill="FFFFFF"/>
            <w:tcMar>
              <w:top w:w="40" w:type="dxa"/>
              <w:left w:w="0" w:type="dxa"/>
              <w:bottom w:w="40" w:type="dxa"/>
              <w:right w:w="20" w:type="dxa"/>
            </w:tcMar>
            <w:vAlign w:val="bottom"/>
          </w:tcPr>
          <w:p w14:paraId="1426EA0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1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11" w14:textId="77777777" w:rsidR="00A74A1E" w:rsidRDefault="00807990">
            <w:pPr>
              <w:jc w:val="right"/>
              <w:textAlignment w:val="bottom"/>
            </w:pPr>
            <w:r>
              <w:rPr>
                <w:rFonts w:ascii="Arial" w:eastAsia="宋体" w:hAnsi="Arial" w:cs="Arial"/>
                <w:color w:val="000000"/>
                <w:sz w:val="20"/>
                <w:szCs w:val="20"/>
              </w:rPr>
              <w:t>(38)</w:t>
            </w:r>
          </w:p>
        </w:tc>
        <w:tc>
          <w:tcPr>
            <w:tcW w:w="0" w:type="auto"/>
            <w:shd w:val="clear" w:color="auto" w:fill="FFFFFF"/>
            <w:tcMar>
              <w:top w:w="40" w:type="dxa"/>
              <w:left w:w="0" w:type="dxa"/>
              <w:bottom w:w="40" w:type="dxa"/>
              <w:right w:w="20" w:type="dxa"/>
            </w:tcMar>
            <w:vAlign w:val="bottom"/>
          </w:tcPr>
          <w:p w14:paraId="1426EA1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13"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14" w14:textId="77777777" w:rsidR="00A74A1E" w:rsidRDefault="00807990">
            <w:pPr>
              <w:jc w:val="right"/>
              <w:textAlignment w:val="bottom"/>
            </w:pPr>
            <w:r>
              <w:rPr>
                <w:rFonts w:ascii="Arial" w:eastAsia="宋体"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1426EA15" w14:textId="77777777" w:rsidR="00A74A1E" w:rsidRDefault="00A74A1E">
            <w:pPr>
              <w:jc w:val="right"/>
              <w:rPr>
                <w:rFonts w:ascii="宋体"/>
              </w:rPr>
            </w:pPr>
          </w:p>
        </w:tc>
      </w:tr>
      <w:tr w:rsidR="00A74A1E" w14:paraId="1426EA23" w14:textId="77777777">
        <w:trPr>
          <w:jc w:val="center"/>
        </w:trPr>
        <w:tc>
          <w:tcPr>
            <w:tcW w:w="0" w:type="auto"/>
            <w:gridSpan w:val="3"/>
            <w:shd w:val="clear" w:color="auto" w:fill="CCEEFF"/>
            <w:tcMar>
              <w:top w:w="40" w:type="dxa"/>
              <w:left w:w="20" w:type="dxa"/>
              <w:bottom w:w="40" w:type="dxa"/>
              <w:right w:w="20" w:type="dxa"/>
            </w:tcMar>
            <w:vAlign w:val="bottom"/>
          </w:tcPr>
          <w:p w14:paraId="1426EA17" w14:textId="77777777" w:rsidR="00A74A1E" w:rsidRDefault="00807990">
            <w:pPr>
              <w:textAlignment w:val="bottom"/>
            </w:pPr>
            <w:r>
              <w:rPr>
                <w:rFonts w:ascii="Arial" w:eastAsia="宋体" w:hAnsi="Arial" w:cs="Arial"/>
                <w:color w:val="000000"/>
                <w:sz w:val="20"/>
                <w:szCs w:val="20"/>
              </w:rPr>
              <w:t>Other expense, net</w:t>
            </w:r>
          </w:p>
        </w:tc>
        <w:tc>
          <w:tcPr>
            <w:tcW w:w="0" w:type="auto"/>
            <w:gridSpan w:val="2"/>
            <w:shd w:val="clear" w:color="auto" w:fill="CCEEFF"/>
            <w:tcMar>
              <w:top w:w="40" w:type="dxa"/>
              <w:left w:w="20" w:type="dxa"/>
              <w:bottom w:w="40" w:type="dxa"/>
              <w:right w:w="0" w:type="dxa"/>
            </w:tcMar>
            <w:vAlign w:val="bottom"/>
          </w:tcPr>
          <w:p w14:paraId="1426EA18" w14:textId="77777777" w:rsidR="00A74A1E" w:rsidRDefault="00807990">
            <w:pPr>
              <w:jc w:val="right"/>
              <w:textAlignment w:val="bottom"/>
            </w:pPr>
            <w:r>
              <w:rPr>
                <w:rFonts w:ascii="Arial" w:eastAsia="宋体" w:hAnsi="Arial" w:cs="Arial"/>
                <w:color w:val="000000"/>
                <w:sz w:val="20"/>
                <w:szCs w:val="20"/>
              </w:rPr>
              <w:t>(37)</w:t>
            </w:r>
          </w:p>
        </w:tc>
        <w:tc>
          <w:tcPr>
            <w:tcW w:w="0" w:type="auto"/>
            <w:shd w:val="clear" w:color="auto" w:fill="CCEEFF"/>
            <w:tcMar>
              <w:top w:w="40" w:type="dxa"/>
              <w:left w:w="0" w:type="dxa"/>
              <w:bottom w:w="40" w:type="dxa"/>
              <w:right w:w="20" w:type="dxa"/>
            </w:tcMar>
            <w:vAlign w:val="bottom"/>
          </w:tcPr>
          <w:p w14:paraId="1426EA1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1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1B" w14:textId="77777777" w:rsidR="00A74A1E" w:rsidRDefault="00807990">
            <w:pPr>
              <w:jc w:val="right"/>
              <w:textAlignment w:val="bottom"/>
            </w:pPr>
            <w:r>
              <w:rPr>
                <w:rFonts w:ascii="Arial" w:eastAsia="宋体" w:hAnsi="Arial" w:cs="Arial"/>
                <w:color w:val="000000"/>
                <w:sz w:val="20"/>
                <w:szCs w:val="20"/>
              </w:rPr>
              <w:t>(36)</w:t>
            </w:r>
          </w:p>
        </w:tc>
        <w:tc>
          <w:tcPr>
            <w:tcW w:w="0" w:type="auto"/>
            <w:shd w:val="clear" w:color="auto" w:fill="CCEEFF"/>
            <w:tcMar>
              <w:top w:w="40" w:type="dxa"/>
              <w:left w:w="0" w:type="dxa"/>
              <w:bottom w:w="40" w:type="dxa"/>
              <w:right w:w="20" w:type="dxa"/>
            </w:tcMar>
            <w:vAlign w:val="bottom"/>
          </w:tcPr>
          <w:p w14:paraId="1426EA1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1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1E" w14:textId="77777777" w:rsidR="00A74A1E" w:rsidRDefault="00807990">
            <w:pPr>
              <w:jc w:val="right"/>
              <w:textAlignment w:val="bottom"/>
            </w:pPr>
            <w:r>
              <w:rPr>
                <w:rFonts w:ascii="Arial" w:eastAsia="宋体" w:hAnsi="Arial" w:cs="Arial"/>
                <w:color w:val="000000"/>
                <w:sz w:val="20"/>
                <w:szCs w:val="20"/>
              </w:rPr>
              <w:t>(32)</w:t>
            </w:r>
          </w:p>
        </w:tc>
        <w:tc>
          <w:tcPr>
            <w:tcW w:w="0" w:type="auto"/>
            <w:shd w:val="clear" w:color="auto" w:fill="CCEEFF"/>
            <w:tcMar>
              <w:top w:w="40" w:type="dxa"/>
              <w:left w:w="0" w:type="dxa"/>
              <w:bottom w:w="40" w:type="dxa"/>
              <w:right w:w="20" w:type="dxa"/>
            </w:tcMar>
            <w:vAlign w:val="bottom"/>
          </w:tcPr>
          <w:p w14:paraId="1426EA1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2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21" w14:textId="77777777" w:rsidR="00A74A1E" w:rsidRDefault="00807990">
            <w:pPr>
              <w:jc w:val="right"/>
              <w:textAlignment w:val="bottom"/>
            </w:pPr>
            <w:r>
              <w:rPr>
                <w:rFonts w:ascii="Arial" w:eastAsia="宋体" w:hAnsi="Arial" w:cs="Arial"/>
                <w:color w:val="000000"/>
                <w:sz w:val="20"/>
                <w:szCs w:val="20"/>
              </w:rPr>
              <w:t>(40)</w:t>
            </w:r>
          </w:p>
        </w:tc>
        <w:tc>
          <w:tcPr>
            <w:tcW w:w="0" w:type="auto"/>
            <w:shd w:val="clear" w:color="auto" w:fill="CCEEFF"/>
            <w:tcMar>
              <w:top w:w="40" w:type="dxa"/>
              <w:left w:w="0" w:type="dxa"/>
              <w:bottom w:w="40" w:type="dxa"/>
              <w:right w:w="20" w:type="dxa"/>
            </w:tcMar>
            <w:vAlign w:val="bottom"/>
          </w:tcPr>
          <w:p w14:paraId="1426EA22" w14:textId="77777777" w:rsidR="00A74A1E" w:rsidRDefault="00A74A1E">
            <w:pPr>
              <w:jc w:val="right"/>
              <w:rPr>
                <w:rFonts w:ascii="宋体"/>
              </w:rPr>
            </w:pPr>
          </w:p>
        </w:tc>
      </w:tr>
      <w:tr w:rsidR="00A74A1E" w14:paraId="1426EA30" w14:textId="77777777">
        <w:trPr>
          <w:jc w:val="center"/>
        </w:trPr>
        <w:tc>
          <w:tcPr>
            <w:tcW w:w="0" w:type="auto"/>
            <w:gridSpan w:val="3"/>
            <w:shd w:val="clear" w:color="auto" w:fill="FFFFFF"/>
            <w:tcMar>
              <w:top w:w="40" w:type="dxa"/>
              <w:left w:w="360" w:type="dxa"/>
              <w:bottom w:w="40" w:type="dxa"/>
              <w:right w:w="20" w:type="dxa"/>
            </w:tcMar>
            <w:vAlign w:val="bottom"/>
          </w:tcPr>
          <w:p w14:paraId="1426EA24" w14:textId="77777777" w:rsidR="00A74A1E" w:rsidRDefault="00807990">
            <w:pPr>
              <w:textAlignment w:val="bottom"/>
            </w:pPr>
            <w:r>
              <w:rPr>
                <w:rFonts w:ascii="Arial" w:eastAsia="宋体" w:hAnsi="Arial" w:cs="Arial"/>
                <w:color w:val="000000"/>
                <w:sz w:val="20"/>
                <w:szCs w:val="20"/>
              </w:rPr>
              <w:t xml:space="preserve">Income before income taxes and equity income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A25" w14:textId="77777777" w:rsidR="00A74A1E" w:rsidRDefault="00807990">
            <w:pPr>
              <w:jc w:val="right"/>
              <w:textAlignment w:val="bottom"/>
            </w:pPr>
            <w:r>
              <w:rPr>
                <w:rFonts w:ascii="Arial" w:eastAsia="宋体" w:hAnsi="Arial" w:cs="Arial"/>
                <w:color w:val="000000"/>
                <w:sz w:val="20"/>
                <w:szCs w:val="20"/>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2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27"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A28" w14:textId="77777777" w:rsidR="00A74A1E" w:rsidRDefault="00807990">
            <w:pPr>
              <w:jc w:val="right"/>
              <w:textAlignment w:val="bottom"/>
            </w:pPr>
            <w:r>
              <w:rPr>
                <w:rFonts w:ascii="Arial" w:eastAsia="宋体" w:hAnsi="Arial" w:cs="Arial"/>
                <w:color w:val="000000"/>
                <w:sz w:val="20"/>
                <w:szCs w:val="20"/>
              </w:rPr>
              <w:t>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2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2A"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A2B" w14:textId="77777777" w:rsidR="00A74A1E" w:rsidRDefault="00807990">
            <w:pPr>
              <w:jc w:val="right"/>
              <w:textAlignment w:val="bottom"/>
            </w:pPr>
            <w:r>
              <w:rPr>
                <w:rFonts w:ascii="Arial" w:eastAsia="宋体" w:hAnsi="Arial" w:cs="Arial"/>
                <w:color w:val="000000"/>
                <w:sz w:val="20"/>
                <w:szCs w:val="20"/>
              </w:rPr>
              <w:t>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2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2D"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A2E" w14:textId="77777777" w:rsidR="00A74A1E" w:rsidRDefault="00807990">
            <w:pPr>
              <w:jc w:val="right"/>
              <w:textAlignment w:val="bottom"/>
            </w:pPr>
            <w:r>
              <w:rPr>
                <w:rFonts w:ascii="Arial" w:eastAsia="宋体" w:hAnsi="Arial" w:cs="Arial"/>
                <w:color w:val="000000"/>
                <w:sz w:val="20"/>
                <w:szCs w:val="20"/>
              </w:rPr>
              <w:t>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2F" w14:textId="77777777" w:rsidR="00A74A1E" w:rsidRDefault="00A74A1E">
            <w:pPr>
              <w:jc w:val="right"/>
              <w:rPr>
                <w:rFonts w:ascii="宋体"/>
              </w:rPr>
            </w:pPr>
          </w:p>
        </w:tc>
      </w:tr>
      <w:tr w:rsidR="00A74A1E" w14:paraId="1426EA39" w14:textId="77777777">
        <w:trPr>
          <w:trHeight w:val="300"/>
          <w:jc w:val="center"/>
        </w:trPr>
        <w:tc>
          <w:tcPr>
            <w:tcW w:w="0" w:type="auto"/>
            <w:gridSpan w:val="3"/>
            <w:shd w:val="clear" w:color="auto" w:fill="CCEEFF"/>
            <w:tcMar>
              <w:top w:w="0" w:type="dxa"/>
              <w:left w:w="20" w:type="dxa"/>
              <w:bottom w:w="0" w:type="dxa"/>
              <w:right w:w="20" w:type="dxa"/>
            </w:tcMar>
          </w:tcPr>
          <w:p w14:paraId="1426EA3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5"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6"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7"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38" w14:textId="77777777" w:rsidR="00A74A1E" w:rsidRDefault="00A74A1E">
            <w:pPr>
              <w:rPr>
                <w:rFonts w:ascii="宋体"/>
              </w:rPr>
            </w:pPr>
          </w:p>
        </w:tc>
      </w:tr>
      <w:tr w:rsidR="00A74A1E" w14:paraId="1426EA46" w14:textId="77777777">
        <w:trPr>
          <w:jc w:val="center"/>
        </w:trPr>
        <w:tc>
          <w:tcPr>
            <w:tcW w:w="0" w:type="auto"/>
            <w:gridSpan w:val="3"/>
            <w:shd w:val="clear" w:color="auto" w:fill="FFFFFF"/>
            <w:tcMar>
              <w:top w:w="40" w:type="dxa"/>
              <w:left w:w="20" w:type="dxa"/>
              <w:bottom w:w="40" w:type="dxa"/>
              <w:right w:w="20" w:type="dxa"/>
            </w:tcMar>
            <w:vAlign w:val="bottom"/>
          </w:tcPr>
          <w:p w14:paraId="1426EA3A" w14:textId="77777777" w:rsidR="00A74A1E" w:rsidRDefault="00807990">
            <w:pPr>
              <w:textAlignment w:val="bottom"/>
            </w:pPr>
            <w:r>
              <w:rPr>
                <w:rFonts w:ascii="Arial" w:eastAsia="宋体" w:hAnsi="Arial" w:cs="Arial"/>
                <w:color w:val="000000"/>
                <w:sz w:val="20"/>
                <w:szCs w:val="20"/>
              </w:rPr>
              <w:t xml:space="preserve">Income tax provision (benefit) </w:t>
            </w:r>
          </w:p>
        </w:tc>
        <w:tc>
          <w:tcPr>
            <w:tcW w:w="0" w:type="auto"/>
            <w:gridSpan w:val="2"/>
            <w:shd w:val="clear" w:color="auto" w:fill="FFFFFF"/>
            <w:tcMar>
              <w:top w:w="40" w:type="dxa"/>
              <w:left w:w="20" w:type="dxa"/>
              <w:bottom w:w="40" w:type="dxa"/>
              <w:right w:w="0" w:type="dxa"/>
            </w:tcMar>
            <w:vAlign w:val="bottom"/>
          </w:tcPr>
          <w:p w14:paraId="1426EA3B"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1426EA3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3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3E" w14:textId="77777777" w:rsidR="00A74A1E" w:rsidRDefault="00807990">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1426EA3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4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41" w14:textId="77777777" w:rsidR="00A74A1E" w:rsidRDefault="00807990">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1426EA4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43"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44" w14:textId="77777777" w:rsidR="00A74A1E" w:rsidRDefault="00807990">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1426EA45" w14:textId="77777777" w:rsidR="00A74A1E" w:rsidRDefault="00A74A1E">
            <w:pPr>
              <w:jc w:val="right"/>
              <w:rPr>
                <w:rFonts w:ascii="宋体"/>
              </w:rPr>
            </w:pPr>
          </w:p>
        </w:tc>
      </w:tr>
      <w:tr w:rsidR="00A74A1E" w14:paraId="1426EA53" w14:textId="77777777">
        <w:trPr>
          <w:jc w:val="center"/>
        </w:trPr>
        <w:tc>
          <w:tcPr>
            <w:tcW w:w="0" w:type="auto"/>
            <w:gridSpan w:val="3"/>
            <w:shd w:val="clear" w:color="auto" w:fill="CCEEFF"/>
            <w:tcMar>
              <w:top w:w="40" w:type="dxa"/>
              <w:left w:w="20" w:type="dxa"/>
              <w:bottom w:w="40" w:type="dxa"/>
              <w:right w:w="20" w:type="dxa"/>
            </w:tcMar>
            <w:vAlign w:val="bottom"/>
          </w:tcPr>
          <w:p w14:paraId="1426EA47" w14:textId="77777777" w:rsidR="00A74A1E" w:rsidRDefault="00807990">
            <w:pPr>
              <w:textAlignment w:val="bottom"/>
            </w:pPr>
            <w:r>
              <w:rPr>
                <w:rFonts w:ascii="Arial" w:eastAsia="宋体" w:hAnsi="Arial" w:cs="Arial"/>
                <w:color w:val="000000"/>
                <w:sz w:val="20"/>
                <w:szCs w:val="20"/>
              </w:rPr>
              <w:t>Equity income in investee</w:t>
            </w:r>
          </w:p>
        </w:tc>
        <w:tc>
          <w:tcPr>
            <w:tcW w:w="0" w:type="auto"/>
            <w:gridSpan w:val="2"/>
            <w:shd w:val="clear" w:color="auto" w:fill="CCEEFF"/>
            <w:tcMar>
              <w:top w:w="40" w:type="dxa"/>
              <w:left w:w="20" w:type="dxa"/>
              <w:bottom w:w="40" w:type="dxa"/>
              <w:right w:w="0" w:type="dxa"/>
            </w:tcMar>
            <w:vAlign w:val="bottom"/>
          </w:tcPr>
          <w:p w14:paraId="1426EA48"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EA4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4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4B"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EA4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4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4E" w14:textId="77777777" w:rsidR="00A74A1E" w:rsidRDefault="00807990">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426EA4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5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tcPr>
          <w:p w14:paraId="1426EA51" w14:textId="77777777" w:rsidR="00A74A1E" w:rsidRDefault="00807990">
            <w:pPr>
              <w:jc w:val="right"/>
              <w:textAlignment w:val="top"/>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tcPr>
          <w:p w14:paraId="1426EA52" w14:textId="77777777" w:rsidR="00A74A1E" w:rsidRDefault="00A74A1E">
            <w:pPr>
              <w:jc w:val="right"/>
              <w:rPr>
                <w:rFonts w:ascii="宋体"/>
              </w:rPr>
            </w:pPr>
          </w:p>
        </w:tc>
      </w:tr>
      <w:tr w:rsidR="00A74A1E" w14:paraId="1426EA64" w14:textId="77777777">
        <w:trPr>
          <w:jc w:val="center"/>
        </w:trPr>
        <w:tc>
          <w:tcPr>
            <w:tcW w:w="0" w:type="auto"/>
            <w:gridSpan w:val="3"/>
            <w:shd w:val="clear" w:color="auto" w:fill="FFFFFF"/>
            <w:tcMar>
              <w:top w:w="40" w:type="dxa"/>
              <w:left w:w="360" w:type="dxa"/>
              <w:bottom w:w="40" w:type="dxa"/>
              <w:right w:w="20" w:type="dxa"/>
            </w:tcMar>
            <w:vAlign w:val="bottom"/>
          </w:tcPr>
          <w:p w14:paraId="1426EA54" w14:textId="77777777" w:rsidR="00A74A1E" w:rsidRDefault="00807990">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1426EA55"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EA56" w14:textId="77777777" w:rsidR="00A74A1E" w:rsidRDefault="00807990">
            <w:pPr>
              <w:jc w:val="right"/>
              <w:textAlignment w:val="bottom"/>
            </w:pPr>
            <w:r>
              <w:rPr>
                <w:rFonts w:ascii="Arial" w:eastAsia="宋体" w:hAnsi="Arial" w:cs="Arial"/>
                <w:color w:val="000000"/>
                <w:sz w:val="20"/>
                <w:szCs w:val="20"/>
              </w:rPr>
              <w:t>390 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5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58"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EA59"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EA5A" w14:textId="77777777" w:rsidR="00A74A1E" w:rsidRDefault="00807990">
            <w:pPr>
              <w:jc w:val="right"/>
              <w:textAlignment w:val="bottom"/>
            </w:pPr>
            <w:r>
              <w:rPr>
                <w:rFonts w:ascii="Arial" w:eastAsia="宋体" w:hAnsi="Arial" w:cs="Arial"/>
                <w:color w:val="000000"/>
                <w:sz w:val="20"/>
                <w:szCs w:val="20"/>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5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5C"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EA5D"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EA5E" w14:textId="77777777" w:rsidR="00A74A1E" w:rsidRDefault="00807990">
            <w:pPr>
              <w:jc w:val="right"/>
              <w:textAlignment w:val="bottom"/>
            </w:pPr>
            <w:r>
              <w:rPr>
                <w:rFonts w:ascii="Arial" w:eastAsia="宋体" w:hAnsi="Arial" w:cs="Arial"/>
                <w:color w:val="000000"/>
                <w:sz w:val="20"/>
                <w:szCs w:val="20"/>
              </w:rPr>
              <w:t>709 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5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60"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EA61"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EA62" w14:textId="77777777" w:rsidR="00A74A1E" w:rsidRDefault="00807990">
            <w:pPr>
              <w:jc w:val="right"/>
              <w:textAlignment w:val="bottom"/>
            </w:pPr>
            <w:r>
              <w:rPr>
                <w:rFonts w:ascii="Arial" w:eastAsia="宋体" w:hAnsi="Arial" w:cs="Arial"/>
                <w:color w:val="000000"/>
                <w:sz w:val="20"/>
                <w:szCs w:val="20"/>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A63" w14:textId="77777777" w:rsidR="00A74A1E" w:rsidRDefault="00A74A1E">
            <w:pPr>
              <w:jc w:val="right"/>
              <w:rPr>
                <w:rFonts w:ascii="宋体"/>
              </w:rPr>
            </w:pPr>
          </w:p>
        </w:tc>
      </w:tr>
      <w:tr w:rsidR="00A74A1E" w14:paraId="1426EA6D" w14:textId="77777777">
        <w:trPr>
          <w:trHeight w:val="300"/>
          <w:jc w:val="center"/>
        </w:trPr>
        <w:tc>
          <w:tcPr>
            <w:tcW w:w="0" w:type="auto"/>
            <w:gridSpan w:val="3"/>
            <w:shd w:val="clear" w:color="auto" w:fill="CCEEFF"/>
            <w:tcMar>
              <w:top w:w="0" w:type="dxa"/>
              <w:left w:w="20" w:type="dxa"/>
              <w:bottom w:w="0" w:type="dxa"/>
              <w:right w:w="20" w:type="dxa"/>
            </w:tcMar>
          </w:tcPr>
          <w:p w14:paraId="1426EA65"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EA66"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67"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EA68"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69"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EA6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6B"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EA6C" w14:textId="77777777" w:rsidR="00A74A1E" w:rsidRDefault="00A74A1E">
            <w:pPr>
              <w:rPr>
                <w:rFonts w:ascii="宋体"/>
              </w:rPr>
            </w:pPr>
          </w:p>
        </w:tc>
      </w:tr>
      <w:tr w:rsidR="00A74A1E" w14:paraId="1426EA76" w14:textId="77777777">
        <w:trPr>
          <w:jc w:val="center"/>
        </w:trPr>
        <w:tc>
          <w:tcPr>
            <w:tcW w:w="0" w:type="auto"/>
            <w:gridSpan w:val="3"/>
            <w:shd w:val="clear" w:color="auto" w:fill="FFFFFF"/>
            <w:tcMar>
              <w:top w:w="40" w:type="dxa"/>
              <w:left w:w="20" w:type="dxa"/>
              <w:bottom w:w="40" w:type="dxa"/>
              <w:right w:w="20" w:type="dxa"/>
            </w:tcMar>
            <w:vAlign w:val="bottom"/>
          </w:tcPr>
          <w:p w14:paraId="1426EA6E" w14:textId="77777777" w:rsidR="00A74A1E" w:rsidRDefault="00807990">
            <w:pPr>
              <w:textAlignment w:val="bottom"/>
            </w:pPr>
            <w:r>
              <w:rPr>
                <w:rFonts w:ascii="Arial" w:eastAsia="宋体" w:hAnsi="Arial" w:cs="Arial"/>
                <w:color w:val="000000"/>
                <w:sz w:val="20"/>
                <w:szCs w:val="20"/>
              </w:rPr>
              <w:t>Earnings per share</w:t>
            </w:r>
          </w:p>
        </w:tc>
        <w:tc>
          <w:tcPr>
            <w:tcW w:w="0" w:type="auto"/>
            <w:gridSpan w:val="3"/>
            <w:shd w:val="clear" w:color="auto" w:fill="FFFFFF"/>
            <w:tcMar>
              <w:top w:w="0" w:type="dxa"/>
              <w:left w:w="20" w:type="dxa"/>
              <w:bottom w:w="0" w:type="dxa"/>
              <w:right w:w="20" w:type="dxa"/>
            </w:tcMar>
          </w:tcPr>
          <w:p w14:paraId="1426EA6F"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0"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2"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A75" w14:textId="77777777" w:rsidR="00A74A1E" w:rsidRDefault="00A74A1E">
            <w:pPr>
              <w:rPr>
                <w:rFonts w:ascii="宋体"/>
              </w:rPr>
            </w:pPr>
          </w:p>
        </w:tc>
      </w:tr>
      <w:tr w:rsidR="00A74A1E" w14:paraId="1426EA87" w14:textId="77777777">
        <w:trPr>
          <w:jc w:val="center"/>
        </w:trPr>
        <w:tc>
          <w:tcPr>
            <w:tcW w:w="0" w:type="auto"/>
            <w:gridSpan w:val="3"/>
            <w:shd w:val="clear" w:color="auto" w:fill="CCEEFF"/>
            <w:tcMar>
              <w:top w:w="40" w:type="dxa"/>
              <w:left w:w="360" w:type="dxa"/>
              <w:bottom w:w="40" w:type="dxa"/>
              <w:right w:w="20" w:type="dxa"/>
            </w:tcMar>
            <w:vAlign w:val="bottom"/>
          </w:tcPr>
          <w:p w14:paraId="1426EA77" w14:textId="77777777" w:rsidR="00A74A1E" w:rsidRDefault="00807990">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1426EA7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A79" w14:textId="77777777" w:rsidR="00A74A1E" w:rsidRDefault="00807990">
            <w:pPr>
              <w:jc w:val="right"/>
              <w:textAlignment w:val="bottom"/>
            </w:pPr>
            <w:r>
              <w:rPr>
                <w:rFonts w:ascii="Arial" w:eastAsia="宋体" w:hAnsi="Arial" w:cs="Arial"/>
                <w:color w:val="000000"/>
                <w:sz w:val="20"/>
                <w:szCs w:val="20"/>
              </w:rPr>
              <w:t>0.33 </w:t>
            </w:r>
          </w:p>
        </w:tc>
        <w:tc>
          <w:tcPr>
            <w:tcW w:w="0" w:type="auto"/>
            <w:shd w:val="clear" w:color="auto" w:fill="CCEEFF"/>
            <w:tcMar>
              <w:top w:w="40" w:type="dxa"/>
              <w:left w:w="0" w:type="dxa"/>
              <w:bottom w:w="40" w:type="dxa"/>
              <w:right w:w="20" w:type="dxa"/>
            </w:tcMar>
            <w:vAlign w:val="bottom"/>
          </w:tcPr>
          <w:p w14:paraId="1426EA7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7B"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A7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A7D" w14:textId="77777777" w:rsidR="00A74A1E" w:rsidRDefault="00807990">
            <w:pPr>
              <w:jc w:val="right"/>
              <w:textAlignment w:val="bottom"/>
            </w:pPr>
            <w:r>
              <w:rPr>
                <w:rFonts w:ascii="Arial" w:eastAsia="宋体" w:hAnsi="Arial" w:cs="Arial"/>
                <w:color w:val="000000"/>
                <w:sz w:val="20"/>
                <w:szCs w:val="20"/>
              </w:rPr>
              <w:t>0.11 </w:t>
            </w:r>
          </w:p>
        </w:tc>
        <w:tc>
          <w:tcPr>
            <w:tcW w:w="0" w:type="auto"/>
            <w:shd w:val="clear" w:color="auto" w:fill="CCEEFF"/>
            <w:tcMar>
              <w:top w:w="40" w:type="dxa"/>
              <w:left w:w="0" w:type="dxa"/>
              <w:bottom w:w="40" w:type="dxa"/>
              <w:right w:w="20" w:type="dxa"/>
            </w:tcMar>
            <w:vAlign w:val="bottom"/>
          </w:tcPr>
          <w:p w14:paraId="1426EA7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7F"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A8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A81" w14:textId="77777777" w:rsidR="00A74A1E" w:rsidRDefault="00807990">
            <w:pPr>
              <w:jc w:val="right"/>
              <w:textAlignment w:val="bottom"/>
            </w:pPr>
            <w:r>
              <w:rPr>
                <w:rFonts w:ascii="Arial" w:eastAsia="宋体" w:hAnsi="Arial" w:cs="Arial"/>
                <w:color w:val="000000"/>
                <w:sz w:val="20"/>
                <w:szCs w:val="20"/>
              </w:rPr>
              <w:t>0.60 </w:t>
            </w:r>
          </w:p>
        </w:tc>
        <w:tc>
          <w:tcPr>
            <w:tcW w:w="0" w:type="auto"/>
            <w:shd w:val="clear" w:color="auto" w:fill="CCEEFF"/>
            <w:tcMar>
              <w:top w:w="40" w:type="dxa"/>
              <w:left w:w="0" w:type="dxa"/>
              <w:bottom w:w="40" w:type="dxa"/>
              <w:right w:w="20" w:type="dxa"/>
            </w:tcMar>
            <w:vAlign w:val="bottom"/>
          </w:tcPr>
          <w:p w14:paraId="1426EA8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83"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A8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A85" w14:textId="77777777" w:rsidR="00A74A1E" w:rsidRDefault="00807990">
            <w:pPr>
              <w:jc w:val="right"/>
              <w:textAlignment w:val="bottom"/>
            </w:pPr>
            <w:r>
              <w:rPr>
                <w:rFonts w:ascii="Arial" w:eastAsia="宋体" w:hAnsi="Arial" w:cs="Arial"/>
                <w:color w:val="000000"/>
                <w:sz w:val="20"/>
                <w:szCs w:val="20"/>
              </w:rPr>
              <w:t>0.16 </w:t>
            </w:r>
          </w:p>
        </w:tc>
        <w:tc>
          <w:tcPr>
            <w:tcW w:w="0" w:type="auto"/>
            <w:shd w:val="clear" w:color="auto" w:fill="CCEEFF"/>
            <w:tcMar>
              <w:top w:w="40" w:type="dxa"/>
              <w:left w:w="0" w:type="dxa"/>
              <w:bottom w:w="40" w:type="dxa"/>
              <w:right w:w="20" w:type="dxa"/>
            </w:tcMar>
            <w:vAlign w:val="bottom"/>
          </w:tcPr>
          <w:p w14:paraId="1426EA86" w14:textId="77777777" w:rsidR="00A74A1E" w:rsidRDefault="00A74A1E">
            <w:pPr>
              <w:jc w:val="right"/>
              <w:rPr>
                <w:rFonts w:ascii="宋体"/>
              </w:rPr>
            </w:pPr>
          </w:p>
        </w:tc>
      </w:tr>
      <w:tr w:rsidR="00A74A1E" w14:paraId="1426EA98" w14:textId="77777777">
        <w:trPr>
          <w:jc w:val="center"/>
        </w:trPr>
        <w:tc>
          <w:tcPr>
            <w:tcW w:w="0" w:type="auto"/>
            <w:gridSpan w:val="3"/>
            <w:shd w:val="clear" w:color="auto" w:fill="FFFFFF"/>
            <w:tcMar>
              <w:top w:w="40" w:type="dxa"/>
              <w:left w:w="360" w:type="dxa"/>
              <w:bottom w:w="40" w:type="dxa"/>
              <w:right w:w="20" w:type="dxa"/>
            </w:tcMar>
            <w:vAlign w:val="bottom"/>
          </w:tcPr>
          <w:p w14:paraId="1426EA88" w14:textId="77777777" w:rsidR="00A74A1E" w:rsidRDefault="00807990">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1426EA8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A8A" w14:textId="77777777" w:rsidR="00A74A1E" w:rsidRDefault="00807990">
            <w:pPr>
              <w:jc w:val="right"/>
              <w:textAlignment w:val="bottom"/>
            </w:pPr>
            <w:r>
              <w:rPr>
                <w:rFonts w:ascii="Arial" w:eastAsia="宋体"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1426EA8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8C"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A8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A8E" w14:textId="77777777" w:rsidR="00A74A1E" w:rsidRDefault="00807990">
            <w:pPr>
              <w:jc w:val="right"/>
              <w:textAlignment w:val="bottom"/>
            </w:pPr>
            <w:r>
              <w:rPr>
                <w:rFonts w:ascii="Arial" w:eastAsia="宋体" w:hAnsi="Arial" w:cs="Arial"/>
                <w:color w:val="000000"/>
                <w:sz w:val="20"/>
                <w:szCs w:val="20"/>
              </w:rPr>
              <w:t>0.11 </w:t>
            </w:r>
          </w:p>
        </w:tc>
        <w:tc>
          <w:tcPr>
            <w:tcW w:w="0" w:type="auto"/>
            <w:shd w:val="clear" w:color="auto" w:fill="FFFFFF"/>
            <w:tcMar>
              <w:top w:w="40" w:type="dxa"/>
              <w:left w:w="0" w:type="dxa"/>
              <w:bottom w:w="40" w:type="dxa"/>
              <w:right w:w="20" w:type="dxa"/>
            </w:tcMar>
            <w:vAlign w:val="bottom"/>
          </w:tcPr>
          <w:p w14:paraId="1426EA8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90"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A9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A92" w14:textId="77777777" w:rsidR="00A74A1E" w:rsidRDefault="00807990">
            <w:pPr>
              <w:jc w:val="right"/>
              <w:textAlignment w:val="bottom"/>
            </w:pPr>
            <w:r>
              <w:rPr>
                <w:rFonts w:ascii="Arial" w:eastAsia="宋体" w:hAnsi="Arial" w:cs="Arial"/>
                <w:color w:val="000000"/>
                <w:sz w:val="20"/>
                <w:szCs w:val="20"/>
              </w:rPr>
              <w:t>0.59 </w:t>
            </w:r>
          </w:p>
        </w:tc>
        <w:tc>
          <w:tcPr>
            <w:tcW w:w="0" w:type="auto"/>
            <w:shd w:val="clear" w:color="auto" w:fill="FFFFFF"/>
            <w:tcMar>
              <w:top w:w="40" w:type="dxa"/>
              <w:left w:w="0" w:type="dxa"/>
              <w:bottom w:w="40" w:type="dxa"/>
              <w:right w:w="20" w:type="dxa"/>
            </w:tcMar>
            <w:vAlign w:val="bottom"/>
          </w:tcPr>
          <w:p w14:paraId="1426EA9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94"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A9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A96" w14:textId="77777777" w:rsidR="00A74A1E" w:rsidRDefault="00807990">
            <w:pPr>
              <w:jc w:val="right"/>
              <w:textAlignment w:val="bottom"/>
            </w:pPr>
            <w:r>
              <w:rPr>
                <w:rFonts w:ascii="Arial" w:eastAsia="宋体" w:hAnsi="Arial" w:cs="Arial"/>
                <w:color w:val="000000"/>
                <w:sz w:val="20"/>
                <w:szCs w:val="20"/>
              </w:rPr>
              <w:t>0.15 </w:t>
            </w:r>
          </w:p>
        </w:tc>
        <w:tc>
          <w:tcPr>
            <w:tcW w:w="0" w:type="auto"/>
            <w:shd w:val="clear" w:color="auto" w:fill="FFFFFF"/>
            <w:tcMar>
              <w:top w:w="40" w:type="dxa"/>
              <w:left w:w="0" w:type="dxa"/>
              <w:bottom w:w="40" w:type="dxa"/>
              <w:right w:w="20" w:type="dxa"/>
            </w:tcMar>
            <w:vAlign w:val="bottom"/>
          </w:tcPr>
          <w:p w14:paraId="1426EA97" w14:textId="77777777" w:rsidR="00A74A1E" w:rsidRDefault="00A74A1E">
            <w:pPr>
              <w:jc w:val="right"/>
              <w:rPr>
                <w:rFonts w:ascii="宋体"/>
              </w:rPr>
            </w:pPr>
          </w:p>
        </w:tc>
      </w:tr>
      <w:tr w:rsidR="00A74A1E" w14:paraId="1426EAA1" w14:textId="77777777">
        <w:trPr>
          <w:jc w:val="center"/>
        </w:trPr>
        <w:tc>
          <w:tcPr>
            <w:tcW w:w="0" w:type="auto"/>
            <w:gridSpan w:val="3"/>
            <w:shd w:val="clear" w:color="auto" w:fill="CCEEFF"/>
            <w:tcMar>
              <w:top w:w="40" w:type="dxa"/>
              <w:left w:w="20" w:type="dxa"/>
              <w:bottom w:w="40" w:type="dxa"/>
              <w:right w:w="20" w:type="dxa"/>
            </w:tcMar>
            <w:vAlign w:val="bottom"/>
          </w:tcPr>
          <w:p w14:paraId="1426EA99" w14:textId="77777777" w:rsidR="00A74A1E" w:rsidRDefault="00807990">
            <w:pPr>
              <w:textAlignment w:val="bottom"/>
            </w:pPr>
            <w:r>
              <w:rPr>
                <w:rFonts w:ascii="Arial" w:eastAsia="宋体" w:hAnsi="Arial" w:cs="Arial"/>
                <w:color w:val="000000"/>
                <w:sz w:val="20"/>
                <w:szCs w:val="20"/>
              </w:rPr>
              <w:t>Shares used in per share calculation</w:t>
            </w:r>
          </w:p>
        </w:tc>
        <w:tc>
          <w:tcPr>
            <w:tcW w:w="0" w:type="auto"/>
            <w:gridSpan w:val="3"/>
            <w:shd w:val="clear" w:color="auto" w:fill="CCEEFF"/>
            <w:tcMar>
              <w:top w:w="0" w:type="dxa"/>
              <w:left w:w="20" w:type="dxa"/>
              <w:bottom w:w="0" w:type="dxa"/>
              <w:right w:w="20" w:type="dxa"/>
            </w:tcMar>
          </w:tcPr>
          <w:p w14:paraId="1426EA9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9B"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9C"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9D"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9E"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9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AA0" w14:textId="77777777" w:rsidR="00A74A1E" w:rsidRDefault="00A74A1E">
            <w:pPr>
              <w:rPr>
                <w:rFonts w:ascii="宋体"/>
              </w:rPr>
            </w:pPr>
          </w:p>
        </w:tc>
      </w:tr>
      <w:tr w:rsidR="00A74A1E" w14:paraId="1426EAAE" w14:textId="77777777">
        <w:trPr>
          <w:jc w:val="center"/>
        </w:trPr>
        <w:tc>
          <w:tcPr>
            <w:tcW w:w="0" w:type="auto"/>
            <w:gridSpan w:val="3"/>
            <w:shd w:val="clear" w:color="auto" w:fill="FFFFFF"/>
            <w:tcMar>
              <w:top w:w="40" w:type="dxa"/>
              <w:left w:w="360" w:type="dxa"/>
              <w:bottom w:w="40" w:type="dxa"/>
              <w:right w:w="20" w:type="dxa"/>
            </w:tcMar>
            <w:vAlign w:val="bottom"/>
          </w:tcPr>
          <w:p w14:paraId="1426EAA2" w14:textId="77777777" w:rsidR="00A74A1E" w:rsidRDefault="00807990">
            <w:pPr>
              <w:textAlignment w:val="bottom"/>
            </w:pPr>
            <w:r>
              <w:rPr>
                <w:rFonts w:ascii="Arial" w:eastAsia="宋体" w:hAnsi="Arial" w:cs="Arial"/>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426EAA3" w14:textId="77777777" w:rsidR="00A74A1E" w:rsidRDefault="00807990">
            <w:pPr>
              <w:jc w:val="right"/>
              <w:textAlignment w:val="bottom"/>
            </w:pPr>
            <w:r>
              <w:rPr>
                <w:rFonts w:ascii="Arial" w:eastAsia="宋体" w:hAnsi="Arial" w:cs="Arial"/>
                <w:color w:val="000000"/>
                <w:sz w:val="20"/>
                <w:szCs w:val="20"/>
              </w:rPr>
              <w:t>1,184 </w:t>
            </w:r>
          </w:p>
        </w:tc>
        <w:tc>
          <w:tcPr>
            <w:tcW w:w="0" w:type="auto"/>
            <w:shd w:val="clear" w:color="auto" w:fill="FFFFFF"/>
            <w:tcMar>
              <w:top w:w="40" w:type="dxa"/>
              <w:left w:w="0" w:type="dxa"/>
              <w:bottom w:w="40" w:type="dxa"/>
              <w:right w:w="20" w:type="dxa"/>
            </w:tcMar>
            <w:vAlign w:val="bottom"/>
          </w:tcPr>
          <w:p w14:paraId="1426EAA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A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A6" w14:textId="77777777" w:rsidR="00A74A1E" w:rsidRDefault="00807990">
            <w:pPr>
              <w:jc w:val="right"/>
              <w:textAlignment w:val="bottom"/>
            </w:pPr>
            <w:r>
              <w:rPr>
                <w:rFonts w:ascii="Arial" w:eastAsia="宋体" w:hAnsi="Arial" w:cs="Arial"/>
                <w:color w:val="000000"/>
                <w:sz w:val="20"/>
                <w:szCs w:val="20"/>
              </w:rPr>
              <w:t>1,097 </w:t>
            </w:r>
          </w:p>
        </w:tc>
        <w:tc>
          <w:tcPr>
            <w:tcW w:w="0" w:type="auto"/>
            <w:shd w:val="clear" w:color="auto" w:fill="FFFFFF"/>
            <w:tcMar>
              <w:top w:w="40" w:type="dxa"/>
              <w:left w:w="0" w:type="dxa"/>
              <w:bottom w:w="40" w:type="dxa"/>
              <w:right w:w="20" w:type="dxa"/>
            </w:tcMar>
            <w:vAlign w:val="bottom"/>
          </w:tcPr>
          <w:p w14:paraId="1426EAA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A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A9" w14:textId="77777777" w:rsidR="00A74A1E" w:rsidRDefault="00807990">
            <w:pPr>
              <w:jc w:val="right"/>
              <w:textAlignment w:val="bottom"/>
            </w:pPr>
            <w:r>
              <w:rPr>
                <w:rFonts w:ascii="Arial" w:eastAsia="宋体" w:hAnsi="Arial" w:cs="Arial"/>
                <w:color w:val="000000"/>
                <w:sz w:val="20"/>
                <w:szCs w:val="20"/>
              </w:rPr>
              <w:t>1,176 </w:t>
            </w:r>
          </w:p>
        </w:tc>
        <w:tc>
          <w:tcPr>
            <w:tcW w:w="0" w:type="auto"/>
            <w:shd w:val="clear" w:color="auto" w:fill="FFFFFF"/>
            <w:tcMar>
              <w:top w:w="40" w:type="dxa"/>
              <w:left w:w="0" w:type="dxa"/>
              <w:bottom w:w="40" w:type="dxa"/>
              <w:right w:w="20" w:type="dxa"/>
            </w:tcMar>
            <w:vAlign w:val="bottom"/>
          </w:tcPr>
          <w:p w14:paraId="1426EAA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AA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AAC" w14:textId="77777777" w:rsidR="00A74A1E" w:rsidRDefault="00807990">
            <w:pPr>
              <w:jc w:val="right"/>
              <w:textAlignment w:val="bottom"/>
            </w:pPr>
            <w:r>
              <w:rPr>
                <w:rFonts w:ascii="Arial" w:eastAsia="宋体" w:hAnsi="Arial" w:cs="Arial"/>
                <w:color w:val="000000"/>
                <w:sz w:val="20"/>
                <w:szCs w:val="20"/>
              </w:rPr>
              <w:t>1,075 </w:t>
            </w:r>
          </w:p>
        </w:tc>
        <w:tc>
          <w:tcPr>
            <w:tcW w:w="0" w:type="auto"/>
            <w:shd w:val="clear" w:color="auto" w:fill="FFFFFF"/>
            <w:tcMar>
              <w:top w:w="40" w:type="dxa"/>
              <w:left w:w="0" w:type="dxa"/>
              <w:bottom w:w="40" w:type="dxa"/>
              <w:right w:w="20" w:type="dxa"/>
            </w:tcMar>
            <w:vAlign w:val="bottom"/>
          </w:tcPr>
          <w:p w14:paraId="1426EAAD" w14:textId="77777777" w:rsidR="00A74A1E" w:rsidRDefault="00A74A1E">
            <w:pPr>
              <w:jc w:val="right"/>
              <w:rPr>
                <w:rFonts w:ascii="宋体"/>
              </w:rPr>
            </w:pPr>
          </w:p>
        </w:tc>
      </w:tr>
      <w:tr w:rsidR="00A74A1E" w14:paraId="1426EABB" w14:textId="77777777">
        <w:trPr>
          <w:jc w:val="center"/>
        </w:trPr>
        <w:tc>
          <w:tcPr>
            <w:tcW w:w="0" w:type="auto"/>
            <w:gridSpan w:val="3"/>
            <w:shd w:val="clear" w:color="auto" w:fill="CCEEFF"/>
            <w:tcMar>
              <w:top w:w="40" w:type="dxa"/>
              <w:left w:w="360" w:type="dxa"/>
              <w:bottom w:w="40" w:type="dxa"/>
              <w:right w:w="20" w:type="dxa"/>
            </w:tcMar>
            <w:vAlign w:val="bottom"/>
          </w:tcPr>
          <w:p w14:paraId="1426EAAF" w14:textId="77777777" w:rsidR="00A74A1E" w:rsidRDefault="00807990">
            <w:pPr>
              <w:textAlignment w:val="bottom"/>
            </w:pPr>
            <w:r>
              <w:rPr>
                <w:rFonts w:ascii="Arial" w:eastAsia="宋体" w:hAnsi="Arial" w:cs="Arial"/>
                <w:color w:val="000000"/>
                <w:sz w:val="20"/>
                <w:szCs w:val="20"/>
              </w:rPr>
              <w:t>Diluted</w:t>
            </w:r>
          </w:p>
        </w:tc>
        <w:tc>
          <w:tcPr>
            <w:tcW w:w="0" w:type="auto"/>
            <w:gridSpan w:val="2"/>
            <w:shd w:val="clear" w:color="auto" w:fill="CCEEFF"/>
            <w:tcMar>
              <w:top w:w="40" w:type="dxa"/>
              <w:left w:w="20" w:type="dxa"/>
              <w:bottom w:w="40" w:type="dxa"/>
              <w:right w:w="0" w:type="dxa"/>
            </w:tcMar>
            <w:vAlign w:val="bottom"/>
          </w:tcPr>
          <w:p w14:paraId="1426EAB0" w14:textId="77777777" w:rsidR="00A74A1E" w:rsidRDefault="00807990">
            <w:pPr>
              <w:jc w:val="right"/>
              <w:textAlignment w:val="bottom"/>
            </w:pPr>
            <w:r>
              <w:rPr>
                <w:rFonts w:ascii="Arial" w:eastAsia="宋体" w:hAnsi="Arial" w:cs="Arial"/>
                <w:color w:val="000000"/>
                <w:sz w:val="20"/>
                <w:szCs w:val="20"/>
              </w:rPr>
              <w:t>1,215 </w:t>
            </w:r>
          </w:p>
        </w:tc>
        <w:tc>
          <w:tcPr>
            <w:tcW w:w="0" w:type="auto"/>
            <w:shd w:val="clear" w:color="auto" w:fill="CCEEFF"/>
            <w:tcMar>
              <w:top w:w="40" w:type="dxa"/>
              <w:left w:w="0" w:type="dxa"/>
              <w:bottom w:w="40" w:type="dxa"/>
              <w:right w:w="20" w:type="dxa"/>
            </w:tcMar>
            <w:vAlign w:val="bottom"/>
          </w:tcPr>
          <w:p w14:paraId="1426EAB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B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B3" w14:textId="77777777" w:rsidR="00A74A1E" w:rsidRDefault="00807990">
            <w:pPr>
              <w:jc w:val="right"/>
              <w:textAlignment w:val="bottom"/>
            </w:pPr>
            <w:r>
              <w:rPr>
                <w:rFonts w:ascii="Arial" w:eastAsia="宋体" w:hAnsi="Arial" w:cs="Arial"/>
                <w:color w:val="000000"/>
                <w:sz w:val="20"/>
                <w:szCs w:val="20"/>
              </w:rPr>
              <w:t>1,117 </w:t>
            </w:r>
          </w:p>
        </w:tc>
        <w:tc>
          <w:tcPr>
            <w:tcW w:w="0" w:type="auto"/>
            <w:shd w:val="clear" w:color="auto" w:fill="CCEEFF"/>
            <w:tcMar>
              <w:top w:w="40" w:type="dxa"/>
              <w:left w:w="0" w:type="dxa"/>
              <w:bottom w:w="40" w:type="dxa"/>
              <w:right w:w="20" w:type="dxa"/>
            </w:tcMar>
            <w:vAlign w:val="bottom"/>
          </w:tcPr>
          <w:p w14:paraId="1426EAB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B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B6" w14:textId="77777777" w:rsidR="00A74A1E" w:rsidRDefault="00807990">
            <w:pPr>
              <w:jc w:val="right"/>
              <w:textAlignment w:val="bottom"/>
            </w:pPr>
            <w:r>
              <w:rPr>
                <w:rFonts w:ascii="Arial" w:eastAsia="宋体" w:hAnsi="Arial" w:cs="Arial"/>
                <w:color w:val="000000"/>
                <w:sz w:val="20"/>
                <w:szCs w:val="20"/>
              </w:rPr>
              <w:t>1,208 </w:t>
            </w:r>
          </w:p>
        </w:tc>
        <w:tc>
          <w:tcPr>
            <w:tcW w:w="0" w:type="auto"/>
            <w:shd w:val="clear" w:color="auto" w:fill="CCEEFF"/>
            <w:tcMar>
              <w:top w:w="40" w:type="dxa"/>
              <w:left w:w="0" w:type="dxa"/>
              <w:bottom w:w="40" w:type="dxa"/>
              <w:right w:w="20" w:type="dxa"/>
            </w:tcMar>
            <w:vAlign w:val="bottom"/>
          </w:tcPr>
          <w:p w14:paraId="1426EAB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AB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AB9" w14:textId="77777777" w:rsidR="00A74A1E" w:rsidRDefault="00807990">
            <w:pPr>
              <w:jc w:val="right"/>
              <w:textAlignment w:val="bottom"/>
            </w:pPr>
            <w:r>
              <w:rPr>
                <w:rFonts w:ascii="Arial" w:eastAsia="宋体" w:hAnsi="Arial" w:cs="Arial"/>
                <w:color w:val="000000"/>
                <w:sz w:val="20"/>
                <w:szCs w:val="20"/>
              </w:rPr>
              <w:t>1,107 </w:t>
            </w:r>
          </w:p>
        </w:tc>
        <w:tc>
          <w:tcPr>
            <w:tcW w:w="0" w:type="auto"/>
            <w:shd w:val="clear" w:color="auto" w:fill="CCEEFF"/>
            <w:tcMar>
              <w:top w:w="40" w:type="dxa"/>
              <w:left w:w="0" w:type="dxa"/>
              <w:bottom w:w="40" w:type="dxa"/>
              <w:right w:w="20" w:type="dxa"/>
            </w:tcMar>
            <w:vAlign w:val="bottom"/>
          </w:tcPr>
          <w:p w14:paraId="1426EABA" w14:textId="77777777" w:rsidR="00A74A1E" w:rsidRDefault="00A74A1E">
            <w:pPr>
              <w:jc w:val="right"/>
              <w:rPr>
                <w:rFonts w:ascii="宋体"/>
              </w:rPr>
            </w:pPr>
          </w:p>
        </w:tc>
      </w:tr>
      <w:tr w:rsidR="00A74A1E" w14:paraId="1426EAC4" w14:textId="77777777">
        <w:trPr>
          <w:jc w:val="center"/>
          <w:hidden/>
        </w:trPr>
        <w:tc>
          <w:tcPr>
            <w:tcW w:w="0" w:type="auto"/>
            <w:gridSpan w:val="3"/>
            <w:shd w:val="clear" w:color="auto" w:fill="auto"/>
          </w:tcPr>
          <w:p w14:paraId="1426EABC" w14:textId="77777777" w:rsidR="00A74A1E" w:rsidRDefault="00A74A1E">
            <w:pPr>
              <w:rPr>
                <w:rFonts w:ascii="宋体"/>
                <w:vanish/>
              </w:rPr>
            </w:pPr>
          </w:p>
        </w:tc>
        <w:tc>
          <w:tcPr>
            <w:tcW w:w="0" w:type="auto"/>
            <w:gridSpan w:val="3"/>
            <w:shd w:val="clear" w:color="auto" w:fill="auto"/>
          </w:tcPr>
          <w:p w14:paraId="1426EABD" w14:textId="77777777" w:rsidR="00A74A1E" w:rsidRDefault="00A74A1E">
            <w:pPr>
              <w:rPr>
                <w:rFonts w:ascii="宋体"/>
                <w:vanish/>
              </w:rPr>
            </w:pPr>
          </w:p>
        </w:tc>
        <w:tc>
          <w:tcPr>
            <w:tcW w:w="0" w:type="auto"/>
            <w:gridSpan w:val="3"/>
            <w:shd w:val="clear" w:color="auto" w:fill="auto"/>
          </w:tcPr>
          <w:p w14:paraId="1426EABE" w14:textId="77777777" w:rsidR="00A74A1E" w:rsidRDefault="00A74A1E">
            <w:pPr>
              <w:rPr>
                <w:rFonts w:ascii="宋体"/>
                <w:vanish/>
              </w:rPr>
            </w:pPr>
          </w:p>
        </w:tc>
        <w:tc>
          <w:tcPr>
            <w:tcW w:w="0" w:type="auto"/>
            <w:gridSpan w:val="3"/>
            <w:shd w:val="clear" w:color="auto" w:fill="auto"/>
          </w:tcPr>
          <w:p w14:paraId="1426EABF" w14:textId="77777777" w:rsidR="00A74A1E" w:rsidRDefault="00A74A1E">
            <w:pPr>
              <w:rPr>
                <w:rFonts w:ascii="宋体"/>
                <w:vanish/>
              </w:rPr>
            </w:pPr>
          </w:p>
        </w:tc>
        <w:tc>
          <w:tcPr>
            <w:tcW w:w="0" w:type="auto"/>
            <w:gridSpan w:val="3"/>
            <w:shd w:val="clear" w:color="auto" w:fill="auto"/>
          </w:tcPr>
          <w:p w14:paraId="1426EAC0" w14:textId="77777777" w:rsidR="00A74A1E" w:rsidRDefault="00A74A1E">
            <w:pPr>
              <w:rPr>
                <w:rFonts w:ascii="宋体"/>
                <w:vanish/>
              </w:rPr>
            </w:pPr>
          </w:p>
        </w:tc>
        <w:tc>
          <w:tcPr>
            <w:tcW w:w="0" w:type="auto"/>
            <w:gridSpan w:val="3"/>
            <w:shd w:val="clear" w:color="auto" w:fill="auto"/>
          </w:tcPr>
          <w:p w14:paraId="1426EAC1" w14:textId="77777777" w:rsidR="00A74A1E" w:rsidRDefault="00A74A1E">
            <w:pPr>
              <w:rPr>
                <w:rFonts w:ascii="宋体"/>
                <w:vanish/>
              </w:rPr>
            </w:pPr>
          </w:p>
        </w:tc>
        <w:tc>
          <w:tcPr>
            <w:tcW w:w="0" w:type="auto"/>
            <w:gridSpan w:val="3"/>
            <w:shd w:val="clear" w:color="auto" w:fill="auto"/>
          </w:tcPr>
          <w:p w14:paraId="1426EAC2" w14:textId="77777777" w:rsidR="00A74A1E" w:rsidRDefault="00A74A1E">
            <w:pPr>
              <w:rPr>
                <w:rFonts w:ascii="宋体"/>
                <w:vanish/>
              </w:rPr>
            </w:pPr>
          </w:p>
        </w:tc>
        <w:tc>
          <w:tcPr>
            <w:tcW w:w="0" w:type="auto"/>
            <w:gridSpan w:val="3"/>
            <w:shd w:val="clear" w:color="auto" w:fill="auto"/>
          </w:tcPr>
          <w:p w14:paraId="1426EAC3" w14:textId="77777777" w:rsidR="00A74A1E" w:rsidRDefault="00A74A1E">
            <w:pPr>
              <w:rPr>
                <w:rFonts w:ascii="宋体"/>
                <w:vanish/>
              </w:rPr>
            </w:pPr>
          </w:p>
        </w:tc>
      </w:tr>
      <w:tr w:rsidR="00A74A1E" w14:paraId="1426EACD" w14:textId="77777777">
        <w:trPr>
          <w:jc w:val="center"/>
          <w:hidden/>
        </w:trPr>
        <w:tc>
          <w:tcPr>
            <w:tcW w:w="0" w:type="auto"/>
            <w:gridSpan w:val="3"/>
            <w:shd w:val="clear" w:color="auto" w:fill="auto"/>
          </w:tcPr>
          <w:p w14:paraId="1426EAC5" w14:textId="77777777" w:rsidR="00A74A1E" w:rsidRDefault="00A74A1E">
            <w:pPr>
              <w:rPr>
                <w:rFonts w:ascii="宋体"/>
                <w:vanish/>
              </w:rPr>
            </w:pPr>
          </w:p>
        </w:tc>
        <w:tc>
          <w:tcPr>
            <w:tcW w:w="0" w:type="auto"/>
            <w:gridSpan w:val="3"/>
            <w:shd w:val="clear" w:color="auto" w:fill="auto"/>
          </w:tcPr>
          <w:p w14:paraId="1426EAC6" w14:textId="77777777" w:rsidR="00A74A1E" w:rsidRDefault="00A74A1E">
            <w:pPr>
              <w:rPr>
                <w:rFonts w:ascii="宋体"/>
                <w:vanish/>
              </w:rPr>
            </w:pPr>
          </w:p>
        </w:tc>
        <w:tc>
          <w:tcPr>
            <w:tcW w:w="0" w:type="auto"/>
            <w:gridSpan w:val="3"/>
            <w:shd w:val="clear" w:color="auto" w:fill="auto"/>
          </w:tcPr>
          <w:p w14:paraId="1426EAC7" w14:textId="77777777" w:rsidR="00A74A1E" w:rsidRDefault="00A74A1E">
            <w:pPr>
              <w:rPr>
                <w:rFonts w:ascii="宋体"/>
                <w:vanish/>
              </w:rPr>
            </w:pPr>
          </w:p>
        </w:tc>
        <w:tc>
          <w:tcPr>
            <w:tcW w:w="0" w:type="auto"/>
            <w:gridSpan w:val="3"/>
            <w:shd w:val="clear" w:color="auto" w:fill="auto"/>
          </w:tcPr>
          <w:p w14:paraId="1426EAC8" w14:textId="77777777" w:rsidR="00A74A1E" w:rsidRDefault="00A74A1E">
            <w:pPr>
              <w:rPr>
                <w:rFonts w:ascii="宋体"/>
                <w:vanish/>
              </w:rPr>
            </w:pPr>
          </w:p>
        </w:tc>
        <w:tc>
          <w:tcPr>
            <w:tcW w:w="0" w:type="auto"/>
            <w:gridSpan w:val="3"/>
            <w:shd w:val="clear" w:color="auto" w:fill="auto"/>
          </w:tcPr>
          <w:p w14:paraId="1426EAC9" w14:textId="77777777" w:rsidR="00A74A1E" w:rsidRDefault="00A74A1E">
            <w:pPr>
              <w:rPr>
                <w:rFonts w:ascii="宋体"/>
                <w:vanish/>
              </w:rPr>
            </w:pPr>
          </w:p>
        </w:tc>
        <w:tc>
          <w:tcPr>
            <w:tcW w:w="0" w:type="auto"/>
            <w:gridSpan w:val="3"/>
            <w:shd w:val="clear" w:color="auto" w:fill="auto"/>
          </w:tcPr>
          <w:p w14:paraId="1426EACA" w14:textId="77777777" w:rsidR="00A74A1E" w:rsidRDefault="00A74A1E">
            <w:pPr>
              <w:rPr>
                <w:rFonts w:ascii="宋体"/>
                <w:vanish/>
              </w:rPr>
            </w:pPr>
          </w:p>
        </w:tc>
        <w:tc>
          <w:tcPr>
            <w:tcW w:w="0" w:type="auto"/>
            <w:gridSpan w:val="3"/>
            <w:shd w:val="clear" w:color="auto" w:fill="auto"/>
          </w:tcPr>
          <w:p w14:paraId="1426EACB" w14:textId="77777777" w:rsidR="00A74A1E" w:rsidRDefault="00A74A1E">
            <w:pPr>
              <w:rPr>
                <w:rFonts w:ascii="宋体"/>
                <w:vanish/>
              </w:rPr>
            </w:pPr>
          </w:p>
        </w:tc>
        <w:tc>
          <w:tcPr>
            <w:tcW w:w="0" w:type="auto"/>
            <w:gridSpan w:val="3"/>
            <w:shd w:val="clear" w:color="auto" w:fill="auto"/>
          </w:tcPr>
          <w:p w14:paraId="1426EACC" w14:textId="77777777" w:rsidR="00A74A1E" w:rsidRDefault="00A74A1E">
            <w:pPr>
              <w:rPr>
                <w:rFonts w:ascii="宋体"/>
                <w:vanish/>
              </w:rPr>
            </w:pPr>
          </w:p>
        </w:tc>
      </w:tr>
      <w:tr w:rsidR="00A74A1E" w14:paraId="1426EAD6" w14:textId="77777777">
        <w:trPr>
          <w:jc w:val="center"/>
          <w:hidden/>
        </w:trPr>
        <w:tc>
          <w:tcPr>
            <w:tcW w:w="0" w:type="auto"/>
            <w:gridSpan w:val="3"/>
            <w:shd w:val="clear" w:color="auto" w:fill="auto"/>
          </w:tcPr>
          <w:p w14:paraId="1426EACE" w14:textId="77777777" w:rsidR="00A74A1E" w:rsidRDefault="00A74A1E">
            <w:pPr>
              <w:rPr>
                <w:rFonts w:ascii="宋体"/>
                <w:vanish/>
              </w:rPr>
            </w:pPr>
          </w:p>
        </w:tc>
        <w:tc>
          <w:tcPr>
            <w:tcW w:w="0" w:type="auto"/>
            <w:gridSpan w:val="3"/>
            <w:shd w:val="clear" w:color="auto" w:fill="auto"/>
          </w:tcPr>
          <w:p w14:paraId="1426EACF" w14:textId="77777777" w:rsidR="00A74A1E" w:rsidRDefault="00A74A1E">
            <w:pPr>
              <w:rPr>
                <w:rFonts w:ascii="宋体"/>
                <w:vanish/>
              </w:rPr>
            </w:pPr>
          </w:p>
        </w:tc>
        <w:tc>
          <w:tcPr>
            <w:tcW w:w="0" w:type="auto"/>
            <w:gridSpan w:val="3"/>
            <w:shd w:val="clear" w:color="auto" w:fill="auto"/>
          </w:tcPr>
          <w:p w14:paraId="1426EAD0" w14:textId="77777777" w:rsidR="00A74A1E" w:rsidRDefault="00A74A1E">
            <w:pPr>
              <w:rPr>
                <w:rFonts w:ascii="宋体"/>
                <w:vanish/>
              </w:rPr>
            </w:pPr>
          </w:p>
        </w:tc>
        <w:tc>
          <w:tcPr>
            <w:tcW w:w="0" w:type="auto"/>
            <w:gridSpan w:val="3"/>
            <w:shd w:val="clear" w:color="auto" w:fill="auto"/>
          </w:tcPr>
          <w:p w14:paraId="1426EAD1" w14:textId="77777777" w:rsidR="00A74A1E" w:rsidRDefault="00A74A1E">
            <w:pPr>
              <w:rPr>
                <w:rFonts w:ascii="宋体"/>
                <w:vanish/>
              </w:rPr>
            </w:pPr>
          </w:p>
        </w:tc>
        <w:tc>
          <w:tcPr>
            <w:tcW w:w="0" w:type="auto"/>
            <w:gridSpan w:val="3"/>
            <w:shd w:val="clear" w:color="auto" w:fill="auto"/>
          </w:tcPr>
          <w:p w14:paraId="1426EAD2" w14:textId="77777777" w:rsidR="00A74A1E" w:rsidRDefault="00A74A1E">
            <w:pPr>
              <w:rPr>
                <w:rFonts w:ascii="宋体"/>
                <w:vanish/>
              </w:rPr>
            </w:pPr>
          </w:p>
        </w:tc>
        <w:tc>
          <w:tcPr>
            <w:tcW w:w="0" w:type="auto"/>
            <w:gridSpan w:val="3"/>
            <w:shd w:val="clear" w:color="auto" w:fill="auto"/>
          </w:tcPr>
          <w:p w14:paraId="1426EAD3" w14:textId="77777777" w:rsidR="00A74A1E" w:rsidRDefault="00A74A1E">
            <w:pPr>
              <w:rPr>
                <w:rFonts w:ascii="宋体"/>
                <w:vanish/>
              </w:rPr>
            </w:pPr>
          </w:p>
        </w:tc>
        <w:tc>
          <w:tcPr>
            <w:tcW w:w="0" w:type="auto"/>
            <w:gridSpan w:val="3"/>
            <w:shd w:val="clear" w:color="auto" w:fill="auto"/>
          </w:tcPr>
          <w:p w14:paraId="1426EAD4" w14:textId="77777777" w:rsidR="00A74A1E" w:rsidRDefault="00A74A1E">
            <w:pPr>
              <w:rPr>
                <w:rFonts w:ascii="宋体"/>
                <w:vanish/>
              </w:rPr>
            </w:pPr>
          </w:p>
        </w:tc>
        <w:tc>
          <w:tcPr>
            <w:tcW w:w="0" w:type="auto"/>
            <w:gridSpan w:val="3"/>
            <w:shd w:val="clear" w:color="auto" w:fill="auto"/>
          </w:tcPr>
          <w:p w14:paraId="1426EAD5" w14:textId="77777777" w:rsidR="00A74A1E" w:rsidRDefault="00A74A1E">
            <w:pPr>
              <w:rPr>
                <w:rFonts w:ascii="宋体"/>
                <w:vanish/>
              </w:rPr>
            </w:pPr>
          </w:p>
        </w:tc>
      </w:tr>
      <w:tr w:rsidR="00A74A1E" w14:paraId="1426EADF" w14:textId="77777777">
        <w:trPr>
          <w:jc w:val="center"/>
          <w:hidden/>
        </w:trPr>
        <w:tc>
          <w:tcPr>
            <w:tcW w:w="0" w:type="auto"/>
            <w:gridSpan w:val="3"/>
            <w:shd w:val="clear" w:color="auto" w:fill="auto"/>
          </w:tcPr>
          <w:p w14:paraId="1426EAD7" w14:textId="77777777" w:rsidR="00A74A1E" w:rsidRDefault="00A74A1E">
            <w:pPr>
              <w:rPr>
                <w:rFonts w:ascii="宋体"/>
                <w:vanish/>
              </w:rPr>
            </w:pPr>
          </w:p>
        </w:tc>
        <w:tc>
          <w:tcPr>
            <w:tcW w:w="0" w:type="auto"/>
            <w:gridSpan w:val="3"/>
            <w:shd w:val="clear" w:color="auto" w:fill="auto"/>
          </w:tcPr>
          <w:p w14:paraId="1426EAD8" w14:textId="77777777" w:rsidR="00A74A1E" w:rsidRDefault="00A74A1E">
            <w:pPr>
              <w:rPr>
                <w:rFonts w:ascii="宋体"/>
                <w:vanish/>
              </w:rPr>
            </w:pPr>
          </w:p>
        </w:tc>
        <w:tc>
          <w:tcPr>
            <w:tcW w:w="0" w:type="auto"/>
            <w:gridSpan w:val="3"/>
            <w:shd w:val="clear" w:color="auto" w:fill="auto"/>
          </w:tcPr>
          <w:p w14:paraId="1426EAD9" w14:textId="77777777" w:rsidR="00A74A1E" w:rsidRDefault="00A74A1E">
            <w:pPr>
              <w:rPr>
                <w:rFonts w:ascii="宋体"/>
                <w:vanish/>
              </w:rPr>
            </w:pPr>
          </w:p>
        </w:tc>
        <w:tc>
          <w:tcPr>
            <w:tcW w:w="0" w:type="auto"/>
            <w:gridSpan w:val="3"/>
            <w:shd w:val="clear" w:color="auto" w:fill="auto"/>
          </w:tcPr>
          <w:p w14:paraId="1426EADA" w14:textId="77777777" w:rsidR="00A74A1E" w:rsidRDefault="00A74A1E">
            <w:pPr>
              <w:rPr>
                <w:rFonts w:ascii="宋体"/>
                <w:vanish/>
              </w:rPr>
            </w:pPr>
          </w:p>
        </w:tc>
        <w:tc>
          <w:tcPr>
            <w:tcW w:w="0" w:type="auto"/>
            <w:gridSpan w:val="3"/>
            <w:shd w:val="clear" w:color="auto" w:fill="auto"/>
          </w:tcPr>
          <w:p w14:paraId="1426EADB" w14:textId="77777777" w:rsidR="00A74A1E" w:rsidRDefault="00A74A1E">
            <w:pPr>
              <w:rPr>
                <w:rFonts w:ascii="宋体"/>
                <w:vanish/>
              </w:rPr>
            </w:pPr>
          </w:p>
        </w:tc>
        <w:tc>
          <w:tcPr>
            <w:tcW w:w="0" w:type="auto"/>
            <w:gridSpan w:val="3"/>
            <w:shd w:val="clear" w:color="auto" w:fill="auto"/>
          </w:tcPr>
          <w:p w14:paraId="1426EADC" w14:textId="77777777" w:rsidR="00A74A1E" w:rsidRDefault="00A74A1E">
            <w:pPr>
              <w:rPr>
                <w:rFonts w:ascii="宋体"/>
                <w:vanish/>
              </w:rPr>
            </w:pPr>
          </w:p>
        </w:tc>
        <w:tc>
          <w:tcPr>
            <w:tcW w:w="0" w:type="auto"/>
            <w:gridSpan w:val="3"/>
            <w:shd w:val="clear" w:color="auto" w:fill="auto"/>
          </w:tcPr>
          <w:p w14:paraId="1426EADD" w14:textId="77777777" w:rsidR="00A74A1E" w:rsidRDefault="00A74A1E">
            <w:pPr>
              <w:rPr>
                <w:rFonts w:ascii="宋体"/>
                <w:vanish/>
              </w:rPr>
            </w:pPr>
          </w:p>
        </w:tc>
        <w:tc>
          <w:tcPr>
            <w:tcW w:w="0" w:type="auto"/>
            <w:gridSpan w:val="3"/>
            <w:shd w:val="clear" w:color="auto" w:fill="auto"/>
          </w:tcPr>
          <w:p w14:paraId="1426EADE" w14:textId="77777777" w:rsidR="00A74A1E" w:rsidRDefault="00A74A1E">
            <w:pPr>
              <w:rPr>
                <w:rFonts w:ascii="宋体"/>
                <w:vanish/>
              </w:rPr>
            </w:pPr>
          </w:p>
        </w:tc>
      </w:tr>
      <w:tr w:rsidR="00A74A1E" w14:paraId="1426EAE8" w14:textId="77777777">
        <w:trPr>
          <w:jc w:val="center"/>
          <w:hidden/>
        </w:trPr>
        <w:tc>
          <w:tcPr>
            <w:tcW w:w="0" w:type="auto"/>
            <w:gridSpan w:val="3"/>
            <w:shd w:val="clear" w:color="auto" w:fill="auto"/>
          </w:tcPr>
          <w:p w14:paraId="1426EAE0" w14:textId="77777777" w:rsidR="00A74A1E" w:rsidRDefault="00A74A1E">
            <w:pPr>
              <w:rPr>
                <w:rFonts w:ascii="宋体"/>
                <w:vanish/>
              </w:rPr>
            </w:pPr>
          </w:p>
        </w:tc>
        <w:tc>
          <w:tcPr>
            <w:tcW w:w="0" w:type="auto"/>
            <w:gridSpan w:val="3"/>
            <w:shd w:val="clear" w:color="auto" w:fill="auto"/>
          </w:tcPr>
          <w:p w14:paraId="1426EAE1" w14:textId="77777777" w:rsidR="00A74A1E" w:rsidRDefault="00A74A1E">
            <w:pPr>
              <w:rPr>
                <w:rFonts w:ascii="宋体"/>
                <w:vanish/>
              </w:rPr>
            </w:pPr>
          </w:p>
        </w:tc>
        <w:tc>
          <w:tcPr>
            <w:tcW w:w="0" w:type="auto"/>
            <w:gridSpan w:val="3"/>
            <w:shd w:val="clear" w:color="auto" w:fill="auto"/>
          </w:tcPr>
          <w:p w14:paraId="1426EAE2" w14:textId="77777777" w:rsidR="00A74A1E" w:rsidRDefault="00A74A1E">
            <w:pPr>
              <w:rPr>
                <w:rFonts w:ascii="宋体"/>
                <w:vanish/>
              </w:rPr>
            </w:pPr>
          </w:p>
        </w:tc>
        <w:tc>
          <w:tcPr>
            <w:tcW w:w="0" w:type="auto"/>
            <w:gridSpan w:val="3"/>
            <w:shd w:val="clear" w:color="auto" w:fill="auto"/>
          </w:tcPr>
          <w:p w14:paraId="1426EAE3" w14:textId="77777777" w:rsidR="00A74A1E" w:rsidRDefault="00A74A1E">
            <w:pPr>
              <w:rPr>
                <w:rFonts w:ascii="宋体"/>
                <w:vanish/>
              </w:rPr>
            </w:pPr>
          </w:p>
        </w:tc>
        <w:tc>
          <w:tcPr>
            <w:tcW w:w="0" w:type="auto"/>
            <w:gridSpan w:val="3"/>
            <w:shd w:val="clear" w:color="auto" w:fill="auto"/>
          </w:tcPr>
          <w:p w14:paraId="1426EAE4" w14:textId="77777777" w:rsidR="00A74A1E" w:rsidRDefault="00A74A1E">
            <w:pPr>
              <w:rPr>
                <w:rFonts w:ascii="宋体"/>
                <w:vanish/>
              </w:rPr>
            </w:pPr>
          </w:p>
        </w:tc>
        <w:tc>
          <w:tcPr>
            <w:tcW w:w="0" w:type="auto"/>
            <w:gridSpan w:val="3"/>
            <w:shd w:val="clear" w:color="auto" w:fill="auto"/>
          </w:tcPr>
          <w:p w14:paraId="1426EAE5" w14:textId="77777777" w:rsidR="00A74A1E" w:rsidRDefault="00A74A1E">
            <w:pPr>
              <w:rPr>
                <w:rFonts w:ascii="宋体"/>
                <w:vanish/>
              </w:rPr>
            </w:pPr>
          </w:p>
        </w:tc>
        <w:tc>
          <w:tcPr>
            <w:tcW w:w="0" w:type="auto"/>
            <w:gridSpan w:val="3"/>
            <w:shd w:val="clear" w:color="auto" w:fill="auto"/>
          </w:tcPr>
          <w:p w14:paraId="1426EAE6" w14:textId="77777777" w:rsidR="00A74A1E" w:rsidRDefault="00A74A1E">
            <w:pPr>
              <w:rPr>
                <w:rFonts w:ascii="宋体"/>
                <w:vanish/>
              </w:rPr>
            </w:pPr>
          </w:p>
        </w:tc>
        <w:tc>
          <w:tcPr>
            <w:tcW w:w="0" w:type="auto"/>
            <w:gridSpan w:val="3"/>
            <w:shd w:val="clear" w:color="auto" w:fill="auto"/>
          </w:tcPr>
          <w:p w14:paraId="1426EAE7" w14:textId="77777777" w:rsidR="00A74A1E" w:rsidRDefault="00A74A1E">
            <w:pPr>
              <w:rPr>
                <w:rFonts w:ascii="宋体"/>
                <w:vanish/>
              </w:rPr>
            </w:pPr>
          </w:p>
        </w:tc>
      </w:tr>
      <w:tr w:rsidR="00A74A1E" w14:paraId="1426EAF1" w14:textId="77777777">
        <w:trPr>
          <w:jc w:val="center"/>
          <w:hidden/>
        </w:trPr>
        <w:tc>
          <w:tcPr>
            <w:tcW w:w="0" w:type="auto"/>
            <w:gridSpan w:val="3"/>
            <w:shd w:val="clear" w:color="auto" w:fill="auto"/>
          </w:tcPr>
          <w:p w14:paraId="1426EAE9" w14:textId="77777777" w:rsidR="00A74A1E" w:rsidRDefault="00A74A1E">
            <w:pPr>
              <w:rPr>
                <w:rFonts w:ascii="宋体"/>
                <w:vanish/>
              </w:rPr>
            </w:pPr>
          </w:p>
        </w:tc>
        <w:tc>
          <w:tcPr>
            <w:tcW w:w="0" w:type="auto"/>
            <w:gridSpan w:val="3"/>
            <w:shd w:val="clear" w:color="auto" w:fill="auto"/>
          </w:tcPr>
          <w:p w14:paraId="1426EAEA" w14:textId="77777777" w:rsidR="00A74A1E" w:rsidRDefault="00A74A1E">
            <w:pPr>
              <w:rPr>
                <w:rFonts w:ascii="宋体"/>
                <w:vanish/>
              </w:rPr>
            </w:pPr>
          </w:p>
        </w:tc>
        <w:tc>
          <w:tcPr>
            <w:tcW w:w="0" w:type="auto"/>
            <w:gridSpan w:val="3"/>
            <w:shd w:val="clear" w:color="auto" w:fill="auto"/>
          </w:tcPr>
          <w:p w14:paraId="1426EAEB" w14:textId="77777777" w:rsidR="00A74A1E" w:rsidRDefault="00A74A1E">
            <w:pPr>
              <w:rPr>
                <w:rFonts w:ascii="宋体"/>
                <w:vanish/>
              </w:rPr>
            </w:pPr>
          </w:p>
        </w:tc>
        <w:tc>
          <w:tcPr>
            <w:tcW w:w="0" w:type="auto"/>
            <w:gridSpan w:val="3"/>
            <w:shd w:val="clear" w:color="auto" w:fill="auto"/>
          </w:tcPr>
          <w:p w14:paraId="1426EAEC" w14:textId="77777777" w:rsidR="00A74A1E" w:rsidRDefault="00A74A1E">
            <w:pPr>
              <w:rPr>
                <w:rFonts w:ascii="宋体"/>
                <w:vanish/>
              </w:rPr>
            </w:pPr>
          </w:p>
        </w:tc>
        <w:tc>
          <w:tcPr>
            <w:tcW w:w="0" w:type="auto"/>
            <w:gridSpan w:val="3"/>
            <w:shd w:val="clear" w:color="auto" w:fill="auto"/>
          </w:tcPr>
          <w:p w14:paraId="1426EAED" w14:textId="77777777" w:rsidR="00A74A1E" w:rsidRDefault="00A74A1E">
            <w:pPr>
              <w:rPr>
                <w:rFonts w:ascii="宋体"/>
                <w:vanish/>
              </w:rPr>
            </w:pPr>
          </w:p>
        </w:tc>
        <w:tc>
          <w:tcPr>
            <w:tcW w:w="0" w:type="auto"/>
            <w:gridSpan w:val="3"/>
            <w:shd w:val="clear" w:color="auto" w:fill="auto"/>
          </w:tcPr>
          <w:p w14:paraId="1426EAEE" w14:textId="77777777" w:rsidR="00A74A1E" w:rsidRDefault="00A74A1E">
            <w:pPr>
              <w:rPr>
                <w:rFonts w:ascii="宋体"/>
                <w:vanish/>
              </w:rPr>
            </w:pPr>
          </w:p>
        </w:tc>
        <w:tc>
          <w:tcPr>
            <w:tcW w:w="0" w:type="auto"/>
            <w:gridSpan w:val="3"/>
            <w:shd w:val="clear" w:color="auto" w:fill="auto"/>
          </w:tcPr>
          <w:p w14:paraId="1426EAEF" w14:textId="77777777" w:rsidR="00A74A1E" w:rsidRDefault="00A74A1E">
            <w:pPr>
              <w:rPr>
                <w:rFonts w:ascii="宋体"/>
                <w:vanish/>
              </w:rPr>
            </w:pPr>
          </w:p>
        </w:tc>
        <w:tc>
          <w:tcPr>
            <w:tcW w:w="0" w:type="auto"/>
            <w:gridSpan w:val="3"/>
            <w:shd w:val="clear" w:color="auto" w:fill="auto"/>
          </w:tcPr>
          <w:p w14:paraId="1426EAF0" w14:textId="77777777" w:rsidR="00A74A1E" w:rsidRDefault="00A74A1E">
            <w:pPr>
              <w:rPr>
                <w:rFonts w:ascii="宋体"/>
                <w:vanish/>
              </w:rPr>
            </w:pPr>
          </w:p>
        </w:tc>
      </w:tr>
      <w:tr w:rsidR="00A74A1E" w14:paraId="1426EAFA" w14:textId="77777777">
        <w:trPr>
          <w:jc w:val="center"/>
          <w:hidden/>
        </w:trPr>
        <w:tc>
          <w:tcPr>
            <w:tcW w:w="0" w:type="auto"/>
            <w:gridSpan w:val="3"/>
            <w:shd w:val="clear" w:color="auto" w:fill="auto"/>
          </w:tcPr>
          <w:p w14:paraId="1426EAF2" w14:textId="77777777" w:rsidR="00A74A1E" w:rsidRDefault="00A74A1E">
            <w:pPr>
              <w:rPr>
                <w:rFonts w:ascii="宋体"/>
                <w:vanish/>
              </w:rPr>
            </w:pPr>
          </w:p>
        </w:tc>
        <w:tc>
          <w:tcPr>
            <w:tcW w:w="0" w:type="auto"/>
            <w:gridSpan w:val="3"/>
            <w:shd w:val="clear" w:color="auto" w:fill="auto"/>
          </w:tcPr>
          <w:p w14:paraId="1426EAF3" w14:textId="77777777" w:rsidR="00A74A1E" w:rsidRDefault="00A74A1E">
            <w:pPr>
              <w:rPr>
                <w:rFonts w:ascii="宋体"/>
                <w:vanish/>
              </w:rPr>
            </w:pPr>
          </w:p>
        </w:tc>
        <w:tc>
          <w:tcPr>
            <w:tcW w:w="0" w:type="auto"/>
            <w:gridSpan w:val="3"/>
            <w:shd w:val="clear" w:color="auto" w:fill="auto"/>
          </w:tcPr>
          <w:p w14:paraId="1426EAF4" w14:textId="77777777" w:rsidR="00A74A1E" w:rsidRDefault="00A74A1E">
            <w:pPr>
              <w:rPr>
                <w:rFonts w:ascii="宋体"/>
                <w:vanish/>
              </w:rPr>
            </w:pPr>
          </w:p>
        </w:tc>
        <w:tc>
          <w:tcPr>
            <w:tcW w:w="0" w:type="auto"/>
            <w:gridSpan w:val="3"/>
            <w:shd w:val="clear" w:color="auto" w:fill="auto"/>
          </w:tcPr>
          <w:p w14:paraId="1426EAF5" w14:textId="77777777" w:rsidR="00A74A1E" w:rsidRDefault="00A74A1E">
            <w:pPr>
              <w:rPr>
                <w:rFonts w:ascii="宋体"/>
                <w:vanish/>
              </w:rPr>
            </w:pPr>
          </w:p>
        </w:tc>
        <w:tc>
          <w:tcPr>
            <w:tcW w:w="0" w:type="auto"/>
            <w:gridSpan w:val="3"/>
            <w:shd w:val="clear" w:color="auto" w:fill="auto"/>
          </w:tcPr>
          <w:p w14:paraId="1426EAF6" w14:textId="77777777" w:rsidR="00A74A1E" w:rsidRDefault="00A74A1E">
            <w:pPr>
              <w:rPr>
                <w:rFonts w:ascii="宋体"/>
                <w:vanish/>
              </w:rPr>
            </w:pPr>
          </w:p>
        </w:tc>
        <w:tc>
          <w:tcPr>
            <w:tcW w:w="0" w:type="auto"/>
            <w:gridSpan w:val="3"/>
            <w:shd w:val="clear" w:color="auto" w:fill="auto"/>
          </w:tcPr>
          <w:p w14:paraId="1426EAF7" w14:textId="77777777" w:rsidR="00A74A1E" w:rsidRDefault="00A74A1E">
            <w:pPr>
              <w:rPr>
                <w:rFonts w:ascii="宋体"/>
                <w:vanish/>
              </w:rPr>
            </w:pPr>
          </w:p>
        </w:tc>
        <w:tc>
          <w:tcPr>
            <w:tcW w:w="0" w:type="auto"/>
            <w:gridSpan w:val="3"/>
            <w:shd w:val="clear" w:color="auto" w:fill="auto"/>
          </w:tcPr>
          <w:p w14:paraId="1426EAF8" w14:textId="77777777" w:rsidR="00A74A1E" w:rsidRDefault="00A74A1E">
            <w:pPr>
              <w:rPr>
                <w:rFonts w:ascii="宋体"/>
                <w:vanish/>
              </w:rPr>
            </w:pPr>
          </w:p>
        </w:tc>
        <w:tc>
          <w:tcPr>
            <w:tcW w:w="0" w:type="auto"/>
            <w:gridSpan w:val="3"/>
            <w:shd w:val="clear" w:color="auto" w:fill="auto"/>
          </w:tcPr>
          <w:p w14:paraId="1426EAF9" w14:textId="77777777" w:rsidR="00A74A1E" w:rsidRDefault="00A74A1E">
            <w:pPr>
              <w:rPr>
                <w:rFonts w:ascii="宋体"/>
                <w:vanish/>
              </w:rPr>
            </w:pPr>
          </w:p>
        </w:tc>
      </w:tr>
      <w:tr w:rsidR="00A74A1E" w14:paraId="1426EB03" w14:textId="77777777">
        <w:trPr>
          <w:jc w:val="center"/>
          <w:hidden/>
        </w:trPr>
        <w:tc>
          <w:tcPr>
            <w:tcW w:w="0" w:type="auto"/>
            <w:gridSpan w:val="3"/>
            <w:shd w:val="clear" w:color="auto" w:fill="auto"/>
          </w:tcPr>
          <w:p w14:paraId="1426EAFB" w14:textId="77777777" w:rsidR="00A74A1E" w:rsidRDefault="00A74A1E">
            <w:pPr>
              <w:rPr>
                <w:rFonts w:ascii="宋体"/>
                <w:vanish/>
              </w:rPr>
            </w:pPr>
          </w:p>
        </w:tc>
        <w:tc>
          <w:tcPr>
            <w:tcW w:w="0" w:type="auto"/>
            <w:gridSpan w:val="3"/>
            <w:shd w:val="clear" w:color="auto" w:fill="auto"/>
          </w:tcPr>
          <w:p w14:paraId="1426EAFC" w14:textId="77777777" w:rsidR="00A74A1E" w:rsidRDefault="00A74A1E">
            <w:pPr>
              <w:rPr>
                <w:rFonts w:ascii="宋体"/>
                <w:vanish/>
              </w:rPr>
            </w:pPr>
          </w:p>
        </w:tc>
        <w:tc>
          <w:tcPr>
            <w:tcW w:w="0" w:type="auto"/>
            <w:gridSpan w:val="3"/>
            <w:shd w:val="clear" w:color="auto" w:fill="auto"/>
          </w:tcPr>
          <w:p w14:paraId="1426EAFD" w14:textId="77777777" w:rsidR="00A74A1E" w:rsidRDefault="00A74A1E">
            <w:pPr>
              <w:rPr>
                <w:rFonts w:ascii="宋体"/>
                <w:vanish/>
              </w:rPr>
            </w:pPr>
          </w:p>
        </w:tc>
        <w:tc>
          <w:tcPr>
            <w:tcW w:w="0" w:type="auto"/>
            <w:gridSpan w:val="3"/>
            <w:shd w:val="clear" w:color="auto" w:fill="auto"/>
          </w:tcPr>
          <w:p w14:paraId="1426EAFE" w14:textId="77777777" w:rsidR="00A74A1E" w:rsidRDefault="00A74A1E">
            <w:pPr>
              <w:rPr>
                <w:rFonts w:ascii="宋体"/>
                <w:vanish/>
              </w:rPr>
            </w:pPr>
          </w:p>
        </w:tc>
        <w:tc>
          <w:tcPr>
            <w:tcW w:w="0" w:type="auto"/>
            <w:gridSpan w:val="3"/>
            <w:shd w:val="clear" w:color="auto" w:fill="auto"/>
          </w:tcPr>
          <w:p w14:paraId="1426EAFF" w14:textId="77777777" w:rsidR="00A74A1E" w:rsidRDefault="00A74A1E">
            <w:pPr>
              <w:rPr>
                <w:rFonts w:ascii="宋体"/>
                <w:vanish/>
              </w:rPr>
            </w:pPr>
          </w:p>
        </w:tc>
        <w:tc>
          <w:tcPr>
            <w:tcW w:w="0" w:type="auto"/>
            <w:gridSpan w:val="3"/>
            <w:shd w:val="clear" w:color="auto" w:fill="auto"/>
          </w:tcPr>
          <w:p w14:paraId="1426EB00" w14:textId="77777777" w:rsidR="00A74A1E" w:rsidRDefault="00A74A1E">
            <w:pPr>
              <w:rPr>
                <w:rFonts w:ascii="宋体"/>
                <w:vanish/>
              </w:rPr>
            </w:pPr>
          </w:p>
        </w:tc>
        <w:tc>
          <w:tcPr>
            <w:tcW w:w="0" w:type="auto"/>
            <w:gridSpan w:val="3"/>
            <w:shd w:val="clear" w:color="auto" w:fill="auto"/>
          </w:tcPr>
          <w:p w14:paraId="1426EB01" w14:textId="77777777" w:rsidR="00A74A1E" w:rsidRDefault="00A74A1E">
            <w:pPr>
              <w:rPr>
                <w:rFonts w:ascii="宋体"/>
                <w:vanish/>
              </w:rPr>
            </w:pPr>
          </w:p>
        </w:tc>
        <w:tc>
          <w:tcPr>
            <w:tcW w:w="0" w:type="auto"/>
            <w:gridSpan w:val="3"/>
            <w:shd w:val="clear" w:color="auto" w:fill="auto"/>
          </w:tcPr>
          <w:p w14:paraId="1426EB02" w14:textId="77777777" w:rsidR="00A74A1E" w:rsidRDefault="00A74A1E">
            <w:pPr>
              <w:rPr>
                <w:rFonts w:ascii="宋体"/>
                <w:vanish/>
              </w:rPr>
            </w:pPr>
          </w:p>
        </w:tc>
      </w:tr>
      <w:tr w:rsidR="00A74A1E" w14:paraId="1426EB0C" w14:textId="77777777">
        <w:trPr>
          <w:jc w:val="center"/>
          <w:hidden/>
        </w:trPr>
        <w:tc>
          <w:tcPr>
            <w:tcW w:w="0" w:type="auto"/>
            <w:gridSpan w:val="3"/>
            <w:shd w:val="clear" w:color="auto" w:fill="auto"/>
          </w:tcPr>
          <w:p w14:paraId="1426EB04" w14:textId="77777777" w:rsidR="00A74A1E" w:rsidRDefault="00A74A1E">
            <w:pPr>
              <w:rPr>
                <w:rFonts w:ascii="宋体"/>
                <w:vanish/>
              </w:rPr>
            </w:pPr>
          </w:p>
        </w:tc>
        <w:tc>
          <w:tcPr>
            <w:tcW w:w="0" w:type="auto"/>
            <w:gridSpan w:val="3"/>
            <w:shd w:val="clear" w:color="auto" w:fill="auto"/>
          </w:tcPr>
          <w:p w14:paraId="1426EB05" w14:textId="77777777" w:rsidR="00A74A1E" w:rsidRDefault="00A74A1E">
            <w:pPr>
              <w:rPr>
                <w:rFonts w:ascii="宋体"/>
                <w:vanish/>
              </w:rPr>
            </w:pPr>
          </w:p>
        </w:tc>
        <w:tc>
          <w:tcPr>
            <w:tcW w:w="0" w:type="auto"/>
            <w:gridSpan w:val="3"/>
            <w:shd w:val="clear" w:color="auto" w:fill="auto"/>
          </w:tcPr>
          <w:p w14:paraId="1426EB06" w14:textId="77777777" w:rsidR="00A74A1E" w:rsidRDefault="00A74A1E">
            <w:pPr>
              <w:rPr>
                <w:rFonts w:ascii="宋体"/>
                <w:vanish/>
              </w:rPr>
            </w:pPr>
          </w:p>
        </w:tc>
        <w:tc>
          <w:tcPr>
            <w:tcW w:w="0" w:type="auto"/>
            <w:gridSpan w:val="3"/>
            <w:shd w:val="clear" w:color="auto" w:fill="auto"/>
          </w:tcPr>
          <w:p w14:paraId="1426EB07" w14:textId="77777777" w:rsidR="00A74A1E" w:rsidRDefault="00A74A1E">
            <w:pPr>
              <w:rPr>
                <w:rFonts w:ascii="宋体"/>
                <w:vanish/>
              </w:rPr>
            </w:pPr>
          </w:p>
        </w:tc>
        <w:tc>
          <w:tcPr>
            <w:tcW w:w="0" w:type="auto"/>
            <w:gridSpan w:val="3"/>
            <w:shd w:val="clear" w:color="auto" w:fill="auto"/>
          </w:tcPr>
          <w:p w14:paraId="1426EB08" w14:textId="77777777" w:rsidR="00A74A1E" w:rsidRDefault="00A74A1E">
            <w:pPr>
              <w:rPr>
                <w:rFonts w:ascii="宋体"/>
                <w:vanish/>
              </w:rPr>
            </w:pPr>
          </w:p>
        </w:tc>
        <w:tc>
          <w:tcPr>
            <w:tcW w:w="0" w:type="auto"/>
            <w:gridSpan w:val="3"/>
            <w:shd w:val="clear" w:color="auto" w:fill="auto"/>
          </w:tcPr>
          <w:p w14:paraId="1426EB09" w14:textId="77777777" w:rsidR="00A74A1E" w:rsidRDefault="00A74A1E">
            <w:pPr>
              <w:rPr>
                <w:rFonts w:ascii="宋体"/>
                <w:vanish/>
              </w:rPr>
            </w:pPr>
          </w:p>
        </w:tc>
        <w:tc>
          <w:tcPr>
            <w:tcW w:w="0" w:type="auto"/>
            <w:gridSpan w:val="3"/>
            <w:shd w:val="clear" w:color="auto" w:fill="auto"/>
          </w:tcPr>
          <w:p w14:paraId="1426EB0A" w14:textId="77777777" w:rsidR="00A74A1E" w:rsidRDefault="00A74A1E">
            <w:pPr>
              <w:rPr>
                <w:rFonts w:ascii="宋体"/>
                <w:vanish/>
              </w:rPr>
            </w:pPr>
          </w:p>
        </w:tc>
        <w:tc>
          <w:tcPr>
            <w:tcW w:w="0" w:type="auto"/>
            <w:gridSpan w:val="3"/>
            <w:shd w:val="clear" w:color="auto" w:fill="auto"/>
          </w:tcPr>
          <w:p w14:paraId="1426EB0B" w14:textId="77777777" w:rsidR="00A74A1E" w:rsidRDefault="00A74A1E">
            <w:pPr>
              <w:rPr>
                <w:rFonts w:ascii="宋体"/>
                <w:vanish/>
              </w:rPr>
            </w:pPr>
          </w:p>
        </w:tc>
      </w:tr>
      <w:tr w:rsidR="00A74A1E" w14:paraId="1426EB15" w14:textId="77777777">
        <w:trPr>
          <w:jc w:val="center"/>
          <w:hidden/>
        </w:trPr>
        <w:tc>
          <w:tcPr>
            <w:tcW w:w="0" w:type="auto"/>
            <w:gridSpan w:val="3"/>
            <w:shd w:val="clear" w:color="auto" w:fill="auto"/>
          </w:tcPr>
          <w:p w14:paraId="1426EB0D" w14:textId="77777777" w:rsidR="00A74A1E" w:rsidRDefault="00A74A1E">
            <w:pPr>
              <w:rPr>
                <w:rFonts w:ascii="宋体"/>
                <w:vanish/>
              </w:rPr>
            </w:pPr>
          </w:p>
        </w:tc>
        <w:tc>
          <w:tcPr>
            <w:tcW w:w="0" w:type="auto"/>
            <w:gridSpan w:val="3"/>
            <w:shd w:val="clear" w:color="auto" w:fill="auto"/>
          </w:tcPr>
          <w:p w14:paraId="1426EB0E" w14:textId="77777777" w:rsidR="00A74A1E" w:rsidRDefault="00A74A1E">
            <w:pPr>
              <w:rPr>
                <w:rFonts w:ascii="宋体"/>
                <w:vanish/>
              </w:rPr>
            </w:pPr>
          </w:p>
        </w:tc>
        <w:tc>
          <w:tcPr>
            <w:tcW w:w="0" w:type="auto"/>
            <w:gridSpan w:val="3"/>
            <w:shd w:val="clear" w:color="auto" w:fill="auto"/>
          </w:tcPr>
          <w:p w14:paraId="1426EB0F" w14:textId="77777777" w:rsidR="00A74A1E" w:rsidRDefault="00A74A1E">
            <w:pPr>
              <w:rPr>
                <w:rFonts w:ascii="宋体"/>
                <w:vanish/>
              </w:rPr>
            </w:pPr>
          </w:p>
        </w:tc>
        <w:tc>
          <w:tcPr>
            <w:tcW w:w="0" w:type="auto"/>
            <w:gridSpan w:val="3"/>
            <w:shd w:val="clear" w:color="auto" w:fill="auto"/>
          </w:tcPr>
          <w:p w14:paraId="1426EB10" w14:textId="77777777" w:rsidR="00A74A1E" w:rsidRDefault="00A74A1E">
            <w:pPr>
              <w:rPr>
                <w:rFonts w:ascii="宋体"/>
                <w:vanish/>
              </w:rPr>
            </w:pPr>
          </w:p>
        </w:tc>
        <w:tc>
          <w:tcPr>
            <w:tcW w:w="0" w:type="auto"/>
            <w:gridSpan w:val="3"/>
            <w:shd w:val="clear" w:color="auto" w:fill="auto"/>
          </w:tcPr>
          <w:p w14:paraId="1426EB11" w14:textId="77777777" w:rsidR="00A74A1E" w:rsidRDefault="00A74A1E">
            <w:pPr>
              <w:rPr>
                <w:rFonts w:ascii="宋体"/>
                <w:vanish/>
              </w:rPr>
            </w:pPr>
          </w:p>
        </w:tc>
        <w:tc>
          <w:tcPr>
            <w:tcW w:w="0" w:type="auto"/>
            <w:gridSpan w:val="3"/>
            <w:shd w:val="clear" w:color="auto" w:fill="auto"/>
          </w:tcPr>
          <w:p w14:paraId="1426EB12" w14:textId="77777777" w:rsidR="00A74A1E" w:rsidRDefault="00A74A1E">
            <w:pPr>
              <w:rPr>
                <w:rFonts w:ascii="宋体"/>
                <w:vanish/>
              </w:rPr>
            </w:pPr>
          </w:p>
        </w:tc>
        <w:tc>
          <w:tcPr>
            <w:tcW w:w="0" w:type="auto"/>
            <w:gridSpan w:val="3"/>
            <w:shd w:val="clear" w:color="auto" w:fill="auto"/>
          </w:tcPr>
          <w:p w14:paraId="1426EB13" w14:textId="77777777" w:rsidR="00A74A1E" w:rsidRDefault="00A74A1E">
            <w:pPr>
              <w:rPr>
                <w:rFonts w:ascii="宋体"/>
                <w:vanish/>
              </w:rPr>
            </w:pPr>
          </w:p>
        </w:tc>
        <w:tc>
          <w:tcPr>
            <w:tcW w:w="0" w:type="auto"/>
            <w:gridSpan w:val="3"/>
            <w:shd w:val="clear" w:color="auto" w:fill="auto"/>
          </w:tcPr>
          <w:p w14:paraId="1426EB14" w14:textId="77777777" w:rsidR="00A74A1E" w:rsidRDefault="00A74A1E">
            <w:pPr>
              <w:rPr>
                <w:rFonts w:ascii="宋体"/>
                <w:vanish/>
              </w:rPr>
            </w:pPr>
          </w:p>
        </w:tc>
      </w:tr>
      <w:tr w:rsidR="00A74A1E" w14:paraId="1426EB1E" w14:textId="77777777">
        <w:trPr>
          <w:jc w:val="center"/>
          <w:hidden/>
        </w:trPr>
        <w:tc>
          <w:tcPr>
            <w:tcW w:w="0" w:type="auto"/>
            <w:gridSpan w:val="3"/>
            <w:shd w:val="clear" w:color="auto" w:fill="auto"/>
          </w:tcPr>
          <w:p w14:paraId="1426EB16" w14:textId="77777777" w:rsidR="00A74A1E" w:rsidRDefault="00A74A1E">
            <w:pPr>
              <w:rPr>
                <w:rFonts w:ascii="宋体"/>
                <w:vanish/>
              </w:rPr>
            </w:pPr>
          </w:p>
        </w:tc>
        <w:tc>
          <w:tcPr>
            <w:tcW w:w="0" w:type="auto"/>
            <w:gridSpan w:val="3"/>
            <w:shd w:val="clear" w:color="auto" w:fill="auto"/>
          </w:tcPr>
          <w:p w14:paraId="1426EB17" w14:textId="77777777" w:rsidR="00A74A1E" w:rsidRDefault="00A74A1E">
            <w:pPr>
              <w:rPr>
                <w:rFonts w:ascii="宋体"/>
                <w:vanish/>
              </w:rPr>
            </w:pPr>
          </w:p>
        </w:tc>
        <w:tc>
          <w:tcPr>
            <w:tcW w:w="0" w:type="auto"/>
            <w:gridSpan w:val="3"/>
            <w:shd w:val="clear" w:color="auto" w:fill="auto"/>
          </w:tcPr>
          <w:p w14:paraId="1426EB18" w14:textId="77777777" w:rsidR="00A74A1E" w:rsidRDefault="00A74A1E">
            <w:pPr>
              <w:rPr>
                <w:rFonts w:ascii="宋体"/>
                <w:vanish/>
              </w:rPr>
            </w:pPr>
          </w:p>
        </w:tc>
        <w:tc>
          <w:tcPr>
            <w:tcW w:w="0" w:type="auto"/>
            <w:gridSpan w:val="3"/>
            <w:shd w:val="clear" w:color="auto" w:fill="auto"/>
          </w:tcPr>
          <w:p w14:paraId="1426EB19" w14:textId="77777777" w:rsidR="00A74A1E" w:rsidRDefault="00A74A1E">
            <w:pPr>
              <w:rPr>
                <w:rFonts w:ascii="宋体"/>
                <w:vanish/>
              </w:rPr>
            </w:pPr>
          </w:p>
        </w:tc>
        <w:tc>
          <w:tcPr>
            <w:tcW w:w="0" w:type="auto"/>
            <w:gridSpan w:val="3"/>
            <w:shd w:val="clear" w:color="auto" w:fill="auto"/>
          </w:tcPr>
          <w:p w14:paraId="1426EB1A" w14:textId="77777777" w:rsidR="00A74A1E" w:rsidRDefault="00A74A1E">
            <w:pPr>
              <w:rPr>
                <w:rFonts w:ascii="宋体"/>
                <w:vanish/>
              </w:rPr>
            </w:pPr>
          </w:p>
        </w:tc>
        <w:tc>
          <w:tcPr>
            <w:tcW w:w="0" w:type="auto"/>
            <w:gridSpan w:val="3"/>
            <w:shd w:val="clear" w:color="auto" w:fill="auto"/>
          </w:tcPr>
          <w:p w14:paraId="1426EB1B" w14:textId="77777777" w:rsidR="00A74A1E" w:rsidRDefault="00A74A1E">
            <w:pPr>
              <w:rPr>
                <w:rFonts w:ascii="宋体"/>
                <w:vanish/>
              </w:rPr>
            </w:pPr>
          </w:p>
        </w:tc>
        <w:tc>
          <w:tcPr>
            <w:tcW w:w="0" w:type="auto"/>
            <w:gridSpan w:val="3"/>
            <w:shd w:val="clear" w:color="auto" w:fill="auto"/>
          </w:tcPr>
          <w:p w14:paraId="1426EB1C" w14:textId="77777777" w:rsidR="00A74A1E" w:rsidRDefault="00A74A1E">
            <w:pPr>
              <w:rPr>
                <w:rFonts w:ascii="宋体"/>
                <w:vanish/>
              </w:rPr>
            </w:pPr>
          </w:p>
        </w:tc>
        <w:tc>
          <w:tcPr>
            <w:tcW w:w="0" w:type="auto"/>
            <w:gridSpan w:val="3"/>
            <w:shd w:val="clear" w:color="auto" w:fill="auto"/>
          </w:tcPr>
          <w:p w14:paraId="1426EB1D" w14:textId="77777777" w:rsidR="00A74A1E" w:rsidRDefault="00A74A1E">
            <w:pPr>
              <w:rPr>
                <w:rFonts w:ascii="宋体"/>
                <w:vanish/>
              </w:rPr>
            </w:pPr>
          </w:p>
        </w:tc>
      </w:tr>
      <w:tr w:rsidR="00A74A1E" w14:paraId="1426EB27" w14:textId="77777777">
        <w:trPr>
          <w:jc w:val="center"/>
          <w:hidden/>
        </w:trPr>
        <w:tc>
          <w:tcPr>
            <w:tcW w:w="0" w:type="auto"/>
            <w:gridSpan w:val="3"/>
            <w:shd w:val="clear" w:color="auto" w:fill="auto"/>
          </w:tcPr>
          <w:p w14:paraId="1426EB1F" w14:textId="77777777" w:rsidR="00A74A1E" w:rsidRDefault="00A74A1E">
            <w:pPr>
              <w:rPr>
                <w:rFonts w:ascii="宋体"/>
                <w:vanish/>
              </w:rPr>
            </w:pPr>
          </w:p>
        </w:tc>
        <w:tc>
          <w:tcPr>
            <w:tcW w:w="0" w:type="auto"/>
            <w:gridSpan w:val="3"/>
            <w:shd w:val="clear" w:color="auto" w:fill="auto"/>
          </w:tcPr>
          <w:p w14:paraId="1426EB20" w14:textId="77777777" w:rsidR="00A74A1E" w:rsidRDefault="00A74A1E">
            <w:pPr>
              <w:rPr>
                <w:rFonts w:ascii="宋体"/>
                <w:vanish/>
              </w:rPr>
            </w:pPr>
          </w:p>
        </w:tc>
        <w:tc>
          <w:tcPr>
            <w:tcW w:w="0" w:type="auto"/>
            <w:gridSpan w:val="3"/>
            <w:shd w:val="clear" w:color="auto" w:fill="auto"/>
          </w:tcPr>
          <w:p w14:paraId="1426EB21" w14:textId="77777777" w:rsidR="00A74A1E" w:rsidRDefault="00A74A1E">
            <w:pPr>
              <w:rPr>
                <w:rFonts w:ascii="宋体"/>
                <w:vanish/>
              </w:rPr>
            </w:pPr>
          </w:p>
        </w:tc>
        <w:tc>
          <w:tcPr>
            <w:tcW w:w="0" w:type="auto"/>
            <w:gridSpan w:val="3"/>
            <w:shd w:val="clear" w:color="auto" w:fill="auto"/>
          </w:tcPr>
          <w:p w14:paraId="1426EB22" w14:textId="77777777" w:rsidR="00A74A1E" w:rsidRDefault="00A74A1E">
            <w:pPr>
              <w:rPr>
                <w:rFonts w:ascii="宋体"/>
                <w:vanish/>
              </w:rPr>
            </w:pPr>
          </w:p>
        </w:tc>
        <w:tc>
          <w:tcPr>
            <w:tcW w:w="0" w:type="auto"/>
            <w:gridSpan w:val="3"/>
            <w:shd w:val="clear" w:color="auto" w:fill="auto"/>
          </w:tcPr>
          <w:p w14:paraId="1426EB23" w14:textId="77777777" w:rsidR="00A74A1E" w:rsidRDefault="00A74A1E">
            <w:pPr>
              <w:rPr>
                <w:rFonts w:ascii="宋体"/>
                <w:vanish/>
              </w:rPr>
            </w:pPr>
          </w:p>
        </w:tc>
        <w:tc>
          <w:tcPr>
            <w:tcW w:w="0" w:type="auto"/>
            <w:gridSpan w:val="3"/>
            <w:shd w:val="clear" w:color="auto" w:fill="auto"/>
          </w:tcPr>
          <w:p w14:paraId="1426EB24" w14:textId="77777777" w:rsidR="00A74A1E" w:rsidRDefault="00A74A1E">
            <w:pPr>
              <w:rPr>
                <w:rFonts w:ascii="宋体"/>
                <w:vanish/>
              </w:rPr>
            </w:pPr>
          </w:p>
        </w:tc>
        <w:tc>
          <w:tcPr>
            <w:tcW w:w="0" w:type="auto"/>
            <w:gridSpan w:val="3"/>
            <w:shd w:val="clear" w:color="auto" w:fill="auto"/>
          </w:tcPr>
          <w:p w14:paraId="1426EB25" w14:textId="77777777" w:rsidR="00A74A1E" w:rsidRDefault="00A74A1E">
            <w:pPr>
              <w:rPr>
                <w:rFonts w:ascii="宋体"/>
                <w:vanish/>
              </w:rPr>
            </w:pPr>
          </w:p>
        </w:tc>
        <w:tc>
          <w:tcPr>
            <w:tcW w:w="0" w:type="auto"/>
            <w:gridSpan w:val="3"/>
            <w:shd w:val="clear" w:color="auto" w:fill="auto"/>
          </w:tcPr>
          <w:p w14:paraId="1426EB26" w14:textId="77777777" w:rsidR="00A74A1E" w:rsidRDefault="00A74A1E">
            <w:pPr>
              <w:rPr>
                <w:rFonts w:ascii="宋体"/>
                <w:vanish/>
              </w:rPr>
            </w:pPr>
          </w:p>
        </w:tc>
      </w:tr>
      <w:tr w:rsidR="00A74A1E" w14:paraId="1426EB30" w14:textId="77777777">
        <w:trPr>
          <w:jc w:val="center"/>
          <w:hidden/>
        </w:trPr>
        <w:tc>
          <w:tcPr>
            <w:tcW w:w="0" w:type="auto"/>
            <w:gridSpan w:val="3"/>
            <w:shd w:val="clear" w:color="auto" w:fill="auto"/>
          </w:tcPr>
          <w:p w14:paraId="1426EB28" w14:textId="77777777" w:rsidR="00A74A1E" w:rsidRDefault="00A74A1E">
            <w:pPr>
              <w:rPr>
                <w:rFonts w:ascii="宋体"/>
                <w:vanish/>
              </w:rPr>
            </w:pPr>
          </w:p>
        </w:tc>
        <w:tc>
          <w:tcPr>
            <w:tcW w:w="0" w:type="auto"/>
            <w:gridSpan w:val="3"/>
            <w:shd w:val="clear" w:color="auto" w:fill="auto"/>
          </w:tcPr>
          <w:p w14:paraId="1426EB29" w14:textId="77777777" w:rsidR="00A74A1E" w:rsidRDefault="00A74A1E">
            <w:pPr>
              <w:rPr>
                <w:rFonts w:ascii="宋体"/>
                <w:vanish/>
              </w:rPr>
            </w:pPr>
          </w:p>
        </w:tc>
        <w:tc>
          <w:tcPr>
            <w:tcW w:w="0" w:type="auto"/>
            <w:gridSpan w:val="3"/>
            <w:shd w:val="clear" w:color="auto" w:fill="auto"/>
          </w:tcPr>
          <w:p w14:paraId="1426EB2A" w14:textId="77777777" w:rsidR="00A74A1E" w:rsidRDefault="00A74A1E">
            <w:pPr>
              <w:rPr>
                <w:rFonts w:ascii="宋体"/>
                <w:vanish/>
              </w:rPr>
            </w:pPr>
          </w:p>
        </w:tc>
        <w:tc>
          <w:tcPr>
            <w:tcW w:w="0" w:type="auto"/>
            <w:gridSpan w:val="3"/>
            <w:shd w:val="clear" w:color="auto" w:fill="auto"/>
          </w:tcPr>
          <w:p w14:paraId="1426EB2B" w14:textId="77777777" w:rsidR="00A74A1E" w:rsidRDefault="00A74A1E">
            <w:pPr>
              <w:rPr>
                <w:rFonts w:ascii="宋体"/>
                <w:vanish/>
              </w:rPr>
            </w:pPr>
          </w:p>
        </w:tc>
        <w:tc>
          <w:tcPr>
            <w:tcW w:w="0" w:type="auto"/>
            <w:gridSpan w:val="3"/>
            <w:shd w:val="clear" w:color="auto" w:fill="auto"/>
          </w:tcPr>
          <w:p w14:paraId="1426EB2C" w14:textId="77777777" w:rsidR="00A74A1E" w:rsidRDefault="00A74A1E">
            <w:pPr>
              <w:rPr>
                <w:rFonts w:ascii="宋体"/>
                <w:vanish/>
              </w:rPr>
            </w:pPr>
          </w:p>
        </w:tc>
        <w:tc>
          <w:tcPr>
            <w:tcW w:w="0" w:type="auto"/>
            <w:gridSpan w:val="3"/>
            <w:shd w:val="clear" w:color="auto" w:fill="auto"/>
          </w:tcPr>
          <w:p w14:paraId="1426EB2D" w14:textId="77777777" w:rsidR="00A74A1E" w:rsidRDefault="00A74A1E">
            <w:pPr>
              <w:rPr>
                <w:rFonts w:ascii="宋体"/>
                <w:vanish/>
              </w:rPr>
            </w:pPr>
          </w:p>
        </w:tc>
        <w:tc>
          <w:tcPr>
            <w:tcW w:w="0" w:type="auto"/>
            <w:gridSpan w:val="3"/>
            <w:shd w:val="clear" w:color="auto" w:fill="auto"/>
          </w:tcPr>
          <w:p w14:paraId="1426EB2E" w14:textId="77777777" w:rsidR="00A74A1E" w:rsidRDefault="00A74A1E">
            <w:pPr>
              <w:rPr>
                <w:rFonts w:ascii="宋体"/>
                <w:vanish/>
              </w:rPr>
            </w:pPr>
          </w:p>
        </w:tc>
        <w:tc>
          <w:tcPr>
            <w:tcW w:w="0" w:type="auto"/>
            <w:gridSpan w:val="3"/>
            <w:shd w:val="clear" w:color="auto" w:fill="auto"/>
          </w:tcPr>
          <w:p w14:paraId="1426EB2F" w14:textId="77777777" w:rsidR="00A74A1E" w:rsidRDefault="00A74A1E">
            <w:pPr>
              <w:rPr>
                <w:rFonts w:ascii="宋体"/>
                <w:vanish/>
              </w:rPr>
            </w:pPr>
          </w:p>
        </w:tc>
      </w:tr>
      <w:tr w:rsidR="00A74A1E" w14:paraId="1426EB39" w14:textId="77777777">
        <w:trPr>
          <w:jc w:val="center"/>
          <w:hidden/>
        </w:trPr>
        <w:tc>
          <w:tcPr>
            <w:tcW w:w="0" w:type="auto"/>
            <w:gridSpan w:val="3"/>
            <w:shd w:val="clear" w:color="auto" w:fill="auto"/>
          </w:tcPr>
          <w:p w14:paraId="1426EB31" w14:textId="77777777" w:rsidR="00A74A1E" w:rsidRDefault="00A74A1E">
            <w:pPr>
              <w:rPr>
                <w:rFonts w:ascii="宋体"/>
                <w:vanish/>
              </w:rPr>
            </w:pPr>
          </w:p>
        </w:tc>
        <w:tc>
          <w:tcPr>
            <w:tcW w:w="0" w:type="auto"/>
            <w:gridSpan w:val="3"/>
            <w:shd w:val="clear" w:color="auto" w:fill="auto"/>
          </w:tcPr>
          <w:p w14:paraId="1426EB32" w14:textId="77777777" w:rsidR="00A74A1E" w:rsidRDefault="00A74A1E">
            <w:pPr>
              <w:rPr>
                <w:rFonts w:ascii="宋体"/>
                <w:vanish/>
              </w:rPr>
            </w:pPr>
          </w:p>
        </w:tc>
        <w:tc>
          <w:tcPr>
            <w:tcW w:w="0" w:type="auto"/>
            <w:gridSpan w:val="3"/>
            <w:shd w:val="clear" w:color="auto" w:fill="auto"/>
          </w:tcPr>
          <w:p w14:paraId="1426EB33" w14:textId="77777777" w:rsidR="00A74A1E" w:rsidRDefault="00A74A1E">
            <w:pPr>
              <w:rPr>
                <w:rFonts w:ascii="宋体"/>
                <w:vanish/>
              </w:rPr>
            </w:pPr>
          </w:p>
        </w:tc>
        <w:tc>
          <w:tcPr>
            <w:tcW w:w="0" w:type="auto"/>
            <w:gridSpan w:val="3"/>
            <w:shd w:val="clear" w:color="auto" w:fill="auto"/>
          </w:tcPr>
          <w:p w14:paraId="1426EB34" w14:textId="77777777" w:rsidR="00A74A1E" w:rsidRDefault="00A74A1E">
            <w:pPr>
              <w:rPr>
                <w:rFonts w:ascii="宋体"/>
                <w:vanish/>
              </w:rPr>
            </w:pPr>
          </w:p>
        </w:tc>
        <w:tc>
          <w:tcPr>
            <w:tcW w:w="0" w:type="auto"/>
            <w:gridSpan w:val="3"/>
            <w:shd w:val="clear" w:color="auto" w:fill="auto"/>
          </w:tcPr>
          <w:p w14:paraId="1426EB35" w14:textId="77777777" w:rsidR="00A74A1E" w:rsidRDefault="00A74A1E">
            <w:pPr>
              <w:rPr>
                <w:rFonts w:ascii="宋体"/>
                <w:vanish/>
              </w:rPr>
            </w:pPr>
          </w:p>
        </w:tc>
        <w:tc>
          <w:tcPr>
            <w:tcW w:w="0" w:type="auto"/>
            <w:gridSpan w:val="3"/>
            <w:shd w:val="clear" w:color="auto" w:fill="auto"/>
          </w:tcPr>
          <w:p w14:paraId="1426EB36" w14:textId="77777777" w:rsidR="00A74A1E" w:rsidRDefault="00A74A1E">
            <w:pPr>
              <w:rPr>
                <w:rFonts w:ascii="宋体"/>
                <w:vanish/>
              </w:rPr>
            </w:pPr>
          </w:p>
        </w:tc>
        <w:tc>
          <w:tcPr>
            <w:tcW w:w="0" w:type="auto"/>
            <w:gridSpan w:val="3"/>
            <w:shd w:val="clear" w:color="auto" w:fill="auto"/>
          </w:tcPr>
          <w:p w14:paraId="1426EB37" w14:textId="77777777" w:rsidR="00A74A1E" w:rsidRDefault="00A74A1E">
            <w:pPr>
              <w:rPr>
                <w:rFonts w:ascii="宋体"/>
                <w:vanish/>
              </w:rPr>
            </w:pPr>
          </w:p>
        </w:tc>
        <w:tc>
          <w:tcPr>
            <w:tcW w:w="0" w:type="auto"/>
            <w:gridSpan w:val="3"/>
            <w:shd w:val="clear" w:color="auto" w:fill="auto"/>
          </w:tcPr>
          <w:p w14:paraId="1426EB38" w14:textId="77777777" w:rsidR="00A74A1E" w:rsidRDefault="00A74A1E">
            <w:pPr>
              <w:rPr>
                <w:rFonts w:ascii="宋体"/>
                <w:vanish/>
              </w:rPr>
            </w:pPr>
          </w:p>
        </w:tc>
      </w:tr>
      <w:tr w:rsidR="00A74A1E" w14:paraId="1426EB42" w14:textId="77777777">
        <w:trPr>
          <w:jc w:val="center"/>
          <w:hidden/>
        </w:trPr>
        <w:tc>
          <w:tcPr>
            <w:tcW w:w="0" w:type="auto"/>
            <w:gridSpan w:val="3"/>
            <w:shd w:val="clear" w:color="auto" w:fill="auto"/>
          </w:tcPr>
          <w:p w14:paraId="1426EB3A" w14:textId="77777777" w:rsidR="00A74A1E" w:rsidRDefault="00A74A1E">
            <w:pPr>
              <w:rPr>
                <w:rFonts w:ascii="宋体"/>
                <w:vanish/>
              </w:rPr>
            </w:pPr>
          </w:p>
        </w:tc>
        <w:tc>
          <w:tcPr>
            <w:tcW w:w="0" w:type="auto"/>
            <w:gridSpan w:val="3"/>
            <w:shd w:val="clear" w:color="auto" w:fill="auto"/>
          </w:tcPr>
          <w:p w14:paraId="1426EB3B" w14:textId="77777777" w:rsidR="00A74A1E" w:rsidRDefault="00A74A1E">
            <w:pPr>
              <w:rPr>
                <w:rFonts w:ascii="宋体"/>
                <w:vanish/>
              </w:rPr>
            </w:pPr>
          </w:p>
        </w:tc>
        <w:tc>
          <w:tcPr>
            <w:tcW w:w="0" w:type="auto"/>
            <w:gridSpan w:val="3"/>
            <w:shd w:val="clear" w:color="auto" w:fill="auto"/>
          </w:tcPr>
          <w:p w14:paraId="1426EB3C" w14:textId="77777777" w:rsidR="00A74A1E" w:rsidRDefault="00A74A1E">
            <w:pPr>
              <w:rPr>
                <w:rFonts w:ascii="宋体"/>
                <w:vanish/>
              </w:rPr>
            </w:pPr>
          </w:p>
        </w:tc>
        <w:tc>
          <w:tcPr>
            <w:tcW w:w="0" w:type="auto"/>
            <w:gridSpan w:val="3"/>
            <w:shd w:val="clear" w:color="auto" w:fill="auto"/>
          </w:tcPr>
          <w:p w14:paraId="1426EB3D" w14:textId="77777777" w:rsidR="00A74A1E" w:rsidRDefault="00A74A1E">
            <w:pPr>
              <w:rPr>
                <w:rFonts w:ascii="宋体"/>
                <w:vanish/>
              </w:rPr>
            </w:pPr>
          </w:p>
        </w:tc>
        <w:tc>
          <w:tcPr>
            <w:tcW w:w="0" w:type="auto"/>
            <w:gridSpan w:val="3"/>
            <w:shd w:val="clear" w:color="auto" w:fill="auto"/>
          </w:tcPr>
          <w:p w14:paraId="1426EB3E" w14:textId="77777777" w:rsidR="00A74A1E" w:rsidRDefault="00A74A1E">
            <w:pPr>
              <w:rPr>
                <w:rFonts w:ascii="宋体"/>
                <w:vanish/>
              </w:rPr>
            </w:pPr>
          </w:p>
        </w:tc>
        <w:tc>
          <w:tcPr>
            <w:tcW w:w="0" w:type="auto"/>
            <w:gridSpan w:val="3"/>
            <w:shd w:val="clear" w:color="auto" w:fill="auto"/>
          </w:tcPr>
          <w:p w14:paraId="1426EB3F" w14:textId="77777777" w:rsidR="00A74A1E" w:rsidRDefault="00A74A1E">
            <w:pPr>
              <w:rPr>
                <w:rFonts w:ascii="宋体"/>
                <w:vanish/>
              </w:rPr>
            </w:pPr>
          </w:p>
        </w:tc>
        <w:tc>
          <w:tcPr>
            <w:tcW w:w="0" w:type="auto"/>
            <w:gridSpan w:val="3"/>
            <w:shd w:val="clear" w:color="auto" w:fill="auto"/>
          </w:tcPr>
          <w:p w14:paraId="1426EB40" w14:textId="77777777" w:rsidR="00A74A1E" w:rsidRDefault="00A74A1E">
            <w:pPr>
              <w:rPr>
                <w:rFonts w:ascii="宋体"/>
                <w:vanish/>
              </w:rPr>
            </w:pPr>
          </w:p>
        </w:tc>
        <w:tc>
          <w:tcPr>
            <w:tcW w:w="0" w:type="auto"/>
            <w:gridSpan w:val="3"/>
            <w:shd w:val="clear" w:color="auto" w:fill="auto"/>
          </w:tcPr>
          <w:p w14:paraId="1426EB41" w14:textId="77777777" w:rsidR="00A74A1E" w:rsidRDefault="00A74A1E">
            <w:pPr>
              <w:rPr>
                <w:rFonts w:ascii="宋体"/>
                <w:vanish/>
              </w:rPr>
            </w:pPr>
          </w:p>
        </w:tc>
      </w:tr>
      <w:tr w:rsidR="00A74A1E" w14:paraId="1426EB4B" w14:textId="77777777">
        <w:trPr>
          <w:jc w:val="center"/>
          <w:hidden/>
        </w:trPr>
        <w:tc>
          <w:tcPr>
            <w:tcW w:w="0" w:type="auto"/>
            <w:gridSpan w:val="3"/>
            <w:shd w:val="clear" w:color="auto" w:fill="auto"/>
          </w:tcPr>
          <w:p w14:paraId="1426EB43" w14:textId="77777777" w:rsidR="00A74A1E" w:rsidRDefault="00A74A1E">
            <w:pPr>
              <w:rPr>
                <w:rFonts w:ascii="宋体"/>
                <w:vanish/>
              </w:rPr>
            </w:pPr>
          </w:p>
        </w:tc>
        <w:tc>
          <w:tcPr>
            <w:tcW w:w="0" w:type="auto"/>
            <w:gridSpan w:val="3"/>
            <w:shd w:val="clear" w:color="auto" w:fill="auto"/>
          </w:tcPr>
          <w:p w14:paraId="1426EB44" w14:textId="77777777" w:rsidR="00A74A1E" w:rsidRDefault="00A74A1E">
            <w:pPr>
              <w:rPr>
                <w:rFonts w:ascii="宋体"/>
                <w:vanish/>
              </w:rPr>
            </w:pPr>
          </w:p>
        </w:tc>
        <w:tc>
          <w:tcPr>
            <w:tcW w:w="0" w:type="auto"/>
            <w:gridSpan w:val="3"/>
            <w:shd w:val="clear" w:color="auto" w:fill="auto"/>
          </w:tcPr>
          <w:p w14:paraId="1426EB45" w14:textId="77777777" w:rsidR="00A74A1E" w:rsidRDefault="00A74A1E">
            <w:pPr>
              <w:rPr>
                <w:rFonts w:ascii="宋体"/>
                <w:vanish/>
              </w:rPr>
            </w:pPr>
          </w:p>
        </w:tc>
        <w:tc>
          <w:tcPr>
            <w:tcW w:w="0" w:type="auto"/>
            <w:gridSpan w:val="3"/>
            <w:shd w:val="clear" w:color="auto" w:fill="auto"/>
          </w:tcPr>
          <w:p w14:paraId="1426EB46" w14:textId="77777777" w:rsidR="00A74A1E" w:rsidRDefault="00A74A1E">
            <w:pPr>
              <w:rPr>
                <w:rFonts w:ascii="宋体"/>
                <w:vanish/>
              </w:rPr>
            </w:pPr>
          </w:p>
        </w:tc>
        <w:tc>
          <w:tcPr>
            <w:tcW w:w="0" w:type="auto"/>
            <w:gridSpan w:val="3"/>
            <w:shd w:val="clear" w:color="auto" w:fill="auto"/>
          </w:tcPr>
          <w:p w14:paraId="1426EB47" w14:textId="77777777" w:rsidR="00A74A1E" w:rsidRDefault="00A74A1E">
            <w:pPr>
              <w:rPr>
                <w:rFonts w:ascii="宋体"/>
                <w:vanish/>
              </w:rPr>
            </w:pPr>
          </w:p>
        </w:tc>
        <w:tc>
          <w:tcPr>
            <w:tcW w:w="0" w:type="auto"/>
            <w:gridSpan w:val="3"/>
            <w:shd w:val="clear" w:color="auto" w:fill="auto"/>
          </w:tcPr>
          <w:p w14:paraId="1426EB48" w14:textId="77777777" w:rsidR="00A74A1E" w:rsidRDefault="00A74A1E">
            <w:pPr>
              <w:rPr>
                <w:rFonts w:ascii="宋体"/>
                <w:vanish/>
              </w:rPr>
            </w:pPr>
          </w:p>
        </w:tc>
        <w:tc>
          <w:tcPr>
            <w:tcW w:w="0" w:type="auto"/>
            <w:gridSpan w:val="3"/>
            <w:shd w:val="clear" w:color="auto" w:fill="auto"/>
          </w:tcPr>
          <w:p w14:paraId="1426EB49" w14:textId="77777777" w:rsidR="00A74A1E" w:rsidRDefault="00A74A1E">
            <w:pPr>
              <w:rPr>
                <w:rFonts w:ascii="宋体"/>
                <w:vanish/>
              </w:rPr>
            </w:pPr>
          </w:p>
        </w:tc>
        <w:tc>
          <w:tcPr>
            <w:tcW w:w="0" w:type="auto"/>
            <w:gridSpan w:val="3"/>
            <w:shd w:val="clear" w:color="auto" w:fill="auto"/>
          </w:tcPr>
          <w:p w14:paraId="1426EB4A" w14:textId="77777777" w:rsidR="00A74A1E" w:rsidRDefault="00A74A1E">
            <w:pPr>
              <w:rPr>
                <w:rFonts w:ascii="宋体"/>
                <w:vanish/>
              </w:rPr>
            </w:pPr>
          </w:p>
        </w:tc>
      </w:tr>
      <w:tr w:rsidR="00A74A1E" w14:paraId="1426EB54" w14:textId="77777777">
        <w:trPr>
          <w:jc w:val="center"/>
          <w:hidden/>
        </w:trPr>
        <w:tc>
          <w:tcPr>
            <w:tcW w:w="0" w:type="auto"/>
            <w:gridSpan w:val="3"/>
            <w:shd w:val="clear" w:color="auto" w:fill="auto"/>
          </w:tcPr>
          <w:p w14:paraId="1426EB4C" w14:textId="77777777" w:rsidR="00A74A1E" w:rsidRDefault="00A74A1E">
            <w:pPr>
              <w:rPr>
                <w:rFonts w:ascii="宋体"/>
                <w:vanish/>
              </w:rPr>
            </w:pPr>
          </w:p>
        </w:tc>
        <w:tc>
          <w:tcPr>
            <w:tcW w:w="0" w:type="auto"/>
            <w:gridSpan w:val="3"/>
            <w:shd w:val="clear" w:color="auto" w:fill="auto"/>
          </w:tcPr>
          <w:p w14:paraId="1426EB4D" w14:textId="77777777" w:rsidR="00A74A1E" w:rsidRDefault="00A74A1E">
            <w:pPr>
              <w:rPr>
                <w:rFonts w:ascii="宋体"/>
                <w:vanish/>
              </w:rPr>
            </w:pPr>
          </w:p>
        </w:tc>
        <w:tc>
          <w:tcPr>
            <w:tcW w:w="0" w:type="auto"/>
            <w:gridSpan w:val="3"/>
            <w:shd w:val="clear" w:color="auto" w:fill="auto"/>
          </w:tcPr>
          <w:p w14:paraId="1426EB4E" w14:textId="77777777" w:rsidR="00A74A1E" w:rsidRDefault="00A74A1E">
            <w:pPr>
              <w:rPr>
                <w:rFonts w:ascii="宋体"/>
                <w:vanish/>
              </w:rPr>
            </w:pPr>
          </w:p>
        </w:tc>
        <w:tc>
          <w:tcPr>
            <w:tcW w:w="0" w:type="auto"/>
            <w:gridSpan w:val="3"/>
            <w:shd w:val="clear" w:color="auto" w:fill="auto"/>
          </w:tcPr>
          <w:p w14:paraId="1426EB4F" w14:textId="77777777" w:rsidR="00A74A1E" w:rsidRDefault="00A74A1E">
            <w:pPr>
              <w:rPr>
                <w:rFonts w:ascii="宋体"/>
                <w:vanish/>
              </w:rPr>
            </w:pPr>
          </w:p>
        </w:tc>
        <w:tc>
          <w:tcPr>
            <w:tcW w:w="0" w:type="auto"/>
            <w:gridSpan w:val="3"/>
            <w:shd w:val="clear" w:color="auto" w:fill="auto"/>
          </w:tcPr>
          <w:p w14:paraId="1426EB50" w14:textId="77777777" w:rsidR="00A74A1E" w:rsidRDefault="00A74A1E">
            <w:pPr>
              <w:rPr>
                <w:rFonts w:ascii="宋体"/>
                <w:vanish/>
              </w:rPr>
            </w:pPr>
          </w:p>
        </w:tc>
        <w:tc>
          <w:tcPr>
            <w:tcW w:w="0" w:type="auto"/>
            <w:gridSpan w:val="3"/>
            <w:shd w:val="clear" w:color="auto" w:fill="auto"/>
          </w:tcPr>
          <w:p w14:paraId="1426EB51" w14:textId="77777777" w:rsidR="00A74A1E" w:rsidRDefault="00A74A1E">
            <w:pPr>
              <w:rPr>
                <w:rFonts w:ascii="宋体"/>
                <w:vanish/>
              </w:rPr>
            </w:pPr>
          </w:p>
        </w:tc>
        <w:tc>
          <w:tcPr>
            <w:tcW w:w="0" w:type="auto"/>
            <w:gridSpan w:val="3"/>
            <w:shd w:val="clear" w:color="auto" w:fill="auto"/>
          </w:tcPr>
          <w:p w14:paraId="1426EB52" w14:textId="77777777" w:rsidR="00A74A1E" w:rsidRDefault="00A74A1E">
            <w:pPr>
              <w:rPr>
                <w:rFonts w:ascii="宋体"/>
                <w:vanish/>
              </w:rPr>
            </w:pPr>
          </w:p>
        </w:tc>
        <w:tc>
          <w:tcPr>
            <w:tcW w:w="0" w:type="auto"/>
            <w:gridSpan w:val="3"/>
            <w:shd w:val="clear" w:color="auto" w:fill="auto"/>
          </w:tcPr>
          <w:p w14:paraId="1426EB53" w14:textId="77777777" w:rsidR="00A74A1E" w:rsidRDefault="00A74A1E">
            <w:pPr>
              <w:rPr>
                <w:rFonts w:ascii="宋体"/>
                <w:vanish/>
              </w:rPr>
            </w:pPr>
          </w:p>
        </w:tc>
      </w:tr>
      <w:tr w:rsidR="00A74A1E" w14:paraId="1426EB5D" w14:textId="77777777">
        <w:trPr>
          <w:jc w:val="center"/>
          <w:hidden/>
        </w:trPr>
        <w:tc>
          <w:tcPr>
            <w:tcW w:w="0" w:type="auto"/>
            <w:gridSpan w:val="3"/>
            <w:shd w:val="clear" w:color="auto" w:fill="auto"/>
          </w:tcPr>
          <w:p w14:paraId="1426EB55" w14:textId="77777777" w:rsidR="00A74A1E" w:rsidRDefault="00A74A1E">
            <w:pPr>
              <w:rPr>
                <w:rFonts w:ascii="宋体"/>
                <w:vanish/>
              </w:rPr>
            </w:pPr>
          </w:p>
        </w:tc>
        <w:tc>
          <w:tcPr>
            <w:tcW w:w="0" w:type="auto"/>
            <w:gridSpan w:val="3"/>
            <w:shd w:val="clear" w:color="auto" w:fill="auto"/>
          </w:tcPr>
          <w:p w14:paraId="1426EB56" w14:textId="77777777" w:rsidR="00A74A1E" w:rsidRDefault="00A74A1E">
            <w:pPr>
              <w:rPr>
                <w:rFonts w:ascii="宋体"/>
                <w:vanish/>
              </w:rPr>
            </w:pPr>
          </w:p>
        </w:tc>
        <w:tc>
          <w:tcPr>
            <w:tcW w:w="0" w:type="auto"/>
            <w:gridSpan w:val="3"/>
            <w:shd w:val="clear" w:color="auto" w:fill="auto"/>
          </w:tcPr>
          <w:p w14:paraId="1426EB57" w14:textId="77777777" w:rsidR="00A74A1E" w:rsidRDefault="00A74A1E">
            <w:pPr>
              <w:rPr>
                <w:rFonts w:ascii="宋体"/>
                <w:vanish/>
              </w:rPr>
            </w:pPr>
          </w:p>
        </w:tc>
        <w:tc>
          <w:tcPr>
            <w:tcW w:w="0" w:type="auto"/>
            <w:gridSpan w:val="3"/>
            <w:shd w:val="clear" w:color="auto" w:fill="auto"/>
          </w:tcPr>
          <w:p w14:paraId="1426EB58" w14:textId="77777777" w:rsidR="00A74A1E" w:rsidRDefault="00A74A1E">
            <w:pPr>
              <w:rPr>
                <w:rFonts w:ascii="宋体"/>
                <w:vanish/>
              </w:rPr>
            </w:pPr>
          </w:p>
        </w:tc>
        <w:tc>
          <w:tcPr>
            <w:tcW w:w="0" w:type="auto"/>
            <w:gridSpan w:val="3"/>
            <w:shd w:val="clear" w:color="auto" w:fill="auto"/>
          </w:tcPr>
          <w:p w14:paraId="1426EB59" w14:textId="77777777" w:rsidR="00A74A1E" w:rsidRDefault="00A74A1E">
            <w:pPr>
              <w:rPr>
                <w:rFonts w:ascii="宋体"/>
                <w:vanish/>
              </w:rPr>
            </w:pPr>
          </w:p>
        </w:tc>
        <w:tc>
          <w:tcPr>
            <w:tcW w:w="0" w:type="auto"/>
            <w:gridSpan w:val="3"/>
            <w:shd w:val="clear" w:color="auto" w:fill="auto"/>
          </w:tcPr>
          <w:p w14:paraId="1426EB5A" w14:textId="77777777" w:rsidR="00A74A1E" w:rsidRDefault="00A74A1E">
            <w:pPr>
              <w:rPr>
                <w:rFonts w:ascii="宋体"/>
                <w:vanish/>
              </w:rPr>
            </w:pPr>
          </w:p>
        </w:tc>
        <w:tc>
          <w:tcPr>
            <w:tcW w:w="0" w:type="auto"/>
            <w:gridSpan w:val="3"/>
            <w:shd w:val="clear" w:color="auto" w:fill="auto"/>
          </w:tcPr>
          <w:p w14:paraId="1426EB5B" w14:textId="77777777" w:rsidR="00A74A1E" w:rsidRDefault="00A74A1E">
            <w:pPr>
              <w:rPr>
                <w:rFonts w:ascii="宋体"/>
                <w:vanish/>
              </w:rPr>
            </w:pPr>
          </w:p>
        </w:tc>
        <w:tc>
          <w:tcPr>
            <w:tcW w:w="0" w:type="auto"/>
            <w:gridSpan w:val="3"/>
            <w:shd w:val="clear" w:color="auto" w:fill="auto"/>
          </w:tcPr>
          <w:p w14:paraId="1426EB5C" w14:textId="77777777" w:rsidR="00A74A1E" w:rsidRDefault="00A74A1E">
            <w:pPr>
              <w:rPr>
                <w:rFonts w:ascii="宋体"/>
                <w:vanish/>
              </w:rPr>
            </w:pPr>
          </w:p>
        </w:tc>
      </w:tr>
      <w:tr w:rsidR="00A74A1E" w14:paraId="1426EB66" w14:textId="77777777">
        <w:trPr>
          <w:jc w:val="center"/>
          <w:hidden/>
        </w:trPr>
        <w:tc>
          <w:tcPr>
            <w:tcW w:w="0" w:type="auto"/>
            <w:gridSpan w:val="3"/>
            <w:shd w:val="clear" w:color="auto" w:fill="auto"/>
          </w:tcPr>
          <w:p w14:paraId="1426EB5E" w14:textId="77777777" w:rsidR="00A74A1E" w:rsidRDefault="00A74A1E">
            <w:pPr>
              <w:rPr>
                <w:rFonts w:ascii="宋体"/>
                <w:vanish/>
              </w:rPr>
            </w:pPr>
          </w:p>
        </w:tc>
        <w:tc>
          <w:tcPr>
            <w:tcW w:w="0" w:type="auto"/>
            <w:gridSpan w:val="3"/>
            <w:shd w:val="clear" w:color="auto" w:fill="auto"/>
          </w:tcPr>
          <w:p w14:paraId="1426EB5F" w14:textId="77777777" w:rsidR="00A74A1E" w:rsidRDefault="00A74A1E">
            <w:pPr>
              <w:rPr>
                <w:rFonts w:ascii="宋体"/>
                <w:vanish/>
              </w:rPr>
            </w:pPr>
          </w:p>
        </w:tc>
        <w:tc>
          <w:tcPr>
            <w:tcW w:w="0" w:type="auto"/>
            <w:gridSpan w:val="3"/>
            <w:shd w:val="clear" w:color="auto" w:fill="auto"/>
          </w:tcPr>
          <w:p w14:paraId="1426EB60" w14:textId="77777777" w:rsidR="00A74A1E" w:rsidRDefault="00A74A1E">
            <w:pPr>
              <w:rPr>
                <w:rFonts w:ascii="宋体"/>
                <w:vanish/>
              </w:rPr>
            </w:pPr>
          </w:p>
        </w:tc>
        <w:tc>
          <w:tcPr>
            <w:tcW w:w="0" w:type="auto"/>
            <w:gridSpan w:val="3"/>
            <w:shd w:val="clear" w:color="auto" w:fill="auto"/>
          </w:tcPr>
          <w:p w14:paraId="1426EB61" w14:textId="77777777" w:rsidR="00A74A1E" w:rsidRDefault="00A74A1E">
            <w:pPr>
              <w:rPr>
                <w:rFonts w:ascii="宋体"/>
                <w:vanish/>
              </w:rPr>
            </w:pPr>
          </w:p>
        </w:tc>
        <w:tc>
          <w:tcPr>
            <w:tcW w:w="0" w:type="auto"/>
            <w:gridSpan w:val="3"/>
            <w:shd w:val="clear" w:color="auto" w:fill="auto"/>
          </w:tcPr>
          <w:p w14:paraId="1426EB62" w14:textId="77777777" w:rsidR="00A74A1E" w:rsidRDefault="00A74A1E">
            <w:pPr>
              <w:rPr>
                <w:rFonts w:ascii="宋体"/>
                <w:vanish/>
              </w:rPr>
            </w:pPr>
          </w:p>
        </w:tc>
        <w:tc>
          <w:tcPr>
            <w:tcW w:w="0" w:type="auto"/>
            <w:gridSpan w:val="3"/>
            <w:shd w:val="clear" w:color="auto" w:fill="auto"/>
          </w:tcPr>
          <w:p w14:paraId="1426EB63" w14:textId="77777777" w:rsidR="00A74A1E" w:rsidRDefault="00A74A1E">
            <w:pPr>
              <w:rPr>
                <w:rFonts w:ascii="宋体"/>
                <w:vanish/>
              </w:rPr>
            </w:pPr>
          </w:p>
        </w:tc>
        <w:tc>
          <w:tcPr>
            <w:tcW w:w="0" w:type="auto"/>
            <w:gridSpan w:val="3"/>
            <w:shd w:val="clear" w:color="auto" w:fill="auto"/>
          </w:tcPr>
          <w:p w14:paraId="1426EB64" w14:textId="77777777" w:rsidR="00A74A1E" w:rsidRDefault="00A74A1E">
            <w:pPr>
              <w:rPr>
                <w:rFonts w:ascii="宋体"/>
                <w:vanish/>
              </w:rPr>
            </w:pPr>
          </w:p>
        </w:tc>
        <w:tc>
          <w:tcPr>
            <w:tcW w:w="0" w:type="auto"/>
            <w:gridSpan w:val="3"/>
            <w:shd w:val="clear" w:color="auto" w:fill="auto"/>
          </w:tcPr>
          <w:p w14:paraId="1426EB65" w14:textId="77777777" w:rsidR="00A74A1E" w:rsidRDefault="00A74A1E">
            <w:pPr>
              <w:rPr>
                <w:rFonts w:ascii="宋体"/>
                <w:vanish/>
              </w:rPr>
            </w:pPr>
          </w:p>
        </w:tc>
      </w:tr>
      <w:tr w:rsidR="00A74A1E" w14:paraId="1426EB6F" w14:textId="77777777">
        <w:trPr>
          <w:jc w:val="center"/>
          <w:hidden/>
        </w:trPr>
        <w:tc>
          <w:tcPr>
            <w:tcW w:w="0" w:type="auto"/>
            <w:gridSpan w:val="3"/>
            <w:shd w:val="clear" w:color="auto" w:fill="auto"/>
          </w:tcPr>
          <w:p w14:paraId="1426EB67" w14:textId="77777777" w:rsidR="00A74A1E" w:rsidRDefault="00A74A1E">
            <w:pPr>
              <w:rPr>
                <w:rFonts w:ascii="宋体"/>
                <w:vanish/>
              </w:rPr>
            </w:pPr>
          </w:p>
        </w:tc>
        <w:tc>
          <w:tcPr>
            <w:tcW w:w="0" w:type="auto"/>
            <w:gridSpan w:val="3"/>
            <w:shd w:val="clear" w:color="auto" w:fill="auto"/>
          </w:tcPr>
          <w:p w14:paraId="1426EB68" w14:textId="77777777" w:rsidR="00A74A1E" w:rsidRDefault="00A74A1E">
            <w:pPr>
              <w:rPr>
                <w:rFonts w:ascii="宋体"/>
                <w:vanish/>
              </w:rPr>
            </w:pPr>
          </w:p>
        </w:tc>
        <w:tc>
          <w:tcPr>
            <w:tcW w:w="0" w:type="auto"/>
            <w:gridSpan w:val="3"/>
            <w:shd w:val="clear" w:color="auto" w:fill="auto"/>
          </w:tcPr>
          <w:p w14:paraId="1426EB69" w14:textId="77777777" w:rsidR="00A74A1E" w:rsidRDefault="00A74A1E">
            <w:pPr>
              <w:rPr>
                <w:rFonts w:ascii="宋体"/>
                <w:vanish/>
              </w:rPr>
            </w:pPr>
          </w:p>
        </w:tc>
        <w:tc>
          <w:tcPr>
            <w:tcW w:w="0" w:type="auto"/>
            <w:gridSpan w:val="3"/>
            <w:shd w:val="clear" w:color="auto" w:fill="auto"/>
          </w:tcPr>
          <w:p w14:paraId="1426EB6A" w14:textId="77777777" w:rsidR="00A74A1E" w:rsidRDefault="00A74A1E">
            <w:pPr>
              <w:rPr>
                <w:rFonts w:ascii="宋体"/>
                <w:vanish/>
              </w:rPr>
            </w:pPr>
          </w:p>
        </w:tc>
        <w:tc>
          <w:tcPr>
            <w:tcW w:w="0" w:type="auto"/>
            <w:gridSpan w:val="3"/>
            <w:shd w:val="clear" w:color="auto" w:fill="auto"/>
          </w:tcPr>
          <w:p w14:paraId="1426EB6B" w14:textId="77777777" w:rsidR="00A74A1E" w:rsidRDefault="00A74A1E">
            <w:pPr>
              <w:rPr>
                <w:rFonts w:ascii="宋体"/>
                <w:vanish/>
              </w:rPr>
            </w:pPr>
          </w:p>
        </w:tc>
        <w:tc>
          <w:tcPr>
            <w:tcW w:w="0" w:type="auto"/>
            <w:gridSpan w:val="3"/>
            <w:shd w:val="clear" w:color="auto" w:fill="auto"/>
          </w:tcPr>
          <w:p w14:paraId="1426EB6C" w14:textId="77777777" w:rsidR="00A74A1E" w:rsidRDefault="00A74A1E">
            <w:pPr>
              <w:rPr>
                <w:rFonts w:ascii="宋体"/>
                <w:vanish/>
              </w:rPr>
            </w:pPr>
          </w:p>
        </w:tc>
        <w:tc>
          <w:tcPr>
            <w:tcW w:w="0" w:type="auto"/>
            <w:gridSpan w:val="3"/>
            <w:shd w:val="clear" w:color="auto" w:fill="auto"/>
          </w:tcPr>
          <w:p w14:paraId="1426EB6D" w14:textId="77777777" w:rsidR="00A74A1E" w:rsidRDefault="00A74A1E">
            <w:pPr>
              <w:rPr>
                <w:rFonts w:ascii="宋体"/>
                <w:vanish/>
              </w:rPr>
            </w:pPr>
          </w:p>
        </w:tc>
        <w:tc>
          <w:tcPr>
            <w:tcW w:w="0" w:type="auto"/>
            <w:gridSpan w:val="3"/>
            <w:shd w:val="clear" w:color="auto" w:fill="auto"/>
          </w:tcPr>
          <w:p w14:paraId="1426EB6E" w14:textId="77777777" w:rsidR="00A74A1E" w:rsidRDefault="00A74A1E">
            <w:pPr>
              <w:rPr>
                <w:rFonts w:ascii="宋体"/>
                <w:vanish/>
              </w:rPr>
            </w:pPr>
          </w:p>
        </w:tc>
      </w:tr>
      <w:tr w:rsidR="00A74A1E" w14:paraId="1426EB78" w14:textId="77777777">
        <w:trPr>
          <w:jc w:val="center"/>
          <w:hidden/>
        </w:trPr>
        <w:tc>
          <w:tcPr>
            <w:tcW w:w="0" w:type="auto"/>
            <w:gridSpan w:val="3"/>
            <w:shd w:val="clear" w:color="auto" w:fill="auto"/>
          </w:tcPr>
          <w:p w14:paraId="1426EB70" w14:textId="77777777" w:rsidR="00A74A1E" w:rsidRDefault="00A74A1E">
            <w:pPr>
              <w:rPr>
                <w:rFonts w:ascii="宋体"/>
                <w:vanish/>
              </w:rPr>
            </w:pPr>
          </w:p>
        </w:tc>
        <w:tc>
          <w:tcPr>
            <w:tcW w:w="0" w:type="auto"/>
            <w:gridSpan w:val="3"/>
            <w:shd w:val="clear" w:color="auto" w:fill="auto"/>
          </w:tcPr>
          <w:p w14:paraId="1426EB71" w14:textId="77777777" w:rsidR="00A74A1E" w:rsidRDefault="00A74A1E">
            <w:pPr>
              <w:rPr>
                <w:rFonts w:ascii="宋体"/>
                <w:vanish/>
              </w:rPr>
            </w:pPr>
          </w:p>
        </w:tc>
        <w:tc>
          <w:tcPr>
            <w:tcW w:w="0" w:type="auto"/>
            <w:gridSpan w:val="3"/>
            <w:shd w:val="clear" w:color="auto" w:fill="auto"/>
          </w:tcPr>
          <w:p w14:paraId="1426EB72" w14:textId="77777777" w:rsidR="00A74A1E" w:rsidRDefault="00A74A1E">
            <w:pPr>
              <w:rPr>
                <w:rFonts w:ascii="宋体"/>
                <w:vanish/>
              </w:rPr>
            </w:pPr>
          </w:p>
        </w:tc>
        <w:tc>
          <w:tcPr>
            <w:tcW w:w="0" w:type="auto"/>
            <w:gridSpan w:val="3"/>
            <w:shd w:val="clear" w:color="auto" w:fill="auto"/>
          </w:tcPr>
          <w:p w14:paraId="1426EB73" w14:textId="77777777" w:rsidR="00A74A1E" w:rsidRDefault="00A74A1E">
            <w:pPr>
              <w:rPr>
                <w:rFonts w:ascii="宋体"/>
                <w:vanish/>
              </w:rPr>
            </w:pPr>
          </w:p>
        </w:tc>
        <w:tc>
          <w:tcPr>
            <w:tcW w:w="0" w:type="auto"/>
            <w:gridSpan w:val="3"/>
            <w:shd w:val="clear" w:color="auto" w:fill="auto"/>
          </w:tcPr>
          <w:p w14:paraId="1426EB74" w14:textId="77777777" w:rsidR="00A74A1E" w:rsidRDefault="00A74A1E">
            <w:pPr>
              <w:rPr>
                <w:rFonts w:ascii="宋体"/>
                <w:vanish/>
              </w:rPr>
            </w:pPr>
          </w:p>
        </w:tc>
        <w:tc>
          <w:tcPr>
            <w:tcW w:w="0" w:type="auto"/>
            <w:gridSpan w:val="3"/>
            <w:shd w:val="clear" w:color="auto" w:fill="auto"/>
          </w:tcPr>
          <w:p w14:paraId="1426EB75" w14:textId="77777777" w:rsidR="00A74A1E" w:rsidRDefault="00A74A1E">
            <w:pPr>
              <w:rPr>
                <w:rFonts w:ascii="宋体"/>
                <w:vanish/>
              </w:rPr>
            </w:pPr>
          </w:p>
        </w:tc>
        <w:tc>
          <w:tcPr>
            <w:tcW w:w="0" w:type="auto"/>
            <w:gridSpan w:val="3"/>
            <w:shd w:val="clear" w:color="auto" w:fill="auto"/>
          </w:tcPr>
          <w:p w14:paraId="1426EB76" w14:textId="77777777" w:rsidR="00A74A1E" w:rsidRDefault="00A74A1E">
            <w:pPr>
              <w:rPr>
                <w:rFonts w:ascii="宋体"/>
                <w:vanish/>
              </w:rPr>
            </w:pPr>
          </w:p>
        </w:tc>
        <w:tc>
          <w:tcPr>
            <w:tcW w:w="0" w:type="auto"/>
            <w:gridSpan w:val="3"/>
            <w:shd w:val="clear" w:color="auto" w:fill="auto"/>
          </w:tcPr>
          <w:p w14:paraId="1426EB77" w14:textId="77777777" w:rsidR="00A74A1E" w:rsidRDefault="00A74A1E">
            <w:pPr>
              <w:rPr>
                <w:rFonts w:ascii="宋体"/>
                <w:vanish/>
              </w:rPr>
            </w:pPr>
          </w:p>
        </w:tc>
      </w:tr>
      <w:tr w:rsidR="00A74A1E" w14:paraId="1426EB81" w14:textId="77777777">
        <w:trPr>
          <w:jc w:val="center"/>
          <w:hidden/>
        </w:trPr>
        <w:tc>
          <w:tcPr>
            <w:tcW w:w="0" w:type="auto"/>
            <w:gridSpan w:val="3"/>
            <w:shd w:val="clear" w:color="auto" w:fill="auto"/>
          </w:tcPr>
          <w:p w14:paraId="1426EB79" w14:textId="77777777" w:rsidR="00A74A1E" w:rsidRDefault="00A74A1E">
            <w:pPr>
              <w:rPr>
                <w:rFonts w:ascii="宋体"/>
                <w:vanish/>
              </w:rPr>
            </w:pPr>
          </w:p>
        </w:tc>
        <w:tc>
          <w:tcPr>
            <w:tcW w:w="0" w:type="auto"/>
            <w:gridSpan w:val="3"/>
            <w:shd w:val="clear" w:color="auto" w:fill="auto"/>
          </w:tcPr>
          <w:p w14:paraId="1426EB7A" w14:textId="77777777" w:rsidR="00A74A1E" w:rsidRDefault="00A74A1E">
            <w:pPr>
              <w:rPr>
                <w:rFonts w:ascii="宋体"/>
                <w:vanish/>
              </w:rPr>
            </w:pPr>
          </w:p>
        </w:tc>
        <w:tc>
          <w:tcPr>
            <w:tcW w:w="0" w:type="auto"/>
            <w:gridSpan w:val="3"/>
            <w:shd w:val="clear" w:color="auto" w:fill="auto"/>
          </w:tcPr>
          <w:p w14:paraId="1426EB7B" w14:textId="77777777" w:rsidR="00A74A1E" w:rsidRDefault="00A74A1E">
            <w:pPr>
              <w:rPr>
                <w:rFonts w:ascii="宋体"/>
                <w:vanish/>
              </w:rPr>
            </w:pPr>
          </w:p>
        </w:tc>
        <w:tc>
          <w:tcPr>
            <w:tcW w:w="0" w:type="auto"/>
            <w:gridSpan w:val="3"/>
            <w:shd w:val="clear" w:color="auto" w:fill="auto"/>
          </w:tcPr>
          <w:p w14:paraId="1426EB7C" w14:textId="77777777" w:rsidR="00A74A1E" w:rsidRDefault="00A74A1E">
            <w:pPr>
              <w:rPr>
                <w:rFonts w:ascii="宋体"/>
                <w:vanish/>
              </w:rPr>
            </w:pPr>
          </w:p>
        </w:tc>
        <w:tc>
          <w:tcPr>
            <w:tcW w:w="0" w:type="auto"/>
            <w:gridSpan w:val="3"/>
            <w:shd w:val="clear" w:color="auto" w:fill="auto"/>
          </w:tcPr>
          <w:p w14:paraId="1426EB7D" w14:textId="77777777" w:rsidR="00A74A1E" w:rsidRDefault="00A74A1E">
            <w:pPr>
              <w:rPr>
                <w:rFonts w:ascii="宋体"/>
                <w:vanish/>
              </w:rPr>
            </w:pPr>
          </w:p>
        </w:tc>
        <w:tc>
          <w:tcPr>
            <w:tcW w:w="0" w:type="auto"/>
            <w:gridSpan w:val="3"/>
            <w:shd w:val="clear" w:color="auto" w:fill="auto"/>
          </w:tcPr>
          <w:p w14:paraId="1426EB7E" w14:textId="77777777" w:rsidR="00A74A1E" w:rsidRDefault="00A74A1E">
            <w:pPr>
              <w:rPr>
                <w:rFonts w:ascii="宋体"/>
                <w:vanish/>
              </w:rPr>
            </w:pPr>
          </w:p>
        </w:tc>
        <w:tc>
          <w:tcPr>
            <w:tcW w:w="0" w:type="auto"/>
            <w:gridSpan w:val="3"/>
            <w:shd w:val="clear" w:color="auto" w:fill="auto"/>
          </w:tcPr>
          <w:p w14:paraId="1426EB7F" w14:textId="77777777" w:rsidR="00A74A1E" w:rsidRDefault="00A74A1E">
            <w:pPr>
              <w:rPr>
                <w:rFonts w:ascii="宋体"/>
                <w:vanish/>
              </w:rPr>
            </w:pPr>
          </w:p>
        </w:tc>
        <w:tc>
          <w:tcPr>
            <w:tcW w:w="0" w:type="auto"/>
            <w:gridSpan w:val="3"/>
            <w:shd w:val="clear" w:color="auto" w:fill="auto"/>
          </w:tcPr>
          <w:p w14:paraId="1426EB80" w14:textId="77777777" w:rsidR="00A74A1E" w:rsidRDefault="00A74A1E">
            <w:pPr>
              <w:rPr>
                <w:rFonts w:ascii="宋体"/>
                <w:vanish/>
              </w:rPr>
            </w:pPr>
          </w:p>
        </w:tc>
      </w:tr>
      <w:tr w:rsidR="00A74A1E" w14:paraId="1426EB8A" w14:textId="77777777">
        <w:trPr>
          <w:jc w:val="center"/>
          <w:hidden/>
        </w:trPr>
        <w:tc>
          <w:tcPr>
            <w:tcW w:w="0" w:type="auto"/>
            <w:gridSpan w:val="3"/>
            <w:shd w:val="clear" w:color="auto" w:fill="auto"/>
          </w:tcPr>
          <w:p w14:paraId="1426EB82" w14:textId="77777777" w:rsidR="00A74A1E" w:rsidRDefault="00A74A1E">
            <w:pPr>
              <w:rPr>
                <w:rFonts w:ascii="宋体"/>
                <w:vanish/>
              </w:rPr>
            </w:pPr>
          </w:p>
        </w:tc>
        <w:tc>
          <w:tcPr>
            <w:tcW w:w="0" w:type="auto"/>
            <w:gridSpan w:val="3"/>
            <w:shd w:val="clear" w:color="auto" w:fill="auto"/>
          </w:tcPr>
          <w:p w14:paraId="1426EB83" w14:textId="77777777" w:rsidR="00A74A1E" w:rsidRDefault="00A74A1E">
            <w:pPr>
              <w:rPr>
                <w:rFonts w:ascii="宋体"/>
                <w:vanish/>
              </w:rPr>
            </w:pPr>
          </w:p>
        </w:tc>
        <w:tc>
          <w:tcPr>
            <w:tcW w:w="0" w:type="auto"/>
            <w:gridSpan w:val="3"/>
            <w:shd w:val="clear" w:color="auto" w:fill="auto"/>
          </w:tcPr>
          <w:p w14:paraId="1426EB84" w14:textId="77777777" w:rsidR="00A74A1E" w:rsidRDefault="00A74A1E">
            <w:pPr>
              <w:rPr>
                <w:rFonts w:ascii="宋体"/>
                <w:vanish/>
              </w:rPr>
            </w:pPr>
          </w:p>
        </w:tc>
        <w:tc>
          <w:tcPr>
            <w:tcW w:w="0" w:type="auto"/>
            <w:gridSpan w:val="3"/>
            <w:shd w:val="clear" w:color="auto" w:fill="auto"/>
          </w:tcPr>
          <w:p w14:paraId="1426EB85" w14:textId="77777777" w:rsidR="00A74A1E" w:rsidRDefault="00A74A1E">
            <w:pPr>
              <w:rPr>
                <w:rFonts w:ascii="宋体"/>
                <w:vanish/>
              </w:rPr>
            </w:pPr>
          </w:p>
        </w:tc>
        <w:tc>
          <w:tcPr>
            <w:tcW w:w="0" w:type="auto"/>
            <w:gridSpan w:val="3"/>
            <w:shd w:val="clear" w:color="auto" w:fill="auto"/>
          </w:tcPr>
          <w:p w14:paraId="1426EB86" w14:textId="77777777" w:rsidR="00A74A1E" w:rsidRDefault="00A74A1E">
            <w:pPr>
              <w:rPr>
                <w:rFonts w:ascii="宋体"/>
                <w:vanish/>
              </w:rPr>
            </w:pPr>
          </w:p>
        </w:tc>
        <w:tc>
          <w:tcPr>
            <w:tcW w:w="0" w:type="auto"/>
            <w:gridSpan w:val="3"/>
            <w:shd w:val="clear" w:color="auto" w:fill="auto"/>
          </w:tcPr>
          <w:p w14:paraId="1426EB87" w14:textId="77777777" w:rsidR="00A74A1E" w:rsidRDefault="00A74A1E">
            <w:pPr>
              <w:rPr>
                <w:rFonts w:ascii="宋体"/>
                <w:vanish/>
              </w:rPr>
            </w:pPr>
          </w:p>
        </w:tc>
        <w:tc>
          <w:tcPr>
            <w:tcW w:w="0" w:type="auto"/>
            <w:gridSpan w:val="3"/>
            <w:shd w:val="clear" w:color="auto" w:fill="auto"/>
          </w:tcPr>
          <w:p w14:paraId="1426EB88" w14:textId="77777777" w:rsidR="00A74A1E" w:rsidRDefault="00A74A1E">
            <w:pPr>
              <w:rPr>
                <w:rFonts w:ascii="宋体"/>
                <w:vanish/>
              </w:rPr>
            </w:pPr>
          </w:p>
        </w:tc>
        <w:tc>
          <w:tcPr>
            <w:tcW w:w="0" w:type="auto"/>
            <w:gridSpan w:val="3"/>
            <w:shd w:val="clear" w:color="auto" w:fill="auto"/>
          </w:tcPr>
          <w:p w14:paraId="1426EB89" w14:textId="77777777" w:rsidR="00A74A1E" w:rsidRDefault="00A74A1E">
            <w:pPr>
              <w:rPr>
                <w:rFonts w:ascii="宋体"/>
                <w:vanish/>
              </w:rPr>
            </w:pPr>
          </w:p>
        </w:tc>
      </w:tr>
      <w:tr w:rsidR="00A74A1E" w14:paraId="1426EB93" w14:textId="77777777">
        <w:trPr>
          <w:jc w:val="center"/>
          <w:hidden/>
        </w:trPr>
        <w:tc>
          <w:tcPr>
            <w:tcW w:w="0" w:type="auto"/>
            <w:gridSpan w:val="3"/>
            <w:shd w:val="clear" w:color="auto" w:fill="auto"/>
          </w:tcPr>
          <w:p w14:paraId="1426EB8B" w14:textId="77777777" w:rsidR="00A74A1E" w:rsidRDefault="00A74A1E">
            <w:pPr>
              <w:rPr>
                <w:rFonts w:ascii="宋体"/>
                <w:vanish/>
              </w:rPr>
            </w:pPr>
          </w:p>
        </w:tc>
        <w:tc>
          <w:tcPr>
            <w:tcW w:w="0" w:type="auto"/>
            <w:gridSpan w:val="3"/>
            <w:shd w:val="clear" w:color="auto" w:fill="auto"/>
          </w:tcPr>
          <w:p w14:paraId="1426EB8C" w14:textId="77777777" w:rsidR="00A74A1E" w:rsidRDefault="00A74A1E">
            <w:pPr>
              <w:rPr>
                <w:rFonts w:ascii="宋体"/>
                <w:vanish/>
              </w:rPr>
            </w:pPr>
          </w:p>
        </w:tc>
        <w:tc>
          <w:tcPr>
            <w:tcW w:w="0" w:type="auto"/>
            <w:gridSpan w:val="3"/>
            <w:shd w:val="clear" w:color="auto" w:fill="auto"/>
          </w:tcPr>
          <w:p w14:paraId="1426EB8D" w14:textId="77777777" w:rsidR="00A74A1E" w:rsidRDefault="00A74A1E">
            <w:pPr>
              <w:rPr>
                <w:rFonts w:ascii="宋体"/>
                <w:vanish/>
              </w:rPr>
            </w:pPr>
          </w:p>
        </w:tc>
        <w:tc>
          <w:tcPr>
            <w:tcW w:w="0" w:type="auto"/>
            <w:gridSpan w:val="3"/>
            <w:shd w:val="clear" w:color="auto" w:fill="auto"/>
          </w:tcPr>
          <w:p w14:paraId="1426EB8E" w14:textId="77777777" w:rsidR="00A74A1E" w:rsidRDefault="00A74A1E">
            <w:pPr>
              <w:rPr>
                <w:rFonts w:ascii="宋体"/>
                <w:vanish/>
              </w:rPr>
            </w:pPr>
          </w:p>
        </w:tc>
        <w:tc>
          <w:tcPr>
            <w:tcW w:w="0" w:type="auto"/>
            <w:gridSpan w:val="3"/>
            <w:shd w:val="clear" w:color="auto" w:fill="auto"/>
          </w:tcPr>
          <w:p w14:paraId="1426EB8F" w14:textId="77777777" w:rsidR="00A74A1E" w:rsidRDefault="00A74A1E">
            <w:pPr>
              <w:rPr>
                <w:rFonts w:ascii="宋体"/>
                <w:vanish/>
              </w:rPr>
            </w:pPr>
          </w:p>
        </w:tc>
        <w:tc>
          <w:tcPr>
            <w:tcW w:w="0" w:type="auto"/>
            <w:gridSpan w:val="3"/>
            <w:shd w:val="clear" w:color="auto" w:fill="auto"/>
          </w:tcPr>
          <w:p w14:paraId="1426EB90" w14:textId="77777777" w:rsidR="00A74A1E" w:rsidRDefault="00A74A1E">
            <w:pPr>
              <w:rPr>
                <w:rFonts w:ascii="宋体"/>
                <w:vanish/>
              </w:rPr>
            </w:pPr>
          </w:p>
        </w:tc>
        <w:tc>
          <w:tcPr>
            <w:tcW w:w="0" w:type="auto"/>
            <w:gridSpan w:val="3"/>
            <w:shd w:val="clear" w:color="auto" w:fill="auto"/>
          </w:tcPr>
          <w:p w14:paraId="1426EB91" w14:textId="77777777" w:rsidR="00A74A1E" w:rsidRDefault="00A74A1E">
            <w:pPr>
              <w:rPr>
                <w:rFonts w:ascii="宋体"/>
                <w:vanish/>
              </w:rPr>
            </w:pPr>
          </w:p>
        </w:tc>
        <w:tc>
          <w:tcPr>
            <w:tcW w:w="0" w:type="auto"/>
            <w:gridSpan w:val="3"/>
            <w:shd w:val="clear" w:color="auto" w:fill="auto"/>
          </w:tcPr>
          <w:p w14:paraId="1426EB92" w14:textId="77777777" w:rsidR="00A74A1E" w:rsidRDefault="00A74A1E">
            <w:pPr>
              <w:rPr>
                <w:rFonts w:ascii="宋体"/>
                <w:vanish/>
              </w:rPr>
            </w:pPr>
          </w:p>
        </w:tc>
      </w:tr>
      <w:tr w:rsidR="00A74A1E" w14:paraId="1426EB9C" w14:textId="77777777">
        <w:trPr>
          <w:jc w:val="center"/>
          <w:hidden/>
        </w:trPr>
        <w:tc>
          <w:tcPr>
            <w:tcW w:w="0" w:type="auto"/>
            <w:gridSpan w:val="3"/>
            <w:shd w:val="clear" w:color="auto" w:fill="auto"/>
          </w:tcPr>
          <w:p w14:paraId="1426EB94" w14:textId="77777777" w:rsidR="00A74A1E" w:rsidRDefault="00A74A1E">
            <w:pPr>
              <w:rPr>
                <w:rFonts w:ascii="宋体"/>
                <w:vanish/>
              </w:rPr>
            </w:pPr>
          </w:p>
        </w:tc>
        <w:tc>
          <w:tcPr>
            <w:tcW w:w="0" w:type="auto"/>
            <w:gridSpan w:val="3"/>
            <w:shd w:val="clear" w:color="auto" w:fill="auto"/>
          </w:tcPr>
          <w:p w14:paraId="1426EB95" w14:textId="77777777" w:rsidR="00A74A1E" w:rsidRDefault="00A74A1E">
            <w:pPr>
              <w:rPr>
                <w:rFonts w:ascii="宋体"/>
                <w:vanish/>
              </w:rPr>
            </w:pPr>
          </w:p>
        </w:tc>
        <w:tc>
          <w:tcPr>
            <w:tcW w:w="0" w:type="auto"/>
            <w:gridSpan w:val="3"/>
            <w:shd w:val="clear" w:color="auto" w:fill="auto"/>
          </w:tcPr>
          <w:p w14:paraId="1426EB96" w14:textId="77777777" w:rsidR="00A74A1E" w:rsidRDefault="00A74A1E">
            <w:pPr>
              <w:rPr>
                <w:rFonts w:ascii="宋体"/>
                <w:vanish/>
              </w:rPr>
            </w:pPr>
          </w:p>
        </w:tc>
        <w:tc>
          <w:tcPr>
            <w:tcW w:w="0" w:type="auto"/>
            <w:gridSpan w:val="3"/>
            <w:shd w:val="clear" w:color="auto" w:fill="auto"/>
          </w:tcPr>
          <w:p w14:paraId="1426EB97" w14:textId="77777777" w:rsidR="00A74A1E" w:rsidRDefault="00A74A1E">
            <w:pPr>
              <w:rPr>
                <w:rFonts w:ascii="宋体"/>
                <w:vanish/>
              </w:rPr>
            </w:pPr>
          </w:p>
        </w:tc>
        <w:tc>
          <w:tcPr>
            <w:tcW w:w="0" w:type="auto"/>
            <w:gridSpan w:val="3"/>
            <w:shd w:val="clear" w:color="auto" w:fill="auto"/>
          </w:tcPr>
          <w:p w14:paraId="1426EB98" w14:textId="77777777" w:rsidR="00A74A1E" w:rsidRDefault="00A74A1E">
            <w:pPr>
              <w:rPr>
                <w:rFonts w:ascii="宋体"/>
                <w:vanish/>
              </w:rPr>
            </w:pPr>
          </w:p>
        </w:tc>
        <w:tc>
          <w:tcPr>
            <w:tcW w:w="0" w:type="auto"/>
            <w:gridSpan w:val="3"/>
            <w:shd w:val="clear" w:color="auto" w:fill="auto"/>
          </w:tcPr>
          <w:p w14:paraId="1426EB99" w14:textId="77777777" w:rsidR="00A74A1E" w:rsidRDefault="00A74A1E">
            <w:pPr>
              <w:rPr>
                <w:rFonts w:ascii="宋体"/>
                <w:vanish/>
              </w:rPr>
            </w:pPr>
          </w:p>
        </w:tc>
        <w:tc>
          <w:tcPr>
            <w:tcW w:w="0" w:type="auto"/>
            <w:gridSpan w:val="3"/>
            <w:shd w:val="clear" w:color="auto" w:fill="auto"/>
          </w:tcPr>
          <w:p w14:paraId="1426EB9A" w14:textId="77777777" w:rsidR="00A74A1E" w:rsidRDefault="00A74A1E">
            <w:pPr>
              <w:rPr>
                <w:rFonts w:ascii="宋体"/>
                <w:vanish/>
              </w:rPr>
            </w:pPr>
          </w:p>
        </w:tc>
        <w:tc>
          <w:tcPr>
            <w:tcW w:w="0" w:type="auto"/>
            <w:gridSpan w:val="3"/>
            <w:shd w:val="clear" w:color="auto" w:fill="auto"/>
          </w:tcPr>
          <w:p w14:paraId="1426EB9B" w14:textId="77777777" w:rsidR="00A74A1E" w:rsidRDefault="00A74A1E">
            <w:pPr>
              <w:rPr>
                <w:rFonts w:ascii="宋体"/>
                <w:vanish/>
              </w:rPr>
            </w:pPr>
          </w:p>
        </w:tc>
      </w:tr>
      <w:tr w:rsidR="00A74A1E" w14:paraId="1426EBA5" w14:textId="77777777">
        <w:trPr>
          <w:jc w:val="center"/>
          <w:hidden/>
        </w:trPr>
        <w:tc>
          <w:tcPr>
            <w:tcW w:w="0" w:type="auto"/>
            <w:gridSpan w:val="3"/>
            <w:shd w:val="clear" w:color="auto" w:fill="auto"/>
          </w:tcPr>
          <w:p w14:paraId="1426EB9D" w14:textId="77777777" w:rsidR="00A74A1E" w:rsidRDefault="00A74A1E">
            <w:pPr>
              <w:rPr>
                <w:rFonts w:ascii="宋体"/>
                <w:vanish/>
              </w:rPr>
            </w:pPr>
          </w:p>
        </w:tc>
        <w:tc>
          <w:tcPr>
            <w:tcW w:w="0" w:type="auto"/>
            <w:gridSpan w:val="3"/>
            <w:shd w:val="clear" w:color="auto" w:fill="auto"/>
          </w:tcPr>
          <w:p w14:paraId="1426EB9E" w14:textId="77777777" w:rsidR="00A74A1E" w:rsidRDefault="00A74A1E">
            <w:pPr>
              <w:rPr>
                <w:rFonts w:ascii="宋体"/>
                <w:vanish/>
              </w:rPr>
            </w:pPr>
          </w:p>
        </w:tc>
        <w:tc>
          <w:tcPr>
            <w:tcW w:w="0" w:type="auto"/>
            <w:gridSpan w:val="3"/>
            <w:shd w:val="clear" w:color="auto" w:fill="auto"/>
          </w:tcPr>
          <w:p w14:paraId="1426EB9F" w14:textId="77777777" w:rsidR="00A74A1E" w:rsidRDefault="00A74A1E">
            <w:pPr>
              <w:rPr>
                <w:rFonts w:ascii="宋体"/>
                <w:vanish/>
              </w:rPr>
            </w:pPr>
          </w:p>
        </w:tc>
        <w:tc>
          <w:tcPr>
            <w:tcW w:w="0" w:type="auto"/>
            <w:gridSpan w:val="3"/>
            <w:shd w:val="clear" w:color="auto" w:fill="auto"/>
          </w:tcPr>
          <w:p w14:paraId="1426EBA0" w14:textId="77777777" w:rsidR="00A74A1E" w:rsidRDefault="00A74A1E">
            <w:pPr>
              <w:rPr>
                <w:rFonts w:ascii="宋体"/>
                <w:vanish/>
              </w:rPr>
            </w:pPr>
          </w:p>
        </w:tc>
        <w:tc>
          <w:tcPr>
            <w:tcW w:w="0" w:type="auto"/>
            <w:gridSpan w:val="3"/>
            <w:shd w:val="clear" w:color="auto" w:fill="auto"/>
          </w:tcPr>
          <w:p w14:paraId="1426EBA1" w14:textId="77777777" w:rsidR="00A74A1E" w:rsidRDefault="00A74A1E">
            <w:pPr>
              <w:rPr>
                <w:rFonts w:ascii="宋体"/>
                <w:vanish/>
              </w:rPr>
            </w:pPr>
          </w:p>
        </w:tc>
        <w:tc>
          <w:tcPr>
            <w:tcW w:w="0" w:type="auto"/>
            <w:gridSpan w:val="3"/>
            <w:shd w:val="clear" w:color="auto" w:fill="auto"/>
          </w:tcPr>
          <w:p w14:paraId="1426EBA2" w14:textId="77777777" w:rsidR="00A74A1E" w:rsidRDefault="00A74A1E">
            <w:pPr>
              <w:rPr>
                <w:rFonts w:ascii="宋体"/>
                <w:vanish/>
              </w:rPr>
            </w:pPr>
          </w:p>
        </w:tc>
        <w:tc>
          <w:tcPr>
            <w:tcW w:w="0" w:type="auto"/>
            <w:gridSpan w:val="3"/>
            <w:shd w:val="clear" w:color="auto" w:fill="auto"/>
          </w:tcPr>
          <w:p w14:paraId="1426EBA3" w14:textId="77777777" w:rsidR="00A74A1E" w:rsidRDefault="00A74A1E">
            <w:pPr>
              <w:rPr>
                <w:rFonts w:ascii="宋体"/>
                <w:vanish/>
              </w:rPr>
            </w:pPr>
          </w:p>
        </w:tc>
        <w:tc>
          <w:tcPr>
            <w:tcW w:w="0" w:type="auto"/>
            <w:gridSpan w:val="3"/>
            <w:shd w:val="clear" w:color="auto" w:fill="auto"/>
          </w:tcPr>
          <w:p w14:paraId="1426EBA4" w14:textId="77777777" w:rsidR="00A74A1E" w:rsidRDefault="00A74A1E">
            <w:pPr>
              <w:rPr>
                <w:rFonts w:ascii="宋体"/>
                <w:vanish/>
              </w:rPr>
            </w:pPr>
          </w:p>
        </w:tc>
      </w:tr>
      <w:tr w:rsidR="00A74A1E" w14:paraId="1426EBAE" w14:textId="77777777">
        <w:trPr>
          <w:jc w:val="center"/>
          <w:hidden/>
        </w:trPr>
        <w:tc>
          <w:tcPr>
            <w:tcW w:w="0" w:type="auto"/>
            <w:gridSpan w:val="3"/>
            <w:shd w:val="clear" w:color="auto" w:fill="auto"/>
          </w:tcPr>
          <w:p w14:paraId="1426EBA6" w14:textId="77777777" w:rsidR="00A74A1E" w:rsidRDefault="00A74A1E">
            <w:pPr>
              <w:rPr>
                <w:rFonts w:ascii="宋体"/>
                <w:vanish/>
              </w:rPr>
            </w:pPr>
          </w:p>
        </w:tc>
        <w:tc>
          <w:tcPr>
            <w:tcW w:w="0" w:type="auto"/>
            <w:gridSpan w:val="3"/>
            <w:shd w:val="clear" w:color="auto" w:fill="auto"/>
          </w:tcPr>
          <w:p w14:paraId="1426EBA7" w14:textId="77777777" w:rsidR="00A74A1E" w:rsidRDefault="00A74A1E">
            <w:pPr>
              <w:rPr>
                <w:rFonts w:ascii="宋体"/>
                <w:vanish/>
              </w:rPr>
            </w:pPr>
          </w:p>
        </w:tc>
        <w:tc>
          <w:tcPr>
            <w:tcW w:w="0" w:type="auto"/>
            <w:gridSpan w:val="3"/>
            <w:shd w:val="clear" w:color="auto" w:fill="auto"/>
          </w:tcPr>
          <w:p w14:paraId="1426EBA8" w14:textId="77777777" w:rsidR="00A74A1E" w:rsidRDefault="00A74A1E">
            <w:pPr>
              <w:rPr>
                <w:rFonts w:ascii="宋体"/>
                <w:vanish/>
              </w:rPr>
            </w:pPr>
          </w:p>
        </w:tc>
        <w:tc>
          <w:tcPr>
            <w:tcW w:w="0" w:type="auto"/>
            <w:gridSpan w:val="3"/>
            <w:shd w:val="clear" w:color="auto" w:fill="auto"/>
          </w:tcPr>
          <w:p w14:paraId="1426EBA9" w14:textId="77777777" w:rsidR="00A74A1E" w:rsidRDefault="00A74A1E">
            <w:pPr>
              <w:rPr>
                <w:rFonts w:ascii="宋体"/>
                <w:vanish/>
              </w:rPr>
            </w:pPr>
          </w:p>
        </w:tc>
        <w:tc>
          <w:tcPr>
            <w:tcW w:w="0" w:type="auto"/>
            <w:gridSpan w:val="3"/>
            <w:shd w:val="clear" w:color="auto" w:fill="auto"/>
          </w:tcPr>
          <w:p w14:paraId="1426EBAA" w14:textId="77777777" w:rsidR="00A74A1E" w:rsidRDefault="00A74A1E">
            <w:pPr>
              <w:rPr>
                <w:rFonts w:ascii="宋体"/>
                <w:vanish/>
              </w:rPr>
            </w:pPr>
          </w:p>
        </w:tc>
        <w:tc>
          <w:tcPr>
            <w:tcW w:w="0" w:type="auto"/>
            <w:gridSpan w:val="3"/>
            <w:shd w:val="clear" w:color="auto" w:fill="auto"/>
          </w:tcPr>
          <w:p w14:paraId="1426EBAB" w14:textId="77777777" w:rsidR="00A74A1E" w:rsidRDefault="00A74A1E">
            <w:pPr>
              <w:rPr>
                <w:rFonts w:ascii="宋体"/>
                <w:vanish/>
              </w:rPr>
            </w:pPr>
          </w:p>
        </w:tc>
        <w:tc>
          <w:tcPr>
            <w:tcW w:w="0" w:type="auto"/>
            <w:gridSpan w:val="3"/>
            <w:shd w:val="clear" w:color="auto" w:fill="auto"/>
          </w:tcPr>
          <w:p w14:paraId="1426EBAC" w14:textId="77777777" w:rsidR="00A74A1E" w:rsidRDefault="00A74A1E">
            <w:pPr>
              <w:rPr>
                <w:rFonts w:ascii="宋体"/>
                <w:vanish/>
              </w:rPr>
            </w:pPr>
          </w:p>
        </w:tc>
        <w:tc>
          <w:tcPr>
            <w:tcW w:w="0" w:type="auto"/>
            <w:gridSpan w:val="3"/>
            <w:shd w:val="clear" w:color="auto" w:fill="auto"/>
          </w:tcPr>
          <w:p w14:paraId="1426EBAD" w14:textId="77777777" w:rsidR="00A74A1E" w:rsidRDefault="00A74A1E">
            <w:pPr>
              <w:rPr>
                <w:rFonts w:ascii="宋体"/>
                <w:vanish/>
              </w:rPr>
            </w:pPr>
          </w:p>
        </w:tc>
      </w:tr>
      <w:tr w:rsidR="00A74A1E" w14:paraId="1426EBB7" w14:textId="77777777">
        <w:trPr>
          <w:jc w:val="center"/>
          <w:hidden/>
        </w:trPr>
        <w:tc>
          <w:tcPr>
            <w:tcW w:w="0" w:type="auto"/>
            <w:gridSpan w:val="3"/>
            <w:shd w:val="clear" w:color="auto" w:fill="auto"/>
          </w:tcPr>
          <w:p w14:paraId="1426EBAF" w14:textId="77777777" w:rsidR="00A74A1E" w:rsidRDefault="00A74A1E">
            <w:pPr>
              <w:rPr>
                <w:rFonts w:ascii="宋体"/>
                <w:vanish/>
              </w:rPr>
            </w:pPr>
          </w:p>
        </w:tc>
        <w:tc>
          <w:tcPr>
            <w:tcW w:w="0" w:type="auto"/>
            <w:gridSpan w:val="3"/>
            <w:shd w:val="clear" w:color="auto" w:fill="auto"/>
          </w:tcPr>
          <w:p w14:paraId="1426EBB0" w14:textId="77777777" w:rsidR="00A74A1E" w:rsidRDefault="00A74A1E">
            <w:pPr>
              <w:rPr>
                <w:rFonts w:ascii="宋体"/>
                <w:vanish/>
              </w:rPr>
            </w:pPr>
          </w:p>
        </w:tc>
        <w:tc>
          <w:tcPr>
            <w:tcW w:w="0" w:type="auto"/>
            <w:gridSpan w:val="3"/>
            <w:shd w:val="clear" w:color="auto" w:fill="auto"/>
          </w:tcPr>
          <w:p w14:paraId="1426EBB1" w14:textId="77777777" w:rsidR="00A74A1E" w:rsidRDefault="00A74A1E">
            <w:pPr>
              <w:rPr>
                <w:rFonts w:ascii="宋体"/>
                <w:vanish/>
              </w:rPr>
            </w:pPr>
          </w:p>
        </w:tc>
        <w:tc>
          <w:tcPr>
            <w:tcW w:w="0" w:type="auto"/>
            <w:gridSpan w:val="3"/>
            <w:shd w:val="clear" w:color="auto" w:fill="auto"/>
          </w:tcPr>
          <w:p w14:paraId="1426EBB2" w14:textId="77777777" w:rsidR="00A74A1E" w:rsidRDefault="00A74A1E">
            <w:pPr>
              <w:rPr>
                <w:rFonts w:ascii="宋体"/>
                <w:vanish/>
              </w:rPr>
            </w:pPr>
          </w:p>
        </w:tc>
        <w:tc>
          <w:tcPr>
            <w:tcW w:w="0" w:type="auto"/>
            <w:gridSpan w:val="3"/>
            <w:shd w:val="clear" w:color="auto" w:fill="auto"/>
          </w:tcPr>
          <w:p w14:paraId="1426EBB3" w14:textId="77777777" w:rsidR="00A74A1E" w:rsidRDefault="00A74A1E">
            <w:pPr>
              <w:rPr>
                <w:rFonts w:ascii="宋体"/>
                <w:vanish/>
              </w:rPr>
            </w:pPr>
          </w:p>
        </w:tc>
        <w:tc>
          <w:tcPr>
            <w:tcW w:w="0" w:type="auto"/>
            <w:gridSpan w:val="3"/>
            <w:shd w:val="clear" w:color="auto" w:fill="auto"/>
          </w:tcPr>
          <w:p w14:paraId="1426EBB4" w14:textId="77777777" w:rsidR="00A74A1E" w:rsidRDefault="00A74A1E">
            <w:pPr>
              <w:rPr>
                <w:rFonts w:ascii="宋体"/>
                <w:vanish/>
              </w:rPr>
            </w:pPr>
          </w:p>
        </w:tc>
        <w:tc>
          <w:tcPr>
            <w:tcW w:w="0" w:type="auto"/>
            <w:gridSpan w:val="3"/>
            <w:shd w:val="clear" w:color="auto" w:fill="auto"/>
          </w:tcPr>
          <w:p w14:paraId="1426EBB5" w14:textId="77777777" w:rsidR="00A74A1E" w:rsidRDefault="00A74A1E">
            <w:pPr>
              <w:rPr>
                <w:rFonts w:ascii="宋体"/>
                <w:vanish/>
              </w:rPr>
            </w:pPr>
          </w:p>
        </w:tc>
        <w:tc>
          <w:tcPr>
            <w:tcW w:w="0" w:type="auto"/>
            <w:gridSpan w:val="3"/>
            <w:shd w:val="clear" w:color="auto" w:fill="auto"/>
          </w:tcPr>
          <w:p w14:paraId="1426EBB6" w14:textId="77777777" w:rsidR="00A74A1E" w:rsidRDefault="00A74A1E">
            <w:pPr>
              <w:rPr>
                <w:rFonts w:ascii="宋体"/>
                <w:vanish/>
              </w:rPr>
            </w:pPr>
          </w:p>
        </w:tc>
      </w:tr>
      <w:tr w:rsidR="00A74A1E" w14:paraId="1426EBC0" w14:textId="77777777">
        <w:trPr>
          <w:jc w:val="center"/>
          <w:hidden/>
        </w:trPr>
        <w:tc>
          <w:tcPr>
            <w:tcW w:w="0" w:type="auto"/>
            <w:gridSpan w:val="3"/>
            <w:shd w:val="clear" w:color="auto" w:fill="auto"/>
          </w:tcPr>
          <w:p w14:paraId="1426EBB8" w14:textId="77777777" w:rsidR="00A74A1E" w:rsidRDefault="00A74A1E">
            <w:pPr>
              <w:rPr>
                <w:rFonts w:ascii="宋体"/>
                <w:vanish/>
              </w:rPr>
            </w:pPr>
          </w:p>
        </w:tc>
        <w:tc>
          <w:tcPr>
            <w:tcW w:w="0" w:type="auto"/>
            <w:gridSpan w:val="3"/>
            <w:shd w:val="clear" w:color="auto" w:fill="auto"/>
          </w:tcPr>
          <w:p w14:paraId="1426EBB9" w14:textId="77777777" w:rsidR="00A74A1E" w:rsidRDefault="00A74A1E">
            <w:pPr>
              <w:rPr>
                <w:rFonts w:ascii="宋体"/>
                <w:vanish/>
              </w:rPr>
            </w:pPr>
          </w:p>
        </w:tc>
        <w:tc>
          <w:tcPr>
            <w:tcW w:w="0" w:type="auto"/>
            <w:gridSpan w:val="3"/>
            <w:shd w:val="clear" w:color="auto" w:fill="auto"/>
          </w:tcPr>
          <w:p w14:paraId="1426EBBA" w14:textId="77777777" w:rsidR="00A74A1E" w:rsidRDefault="00A74A1E">
            <w:pPr>
              <w:rPr>
                <w:rFonts w:ascii="宋体"/>
                <w:vanish/>
              </w:rPr>
            </w:pPr>
          </w:p>
        </w:tc>
        <w:tc>
          <w:tcPr>
            <w:tcW w:w="0" w:type="auto"/>
            <w:gridSpan w:val="3"/>
            <w:shd w:val="clear" w:color="auto" w:fill="auto"/>
          </w:tcPr>
          <w:p w14:paraId="1426EBBB" w14:textId="77777777" w:rsidR="00A74A1E" w:rsidRDefault="00A74A1E">
            <w:pPr>
              <w:rPr>
                <w:rFonts w:ascii="宋体"/>
                <w:vanish/>
              </w:rPr>
            </w:pPr>
          </w:p>
        </w:tc>
        <w:tc>
          <w:tcPr>
            <w:tcW w:w="0" w:type="auto"/>
            <w:gridSpan w:val="3"/>
            <w:shd w:val="clear" w:color="auto" w:fill="auto"/>
          </w:tcPr>
          <w:p w14:paraId="1426EBBC" w14:textId="77777777" w:rsidR="00A74A1E" w:rsidRDefault="00A74A1E">
            <w:pPr>
              <w:rPr>
                <w:rFonts w:ascii="宋体"/>
                <w:vanish/>
              </w:rPr>
            </w:pPr>
          </w:p>
        </w:tc>
        <w:tc>
          <w:tcPr>
            <w:tcW w:w="0" w:type="auto"/>
            <w:gridSpan w:val="3"/>
            <w:shd w:val="clear" w:color="auto" w:fill="auto"/>
          </w:tcPr>
          <w:p w14:paraId="1426EBBD" w14:textId="77777777" w:rsidR="00A74A1E" w:rsidRDefault="00A74A1E">
            <w:pPr>
              <w:rPr>
                <w:rFonts w:ascii="宋体"/>
                <w:vanish/>
              </w:rPr>
            </w:pPr>
          </w:p>
        </w:tc>
        <w:tc>
          <w:tcPr>
            <w:tcW w:w="0" w:type="auto"/>
            <w:gridSpan w:val="3"/>
            <w:shd w:val="clear" w:color="auto" w:fill="auto"/>
          </w:tcPr>
          <w:p w14:paraId="1426EBBE" w14:textId="77777777" w:rsidR="00A74A1E" w:rsidRDefault="00A74A1E">
            <w:pPr>
              <w:rPr>
                <w:rFonts w:ascii="宋体"/>
                <w:vanish/>
              </w:rPr>
            </w:pPr>
          </w:p>
        </w:tc>
        <w:tc>
          <w:tcPr>
            <w:tcW w:w="0" w:type="auto"/>
            <w:gridSpan w:val="3"/>
            <w:shd w:val="clear" w:color="auto" w:fill="auto"/>
          </w:tcPr>
          <w:p w14:paraId="1426EBBF" w14:textId="77777777" w:rsidR="00A74A1E" w:rsidRDefault="00A74A1E">
            <w:pPr>
              <w:rPr>
                <w:rFonts w:ascii="宋体"/>
                <w:vanish/>
              </w:rPr>
            </w:pPr>
          </w:p>
        </w:tc>
      </w:tr>
      <w:tr w:rsidR="00A74A1E" w14:paraId="1426EBC9" w14:textId="77777777">
        <w:trPr>
          <w:jc w:val="center"/>
          <w:hidden/>
        </w:trPr>
        <w:tc>
          <w:tcPr>
            <w:tcW w:w="0" w:type="auto"/>
            <w:gridSpan w:val="3"/>
            <w:shd w:val="clear" w:color="auto" w:fill="auto"/>
          </w:tcPr>
          <w:p w14:paraId="1426EBC1" w14:textId="77777777" w:rsidR="00A74A1E" w:rsidRDefault="00A74A1E">
            <w:pPr>
              <w:rPr>
                <w:rFonts w:ascii="宋体"/>
                <w:vanish/>
              </w:rPr>
            </w:pPr>
          </w:p>
        </w:tc>
        <w:tc>
          <w:tcPr>
            <w:tcW w:w="0" w:type="auto"/>
            <w:gridSpan w:val="3"/>
            <w:shd w:val="clear" w:color="auto" w:fill="auto"/>
          </w:tcPr>
          <w:p w14:paraId="1426EBC2" w14:textId="77777777" w:rsidR="00A74A1E" w:rsidRDefault="00A74A1E">
            <w:pPr>
              <w:rPr>
                <w:rFonts w:ascii="宋体"/>
                <w:vanish/>
              </w:rPr>
            </w:pPr>
          </w:p>
        </w:tc>
        <w:tc>
          <w:tcPr>
            <w:tcW w:w="0" w:type="auto"/>
            <w:gridSpan w:val="3"/>
            <w:shd w:val="clear" w:color="auto" w:fill="auto"/>
          </w:tcPr>
          <w:p w14:paraId="1426EBC3" w14:textId="77777777" w:rsidR="00A74A1E" w:rsidRDefault="00A74A1E">
            <w:pPr>
              <w:rPr>
                <w:rFonts w:ascii="宋体"/>
                <w:vanish/>
              </w:rPr>
            </w:pPr>
          </w:p>
        </w:tc>
        <w:tc>
          <w:tcPr>
            <w:tcW w:w="0" w:type="auto"/>
            <w:gridSpan w:val="3"/>
            <w:shd w:val="clear" w:color="auto" w:fill="auto"/>
          </w:tcPr>
          <w:p w14:paraId="1426EBC4" w14:textId="77777777" w:rsidR="00A74A1E" w:rsidRDefault="00A74A1E">
            <w:pPr>
              <w:rPr>
                <w:rFonts w:ascii="宋体"/>
                <w:vanish/>
              </w:rPr>
            </w:pPr>
          </w:p>
        </w:tc>
        <w:tc>
          <w:tcPr>
            <w:tcW w:w="0" w:type="auto"/>
            <w:gridSpan w:val="3"/>
            <w:shd w:val="clear" w:color="auto" w:fill="auto"/>
          </w:tcPr>
          <w:p w14:paraId="1426EBC5" w14:textId="77777777" w:rsidR="00A74A1E" w:rsidRDefault="00A74A1E">
            <w:pPr>
              <w:rPr>
                <w:rFonts w:ascii="宋体"/>
                <w:vanish/>
              </w:rPr>
            </w:pPr>
          </w:p>
        </w:tc>
        <w:tc>
          <w:tcPr>
            <w:tcW w:w="0" w:type="auto"/>
            <w:gridSpan w:val="3"/>
            <w:shd w:val="clear" w:color="auto" w:fill="auto"/>
          </w:tcPr>
          <w:p w14:paraId="1426EBC6" w14:textId="77777777" w:rsidR="00A74A1E" w:rsidRDefault="00A74A1E">
            <w:pPr>
              <w:rPr>
                <w:rFonts w:ascii="宋体"/>
                <w:vanish/>
              </w:rPr>
            </w:pPr>
          </w:p>
        </w:tc>
        <w:tc>
          <w:tcPr>
            <w:tcW w:w="0" w:type="auto"/>
            <w:gridSpan w:val="3"/>
            <w:shd w:val="clear" w:color="auto" w:fill="auto"/>
          </w:tcPr>
          <w:p w14:paraId="1426EBC7" w14:textId="77777777" w:rsidR="00A74A1E" w:rsidRDefault="00A74A1E">
            <w:pPr>
              <w:rPr>
                <w:rFonts w:ascii="宋体"/>
                <w:vanish/>
              </w:rPr>
            </w:pPr>
          </w:p>
        </w:tc>
        <w:tc>
          <w:tcPr>
            <w:tcW w:w="0" w:type="auto"/>
            <w:gridSpan w:val="3"/>
            <w:shd w:val="clear" w:color="auto" w:fill="auto"/>
          </w:tcPr>
          <w:p w14:paraId="1426EBC8" w14:textId="77777777" w:rsidR="00A74A1E" w:rsidRDefault="00A74A1E">
            <w:pPr>
              <w:rPr>
                <w:rFonts w:ascii="宋体"/>
                <w:vanish/>
              </w:rPr>
            </w:pPr>
          </w:p>
        </w:tc>
      </w:tr>
      <w:tr w:rsidR="00A74A1E" w14:paraId="1426EBD2" w14:textId="77777777">
        <w:trPr>
          <w:jc w:val="center"/>
          <w:hidden/>
        </w:trPr>
        <w:tc>
          <w:tcPr>
            <w:tcW w:w="0" w:type="auto"/>
            <w:gridSpan w:val="3"/>
            <w:shd w:val="clear" w:color="auto" w:fill="auto"/>
          </w:tcPr>
          <w:p w14:paraId="1426EBCA" w14:textId="77777777" w:rsidR="00A74A1E" w:rsidRDefault="00A74A1E">
            <w:pPr>
              <w:rPr>
                <w:rFonts w:ascii="宋体"/>
                <w:vanish/>
              </w:rPr>
            </w:pPr>
          </w:p>
        </w:tc>
        <w:tc>
          <w:tcPr>
            <w:tcW w:w="0" w:type="auto"/>
            <w:gridSpan w:val="3"/>
            <w:shd w:val="clear" w:color="auto" w:fill="auto"/>
          </w:tcPr>
          <w:p w14:paraId="1426EBCB" w14:textId="77777777" w:rsidR="00A74A1E" w:rsidRDefault="00A74A1E">
            <w:pPr>
              <w:rPr>
                <w:rFonts w:ascii="宋体"/>
                <w:vanish/>
              </w:rPr>
            </w:pPr>
          </w:p>
        </w:tc>
        <w:tc>
          <w:tcPr>
            <w:tcW w:w="0" w:type="auto"/>
            <w:gridSpan w:val="3"/>
            <w:shd w:val="clear" w:color="auto" w:fill="auto"/>
          </w:tcPr>
          <w:p w14:paraId="1426EBCC" w14:textId="77777777" w:rsidR="00A74A1E" w:rsidRDefault="00A74A1E">
            <w:pPr>
              <w:rPr>
                <w:rFonts w:ascii="宋体"/>
                <w:vanish/>
              </w:rPr>
            </w:pPr>
          </w:p>
        </w:tc>
        <w:tc>
          <w:tcPr>
            <w:tcW w:w="0" w:type="auto"/>
            <w:gridSpan w:val="3"/>
            <w:shd w:val="clear" w:color="auto" w:fill="auto"/>
          </w:tcPr>
          <w:p w14:paraId="1426EBCD" w14:textId="77777777" w:rsidR="00A74A1E" w:rsidRDefault="00A74A1E">
            <w:pPr>
              <w:rPr>
                <w:rFonts w:ascii="宋体"/>
                <w:vanish/>
              </w:rPr>
            </w:pPr>
          </w:p>
        </w:tc>
        <w:tc>
          <w:tcPr>
            <w:tcW w:w="0" w:type="auto"/>
            <w:gridSpan w:val="3"/>
            <w:shd w:val="clear" w:color="auto" w:fill="auto"/>
          </w:tcPr>
          <w:p w14:paraId="1426EBCE" w14:textId="77777777" w:rsidR="00A74A1E" w:rsidRDefault="00A74A1E">
            <w:pPr>
              <w:rPr>
                <w:rFonts w:ascii="宋体"/>
                <w:vanish/>
              </w:rPr>
            </w:pPr>
          </w:p>
        </w:tc>
        <w:tc>
          <w:tcPr>
            <w:tcW w:w="0" w:type="auto"/>
            <w:gridSpan w:val="3"/>
            <w:shd w:val="clear" w:color="auto" w:fill="auto"/>
          </w:tcPr>
          <w:p w14:paraId="1426EBCF" w14:textId="77777777" w:rsidR="00A74A1E" w:rsidRDefault="00A74A1E">
            <w:pPr>
              <w:rPr>
                <w:rFonts w:ascii="宋体"/>
                <w:vanish/>
              </w:rPr>
            </w:pPr>
          </w:p>
        </w:tc>
        <w:tc>
          <w:tcPr>
            <w:tcW w:w="0" w:type="auto"/>
            <w:gridSpan w:val="3"/>
            <w:shd w:val="clear" w:color="auto" w:fill="auto"/>
          </w:tcPr>
          <w:p w14:paraId="1426EBD0" w14:textId="77777777" w:rsidR="00A74A1E" w:rsidRDefault="00A74A1E">
            <w:pPr>
              <w:rPr>
                <w:rFonts w:ascii="宋体"/>
                <w:vanish/>
              </w:rPr>
            </w:pPr>
          </w:p>
        </w:tc>
        <w:tc>
          <w:tcPr>
            <w:tcW w:w="0" w:type="auto"/>
            <w:gridSpan w:val="3"/>
            <w:shd w:val="clear" w:color="auto" w:fill="auto"/>
          </w:tcPr>
          <w:p w14:paraId="1426EBD1" w14:textId="77777777" w:rsidR="00A74A1E" w:rsidRDefault="00A74A1E">
            <w:pPr>
              <w:rPr>
                <w:rFonts w:ascii="宋体"/>
                <w:vanish/>
              </w:rPr>
            </w:pPr>
          </w:p>
        </w:tc>
      </w:tr>
      <w:tr w:rsidR="00A74A1E" w14:paraId="1426EBDB" w14:textId="77777777">
        <w:trPr>
          <w:jc w:val="center"/>
          <w:hidden/>
        </w:trPr>
        <w:tc>
          <w:tcPr>
            <w:tcW w:w="0" w:type="auto"/>
            <w:gridSpan w:val="3"/>
            <w:shd w:val="clear" w:color="auto" w:fill="auto"/>
          </w:tcPr>
          <w:p w14:paraId="1426EBD3" w14:textId="77777777" w:rsidR="00A74A1E" w:rsidRDefault="00A74A1E">
            <w:pPr>
              <w:rPr>
                <w:rFonts w:ascii="宋体"/>
                <w:vanish/>
              </w:rPr>
            </w:pPr>
          </w:p>
        </w:tc>
        <w:tc>
          <w:tcPr>
            <w:tcW w:w="0" w:type="auto"/>
            <w:gridSpan w:val="3"/>
            <w:shd w:val="clear" w:color="auto" w:fill="auto"/>
          </w:tcPr>
          <w:p w14:paraId="1426EBD4" w14:textId="77777777" w:rsidR="00A74A1E" w:rsidRDefault="00A74A1E">
            <w:pPr>
              <w:rPr>
                <w:rFonts w:ascii="宋体"/>
                <w:vanish/>
              </w:rPr>
            </w:pPr>
          </w:p>
        </w:tc>
        <w:tc>
          <w:tcPr>
            <w:tcW w:w="0" w:type="auto"/>
            <w:gridSpan w:val="3"/>
            <w:shd w:val="clear" w:color="auto" w:fill="auto"/>
          </w:tcPr>
          <w:p w14:paraId="1426EBD5" w14:textId="77777777" w:rsidR="00A74A1E" w:rsidRDefault="00A74A1E">
            <w:pPr>
              <w:rPr>
                <w:rFonts w:ascii="宋体"/>
                <w:vanish/>
              </w:rPr>
            </w:pPr>
          </w:p>
        </w:tc>
        <w:tc>
          <w:tcPr>
            <w:tcW w:w="0" w:type="auto"/>
            <w:gridSpan w:val="3"/>
            <w:shd w:val="clear" w:color="auto" w:fill="auto"/>
          </w:tcPr>
          <w:p w14:paraId="1426EBD6" w14:textId="77777777" w:rsidR="00A74A1E" w:rsidRDefault="00A74A1E">
            <w:pPr>
              <w:rPr>
                <w:rFonts w:ascii="宋体"/>
                <w:vanish/>
              </w:rPr>
            </w:pPr>
          </w:p>
        </w:tc>
        <w:tc>
          <w:tcPr>
            <w:tcW w:w="0" w:type="auto"/>
            <w:gridSpan w:val="3"/>
            <w:shd w:val="clear" w:color="auto" w:fill="auto"/>
          </w:tcPr>
          <w:p w14:paraId="1426EBD7" w14:textId="77777777" w:rsidR="00A74A1E" w:rsidRDefault="00A74A1E">
            <w:pPr>
              <w:rPr>
                <w:rFonts w:ascii="宋体"/>
                <w:vanish/>
              </w:rPr>
            </w:pPr>
          </w:p>
        </w:tc>
        <w:tc>
          <w:tcPr>
            <w:tcW w:w="0" w:type="auto"/>
            <w:gridSpan w:val="3"/>
            <w:shd w:val="clear" w:color="auto" w:fill="auto"/>
          </w:tcPr>
          <w:p w14:paraId="1426EBD8" w14:textId="77777777" w:rsidR="00A74A1E" w:rsidRDefault="00A74A1E">
            <w:pPr>
              <w:rPr>
                <w:rFonts w:ascii="宋体"/>
                <w:vanish/>
              </w:rPr>
            </w:pPr>
          </w:p>
        </w:tc>
        <w:tc>
          <w:tcPr>
            <w:tcW w:w="0" w:type="auto"/>
            <w:gridSpan w:val="3"/>
            <w:shd w:val="clear" w:color="auto" w:fill="auto"/>
          </w:tcPr>
          <w:p w14:paraId="1426EBD9" w14:textId="77777777" w:rsidR="00A74A1E" w:rsidRDefault="00A74A1E">
            <w:pPr>
              <w:rPr>
                <w:rFonts w:ascii="宋体"/>
                <w:vanish/>
              </w:rPr>
            </w:pPr>
          </w:p>
        </w:tc>
        <w:tc>
          <w:tcPr>
            <w:tcW w:w="0" w:type="auto"/>
            <w:gridSpan w:val="3"/>
            <w:shd w:val="clear" w:color="auto" w:fill="auto"/>
          </w:tcPr>
          <w:p w14:paraId="1426EBDA" w14:textId="77777777" w:rsidR="00A74A1E" w:rsidRDefault="00A74A1E">
            <w:pPr>
              <w:rPr>
                <w:rFonts w:ascii="宋体"/>
                <w:vanish/>
              </w:rPr>
            </w:pPr>
          </w:p>
        </w:tc>
      </w:tr>
      <w:tr w:rsidR="00A74A1E" w14:paraId="1426EBE4" w14:textId="77777777">
        <w:trPr>
          <w:jc w:val="center"/>
          <w:hidden/>
        </w:trPr>
        <w:tc>
          <w:tcPr>
            <w:tcW w:w="0" w:type="auto"/>
            <w:gridSpan w:val="3"/>
            <w:shd w:val="clear" w:color="auto" w:fill="auto"/>
          </w:tcPr>
          <w:p w14:paraId="1426EBDC" w14:textId="77777777" w:rsidR="00A74A1E" w:rsidRDefault="00A74A1E">
            <w:pPr>
              <w:rPr>
                <w:rFonts w:ascii="宋体"/>
                <w:vanish/>
              </w:rPr>
            </w:pPr>
          </w:p>
        </w:tc>
        <w:tc>
          <w:tcPr>
            <w:tcW w:w="0" w:type="auto"/>
            <w:gridSpan w:val="3"/>
            <w:shd w:val="clear" w:color="auto" w:fill="auto"/>
          </w:tcPr>
          <w:p w14:paraId="1426EBDD" w14:textId="77777777" w:rsidR="00A74A1E" w:rsidRDefault="00A74A1E">
            <w:pPr>
              <w:rPr>
                <w:rFonts w:ascii="宋体"/>
                <w:vanish/>
              </w:rPr>
            </w:pPr>
          </w:p>
        </w:tc>
        <w:tc>
          <w:tcPr>
            <w:tcW w:w="0" w:type="auto"/>
            <w:gridSpan w:val="3"/>
            <w:shd w:val="clear" w:color="auto" w:fill="auto"/>
          </w:tcPr>
          <w:p w14:paraId="1426EBDE" w14:textId="77777777" w:rsidR="00A74A1E" w:rsidRDefault="00A74A1E">
            <w:pPr>
              <w:rPr>
                <w:rFonts w:ascii="宋体"/>
                <w:vanish/>
              </w:rPr>
            </w:pPr>
          </w:p>
        </w:tc>
        <w:tc>
          <w:tcPr>
            <w:tcW w:w="0" w:type="auto"/>
            <w:gridSpan w:val="3"/>
            <w:shd w:val="clear" w:color="auto" w:fill="auto"/>
          </w:tcPr>
          <w:p w14:paraId="1426EBDF" w14:textId="77777777" w:rsidR="00A74A1E" w:rsidRDefault="00A74A1E">
            <w:pPr>
              <w:rPr>
                <w:rFonts w:ascii="宋体"/>
                <w:vanish/>
              </w:rPr>
            </w:pPr>
          </w:p>
        </w:tc>
        <w:tc>
          <w:tcPr>
            <w:tcW w:w="0" w:type="auto"/>
            <w:gridSpan w:val="3"/>
            <w:shd w:val="clear" w:color="auto" w:fill="auto"/>
          </w:tcPr>
          <w:p w14:paraId="1426EBE0" w14:textId="77777777" w:rsidR="00A74A1E" w:rsidRDefault="00A74A1E">
            <w:pPr>
              <w:rPr>
                <w:rFonts w:ascii="宋体"/>
                <w:vanish/>
              </w:rPr>
            </w:pPr>
          </w:p>
        </w:tc>
        <w:tc>
          <w:tcPr>
            <w:tcW w:w="0" w:type="auto"/>
            <w:gridSpan w:val="3"/>
            <w:shd w:val="clear" w:color="auto" w:fill="auto"/>
          </w:tcPr>
          <w:p w14:paraId="1426EBE1" w14:textId="77777777" w:rsidR="00A74A1E" w:rsidRDefault="00A74A1E">
            <w:pPr>
              <w:rPr>
                <w:rFonts w:ascii="宋体"/>
                <w:vanish/>
              </w:rPr>
            </w:pPr>
          </w:p>
        </w:tc>
        <w:tc>
          <w:tcPr>
            <w:tcW w:w="0" w:type="auto"/>
            <w:gridSpan w:val="3"/>
            <w:shd w:val="clear" w:color="auto" w:fill="auto"/>
          </w:tcPr>
          <w:p w14:paraId="1426EBE2" w14:textId="77777777" w:rsidR="00A74A1E" w:rsidRDefault="00A74A1E">
            <w:pPr>
              <w:rPr>
                <w:rFonts w:ascii="宋体"/>
                <w:vanish/>
              </w:rPr>
            </w:pPr>
          </w:p>
        </w:tc>
        <w:tc>
          <w:tcPr>
            <w:tcW w:w="0" w:type="auto"/>
            <w:gridSpan w:val="3"/>
            <w:shd w:val="clear" w:color="auto" w:fill="auto"/>
          </w:tcPr>
          <w:p w14:paraId="1426EBE3" w14:textId="77777777" w:rsidR="00A74A1E" w:rsidRDefault="00A74A1E">
            <w:pPr>
              <w:rPr>
                <w:rFonts w:ascii="宋体"/>
                <w:vanish/>
              </w:rPr>
            </w:pPr>
          </w:p>
        </w:tc>
      </w:tr>
      <w:tr w:rsidR="00A74A1E" w14:paraId="1426EBED" w14:textId="77777777">
        <w:trPr>
          <w:jc w:val="center"/>
          <w:hidden/>
        </w:trPr>
        <w:tc>
          <w:tcPr>
            <w:tcW w:w="0" w:type="auto"/>
            <w:gridSpan w:val="3"/>
            <w:shd w:val="clear" w:color="auto" w:fill="auto"/>
          </w:tcPr>
          <w:p w14:paraId="1426EBE5" w14:textId="77777777" w:rsidR="00A74A1E" w:rsidRDefault="00A74A1E">
            <w:pPr>
              <w:rPr>
                <w:rFonts w:ascii="宋体"/>
                <w:vanish/>
              </w:rPr>
            </w:pPr>
          </w:p>
        </w:tc>
        <w:tc>
          <w:tcPr>
            <w:tcW w:w="0" w:type="auto"/>
            <w:gridSpan w:val="3"/>
            <w:shd w:val="clear" w:color="auto" w:fill="auto"/>
          </w:tcPr>
          <w:p w14:paraId="1426EBE6" w14:textId="77777777" w:rsidR="00A74A1E" w:rsidRDefault="00A74A1E">
            <w:pPr>
              <w:rPr>
                <w:rFonts w:ascii="宋体"/>
                <w:vanish/>
              </w:rPr>
            </w:pPr>
          </w:p>
        </w:tc>
        <w:tc>
          <w:tcPr>
            <w:tcW w:w="0" w:type="auto"/>
            <w:gridSpan w:val="3"/>
            <w:shd w:val="clear" w:color="auto" w:fill="auto"/>
          </w:tcPr>
          <w:p w14:paraId="1426EBE7" w14:textId="77777777" w:rsidR="00A74A1E" w:rsidRDefault="00A74A1E">
            <w:pPr>
              <w:rPr>
                <w:rFonts w:ascii="宋体"/>
                <w:vanish/>
              </w:rPr>
            </w:pPr>
          </w:p>
        </w:tc>
        <w:tc>
          <w:tcPr>
            <w:tcW w:w="0" w:type="auto"/>
            <w:gridSpan w:val="3"/>
            <w:shd w:val="clear" w:color="auto" w:fill="auto"/>
          </w:tcPr>
          <w:p w14:paraId="1426EBE8" w14:textId="77777777" w:rsidR="00A74A1E" w:rsidRDefault="00A74A1E">
            <w:pPr>
              <w:rPr>
                <w:rFonts w:ascii="宋体"/>
                <w:vanish/>
              </w:rPr>
            </w:pPr>
          </w:p>
        </w:tc>
        <w:tc>
          <w:tcPr>
            <w:tcW w:w="0" w:type="auto"/>
            <w:gridSpan w:val="3"/>
            <w:shd w:val="clear" w:color="auto" w:fill="auto"/>
          </w:tcPr>
          <w:p w14:paraId="1426EBE9" w14:textId="77777777" w:rsidR="00A74A1E" w:rsidRDefault="00A74A1E">
            <w:pPr>
              <w:rPr>
                <w:rFonts w:ascii="宋体"/>
                <w:vanish/>
              </w:rPr>
            </w:pPr>
          </w:p>
        </w:tc>
        <w:tc>
          <w:tcPr>
            <w:tcW w:w="0" w:type="auto"/>
            <w:gridSpan w:val="3"/>
            <w:shd w:val="clear" w:color="auto" w:fill="auto"/>
          </w:tcPr>
          <w:p w14:paraId="1426EBEA" w14:textId="77777777" w:rsidR="00A74A1E" w:rsidRDefault="00A74A1E">
            <w:pPr>
              <w:rPr>
                <w:rFonts w:ascii="宋体"/>
                <w:vanish/>
              </w:rPr>
            </w:pPr>
          </w:p>
        </w:tc>
        <w:tc>
          <w:tcPr>
            <w:tcW w:w="0" w:type="auto"/>
            <w:gridSpan w:val="3"/>
            <w:shd w:val="clear" w:color="auto" w:fill="auto"/>
          </w:tcPr>
          <w:p w14:paraId="1426EBEB" w14:textId="77777777" w:rsidR="00A74A1E" w:rsidRDefault="00A74A1E">
            <w:pPr>
              <w:rPr>
                <w:rFonts w:ascii="宋体"/>
                <w:vanish/>
              </w:rPr>
            </w:pPr>
          </w:p>
        </w:tc>
        <w:tc>
          <w:tcPr>
            <w:tcW w:w="0" w:type="auto"/>
            <w:gridSpan w:val="3"/>
            <w:shd w:val="clear" w:color="auto" w:fill="auto"/>
          </w:tcPr>
          <w:p w14:paraId="1426EBEC" w14:textId="77777777" w:rsidR="00A74A1E" w:rsidRDefault="00A74A1E">
            <w:pPr>
              <w:rPr>
                <w:rFonts w:ascii="宋体"/>
                <w:vanish/>
              </w:rPr>
            </w:pPr>
          </w:p>
        </w:tc>
      </w:tr>
      <w:tr w:rsidR="00A74A1E" w14:paraId="1426EBF6" w14:textId="77777777">
        <w:trPr>
          <w:jc w:val="center"/>
          <w:hidden/>
        </w:trPr>
        <w:tc>
          <w:tcPr>
            <w:tcW w:w="0" w:type="auto"/>
            <w:gridSpan w:val="3"/>
            <w:shd w:val="clear" w:color="auto" w:fill="auto"/>
          </w:tcPr>
          <w:p w14:paraId="1426EBEE" w14:textId="77777777" w:rsidR="00A74A1E" w:rsidRDefault="00A74A1E">
            <w:pPr>
              <w:rPr>
                <w:rFonts w:ascii="宋体"/>
                <w:vanish/>
              </w:rPr>
            </w:pPr>
          </w:p>
        </w:tc>
        <w:tc>
          <w:tcPr>
            <w:tcW w:w="0" w:type="auto"/>
            <w:gridSpan w:val="3"/>
            <w:shd w:val="clear" w:color="auto" w:fill="auto"/>
          </w:tcPr>
          <w:p w14:paraId="1426EBEF" w14:textId="77777777" w:rsidR="00A74A1E" w:rsidRDefault="00A74A1E">
            <w:pPr>
              <w:rPr>
                <w:rFonts w:ascii="宋体"/>
                <w:vanish/>
              </w:rPr>
            </w:pPr>
          </w:p>
        </w:tc>
        <w:tc>
          <w:tcPr>
            <w:tcW w:w="0" w:type="auto"/>
            <w:gridSpan w:val="3"/>
            <w:shd w:val="clear" w:color="auto" w:fill="auto"/>
          </w:tcPr>
          <w:p w14:paraId="1426EBF0" w14:textId="77777777" w:rsidR="00A74A1E" w:rsidRDefault="00A74A1E">
            <w:pPr>
              <w:rPr>
                <w:rFonts w:ascii="宋体"/>
                <w:vanish/>
              </w:rPr>
            </w:pPr>
          </w:p>
        </w:tc>
        <w:tc>
          <w:tcPr>
            <w:tcW w:w="0" w:type="auto"/>
            <w:gridSpan w:val="3"/>
            <w:shd w:val="clear" w:color="auto" w:fill="auto"/>
          </w:tcPr>
          <w:p w14:paraId="1426EBF1" w14:textId="77777777" w:rsidR="00A74A1E" w:rsidRDefault="00A74A1E">
            <w:pPr>
              <w:rPr>
                <w:rFonts w:ascii="宋体"/>
                <w:vanish/>
              </w:rPr>
            </w:pPr>
          </w:p>
        </w:tc>
        <w:tc>
          <w:tcPr>
            <w:tcW w:w="0" w:type="auto"/>
            <w:gridSpan w:val="3"/>
            <w:shd w:val="clear" w:color="auto" w:fill="auto"/>
          </w:tcPr>
          <w:p w14:paraId="1426EBF2" w14:textId="77777777" w:rsidR="00A74A1E" w:rsidRDefault="00A74A1E">
            <w:pPr>
              <w:rPr>
                <w:rFonts w:ascii="宋体"/>
                <w:vanish/>
              </w:rPr>
            </w:pPr>
          </w:p>
        </w:tc>
        <w:tc>
          <w:tcPr>
            <w:tcW w:w="0" w:type="auto"/>
            <w:gridSpan w:val="3"/>
            <w:shd w:val="clear" w:color="auto" w:fill="auto"/>
          </w:tcPr>
          <w:p w14:paraId="1426EBF3" w14:textId="77777777" w:rsidR="00A74A1E" w:rsidRDefault="00A74A1E">
            <w:pPr>
              <w:rPr>
                <w:rFonts w:ascii="宋体"/>
                <w:vanish/>
              </w:rPr>
            </w:pPr>
          </w:p>
        </w:tc>
        <w:tc>
          <w:tcPr>
            <w:tcW w:w="0" w:type="auto"/>
            <w:gridSpan w:val="3"/>
            <w:shd w:val="clear" w:color="auto" w:fill="auto"/>
          </w:tcPr>
          <w:p w14:paraId="1426EBF4" w14:textId="77777777" w:rsidR="00A74A1E" w:rsidRDefault="00A74A1E">
            <w:pPr>
              <w:rPr>
                <w:rFonts w:ascii="宋体"/>
                <w:vanish/>
              </w:rPr>
            </w:pPr>
          </w:p>
        </w:tc>
        <w:tc>
          <w:tcPr>
            <w:tcW w:w="0" w:type="auto"/>
            <w:gridSpan w:val="3"/>
            <w:shd w:val="clear" w:color="auto" w:fill="auto"/>
          </w:tcPr>
          <w:p w14:paraId="1426EBF5" w14:textId="77777777" w:rsidR="00A74A1E" w:rsidRDefault="00A74A1E">
            <w:pPr>
              <w:rPr>
                <w:rFonts w:ascii="宋体"/>
                <w:vanish/>
              </w:rPr>
            </w:pPr>
          </w:p>
        </w:tc>
      </w:tr>
      <w:tr w:rsidR="00A74A1E" w14:paraId="1426EBFF" w14:textId="77777777">
        <w:trPr>
          <w:jc w:val="center"/>
          <w:hidden/>
        </w:trPr>
        <w:tc>
          <w:tcPr>
            <w:tcW w:w="0" w:type="auto"/>
            <w:gridSpan w:val="3"/>
            <w:shd w:val="clear" w:color="auto" w:fill="auto"/>
          </w:tcPr>
          <w:p w14:paraId="1426EBF7" w14:textId="77777777" w:rsidR="00A74A1E" w:rsidRDefault="00A74A1E">
            <w:pPr>
              <w:rPr>
                <w:rFonts w:ascii="宋体"/>
                <w:vanish/>
              </w:rPr>
            </w:pPr>
          </w:p>
        </w:tc>
        <w:tc>
          <w:tcPr>
            <w:tcW w:w="0" w:type="auto"/>
            <w:gridSpan w:val="3"/>
            <w:shd w:val="clear" w:color="auto" w:fill="auto"/>
          </w:tcPr>
          <w:p w14:paraId="1426EBF8" w14:textId="77777777" w:rsidR="00A74A1E" w:rsidRDefault="00A74A1E">
            <w:pPr>
              <w:rPr>
                <w:rFonts w:ascii="宋体"/>
                <w:vanish/>
              </w:rPr>
            </w:pPr>
          </w:p>
        </w:tc>
        <w:tc>
          <w:tcPr>
            <w:tcW w:w="0" w:type="auto"/>
            <w:gridSpan w:val="3"/>
            <w:shd w:val="clear" w:color="auto" w:fill="auto"/>
          </w:tcPr>
          <w:p w14:paraId="1426EBF9" w14:textId="77777777" w:rsidR="00A74A1E" w:rsidRDefault="00A74A1E">
            <w:pPr>
              <w:rPr>
                <w:rFonts w:ascii="宋体"/>
                <w:vanish/>
              </w:rPr>
            </w:pPr>
          </w:p>
        </w:tc>
        <w:tc>
          <w:tcPr>
            <w:tcW w:w="0" w:type="auto"/>
            <w:gridSpan w:val="3"/>
            <w:shd w:val="clear" w:color="auto" w:fill="auto"/>
          </w:tcPr>
          <w:p w14:paraId="1426EBFA" w14:textId="77777777" w:rsidR="00A74A1E" w:rsidRDefault="00A74A1E">
            <w:pPr>
              <w:rPr>
                <w:rFonts w:ascii="宋体"/>
                <w:vanish/>
              </w:rPr>
            </w:pPr>
          </w:p>
        </w:tc>
        <w:tc>
          <w:tcPr>
            <w:tcW w:w="0" w:type="auto"/>
            <w:gridSpan w:val="3"/>
            <w:shd w:val="clear" w:color="auto" w:fill="auto"/>
          </w:tcPr>
          <w:p w14:paraId="1426EBFB" w14:textId="77777777" w:rsidR="00A74A1E" w:rsidRDefault="00A74A1E">
            <w:pPr>
              <w:rPr>
                <w:rFonts w:ascii="宋体"/>
                <w:vanish/>
              </w:rPr>
            </w:pPr>
          </w:p>
        </w:tc>
        <w:tc>
          <w:tcPr>
            <w:tcW w:w="0" w:type="auto"/>
            <w:gridSpan w:val="3"/>
            <w:shd w:val="clear" w:color="auto" w:fill="auto"/>
          </w:tcPr>
          <w:p w14:paraId="1426EBFC" w14:textId="77777777" w:rsidR="00A74A1E" w:rsidRDefault="00A74A1E">
            <w:pPr>
              <w:rPr>
                <w:rFonts w:ascii="宋体"/>
                <w:vanish/>
              </w:rPr>
            </w:pPr>
          </w:p>
        </w:tc>
        <w:tc>
          <w:tcPr>
            <w:tcW w:w="0" w:type="auto"/>
            <w:gridSpan w:val="3"/>
            <w:shd w:val="clear" w:color="auto" w:fill="auto"/>
          </w:tcPr>
          <w:p w14:paraId="1426EBFD" w14:textId="77777777" w:rsidR="00A74A1E" w:rsidRDefault="00A74A1E">
            <w:pPr>
              <w:rPr>
                <w:rFonts w:ascii="宋体"/>
                <w:vanish/>
              </w:rPr>
            </w:pPr>
          </w:p>
        </w:tc>
        <w:tc>
          <w:tcPr>
            <w:tcW w:w="0" w:type="auto"/>
            <w:gridSpan w:val="3"/>
            <w:shd w:val="clear" w:color="auto" w:fill="auto"/>
          </w:tcPr>
          <w:p w14:paraId="1426EBFE" w14:textId="77777777" w:rsidR="00A74A1E" w:rsidRDefault="00A74A1E">
            <w:pPr>
              <w:rPr>
                <w:rFonts w:ascii="宋体"/>
                <w:vanish/>
              </w:rPr>
            </w:pPr>
          </w:p>
        </w:tc>
      </w:tr>
      <w:tr w:rsidR="00A74A1E" w14:paraId="1426EC08" w14:textId="77777777">
        <w:trPr>
          <w:jc w:val="center"/>
          <w:hidden/>
        </w:trPr>
        <w:tc>
          <w:tcPr>
            <w:tcW w:w="0" w:type="auto"/>
            <w:gridSpan w:val="3"/>
            <w:shd w:val="clear" w:color="auto" w:fill="auto"/>
          </w:tcPr>
          <w:p w14:paraId="1426EC00" w14:textId="77777777" w:rsidR="00A74A1E" w:rsidRDefault="00A74A1E">
            <w:pPr>
              <w:rPr>
                <w:rFonts w:ascii="宋体"/>
                <w:vanish/>
              </w:rPr>
            </w:pPr>
          </w:p>
        </w:tc>
        <w:tc>
          <w:tcPr>
            <w:tcW w:w="0" w:type="auto"/>
            <w:gridSpan w:val="3"/>
            <w:shd w:val="clear" w:color="auto" w:fill="auto"/>
          </w:tcPr>
          <w:p w14:paraId="1426EC01" w14:textId="77777777" w:rsidR="00A74A1E" w:rsidRDefault="00A74A1E">
            <w:pPr>
              <w:rPr>
                <w:rFonts w:ascii="宋体"/>
                <w:vanish/>
              </w:rPr>
            </w:pPr>
          </w:p>
        </w:tc>
        <w:tc>
          <w:tcPr>
            <w:tcW w:w="0" w:type="auto"/>
            <w:gridSpan w:val="3"/>
            <w:shd w:val="clear" w:color="auto" w:fill="auto"/>
          </w:tcPr>
          <w:p w14:paraId="1426EC02" w14:textId="77777777" w:rsidR="00A74A1E" w:rsidRDefault="00A74A1E">
            <w:pPr>
              <w:rPr>
                <w:rFonts w:ascii="宋体"/>
                <w:vanish/>
              </w:rPr>
            </w:pPr>
          </w:p>
        </w:tc>
        <w:tc>
          <w:tcPr>
            <w:tcW w:w="0" w:type="auto"/>
            <w:gridSpan w:val="3"/>
            <w:shd w:val="clear" w:color="auto" w:fill="auto"/>
          </w:tcPr>
          <w:p w14:paraId="1426EC03" w14:textId="77777777" w:rsidR="00A74A1E" w:rsidRDefault="00A74A1E">
            <w:pPr>
              <w:rPr>
                <w:rFonts w:ascii="宋体"/>
                <w:vanish/>
              </w:rPr>
            </w:pPr>
          </w:p>
        </w:tc>
        <w:tc>
          <w:tcPr>
            <w:tcW w:w="0" w:type="auto"/>
            <w:gridSpan w:val="3"/>
            <w:shd w:val="clear" w:color="auto" w:fill="auto"/>
          </w:tcPr>
          <w:p w14:paraId="1426EC04" w14:textId="77777777" w:rsidR="00A74A1E" w:rsidRDefault="00A74A1E">
            <w:pPr>
              <w:rPr>
                <w:rFonts w:ascii="宋体"/>
                <w:vanish/>
              </w:rPr>
            </w:pPr>
          </w:p>
        </w:tc>
        <w:tc>
          <w:tcPr>
            <w:tcW w:w="0" w:type="auto"/>
            <w:gridSpan w:val="3"/>
            <w:shd w:val="clear" w:color="auto" w:fill="auto"/>
          </w:tcPr>
          <w:p w14:paraId="1426EC05" w14:textId="77777777" w:rsidR="00A74A1E" w:rsidRDefault="00A74A1E">
            <w:pPr>
              <w:rPr>
                <w:rFonts w:ascii="宋体"/>
                <w:vanish/>
              </w:rPr>
            </w:pPr>
          </w:p>
        </w:tc>
        <w:tc>
          <w:tcPr>
            <w:tcW w:w="0" w:type="auto"/>
            <w:gridSpan w:val="3"/>
            <w:shd w:val="clear" w:color="auto" w:fill="auto"/>
          </w:tcPr>
          <w:p w14:paraId="1426EC06" w14:textId="77777777" w:rsidR="00A74A1E" w:rsidRDefault="00A74A1E">
            <w:pPr>
              <w:rPr>
                <w:rFonts w:ascii="宋体"/>
                <w:vanish/>
              </w:rPr>
            </w:pPr>
          </w:p>
        </w:tc>
        <w:tc>
          <w:tcPr>
            <w:tcW w:w="0" w:type="auto"/>
            <w:gridSpan w:val="3"/>
            <w:shd w:val="clear" w:color="auto" w:fill="auto"/>
          </w:tcPr>
          <w:p w14:paraId="1426EC07" w14:textId="77777777" w:rsidR="00A74A1E" w:rsidRDefault="00A74A1E">
            <w:pPr>
              <w:rPr>
                <w:rFonts w:ascii="宋体"/>
                <w:vanish/>
              </w:rPr>
            </w:pPr>
          </w:p>
        </w:tc>
      </w:tr>
      <w:tr w:rsidR="00A74A1E" w14:paraId="1426EC11" w14:textId="77777777">
        <w:trPr>
          <w:jc w:val="center"/>
          <w:hidden/>
        </w:trPr>
        <w:tc>
          <w:tcPr>
            <w:tcW w:w="0" w:type="auto"/>
            <w:gridSpan w:val="3"/>
            <w:shd w:val="clear" w:color="auto" w:fill="auto"/>
          </w:tcPr>
          <w:p w14:paraId="1426EC09" w14:textId="77777777" w:rsidR="00A74A1E" w:rsidRDefault="00A74A1E">
            <w:pPr>
              <w:rPr>
                <w:rFonts w:ascii="宋体"/>
                <w:vanish/>
              </w:rPr>
            </w:pPr>
          </w:p>
        </w:tc>
        <w:tc>
          <w:tcPr>
            <w:tcW w:w="0" w:type="auto"/>
            <w:gridSpan w:val="3"/>
            <w:shd w:val="clear" w:color="auto" w:fill="auto"/>
          </w:tcPr>
          <w:p w14:paraId="1426EC0A" w14:textId="77777777" w:rsidR="00A74A1E" w:rsidRDefault="00A74A1E">
            <w:pPr>
              <w:rPr>
                <w:rFonts w:ascii="宋体"/>
                <w:vanish/>
              </w:rPr>
            </w:pPr>
          </w:p>
        </w:tc>
        <w:tc>
          <w:tcPr>
            <w:tcW w:w="0" w:type="auto"/>
            <w:gridSpan w:val="3"/>
            <w:shd w:val="clear" w:color="auto" w:fill="auto"/>
          </w:tcPr>
          <w:p w14:paraId="1426EC0B" w14:textId="77777777" w:rsidR="00A74A1E" w:rsidRDefault="00A74A1E">
            <w:pPr>
              <w:rPr>
                <w:rFonts w:ascii="宋体"/>
                <w:vanish/>
              </w:rPr>
            </w:pPr>
          </w:p>
        </w:tc>
        <w:tc>
          <w:tcPr>
            <w:tcW w:w="0" w:type="auto"/>
            <w:gridSpan w:val="3"/>
            <w:shd w:val="clear" w:color="auto" w:fill="auto"/>
          </w:tcPr>
          <w:p w14:paraId="1426EC0C" w14:textId="77777777" w:rsidR="00A74A1E" w:rsidRDefault="00A74A1E">
            <w:pPr>
              <w:rPr>
                <w:rFonts w:ascii="宋体"/>
                <w:vanish/>
              </w:rPr>
            </w:pPr>
          </w:p>
        </w:tc>
        <w:tc>
          <w:tcPr>
            <w:tcW w:w="0" w:type="auto"/>
            <w:gridSpan w:val="3"/>
            <w:shd w:val="clear" w:color="auto" w:fill="auto"/>
          </w:tcPr>
          <w:p w14:paraId="1426EC0D" w14:textId="77777777" w:rsidR="00A74A1E" w:rsidRDefault="00A74A1E">
            <w:pPr>
              <w:rPr>
                <w:rFonts w:ascii="宋体"/>
                <w:vanish/>
              </w:rPr>
            </w:pPr>
          </w:p>
        </w:tc>
        <w:tc>
          <w:tcPr>
            <w:tcW w:w="0" w:type="auto"/>
            <w:gridSpan w:val="3"/>
            <w:shd w:val="clear" w:color="auto" w:fill="auto"/>
          </w:tcPr>
          <w:p w14:paraId="1426EC0E" w14:textId="77777777" w:rsidR="00A74A1E" w:rsidRDefault="00A74A1E">
            <w:pPr>
              <w:rPr>
                <w:rFonts w:ascii="宋体"/>
                <w:vanish/>
              </w:rPr>
            </w:pPr>
          </w:p>
        </w:tc>
        <w:tc>
          <w:tcPr>
            <w:tcW w:w="0" w:type="auto"/>
            <w:gridSpan w:val="3"/>
            <w:shd w:val="clear" w:color="auto" w:fill="auto"/>
          </w:tcPr>
          <w:p w14:paraId="1426EC0F" w14:textId="77777777" w:rsidR="00A74A1E" w:rsidRDefault="00A74A1E">
            <w:pPr>
              <w:rPr>
                <w:rFonts w:ascii="宋体"/>
                <w:vanish/>
              </w:rPr>
            </w:pPr>
          </w:p>
        </w:tc>
        <w:tc>
          <w:tcPr>
            <w:tcW w:w="0" w:type="auto"/>
            <w:gridSpan w:val="3"/>
            <w:shd w:val="clear" w:color="auto" w:fill="auto"/>
          </w:tcPr>
          <w:p w14:paraId="1426EC10" w14:textId="77777777" w:rsidR="00A74A1E" w:rsidRDefault="00A74A1E">
            <w:pPr>
              <w:rPr>
                <w:rFonts w:ascii="宋体"/>
                <w:vanish/>
              </w:rPr>
            </w:pPr>
          </w:p>
        </w:tc>
      </w:tr>
      <w:tr w:rsidR="00A74A1E" w14:paraId="1426EC1A" w14:textId="77777777">
        <w:trPr>
          <w:jc w:val="center"/>
          <w:hidden/>
        </w:trPr>
        <w:tc>
          <w:tcPr>
            <w:tcW w:w="0" w:type="auto"/>
            <w:gridSpan w:val="3"/>
            <w:shd w:val="clear" w:color="auto" w:fill="auto"/>
          </w:tcPr>
          <w:p w14:paraId="1426EC12" w14:textId="77777777" w:rsidR="00A74A1E" w:rsidRDefault="00A74A1E">
            <w:pPr>
              <w:rPr>
                <w:rFonts w:ascii="宋体"/>
                <w:vanish/>
              </w:rPr>
            </w:pPr>
          </w:p>
        </w:tc>
        <w:tc>
          <w:tcPr>
            <w:tcW w:w="0" w:type="auto"/>
            <w:gridSpan w:val="3"/>
            <w:shd w:val="clear" w:color="auto" w:fill="auto"/>
          </w:tcPr>
          <w:p w14:paraId="1426EC13" w14:textId="77777777" w:rsidR="00A74A1E" w:rsidRDefault="00A74A1E">
            <w:pPr>
              <w:rPr>
                <w:rFonts w:ascii="宋体"/>
                <w:vanish/>
              </w:rPr>
            </w:pPr>
          </w:p>
        </w:tc>
        <w:tc>
          <w:tcPr>
            <w:tcW w:w="0" w:type="auto"/>
            <w:gridSpan w:val="3"/>
            <w:shd w:val="clear" w:color="auto" w:fill="auto"/>
          </w:tcPr>
          <w:p w14:paraId="1426EC14" w14:textId="77777777" w:rsidR="00A74A1E" w:rsidRDefault="00A74A1E">
            <w:pPr>
              <w:rPr>
                <w:rFonts w:ascii="宋体"/>
                <w:vanish/>
              </w:rPr>
            </w:pPr>
          </w:p>
        </w:tc>
        <w:tc>
          <w:tcPr>
            <w:tcW w:w="0" w:type="auto"/>
            <w:gridSpan w:val="3"/>
            <w:shd w:val="clear" w:color="auto" w:fill="auto"/>
          </w:tcPr>
          <w:p w14:paraId="1426EC15" w14:textId="77777777" w:rsidR="00A74A1E" w:rsidRDefault="00A74A1E">
            <w:pPr>
              <w:rPr>
                <w:rFonts w:ascii="宋体"/>
                <w:vanish/>
              </w:rPr>
            </w:pPr>
          </w:p>
        </w:tc>
        <w:tc>
          <w:tcPr>
            <w:tcW w:w="0" w:type="auto"/>
            <w:gridSpan w:val="3"/>
            <w:shd w:val="clear" w:color="auto" w:fill="auto"/>
          </w:tcPr>
          <w:p w14:paraId="1426EC16" w14:textId="77777777" w:rsidR="00A74A1E" w:rsidRDefault="00A74A1E">
            <w:pPr>
              <w:rPr>
                <w:rFonts w:ascii="宋体"/>
                <w:vanish/>
              </w:rPr>
            </w:pPr>
          </w:p>
        </w:tc>
        <w:tc>
          <w:tcPr>
            <w:tcW w:w="0" w:type="auto"/>
            <w:gridSpan w:val="3"/>
            <w:shd w:val="clear" w:color="auto" w:fill="auto"/>
          </w:tcPr>
          <w:p w14:paraId="1426EC17" w14:textId="77777777" w:rsidR="00A74A1E" w:rsidRDefault="00A74A1E">
            <w:pPr>
              <w:rPr>
                <w:rFonts w:ascii="宋体"/>
                <w:vanish/>
              </w:rPr>
            </w:pPr>
          </w:p>
        </w:tc>
        <w:tc>
          <w:tcPr>
            <w:tcW w:w="0" w:type="auto"/>
            <w:gridSpan w:val="3"/>
            <w:shd w:val="clear" w:color="auto" w:fill="auto"/>
          </w:tcPr>
          <w:p w14:paraId="1426EC18" w14:textId="77777777" w:rsidR="00A74A1E" w:rsidRDefault="00A74A1E">
            <w:pPr>
              <w:rPr>
                <w:rFonts w:ascii="宋体"/>
                <w:vanish/>
              </w:rPr>
            </w:pPr>
          </w:p>
        </w:tc>
        <w:tc>
          <w:tcPr>
            <w:tcW w:w="0" w:type="auto"/>
            <w:gridSpan w:val="3"/>
            <w:shd w:val="clear" w:color="auto" w:fill="auto"/>
          </w:tcPr>
          <w:p w14:paraId="1426EC19" w14:textId="77777777" w:rsidR="00A74A1E" w:rsidRDefault="00A74A1E">
            <w:pPr>
              <w:rPr>
                <w:rFonts w:ascii="宋体"/>
                <w:vanish/>
              </w:rPr>
            </w:pPr>
          </w:p>
        </w:tc>
      </w:tr>
      <w:tr w:rsidR="00A74A1E" w14:paraId="1426EC23" w14:textId="77777777">
        <w:trPr>
          <w:jc w:val="center"/>
          <w:hidden/>
        </w:trPr>
        <w:tc>
          <w:tcPr>
            <w:tcW w:w="0" w:type="auto"/>
            <w:gridSpan w:val="3"/>
            <w:shd w:val="clear" w:color="auto" w:fill="auto"/>
          </w:tcPr>
          <w:p w14:paraId="1426EC1B" w14:textId="77777777" w:rsidR="00A74A1E" w:rsidRDefault="00A74A1E">
            <w:pPr>
              <w:rPr>
                <w:rFonts w:ascii="宋体"/>
                <w:vanish/>
              </w:rPr>
            </w:pPr>
          </w:p>
        </w:tc>
        <w:tc>
          <w:tcPr>
            <w:tcW w:w="0" w:type="auto"/>
            <w:gridSpan w:val="3"/>
            <w:shd w:val="clear" w:color="auto" w:fill="auto"/>
          </w:tcPr>
          <w:p w14:paraId="1426EC1C" w14:textId="77777777" w:rsidR="00A74A1E" w:rsidRDefault="00A74A1E">
            <w:pPr>
              <w:rPr>
                <w:rFonts w:ascii="宋体"/>
                <w:vanish/>
              </w:rPr>
            </w:pPr>
          </w:p>
        </w:tc>
        <w:tc>
          <w:tcPr>
            <w:tcW w:w="0" w:type="auto"/>
            <w:gridSpan w:val="3"/>
            <w:shd w:val="clear" w:color="auto" w:fill="auto"/>
          </w:tcPr>
          <w:p w14:paraId="1426EC1D" w14:textId="77777777" w:rsidR="00A74A1E" w:rsidRDefault="00A74A1E">
            <w:pPr>
              <w:rPr>
                <w:rFonts w:ascii="宋体"/>
                <w:vanish/>
              </w:rPr>
            </w:pPr>
          </w:p>
        </w:tc>
        <w:tc>
          <w:tcPr>
            <w:tcW w:w="0" w:type="auto"/>
            <w:gridSpan w:val="3"/>
            <w:shd w:val="clear" w:color="auto" w:fill="auto"/>
          </w:tcPr>
          <w:p w14:paraId="1426EC1E" w14:textId="77777777" w:rsidR="00A74A1E" w:rsidRDefault="00A74A1E">
            <w:pPr>
              <w:rPr>
                <w:rFonts w:ascii="宋体"/>
                <w:vanish/>
              </w:rPr>
            </w:pPr>
          </w:p>
        </w:tc>
        <w:tc>
          <w:tcPr>
            <w:tcW w:w="0" w:type="auto"/>
            <w:gridSpan w:val="3"/>
            <w:shd w:val="clear" w:color="auto" w:fill="auto"/>
          </w:tcPr>
          <w:p w14:paraId="1426EC1F" w14:textId="77777777" w:rsidR="00A74A1E" w:rsidRDefault="00A74A1E">
            <w:pPr>
              <w:rPr>
                <w:rFonts w:ascii="宋体"/>
                <w:vanish/>
              </w:rPr>
            </w:pPr>
          </w:p>
        </w:tc>
        <w:tc>
          <w:tcPr>
            <w:tcW w:w="0" w:type="auto"/>
            <w:gridSpan w:val="3"/>
            <w:shd w:val="clear" w:color="auto" w:fill="auto"/>
          </w:tcPr>
          <w:p w14:paraId="1426EC20" w14:textId="77777777" w:rsidR="00A74A1E" w:rsidRDefault="00A74A1E">
            <w:pPr>
              <w:rPr>
                <w:rFonts w:ascii="宋体"/>
                <w:vanish/>
              </w:rPr>
            </w:pPr>
          </w:p>
        </w:tc>
        <w:tc>
          <w:tcPr>
            <w:tcW w:w="0" w:type="auto"/>
            <w:gridSpan w:val="3"/>
            <w:shd w:val="clear" w:color="auto" w:fill="auto"/>
          </w:tcPr>
          <w:p w14:paraId="1426EC21" w14:textId="77777777" w:rsidR="00A74A1E" w:rsidRDefault="00A74A1E">
            <w:pPr>
              <w:rPr>
                <w:rFonts w:ascii="宋体"/>
                <w:vanish/>
              </w:rPr>
            </w:pPr>
          </w:p>
        </w:tc>
        <w:tc>
          <w:tcPr>
            <w:tcW w:w="0" w:type="auto"/>
            <w:gridSpan w:val="3"/>
            <w:shd w:val="clear" w:color="auto" w:fill="auto"/>
          </w:tcPr>
          <w:p w14:paraId="1426EC22" w14:textId="77777777" w:rsidR="00A74A1E" w:rsidRDefault="00A74A1E">
            <w:pPr>
              <w:rPr>
                <w:rFonts w:ascii="宋体"/>
                <w:vanish/>
              </w:rPr>
            </w:pPr>
          </w:p>
        </w:tc>
      </w:tr>
      <w:tr w:rsidR="00A74A1E" w14:paraId="1426EC2C" w14:textId="77777777">
        <w:trPr>
          <w:jc w:val="center"/>
          <w:hidden/>
        </w:trPr>
        <w:tc>
          <w:tcPr>
            <w:tcW w:w="0" w:type="auto"/>
            <w:gridSpan w:val="3"/>
            <w:shd w:val="clear" w:color="auto" w:fill="auto"/>
          </w:tcPr>
          <w:p w14:paraId="1426EC24" w14:textId="77777777" w:rsidR="00A74A1E" w:rsidRDefault="00A74A1E">
            <w:pPr>
              <w:rPr>
                <w:rFonts w:ascii="宋体"/>
                <w:vanish/>
              </w:rPr>
            </w:pPr>
          </w:p>
        </w:tc>
        <w:tc>
          <w:tcPr>
            <w:tcW w:w="0" w:type="auto"/>
            <w:gridSpan w:val="3"/>
            <w:shd w:val="clear" w:color="auto" w:fill="auto"/>
          </w:tcPr>
          <w:p w14:paraId="1426EC25" w14:textId="77777777" w:rsidR="00A74A1E" w:rsidRDefault="00A74A1E">
            <w:pPr>
              <w:rPr>
                <w:rFonts w:ascii="宋体"/>
                <w:vanish/>
              </w:rPr>
            </w:pPr>
          </w:p>
        </w:tc>
        <w:tc>
          <w:tcPr>
            <w:tcW w:w="0" w:type="auto"/>
            <w:gridSpan w:val="3"/>
            <w:shd w:val="clear" w:color="auto" w:fill="auto"/>
          </w:tcPr>
          <w:p w14:paraId="1426EC26" w14:textId="77777777" w:rsidR="00A74A1E" w:rsidRDefault="00A74A1E">
            <w:pPr>
              <w:rPr>
                <w:rFonts w:ascii="宋体"/>
                <w:vanish/>
              </w:rPr>
            </w:pPr>
          </w:p>
        </w:tc>
        <w:tc>
          <w:tcPr>
            <w:tcW w:w="0" w:type="auto"/>
            <w:gridSpan w:val="3"/>
            <w:shd w:val="clear" w:color="auto" w:fill="auto"/>
          </w:tcPr>
          <w:p w14:paraId="1426EC27" w14:textId="77777777" w:rsidR="00A74A1E" w:rsidRDefault="00A74A1E">
            <w:pPr>
              <w:rPr>
                <w:rFonts w:ascii="宋体"/>
                <w:vanish/>
              </w:rPr>
            </w:pPr>
          </w:p>
        </w:tc>
        <w:tc>
          <w:tcPr>
            <w:tcW w:w="0" w:type="auto"/>
            <w:gridSpan w:val="3"/>
            <w:shd w:val="clear" w:color="auto" w:fill="auto"/>
          </w:tcPr>
          <w:p w14:paraId="1426EC28" w14:textId="77777777" w:rsidR="00A74A1E" w:rsidRDefault="00A74A1E">
            <w:pPr>
              <w:rPr>
                <w:rFonts w:ascii="宋体"/>
                <w:vanish/>
              </w:rPr>
            </w:pPr>
          </w:p>
        </w:tc>
        <w:tc>
          <w:tcPr>
            <w:tcW w:w="0" w:type="auto"/>
            <w:gridSpan w:val="3"/>
            <w:shd w:val="clear" w:color="auto" w:fill="auto"/>
          </w:tcPr>
          <w:p w14:paraId="1426EC29" w14:textId="77777777" w:rsidR="00A74A1E" w:rsidRDefault="00A74A1E">
            <w:pPr>
              <w:rPr>
                <w:rFonts w:ascii="宋体"/>
                <w:vanish/>
              </w:rPr>
            </w:pPr>
          </w:p>
        </w:tc>
        <w:tc>
          <w:tcPr>
            <w:tcW w:w="0" w:type="auto"/>
            <w:gridSpan w:val="3"/>
            <w:shd w:val="clear" w:color="auto" w:fill="auto"/>
          </w:tcPr>
          <w:p w14:paraId="1426EC2A" w14:textId="77777777" w:rsidR="00A74A1E" w:rsidRDefault="00A74A1E">
            <w:pPr>
              <w:rPr>
                <w:rFonts w:ascii="宋体"/>
                <w:vanish/>
              </w:rPr>
            </w:pPr>
          </w:p>
        </w:tc>
        <w:tc>
          <w:tcPr>
            <w:tcW w:w="0" w:type="auto"/>
            <w:gridSpan w:val="3"/>
            <w:shd w:val="clear" w:color="auto" w:fill="auto"/>
          </w:tcPr>
          <w:p w14:paraId="1426EC2B" w14:textId="77777777" w:rsidR="00A74A1E" w:rsidRDefault="00A74A1E">
            <w:pPr>
              <w:rPr>
                <w:rFonts w:ascii="宋体"/>
                <w:vanish/>
              </w:rPr>
            </w:pPr>
          </w:p>
        </w:tc>
      </w:tr>
      <w:tr w:rsidR="00A74A1E" w14:paraId="1426EC35" w14:textId="77777777">
        <w:trPr>
          <w:jc w:val="center"/>
          <w:hidden/>
        </w:trPr>
        <w:tc>
          <w:tcPr>
            <w:tcW w:w="0" w:type="auto"/>
            <w:gridSpan w:val="3"/>
            <w:shd w:val="clear" w:color="auto" w:fill="auto"/>
          </w:tcPr>
          <w:p w14:paraId="1426EC2D" w14:textId="77777777" w:rsidR="00A74A1E" w:rsidRDefault="00A74A1E">
            <w:pPr>
              <w:rPr>
                <w:rFonts w:ascii="宋体"/>
                <w:vanish/>
              </w:rPr>
            </w:pPr>
          </w:p>
        </w:tc>
        <w:tc>
          <w:tcPr>
            <w:tcW w:w="0" w:type="auto"/>
            <w:gridSpan w:val="3"/>
            <w:shd w:val="clear" w:color="auto" w:fill="auto"/>
          </w:tcPr>
          <w:p w14:paraId="1426EC2E" w14:textId="77777777" w:rsidR="00A74A1E" w:rsidRDefault="00A74A1E">
            <w:pPr>
              <w:rPr>
                <w:rFonts w:ascii="宋体"/>
                <w:vanish/>
              </w:rPr>
            </w:pPr>
          </w:p>
        </w:tc>
        <w:tc>
          <w:tcPr>
            <w:tcW w:w="0" w:type="auto"/>
            <w:gridSpan w:val="3"/>
            <w:shd w:val="clear" w:color="auto" w:fill="auto"/>
          </w:tcPr>
          <w:p w14:paraId="1426EC2F" w14:textId="77777777" w:rsidR="00A74A1E" w:rsidRDefault="00A74A1E">
            <w:pPr>
              <w:rPr>
                <w:rFonts w:ascii="宋体"/>
                <w:vanish/>
              </w:rPr>
            </w:pPr>
          </w:p>
        </w:tc>
        <w:tc>
          <w:tcPr>
            <w:tcW w:w="0" w:type="auto"/>
            <w:gridSpan w:val="3"/>
            <w:shd w:val="clear" w:color="auto" w:fill="auto"/>
          </w:tcPr>
          <w:p w14:paraId="1426EC30" w14:textId="77777777" w:rsidR="00A74A1E" w:rsidRDefault="00A74A1E">
            <w:pPr>
              <w:rPr>
                <w:rFonts w:ascii="宋体"/>
                <w:vanish/>
              </w:rPr>
            </w:pPr>
          </w:p>
        </w:tc>
        <w:tc>
          <w:tcPr>
            <w:tcW w:w="0" w:type="auto"/>
            <w:gridSpan w:val="3"/>
            <w:shd w:val="clear" w:color="auto" w:fill="auto"/>
          </w:tcPr>
          <w:p w14:paraId="1426EC31" w14:textId="77777777" w:rsidR="00A74A1E" w:rsidRDefault="00A74A1E">
            <w:pPr>
              <w:rPr>
                <w:rFonts w:ascii="宋体"/>
                <w:vanish/>
              </w:rPr>
            </w:pPr>
          </w:p>
        </w:tc>
        <w:tc>
          <w:tcPr>
            <w:tcW w:w="0" w:type="auto"/>
            <w:gridSpan w:val="3"/>
            <w:shd w:val="clear" w:color="auto" w:fill="auto"/>
          </w:tcPr>
          <w:p w14:paraId="1426EC32" w14:textId="77777777" w:rsidR="00A74A1E" w:rsidRDefault="00A74A1E">
            <w:pPr>
              <w:rPr>
                <w:rFonts w:ascii="宋体"/>
                <w:vanish/>
              </w:rPr>
            </w:pPr>
          </w:p>
        </w:tc>
        <w:tc>
          <w:tcPr>
            <w:tcW w:w="0" w:type="auto"/>
            <w:gridSpan w:val="3"/>
            <w:shd w:val="clear" w:color="auto" w:fill="auto"/>
          </w:tcPr>
          <w:p w14:paraId="1426EC33" w14:textId="77777777" w:rsidR="00A74A1E" w:rsidRDefault="00A74A1E">
            <w:pPr>
              <w:rPr>
                <w:rFonts w:ascii="宋体"/>
                <w:vanish/>
              </w:rPr>
            </w:pPr>
          </w:p>
        </w:tc>
        <w:tc>
          <w:tcPr>
            <w:tcW w:w="0" w:type="auto"/>
            <w:gridSpan w:val="3"/>
            <w:shd w:val="clear" w:color="auto" w:fill="auto"/>
          </w:tcPr>
          <w:p w14:paraId="1426EC34" w14:textId="77777777" w:rsidR="00A74A1E" w:rsidRDefault="00A74A1E">
            <w:pPr>
              <w:rPr>
                <w:rFonts w:ascii="宋体"/>
                <w:vanish/>
              </w:rPr>
            </w:pPr>
          </w:p>
        </w:tc>
      </w:tr>
      <w:tr w:rsidR="00A74A1E" w14:paraId="1426EC3E" w14:textId="77777777">
        <w:trPr>
          <w:jc w:val="center"/>
          <w:hidden/>
        </w:trPr>
        <w:tc>
          <w:tcPr>
            <w:tcW w:w="0" w:type="auto"/>
            <w:gridSpan w:val="3"/>
            <w:shd w:val="clear" w:color="auto" w:fill="auto"/>
          </w:tcPr>
          <w:p w14:paraId="1426EC36" w14:textId="77777777" w:rsidR="00A74A1E" w:rsidRDefault="00A74A1E">
            <w:pPr>
              <w:rPr>
                <w:rFonts w:ascii="宋体"/>
                <w:vanish/>
              </w:rPr>
            </w:pPr>
          </w:p>
        </w:tc>
        <w:tc>
          <w:tcPr>
            <w:tcW w:w="0" w:type="auto"/>
            <w:gridSpan w:val="3"/>
            <w:shd w:val="clear" w:color="auto" w:fill="auto"/>
          </w:tcPr>
          <w:p w14:paraId="1426EC37" w14:textId="77777777" w:rsidR="00A74A1E" w:rsidRDefault="00A74A1E">
            <w:pPr>
              <w:rPr>
                <w:rFonts w:ascii="宋体"/>
                <w:vanish/>
              </w:rPr>
            </w:pPr>
          </w:p>
        </w:tc>
        <w:tc>
          <w:tcPr>
            <w:tcW w:w="0" w:type="auto"/>
            <w:gridSpan w:val="3"/>
            <w:shd w:val="clear" w:color="auto" w:fill="auto"/>
          </w:tcPr>
          <w:p w14:paraId="1426EC38" w14:textId="77777777" w:rsidR="00A74A1E" w:rsidRDefault="00A74A1E">
            <w:pPr>
              <w:rPr>
                <w:rFonts w:ascii="宋体"/>
                <w:vanish/>
              </w:rPr>
            </w:pPr>
          </w:p>
        </w:tc>
        <w:tc>
          <w:tcPr>
            <w:tcW w:w="0" w:type="auto"/>
            <w:gridSpan w:val="3"/>
            <w:shd w:val="clear" w:color="auto" w:fill="auto"/>
          </w:tcPr>
          <w:p w14:paraId="1426EC39" w14:textId="77777777" w:rsidR="00A74A1E" w:rsidRDefault="00A74A1E">
            <w:pPr>
              <w:rPr>
                <w:rFonts w:ascii="宋体"/>
                <w:vanish/>
              </w:rPr>
            </w:pPr>
          </w:p>
        </w:tc>
        <w:tc>
          <w:tcPr>
            <w:tcW w:w="0" w:type="auto"/>
            <w:gridSpan w:val="3"/>
            <w:shd w:val="clear" w:color="auto" w:fill="auto"/>
          </w:tcPr>
          <w:p w14:paraId="1426EC3A" w14:textId="77777777" w:rsidR="00A74A1E" w:rsidRDefault="00A74A1E">
            <w:pPr>
              <w:rPr>
                <w:rFonts w:ascii="宋体"/>
                <w:vanish/>
              </w:rPr>
            </w:pPr>
          </w:p>
        </w:tc>
        <w:tc>
          <w:tcPr>
            <w:tcW w:w="0" w:type="auto"/>
            <w:gridSpan w:val="3"/>
            <w:shd w:val="clear" w:color="auto" w:fill="auto"/>
          </w:tcPr>
          <w:p w14:paraId="1426EC3B" w14:textId="77777777" w:rsidR="00A74A1E" w:rsidRDefault="00A74A1E">
            <w:pPr>
              <w:rPr>
                <w:rFonts w:ascii="宋体"/>
                <w:vanish/>
              </w:rPr>
            </w:pPr>
          </w:p>
        </w:tc>
        <w:tc>
          <w:tcPr>
            <w:tcW w:w="0" w:type="auto"/>
            <w:gridSpan w:val="3"/>
            <w:shd w:val="clear" w:color="auto" w:fill="auto"/>
          </w:tcPr>
          <w:p w14:paraId="1426EC3C" w14:textId="77777777" w:rsidR="00A74A1E" w:rsidRDefault="00A74A1E">
            <w:pPr>
              <w:rPr>
                <w:rFonts w:ascii="宋体"/>
                <w:vanish/>
              </w:rPr>
            </w:pPr>
          </w:p>
        </w:tc>
        <w:tc>
          <w:tcPr>
            <w:tcW w:w="0" w:type="auto"/>
            <w:gridSpan w:val="3"/>
            <w:shd w:val="clear" w:color="auto" w:fill="auto"/>
          </w:tcPr>
          <w:p w14:paraId="1426EC3D" w14:textId="77777777" w:rsidR="00A74A1E" w:rsidRDefault="00A74A1E">
            <w:pPr>
              <w:rPr>
                <w:rFonts w:ascii="宋体"/>
                <w:vanish/>
              </w:rPr>
            </w:pPr>
          </w:p>
        </w:tc>
      </w:tr>
      <w:tr w:rsidR="00A74A1E" w14:paraId="1426EC47" w14:textId="77777777">
        <w:trPr>
          <w:jc w:val="center"/>
          <w:hidden/>
        </w:trPr>
        <w:tc>
          <w:tcPr>
            <w:tcW w:w="0" w:type="auto"/>
            <w:gridSpan w:val="3"/>
            <w:shd w:val="clear" w:color="auto" w:fill="auto"/>
          </w:tcPr>
          <w:p w14:paraId="1426EC3F" w14:textId="77777777" w:rsidR="00A74A1E" w:rsidRDefault="00A74A1E">
            <w:pPr>
              <w:rPr>
                <w:rFonts w:ascii="宋体"/>
                <w:vanish/>
              </w:rPr>
            </w:pPr>
          </w:p>
        </w:tc>
        <w:tc>
          <w:tcPr>
            <w:tcW w:w="0" w:type="auto"/>
            <w:gridSpan w:val="3"/>
            <w:shd w:val="clear" w:color="auto" w:fill="auto"/>
          </w:tcPr>
          <w:p w14:paraId="1426EC40" w14:textId="77777777" w:rsidR="00A74A1E" w:rsidRDefault="00A74A1E">
            <w:pPr>
              <w:rPr>
                <w:rFonts w:ascii="宋体"/>
                <w:vanish/>
              </w:rPr>
            </w:pPr>
          </w:p>
        </w:tc>
        <w:tc>
          <w:tcPr>
            <w:tcW w:w="0" w:type="auto"/>
            <w:gridSpan w:val="3"/>
            <w:shd w:val="clear" w:color="auto" w:fill="auto"/>
          </w:tcPr>
          <w:p w14:paraId="1426EC41" w14:textId="77777777" w:rsidR="00A74A1E" w:rsidRDefault="00A74A1E">
            <w:pPr>
              <w:rPr>
                <w:rFonts w:ascii="宋体"/>
                <w:vanish/>
              </w:rPr>
            </w:pPr>
          </w:p>
        </w:tc>
        <w:tc>
          <w:tcPr>
            <w:tcW w:w="0" w:type="auto"/>
            <w:gridSpan w:val="3"/>
            <w:shd w:val="clear" w:color="auto" w:fill="auto"/>
          </w:tcPr>
          <w:p w14:paraId="1426EC42" w14:textId="77777777" w:rsidR="00A74A1E" w:rsidRDefault="00A74A1E">
            <w:pPr>
              <w:rPr>
                <w:rFonts w:ascii="宋体"/>
                <w:vanish/>
              </w:rPr>
            </w:pPr>
          </w:p>
        </w:tc>
        <w:tc>
          <w:tcPr>
            <w:tcW w:w="0" w:type="auto"/>
            <w:gridSpan w:val="3"/>
            <w:shd w:val="clear" w:color="auto" w:fill="auto"/>
          </w:tcPr>
          <w:p w14:paraId="1426EC43" w14:textId="77777777" w:rsidR="00A74A1E" w:rsidRDefault="00A74A1E">
            <w:pPr>
              <w:rPr>
                <w:rFonts w:ascii="宋体"/>
                <w:vanish/>
              </w:rPr>
            </w:pPr>
          </w:p>
        </w:tc>
        <w:tc>
          <w:tcPr>
            <w:tcW w:w="0" w:type="auto"/>
            <w:gridSpan w:val="3"/>
            <w:shd w:val="clear" w:color="auto" w:fill="auto"/>
          </w:tcPr>
          <w:p w14:paraId="1426EC44" w14:textId="77777777" w:rsidR="00A74A1E" w:rsidRDefault="00A74A1E">
            <w:pPr>
              <w:rPr>
                <w:rFonts w:ascii="宋体"/>
                <w:vanish/>
              </w:rPr>
            </w:pPr>
          </w:p>
        </w:tc>
        <w:tc>
          <w:tcPr>
            <w:tcW w:w="0" w:type="auto"/>
            <w:gridSpan w:val="3"/>
            <w:shd w:val="clear" w:color="auto" w:fill="auto"/>
          </w:tcPr>
          <w:p w14:paraId="1426EC45" w14:textId="77777777" w:rsidR="00A74A1E" w:rsidRDefault="00A74A1E">
            <w:pPr>
              <w:rPr>
                <w:rFonts w:ascii="宋体"/>
                <w:vanish/>
              </w:rPr>
            </w:pPr>
          </w:p>
        </w:tc>
        <w:tc>
          <w:tcPr>
            <w:tcW w:w="0" w:type="auto"/>
            <w:gridSpan w:val="3"/>
            <w:shd w:val="clear" w:color="auto" w:fill="auto"/>
          </w:tcPr>
          <w:p w14:paraId="1426EC46" w14:textId="77777777" w:rsidR="00A74A1E" w:rsidRDefault="00A74A1E">
            <w:pPr>
              <w:rPr>
                <w:rFonts w:ascii="宋体"/>
                <w:vanish/>
              </w:rPr>
            </w:pPr>
          </w:p>
        </w:tc>
      </w:tr>
      <w:tr w:rsidR="00A74A1E" w14:paraId="1426EC50" w14:textId="77777777">
        <w:trPr>
          <w:jc w:val="center"/>
          <w:hidden/>
        </w:trPr>
        <w:tc>
          <w:tcPr>
            <w:tcW w:w="0" w:type="auto"/>
            <w:gridSpan w:val="3"/>
            <w:shd w:val="clear" w:color="auto" w:fill="auto"/>
          </w:tcPr>
          <w:p w14:paraId="1426EC48" w14:textId="77777777" w:rsidR="00A74A1E" w:rsidRDefault="00A74A1E">
            <w:pPr>
              <w:rPr>
                <w:rFonts w:ascii="宋体"/>
                <w:vanish/>
              </w:rPr>
            </w:pPr>
          </w:p>
        </w:tc>
        <w:tc>
          <w:tcPr>
            <w:tcW w:w="0" w:type="auto"/>
            <w:gridSpan w:val="3"/>
            <w:shd w:val="clear" w:color="auto" w:fill="auto"/>
          </w:tcPr>
          <w:p w14:paraId="1426EC49" w14:textId="77777777" w:rsidR="00A74A1E" w:rsidRDefault="00A74A1E">
            <w:pPr>
              <w:rPr>
                <w:rFonts w:ascii="宋体"/>
                <w:vanish/>
              </w:rPr>
            </w:pPr>
          </w:p>
        </w:tc>
        <w:tc>
          <w:tcPr>
            <w:tcW w:w="0" w:type="auto"/>
            <w:gridSpan w:val="3"/>
            <w:shd w:val="clear" w:color="auto" w:fill="auto"/>
          </w:tcPr>
          <w:p w14:paraId="1426EC4A" w14:textId="77777777" w:rsidR="00A74A1E" w:rsidRDefault="00A74A1E">
            <w:pPr>
              <w:rPr>
                <w:rFonts w:ascii="宋体"/>
                <w:vanish/>
              </w:rPr>
            </w:pPr>
          </w:p>
        </w:tc>
        <w:tc>
          <w:tcPr>
            <w:tcW w:w="0" w:type="auto"/>
            <w:gridSpan w:val="3"/>
            <w:shd w:val="clear" w:color="auto" w:fill="auto"/>
          </w:tcPr>
          <w:p w14:paraId="1426EC4B" w14:textId="77777777" w:rsidR="00A74A1E" w:rsidRDefault="00A74A1E">
            <w:pPr>
              <w:rPr>
                <w:rFonts w:ascii="宋体"/>
                <w:vanish/>
              </w:rPr>
            </w:pPr>
          </w:p>
        </w:tc>
        <w:tc>
          <w:tcPr>
            <w:tcW w:w="0" w:type="auto"/>
            <w:gridSpan w:val="3"/>
            <w:shd w:val="clear" w:color="auto" w:fill="auto"/>
          </w:tcPr>
          <w:p w14:paraId="1426EC4C" w14:textId="77777777" w:rsidR="00A74A1E" w:rsidRDefault="00A74A1E">
            <w:pPr>
              <w:rPr>
                <w:rFonts w:ascii="宋体"/>
                <w:vanish/>
              </w:rPr>
            </w:pPr>
          </w:p>
        </w:tc>
        <w:tc>
          <w:tcPr>
            <w:tcW w:w="0" w:type="auto"/>
            <w:gridSpan w:val="3"/>
            <w:shd w:val="clear" w:color="auto" w:fill="auto"/>
          </w:tcPr>
          <w:p w14:paraId="1426EC4D" w14:textId="77777777" w:rsidR="00A74A1E" w:rsidRDefault="00A74A1E">
            <w:pPr>
              <w:rPr>
                <w:rFonts w:ascii="宋体"/>
                <w:vanish/>
              </w:rPr>
            </w:pPr>
          </w:p>
        </w:tc>
        <w:tc>
          <w:tcPr>
            <w:tcW w:w="0" w:type="auto"/>
            <w:gridSpan w:val="3"/>
            <w:shd w:val="clear" w:color="auto" w:fill="auto"/>
          </w:tcPr>
          <w:p w14:paraId="1426EC4E" w14:textId="77777777" w:rsidR="00A74A1E" w:rsidRDefault="00A74A1E">
            <w:pPr>
              <w:rPr>
                <w:rFonts w:ascii="宋体"/>
                <w:vanish/>
              </w:rPr>
            </w:pPr>
          </w:p>
        </w:tc>
        <w:tc>
          <w:tcPr>
            <w:tcW w:w="0" w:type="auto"/>
            <w:gridSpan w:val="3"/>
            <w:shd w:val="clear" w:color="auto" w:fill="auto"/>
          </w:tcPr>
          <w:p w14:paraId="1426EC4F" w14:textId="77777777" w:rsidR="00A74A1E" w:rsidRDefault="00A74A1E">
            <w:pPr>
              <w:rPr>
                <w:rFonts w:ascii="宋体"/>
                <w:vanish/>
              </w:rPr>
            </w:pPr>
          </w:p>
        </w:tc>
      </w:tr>
      <w:tr w:rsidR="00A74A1E" w14:paraId="1426EC59" w14:textId="77777777">
        <w:trPr>
          <w:jc w:val="center"/>
          <w:hidden/>
        </w:trPr>
        <w:tc>
          <w:tcPr>
            <w:tcW w:w="0" w:type="auto"/>
            <w:gridSpan w:val="3"/>
            <w:shd w:val="clear" w:color="auto" w:fill="auto"/>
          </w:tcPr>
          <w:p w14:paraId="1426EC51" w14:textId="77777777" w:rsidR="00A74A1E" w:rsidRDefault="00A74A1E">
            <w:pPr>
              <w:rPr>
                <w:rFonts w:ascii="宋体"/>
                <w:vanish/>
              </w:rPr>
            </w:pPr>
          </w:p>
        </w:tc>
        <w:tc>
          <w:tcPr>
            <w:tcW w:w="0" w:type="auto"/>
            <w:gridSpan w:val="3"/>
            <w:shd w:val="clear" w:color="auto" w:fill="auto"/>
          </w:tcPr>
          <w:p w14:paraId="1426EC52" w14:textId="77777777" w:rsidR="00A74A1E" w:rsidRDefault="00A74A1E">
            <w:pPr>
              <w:rPr>
                <w:rFonts w:ascii="宋体"/>
                <w:vanish/>
              </w:rPr>
            </w:pPr>
          </w:p>
        </w:tc>
        <w:tc>
          <w:tcPr>
            <w:tcW w:w="0" w:type="auto"/>
            <w:gridSpan w:val="3"/>
            <w:shd w:val="clear" w:color="auto" w:fill="auto"/>
          </w:tcPr>
          <w:p w14:paraId="1426EC53" w14:textId="77777777" w:rsidR="00A74A1E" w:rsidRDefault="00A74A1E">
            <w:pPr>
              <w:rPr>
                <w:rFonts w:ascii="宋体"/>
                <w:vanish/>
              </w:rPr>
            </w:pPr>
          </w:p>
        </w:tc>
        <w:tc>
          <w:tcPr>
            <w:tcW w:w="0" w:type="auto"/>
            <w:gridSpan w:val="3"/>
            <w:shd w:val="clear" w:color="auto" w:fill="auto"/>
          </w:tcPr>
          <w:p w14:paraId="1426EC54" w14:textId="77777777" w:rsidR="00A74A1E" w:rsidRDefault="00A74A1E">
            <w:pPr>
              <w:rPr>
                <w:rFonts w:ascii="宋体"/>
                <w:vanish/>
              </w:rPr>
            </w:pPr>
          </w:p>
        </w:tc>
        <w:tc>
          <w:tcPr>
            <w:tcW w:w="0" w:type="auto"/>
            <w:gridSpan w:val="3"/>
            <w:shd w:val="clear" w:color="auto" w:fill="auto"/>
          </w:tcPr>
          <w:p w14:paraId="1426EC55" w14:textId="77777777" w:rsidR="00A74A1E" w:rsidRDefault="00A74A1E">
            <w:pPr>
              <w:rPr>
                <w:rFonts w:ascii="宋体"/>
                <w:vanish/>
              </w:rPr>
            </w:pPr>
          </w:p>
        </w:tc>
        <w:tc>
          <w:tcPr>
            <w:tcW w:w="0" w:type="auto"/>
            <w:gridSpan w:val="3"/>
            <w:shd w:val="clear" w:color="auto" w:fill="auto"/>
          </w:tcPr>
          <w:p w14:paraId="1426EC56" w14:textId="77777777" w:rsidR="00A74A1E" w:rsidRDefault="00A74A1E">
            <w:pPr>
              <w:rPr>
                <w:rFonts w:ascii="宋体"/>
                <w:vanish/>
              </w:rPr>
            </w:pPr>
          </w:p>
        </w:tc>
        <w:tc>
          <w:tcPr>
            <w:tcW w:w="0" w:type="auto"/>
            <w:gridSpan w:val="3"/>
            <w:shd w:val="clear" w:color="auto" w:fill="auto"/>
          </w:tcPr>
          <w:p w14:paraId="1426EC57" w14:textId="77777777" w:rsidR="00A74A1E" w:rsidRDefault="00A74A1E">
            <w:pPr>
              <w:rPr>
                <w:rFonts w:ascii="宋体"/>
                <w:vanish/>
              </w:rPr>
            </w:pPr>
          </w:p>
        </w:tc>
        <w:tc>
          <w:tcPr>
            <w:tcW w:w="0" w:type="auto"/>
            <w:gridSpan w:val="3"/>
            <w:shd w:val="clear" w:color="auto" w:fill="auto"/>
          </w:tcPr>
          <w:p w14:paraId="1426EC58" w14:textId="77777777" w:rsidR="00A74A1E" w:rsidRDefault="00A74A1E">
            <w:pPr>
              <w:rPr>
                <w:rFonts w:ascii="宋体"/>
                <w:vanish/>
              </w:rPr>
            </w:pPr>
          </w:p>
        </w:tc>
      </w:tr>
      <w:tr w:rsidR="00A74A1E" w14:paraId="1426EC62" w14:textId="77777777">
        <w:trPr>
          <w:jc w:val="center"/>
          <w:hidden/>
        </w:trPr>
        <w:tc>
          <w:tcPr>
            <w:tcW w:w="0" w:type="auto"/>
            <w:gridSpan w:val="3"/>
            <w:shd w:val="clear" w:color="auto" w:fill="auto"/>
          </w:tcPr>
          <w:p w14:paraId="1426EC5A" w14:textId="77777777" w:rsidR="00A74A1E" w:rsidRDefault="00A74A1E">
            <w:pPr>
              <w:rPr>
                <w:rFonts w:ascii="宋体"/>
                <w:vanish/>
              </w:rPr>
            </w:pPr>
          </w:p>
        </w:tc>
        <w:tc>
          <w:tcPr>
            <w:tcW w:w="0" w:type="auto"/>
            <w:gridSpan w:val="3"/>
            <w:shd w:val="clear" w:color="auto" w:fill="auto"/>
          </w:tcPr>
          <w:p w14:paraId="1426EC5B" w14:textId="77777777" w:rsidR="00A74A1E" w:rsidRDefault="00A74A1E">
            <w:pPr>
              <w:rPr>
                <w:rFonts w:ascii="宋体"/>
                <w:vanish/>
              </w:rPr>
            </w:pPr>
          </w:p>
        </w:tc>
        <w:tc>
          <w:tcPr>
            <w:tcW w:w="0" w:type="auto"/>
            <w:gridSpan w:val="3"/>
            <w:shd w:val="clear" w:color="auto" w:fill="auto"/>
          </w:tcPr>
          <w:p w14:paraId="1426EC5C" w14:textId="77777777" w:rsidR="00A74A1E" w:rsidRDefault="00A74A1E">
            <w:pPr>
              <w:rPr>
                <w:rFonts w:ascii="宋体"/>
                <w:vanish/>
              </w:rPr>
            </w:pPr>
          </w:p>
        </w:tc>
        <w:tc>
          <w:tcPr>
            <w:tcW w:w="0" w:type="auto"/>
            <w:gridSpan w:val="3"/>
            <w:shd w:val="clear" w:color="auto" w:fill="auto"/>
          </w:tcPr>
          <w:p w14:paraId="1426EC5D" w14:textId="77777777" w:rsidR="00A74A1E" w:rsidRDefault="00A74A1E">
            <w:pPr>
              <w:rPr>
                <w:rFonts w:ascii="宋体"/>
                <w:vanish/>
              </w:rPr>
            </w:pPr>
          </w:p>
        </w:tc>
        <w:tc>
          <w:tcPr>
            <w:tcW w:w="0" w:type="auto"/>
            <w:gridSpan w:val="3"/>
            <w:shd w:val="clear" w:color="auto" w:fill="auto"/>
          </w:tcPr>
          <w:p w14:paraId="1426EC5E" w14:textId="77777777" w:rsidR="00A74A1E" w:rsidRDefault="00A74A1E">
            <w:pPr>
              <w:rPr>
                <w:rFonts w:ascii="宋体"/>
                <w:vanish/>
              </w:rPr>
            </w:pPr>
          </w:p>
        </w:tc>
        <w:tc>
          <w:tcPr>
            <w:tcW w:w="0" w:type="auto"/>
            <w:gridSpan w:val="3"/>
            <w:shd w:val="clear" w:color="auto" w:fill="auto"/>
          </w:tcPr>
          <w:p w14:paraId="1426EC5F" w14:textId="77777777" w:rsidR="00A74A1E" w:rsidRDefault="00A74A1E">
            <w:pPr>
              <w:rPr>
                <w:rFonts w:ascii="宋体"/>
                <w:vanish/>
              </w:rPr>
            </w:pPr>
          </w:p>
        </w:tc>
        <w:tc>
          <w:tcPr>
            <w:tcW w:w="0" w:type="auto"/>
            <w:gridSpan w:val="3"/>
            <w:shd w:val="clear" w:color="auto" w:fill="auto"/>
          </w:tcPr>
          <w:p w14:paraId="1426EC60" w14:textId="77777777" w:rsidR="00A74A1E" w:rsidRDefault="00A74A1E">
            <w:pPr>
              <w:rPr>
                <w:rFonts w:ascii="宋体"/>
                <w:vanish/>
              </w:rPr>
            </w:pPr>
          </w:p>
        </w:tc>
        <w:tc>
          <w:tcPr>
            <w:tcW w:w="0" w:type="auto"/>
            <w:gridSpan w:val="3"/>
            <w:shd w:val="clear" w:color="auto" w:fill="auto"/>
          </w:tcPr>
          <w:p w14:paraId="1426EC61" w14:textId="77777777" w:rsidR="00A74A1E" w:rsidRDefault="00A74A1E">
            <w:pPr>
              <w:rPr>
                <w:rFonts w:ascii="宋体"/>
                <w:vanish/>
              </w:rPr>
            </w:pPr>
          </w:p>
        </w:tc>
      </w:tr>
      <w:tr w:rsidR="00A74A1E" w14:paraId="1426EC6B" w14:textId="77777777">
        <w:trPr>
          <w:jc w:val="center"/>
          <w:hidden/>
        </w:trPr>
        <w:tc>
          <w:tcPr>
            <w:tcW w:w="0" w:type="auto"/>
            <w:gridSpan w:val="3"/>
            <w:shd w:val="clear" w:color="auto" w:fill="auto"/>
          </w:tcPr>
          <w:p w14:paraId="1426EC63" w14:textId="77777777" w:rsidR="00A74A1E" w:rsidRDefault="00A74A1E">
            <w:pPr>
              <w:rPr>
                <w:rFonts w:ascii="宋体"/>
                <w:vanish/>
              </w:rPr>
            </w:pPr>
          </w:p>
        </w:tc>
        <w:tc>
          <w:tcPr>
            <w:tcW w:w="0" w:type="auto"/>
            <w:gridSpan w:val="3"/>
            <w:shd w:val="clear" w:color="auto" w:fill="auto"/>
          </w:tcPr>
          <w:p w14:paraId="1426EC64" w14:textId="77777777" w:rsidR="00A74A1E" w:rsidRDefault="00A74A1E">
            <w:pPr>
              <w:rPr>
                <w:rFonts w:ascii="宋体"/>
                <w:vanish/>
              </w:rPr>
            </w:pPr>
          </w:p>
        </w:tc>
        <w:tc>
          <w:tcPr>
            <w:tcW w:w="0" w:type="auto"/>
            <w:gridSpan w:val="3"/>
            <w:shd w:val="clear" w:color="auto" w:fill="auto"/>
          </w:tcPr>
          <w:p w14:paraId="1426EC65" w14:textId="77777777" w:rsidR="00A74A1E" w:rsidRDefault="00A74A1E">
            <w:pPr>
              <w:rPr>
                <w:rFonts w:ascii="宋体"/>
                <w:vanish/>
              </w:rPr>
            </w:pPr>
          </w:p>
        </w:tc>
        <w:tc>
          <w:tcPr>
            <w:tcW w:w="0" w:type="auto"/>
            <w:gridSpan w:val="3"/>
            <w:shd w:val="clear" w:color="auto" w:fill="auto"/>
          </w:tcPr>
          <w:p w14:paraId="1426EC66" w14:textId="77777777" w:rsidR="00A74A1E" w:rsidRDefault="00A74A1E">
            <w:pPr>
              <w:rPr>
                <w:rFonts w:ascii="宋体"/>
                <w:vanish/>
              </w:rPr>
            </w:pPr>
          </w:p>
        </w:tc>
        <w:tc>
          <w:tcPr>
            <w:tcW w:w="0" w:type="auto"/>
            <w:gridSpan w:val="3"/>
            <w:shd w:val="clear" w:color="auto" w:fill="auto"/>
          </w:tcPr>
          <w:p w14:paraId="1426EC67" w14:textId="77777777" w:rsidR="00A74A1E" w:rsidRDefault="00A74A1E">
            <w:pPr>
              <w:rPr>
                <w:rFonts w:ascii="宋体"/>
                <w:vanish/>
              </w:rPr>
            </w:pPr>
          </w:p>
        </w:tc>
        <w:tc>
          <w:tcPr>
            <w:tcW w:w="0" w:type="auto"/>
            <w:gridSpan w:val="3"/>
            <w:shd w:val="clear" w:color="auto" w:fill="auto"/>
          </w:tcPr>
          <w:p w14:paraId="1426EC68" w14:textId="77777777" w:rsidR="00A74A1E" w:rsidRDefault="00A74A1E">
            <w:pPr>
              <w:rPr>
                <w:rFonts w:ascii="宋体"/>
                <w:vanish/>
              </w:rPr>
            </w:pPr>
          </w:p>
        </w:tc>
        <w:tc>
          <w:tcPr>
            <w:tcW w:w="0" w:type="auto"/>
            <w:gridSpan w:val="3"/>
            <w:shd w:val="clear" w:color="auto" w:fill="auto"/>
          </w:tcPr>
          <w:p w14:paraId="1426EC69" w14:textId="77777777" w:rsidR="00A74A1E" w:rsidRDefault="00A74A1E">
            <w:pPr>
              <w:rPr>
                <w:rFonts w:ascii="宋体"/>
                <w:vanish/>
              </w:rPr>
            </w:pPr>
          </w:p>
        </w:tc>
        <w:tc>
          <w:tcPr>
            <w:tcW w:w="0" w:type="auto"/>
            <w:gridSpan w:val="3"/>
            <w:shd w:val="clear" w:color="auto" w:fill="auto"/>
          </w:tcPr>
          <w:p w14:paraId="1426EC6A" w14:textId="77777777" w:rsidR="00A74A1E" w:rsidRDefault="00A74A1E">
            <w:pPr>
              <w:rPr>
                <w:rFonts w:ascii="宋体"/>
                <w:vanish/>
              </w:rPr>
            </w:pPr>
          </w:p>
        </w:tc>
      </w:tr>
      <w:tr w:rsidR="00A74A1E" w14:paraId="1426EC74" w14:textId="77777777">
        <w:trPr>
          <w:jc w:val="center"/>
          <w:hidden/>
        </w:trPr>
        <w:tc>
          <w:tcPr>
            <w:tcW w:w="0" w:type="auto"/>
            <w:gridSpan w:val="3"/>
            <w:shd w:val="clear" w:color="auto" w:fill="auto"/>
          </w:tcPr>
          <w:p w14:paraId="1426EC6C" w14:textId="77777777" w:rsidR="00A74A1E" w:rsidRDefault="00A74A1E">
            <w:pPr>
              <w:rPr>
                <w:rFonts w:ascii="宋体"/>
                <w:vanish/>
              </w:rPr>
            </w:pPr>
          </w:p>
        </w:tc>
        <w:tc>
          <w:tcPr>
            <w:tcW w:w="0" w:type="auto"/>
            <w:gridSpan w:val="3"/>
            <w:shd w:val="clear" w:color="auto" w:fill="auto"/>
          </w:tcPr>
          <w:p w14:paraId="1426EC6D" w14:textId="77777777" w:rsidR="00A74A1E" w:rsidRDefault="00A74A1E">
            <w:pPr>
              <w:rPr>
                <w:rFonts w:ascii="宋体"/>
                <w:vanish/>
              </w:rPr>
            </w:pPr>
          </w:p>
        </w:tc>
        <w:tc>
          <w:tcPr>
            <w:tcW w:w="0" w:type="auto"/>
            <w:gridSpan w:val="3"/>
            <w:shd w:val="clear" w:color="auto" w:fill="auto"/>
          </w:tcPr>
          <w:p w14:paraId="1426EC6E" w14:textId="77777777" w:rsidR="00A74A1E" w:rsidRDefault="00A74A1E">
            <w:pPr>
              <w:rPr>
                <w:rFonts w:ascii="宋体"/>
                <w:vanish/>
              </w:rPr>
            </w:pPr>
          </w:p>
        </w:tc>
        <w:tc>
          <w:tcPr>
            <w:tcW w:w="0" w:type="auto"/>
            <w:gridSpan w:val="3"/>
            <w:shd w:val="clear" w:color="auto" w:fill="auto"/>
          </w:tcPr>
          <w:p w14:paraId="1426EC6F" w14:textId="77777777" w:rsidR="00A74A1E" w:rsidRDefault="00A74A1E">
            <w:pPr>
              <w:rPr>
                <w:rFonts w:ascii="宋体"/>
                <w:vanish/>
              </w:rPr>
            </w:pPr>
          </w:p>
        </w:tc>
        <w:tc>
          <w:tcPr>
            <w:tcW w:w="0" w:type="auto"/>
            <w:gridSpan w:val="3"/>
            <w:shd w:val="clear" w:color="auto" w:fill="auto"/>
          </w:tcPr>
          <w:p w14:paraId="1426EC70" w14:textId="77777777" w:rsidR="00A74A1E" w:rsidRDefault="00A74A1E">
            <w:pPr>
              <w:rPr>
                <w:rFonts w:ascii="宋体"/>
                <w:vanish/>
              </w:rPr>
            </w:pPr>
          </w:p>
        </w:tc>
        <w:tc>
          <w:tcPr>
            <w:tcW w:w="0" w:type="auto"/>
            <w:gridSpan w:val="3"/>
            <w:shd w:val="clear" w:color="auto" w:fill="auto"/>
          </w:tcPr>
          <w:p w14:paraId="1426EC71" w14:textId="77777777" w:rsidR="00A74A1E" w:rsidRDefault="00A74A1E">
            <w:pPr>
              <w:rPr>
                <w:rFonts w:ascii="宋体"/>
                <w:vanish/>
              </w:rPr>
            </w:pPr>
          </w:p>
        </w:tc>
        <w:tc>
          <w:tcPr>
            <w:tcW w:w="0" w:type="auto"/>
            <w:gridSpan w:val="3"/>
            <w:shd w:val="clear" w:color="auto" w:fill="auto"/>
          </w:tcPr>
          <w:p w14:paraId="1426EC72" w14:textId="77777777" w:rsidR="00A74A1E" w:rsidRDefault="00A74A1E">
            <w:pPr>
              <w:rPr>
                <w:rFonts w:ascii="宋体"/>
                <w:vanish/>
              </w:rPr>
            </w:pPr>
          </w:p>
        </w:tc>
        <w:tc>
          <w:tcPr>
            <w:tcW w:w="0" w:type="auto"/>
            <w:gridSpan w:val="3"/>
            <w:shd w:val="clear" w:color="auto" w:fill="auto"/>
          </w:tcPr>
          <w:p w14:paraId="1426EC73" w14:textId="77777777" w:rsidR="00A74A1E" w:rsidRDefault="00A74A1E">
            <w:pPr>
              <w:rPr>
                <w:rFonts w:ascii="宋体"/>
                <w:vanish/>
              </w:rPr>
            </w:pPr>
          </w:p>
        </w:tc>
      </w:tr>
      <w:tr w:rsidR="00A74A1E" w14:paraId="1426EC7D" w14:textId="77777777">
        <w:trPr>
          <w:jc w:val="center"/>
          <w:hidden/>
        </w:trPr>
        <w:tc>
          <w:tcPr>
            <w:tcW w:w="0" w:type="auto"/>
            <w:gridSpan w:val="3"/>
            <w:shd w:val="clear" w:color="auto" w:fill="auto"/>
          </w:tcPr>
          <w:p w14:paraId="1426EC75" w14:textId="77777777" w:rsidR="00A74A1E" w:rsidRDefault="00A74A1E">
            <w:pPr>
              <w:rPr>
                <w:rFonts w:ascii="宋体"/>
                <w:vanish/>
              </w:rPr>
            </w:pPr>
          </w:p>
        </w:tc>
        <w:tc>
          <w:tcPr>
            <w:tcW w:w="0" w:type="auto"/>
            <w:gridSpan w:val="3"/>
            <w:shd w:val="clear" w:color="auto" w:fill="auto"/>
          </w:tcPr>
          <w:p w14:paraId="1426EC76" w14:textId="77777777" w:rsidR="00A74A1E" w:rsidRDefault="00A74A1E">
            <w:pPr>
              <w:rPr>
                <w:rFonts w:ascii="宋体"/>
                <w:vanish/>
              </w:rPr>
            </w:pPr>
          </w:p>
        </w:tc>
        <w:tc>
          <w:tcPr>
            <w:tcW w:w="0" w:type="auto"/>
            <w:gridSpan w:val="3"/>
            <w:shd w:val="clear" w:color="auto" w:fill="auto"/>
          </w:tcPr>
          <w:p w14:paraId="1426EC77" w14:textId="77777777" w:rsidR="00A74A1E" w:rsidRDefault="00A74A1E">
            <w:pPr>
              <w:rPr>
                <w:rFonts w:ascii="宋体"/>
                <w:vanish/>
              </w:rPr>
            </w:pPr>
          </w:p>
        </w:tc>
        <w:tc>
          <w:tcPr>
            <w:tcW w:w="0" w:type="auto"/>
            <w:gridSpan w:val="3"/>
            <w:shd w:val="clear" w:color="auto" w:fill="auto"/>
          </w:tcPr>
          <w:p w14:paraId="1426EC78" w14:textId="77777777" w:rsidR="00A74A1E" w:rsidRDefault="00A74A1E">
            <w:pPr>
              <w:rPr>
                <w:rFonts w:ascii="宋体"/>
                <w:vanish/>
              </w:rPr>
            </w:pPr>
          </w:p>
        </w:tc>
        <w:tc>
          <w:tcPr>
            <w:tcW w:w="0" w:type="auto"/>
            <w:gridSpan w:val="3"/>
            <w:shd w:val="clear" w:color="auto" w:fill="auto"/>
          </w:tcPr>
          <w:p w14:paraId="1426EC79" w14:textId="77777777" w:rsidR="00A74A1E" w:rsidRDefault="00A74A1E">
            <w:pPr>
              <w:rPr>
                <w:rFonts w:ascii="宋体"/>
                <w:vanish/>
              </w:rPr>
            </w:pPr>
          </w:p>
        </w:tc>
        <w:tc>
          <w:tcPr>
            <w:tcW w:w="0" w:type="auto"/>
            <w:gridSpan w:val="3"/>
            <w:shd w:val="clear" w:color="auto" w:fill="auto"/>
          </w:tcPr>
          <w:p w14:paraId="1426EC7A" w14:textId="77777777" w:rsidR="00A74A1E" w:rsidRDefault="00A74A1E">
            <w:pPr>
              <w:rPr>
                <w:rFonts w:ascii="宋体"/>
                <w:vanish/>
              </w:rPr>
            </w:pPr>
          </w:p>
        </w:tc>
        <w:tc>
          <w:tcPr>
            <w:tcW w:w="0" w:type="auto"/>
            <w:gridSpan w:val="3"/>
            <w:shd w:val="clear" w:color="auto" w:fill="auto"/>
          </w:tcPr>
          <w:p w14:paraId="1426EC7B" w14:textId="77777777" w:rsidR="00A74A1E" w:rsidRDefault="00A74A1E">
            <w:pPr>
              <w:rPr>
                <w:rFonts w:ascii="宋体"/>
                <w:vanish/>
              </w:rPr>
            </w:pPr>
          </w:p>
        </w:tc>
        <w:tc>
          <w:tcPr>
            <w:tcW w:w="0" w:type="auto"/>
            <w:gridSpan w:val="3"/>
            <w:shd w:val="clear" w:color="auto" w:fill="auto"/>
          </w:tcPr>
          <w:p w14:paraId="1426EC7C" w14:textId="77777777" w:rsidR="00A74A1E" w:rsidRDefault="00A74A1E">
            <w:pPr>
              <w:rPr>
                <w:rFonts w:ascii="宋体"/>
                <w:vanish/>
              </w:rPr>
            </w:pPr>
          </w:p>
        </w:tc>
      </w:tr>
      <w:tr w:rsidR="00A74A1E" w14:paraId="1426EC86" w14:textId="77777777">
        <w:trPr>
          <w:jc w:val="center"/>
          <w:hidden/>
        </w:trPr>
        <w:tc>
          <w:tcPr>
            <w:tcW w:w="0" w:type="auto"/>
            <w:gridSpan w:val="3"/>
            <w:shd w:val="clear" w:color="auto" w:fill="auto"/>
          </w:tcPr>
          <w:p w14:paraId="1426EC7E" w14:textId="77777777" w:rsidR="00A74A1E" w:rsidRDefault="00A74A1E">
            <w:pPr>
              <w:rPr>
                <w:rFonts w:ascii="宋体"/>
                <w:vanish/>
              </w:rPr>
            </w:pPr>
          </w:p>
        </w:tc>
        <w:tc>
          <w:tcPr>
            <w:tcW w:w="0" w:type="auto"/>
            <w:gridSpan w:val="3"/>
            <w:shd w:val="clear" w:color="auto" w:fill="auto"/>
          </w:tcPr>
          <w:p w14:paraId="1426EC7F" w14:textId="77777777" w:rsidR="00A74A1E" w:rsidRDefault="00A74A1E">
            <w:pPr>
              <w:rPr>
                <w:rFonts w:ascii="宋体"/>
                <w:vanish/>
              </w:rPr>
            </w:pPr>
          </w:p>
        </w:tc>
        <w:tc>
          <w:tcPr>
            <w:tcW w:w="0" w:type="auto"/>
            <w:gridSpan w:val="3"/>
            <w:shd w:val="clear" w:color="auto" w:fill="auto"/>
          </w:tcPr>
          <w:p w14:paraId="1426EC80" w14:textId="77777777" w:rsidR="00A74A1E" w:rsidRDefault="00A74A1E">
            <w:pPr>
              <w:rPr>
                <w:rFonts w:ascii="宋体"/>
                <w:vanish/>
              </w:rPr>
            </w:pPr>
          </w:p>
        </w:tc>
        <w:tc>
          <w:tcPr>
            <w:tcW w:w="0" w:type="auto"/>
            <w:gridSpan w:val="3"/>
            <w:shd w:val="clear" w:color="auto" w:fill="auto"/>
          </w:tcPr>
          <w:p w14:paraId="1426EC81" w14:textId="77777777" w:rsidR="00A74A1E" w:rsidRDefault="00A74A1E">
            <w:pPr>
              <w:rPr>
                <w:rFonts w:ascii="宋体"/>
                <w:vanish/>
              </w:rPr>
            </w:pPr>
          </w:p>
        </w:tc>
        <w:tc>
          <w:tcPr>
            <w:tcW w:w="0" w:type="auto"/>
            <w:gridSpan w:val="3"/>
            <w:shd w:val="clear" w:color="auto" w:fill="auto"/>
          </w:tcPr>
          <w:p w14:paraId="1426EC82" w14:textId="77777777" w:rsidR="00A74A1E" w:rsidRDefault="00A74A1E">
            <w:pPr>
              <w:rPr>
                <w:rFonts w:ascii="宋体"/>
                <w:vanish/>
              </w:rPr>
            </w:pPr>
          </w:p>
        </w:tc>
        <w:tc>
          <w:tcPr>
            <w:tcW w:w="0" w:type="auto"/>
            <w:gridSpan w:val="3"/>
            <w:shd w:val="clear" w:color="auto" w:fill="auto"/>
          </w:tcPr>
          <w:p w14:paraId="1426EC83" w14:textId="77777777" w:rsidR="00A74A1E" w:rsidRDefault="00A74A1E">
            <w:pPr>
              <w:rPr>
                <w:rFonts w:ascii="宋体"/>
                <w:vanish/>
              </w:rPr>
            </w:pPr>
          </w:p>
        </w:tc>
        <w:tc>
          <w:tcPr>
            <w:tcW w:w="0" w:type="auto"/>
            <w:gridSpan w:val="3"/>
            <w:shd w:val="clear" w:color="auto" w:fill="auto"/>
          </w:tcPr>
          <w:p w14:paraId="1426EC84" w14:textId="77777777" w:rsidR="00A74A1E" w:rsidRDefault="00A74A1E">
            <w:pPr>
              <w:rPr>
                <w:rFonts w:ascii="宋体"/>
                <w:vanish/>
              </w:rPr>
            </w:pPr>
          </w:p>
        </w:tc>
        <w:tc>
          <w:tcPr>
            <w:tcW w:w="0" w:type="auto"/>
            <w:gridSpan w:val="3"/>
            <w:shd w:val="clear" w:color="auto" w:fill="auto"/>
          </w:tcPr>
          <w:p w14:paraId="1426EC85" w14:textId="77777777" w:rsidR="00A74A1E" w:rsidRDefault="00A74A1E">
            <w:pPr>
              <w:rPr>
                <w:rFonts w:ascii="宋体"/>
                <w:vanish/>
              </w:rPr>
            </w:pPr>
          </w:p>
        </w:tc>
      </w:tr>
      <w:tr w:rsidR="00A74A1E" w14:paraId="1426EC8F" w14:textId="77777777">
        <w:trPr>
          <w:jc w:val="center"/>
          <w:hidden/>
        </w:trPr>
        <w:tc>
          <w:tcPr>
            <w:tcW w:w="0" w:type="auto"/>
            <w:gridSpan w:val="3"/>
            <w:shd w:val="clear" w:color="auto" w:fill="auto"/>
          </w:tcPr>
          <w:p w14:paraId="1426EC87" w14:textId="77777777" w:rsidR="00A74A1E" w:rsidRDefault="00A74A1E">
            <w:pPr>
              <w:rPr>
                <w:rFonts w:ascii="宋体"/>
                <w:vanish/>
              </w:rPr>
            </w:pPr>
          </w:p>
        </w:tc>
        <w:tc>
          <w:tcPr>
            <w:tcW w:w="0" w:type="auto"/>
            <w:gridSpan w:val="3"/>
            <w:shd w:val="clear" w:color="auto" w:fill="auto"/>
          </w:tcPr>
          <w:p w14:paraId="1426EC88" w14:textId="77777777" w:rsidR="00A74A1E" w:rsidRDefault="00A74A1E">
            <w:pPr>
              <w:rPr>
                <w:rFonts w:ascii="宋体"/>
                <w:vanish/>
              </w:rPr>
            </w:pPr>
          </w:p>
        </w:tc>
        <w:tc>
          <w:tcPr>
            <w:tcW w:w="0" w:type="auto"/>
            <w:gridSpan w:val="3"/>
            <w:shd w:val="clear" w:color="auto" w:fill="auto"/>
          </w:tcPr>
          <w:p w14:paraId="1426EC89" w14:textId="77777777" w:rsidR="00A74A1E" w:rsidRDefault="00A74A1E">
            <w:pPr>
              <w:rPr>
                <w:rFonts w:ascii="宋体"/>
                <w:vanish/>
              </w:rPr>
            </w:pPr>
          </w:p>
        </w:tc>
        <w:tc>
          <w:tcPr>
            <w:tcW w:w="0" w:type="auto"/>
            <w:gridSpan w:val="3"/>
            <w:shd w:val="clear" w:color="auto" w:fill="auto"/>
          </w:tcPr>
          <w:p w14:paraId="1426EC8A" w14:textId="77777777" w:rsidR="00A74A1E" w:rsidRDefault="00A74A1E">
            <w:pPr>
              <w:rPr>
                <w:rFonts w:ascii="宋体"/>
                <w:vanish/>
              </w:rPr>
            </w:pPr>
          </w:p>
        </w:tc>
        <w:tc>
          <w:tcPr>
            <w:tcW w:w="0" w:type="auto"/>
            <w:gridSpan w:val="3"/>
            <w:shd w:val="clear" w:color="auto" w:fill="auto"/>
          </w:tcPr>
          <w:p w14:paraId="1426EC8B" w14:textId="77777777" w:rsidR="00A74A1E" w:rsidRDefault="00A74A1E">
            <w:pPr>
              <w:rPr>
                <w:rFonts w:ascii="宋体"/>
                <w:vanish/>
              </w:rPr>
            </w:pPr>
          </w:p>
        </w:tc>
        <w:tc>
          <w:tcPr>
            <w:tcW w:w="0" w:type="auto"/>
            <w:gridSpan w:val="3"/>
            <w:shd w:val="clear" w:color="auto" w:fill="auto"/>
          </w:tcPr>
          <w:p w14:paraId="1426EC8C" w14:textId="77777777" w:rsidR="00A74A1E" w:rsidRDefault="00A74A1E">
            <w:pPr>
              <w:rPr>
                <w:rFonts w:ascii="宋体"/>
                <w:vanish/>
              </w:rPr>
            </w:pPr>
          </w:p>
        </w:tc>
        <w:tc>
          <w:tcPr>
            <w:tcW w:w="0" w:type="auto"/>
            <w:gridSpan w:val="3"/>
            <w:shd w:val="clear" w:color="auto" w:fill="auto"/>
          </w:tcPr>
          <w:p w14:paraId="1426EC8D" w14:textId="77777777" w:rsidR="00A74A1E" w:rsidRDefault="00A74A1E">
            <w:pPr>
              <w:rPr>
                <w:rFonts w:ascii="宋体"/>
                <w:vanish/>
              </w:rPr>
            </w:pPr>
          </w:p>
        </w:tc>
        <w:tc>
          <w:tcPr>
            <w:tcW w:w="0" w:type="auto"/>
            <w:gridSpan w:val="3"/>
            <w:shd w:val="clear" w:color="auto" w:fill="auto"/>
          </w:tcPr>
          <w:p w14:paraId="1426EC8E" w14:textId="77777777" w:rsidR="00A74A1E" w:rsidRDefault="00A74A1E">
            <w:pPr>
              <w:rPr>
                <w:rFonts w:ascii="宋体"/>
                <w:vanish/>
              </w:rPr>
            </w:pPr>
          </w:p>
        </w:tc>
      </w:tr>
      <w:tr w:rsidR="00A74A1E" w14:paraId="1426EC98" w14:textId="77777777">
        <w:trPr>
          <w:jc w:val="center"/>
          <w:hidden/>
        </w:trPr>
        <w:tc>
          <w:tcPr>
            <w:tcW w:w="0" w:type="auto"/>
            <w:gridSpan w:val="3"/>
            <w:shd w:val="clear" w:color="auto" w:fill="auto"/>
          </w:tcPr>
          <w:p w14:paraId="1426EC90" w14:textId="77777777" w:rsidR="00A74A1E" w:rsidRDefault="00A74A1E">
            <w:pPr>
              <w:rPr>
                <w:rFonts w:ascii="宋体"/>
                <w:vanish/>
              </w:rPr>
            </w:pPr>
          </w:p>
        </w:tc>
        <w:tc>
          <w:tcPr>
            <w:tcW w:w="0" w:type="auto"/>
            <w:gridSpan w:val="3"/>
            <w:shd w:val="clear" w:color="auto" w:fill="auto"/>
          </w:tcPr>
          <w:p w14:paraId="1426EC91" w14:textId="77777777" w:rsidR="00A74A1E" w:rsidRDefault="00A74A1E">
            <w:pPr>
              <w:rPr>
                <w:rFonts w:ascii="宋体"/>
                <w:vanish/>
              </w:rPr>
            </w:pPr>
          </w:p>
        </w:tc>
        <w:tc>
          <w:tcPr>
            <w:tcW w:w="0" w:type="auto"/>
            <w:gridSpan w:val="3"/>
            <w:shd w:val="clear" w:color="auto" w:fill="auto"/>
          </w:tcPr>
          <w:p w14:paraId="1426EC92" w14:textId="77777777" w:rsidR="00A74A1E" w:rsidRDefault="00A74A1E">
            <w:pPr>
              <w:rPr>
                <w:rFonts w:ascii="宋体"/>
                <w:vanish/>
              </w:rPr>
            </w:pPr>
          </w:p>
        </w:tc>
        <w:tc>
          <w:tcPr>
            <w:tcW w:w="0" w:type="auto"/>
            <w:gridSpan w:val="3"/>
            <w:shd w:val="clear" w:color="auto" w:fill="auto"/>
          </w:tcPr>
          <w:p w14:paraId="1426EC93" w14:textId="77777777" w:rsidR="00A74A1E" w:rsidRDefault="00A74A1E">
            <w:pPr>
              <w:rPr>
                <w:rFonts w:ascii="宋体"/>
                <w:vanish/>
              </w:rPr>
            </w:pPr>
          </w:p>
        </w:tc>
        <w:tc>
          <w:tcPr>
            <w:tcW w:w="0" w:type="auto"/>
            <w:gridSpan w:val="3"/>
            <w:shd w:val="clear" w:color="auto" w:fill="auto"/>
          </w:tcPr>
          <w:p w14:paraId="1426EC94" w14:textId="77777777" w:rsidR="00A74A1E" w:rsidRDefault="00A74A1E">
            <w:pPr>
              <w:rPr>
                <w:rFonts w:ascii="宋体"/>
                <w:vanish/>
              </w:rPr>
            </w:pPr>
          </w:p>
        </w:tc>
        <w:tc>
          <w:tcPr>
            <w:tcW w:w="0" w:type="auto"/>
            <w:gridSpan w:val="3"/>
            <w:shd w:val="clear" w:color="auto" w:fill="auto"/>
          </w:tcPr>
          <w:p w14:paraId="1426EC95" w14:textId="77777777" w:rsidR="00A74A1E" w:rsidRDefault="00A74A1E">
            <w:pPr>
              <w:rPr>
                <w:rFonts w:ascii="宋体"/>
                <w:vanish/>
              </w:rPr>
            </w:pPr>
          </w:p>
        </w:tc>
        <w:tc>
          <w:tcPr>
            <w:tcW w:w="0" w:type="auto"/>
            <w:gridSpan w:val="3"/>
            <w:shd w:val="clear" w:color="auto" w:fill="auto"/>
          </w:tcPr>
          <w:p w14:paraId="1426EC96" w14:textId="77777777" w:rsidR="00A74A1E" w:rsidRDefault="00A74A1E">
            <w:pPr>
              <w:rPr>
                <w:rFonts w:ascii="宋体"/>
                <w:vanish/>
              </w:rPr>
            </w:pPr>
          </w:p>
        </w:tc>
        <w:tc>
          <w:tcPr>
            <w:tcW w:w="0" w:type="auto"/>
            <w:gridSpan w:val="3"/>
            <w:shd w:val="clear" w:color="auto" w:fill="auto"/>
          </w:tcPr>
          <w:p w14:paraId="1426EC97" w14:textId="77777777" w:rsidR="00A74A1E" w:rsidRDefault="00A74A1E">
            <w:pPr>
              <w:rPr>
                <w:rFonts w:ascii="宋体"/>
                <w:vanish/>
              </w:rPr>
            </w:pPr>
          </w:p>
        </w:tc>
      </w:tr>
      <w:tr w:rsidR="00A74A1E" w14:paraId="1426ECA1" w14:textId="77777777">
        <w:trPr>
          <w:jc w:val="center"/>
          <w:hidden/>
        </w:trPr>
        <w:tc>
          <w:tcPr>
            <w:tcW w:w="0" w:type="auto"/>
            <w:gridSpan w:val="3"/>
            <w:shd w:val="clear" w:color="auto" w:fill="auto"/>
          </w:tcPr>
          <w:p w14:paraId="1426EC99" w14:textId="77777777" w:rsidR="00A74A1E" w:rsidRDefault="00A74A1E">
            <w:pPr>
              <w:rPr>
                <w:rFonts w:ascii="宋体"/>
                <w:vanish/>
              </w:rPr>
            </w:pPr>
          </w:p>
        </w:tc>
        <w:tc>
          <w:tcPr>
            <w:tcW w:w="0" w:type="auto"/>
            <w:gridSpan w:val="3"/>
            <w:shd w:val="clear" w:color="auto" w:fill="auto"/>
          </w:tcPr>
          <w:p w14:paraId="1426EC9A" w14:textId="77777777" w:rsidR="00A74A1E" w:rsidRDefault="00A74A1E">
            <w:pPr>
              <w:rPr>
                <w:rFonts w:ascii="宋体"/>
                <w:vanish/>
              </w:rPr>
            </w:pPr>
          </w:p>
        </w:tc>
        <w:tc>
          <w:tcPr>
            <w:tcW w:w="0" w:type="auto"/>
            <w:gridSpan w:val="3"/>
            <w:shd w:val="clear" w:color="auto" w:fill="auto"/>
          </w:tcPr>
          <w:p w14:paraId="1426EC9B" w14:textId="77777777" w:rsidR="00A74A1E" w:rsidRDefault="00A74A1E">
            <w:pPr>
              <w:rPr>
                <w:rFonts w:ascii="宋体"/>
                <w:vanish/>
              </w:rPr>
            </w:pPr>
          </w:p>
        </w:tc>
        <w:tc>
          <w:tcPr>
            <w:tcW w:w="0" w:type="auto"/>
            <w:gridSpan w:val="3"/>
            <w:shd w:val="clear" w:color="auto" w:fill="auto"/>
          </w:tcPr>
          <w:p w14:paraId="1426EC9C" w14:textId="77777777" w:rsidR="00A74A1E" w:rsidRDefault="00A74A1E">
            <w:pPr>
              <w:rPr>
                <w:rFonts w:ascii="宋体"/>
                <w:vanish/>
              </w:rPr>
            </w:pPr>
          </w:p>
        </w:tc>
        <w:tc>
          <w:tcPr>
            <w:tcW w:w="0" w:type="auto"/>
            <w:gridSpan w:val="3"/>
            <w:shd w:val="clear" w:color="auto" w:fill="auto"/>
          </w:tcPr>
          <w:p w14:paraId="1426EC9D" w14:textId="77777777" w:rsidR="00A74A1E" w:rsidRDefault="00A74A1E">
            <w:pPr>
              <w:rPr>
                <w:rFonts w:ascii="宋体"/>
                <w:vanish/>
              </w:rPr>
            </w:pPr>
          </w:p>
        </w:tc>
        <w:tc>
          <w:tcPr>
            <w:tcW w:w="0" w:type="auto"/>
            <w:gridSpan w:val="3"/>
            <w:shd w:val="clear" w:color="auto" w:fill="auto"/>
          </w:tcPr>
          <w:p w14:paraId="1426EC9E" w14:textId="77777777" w:rsidR="00A74A1E" w:rsidRDefault="00A74A1E">
            <w:pPr>
              <w:rPr>
                <w:rFonts w:ascii="宋体"/>
                <w:vanish/>
              </w:rPr>
            </w:pPr>
          </w:p>
        </w:tc>
        <w:tc>
          <w:tcPr>
            <w:tcW w:w="0" w:type="auto"/>
            <w:gridSpan w:val="3"/>
            <w:shd w:val="clear" w:color="auto" w:fill="auto"/>
          </w:tcPr>
          <w:p w14:paraId="1426EC9F" w14:textId="77777777" w:rsidR="00A74A1E" w:rsidRDefault="00A74A1E">
            <w:pPr>
              <w:rPr>
                <w:rFonts w:ascii="宋体"/>
                <w:vanish/>
              </w:rPr>
            </w:pPr>
          </w:p>
        </w:tc>
        <w:tc>
          <w:tcPr>
            <w:tcW w:w="0" w:type="auto"/>
            <w:gridSpan w:val="3"/>
            <w:shd w:val="clear" w:color="auto" w:fill="auto"/>
          </w:tcPr>
          <w:p w14:paraId="1426ECA0" w14:textId="77777777" w:rsidR="00A74A1E" w:rsidRDefault="00A74A1E">
            <w:pPr>
              <w:rPr>
                <w:rFonts w:ascii="宋体"/>
                <w:vanish/>
              </w:rPr>
            </w:pPr>
          </w:p>
        </w:tc>
      </w:tr>
      <w:tr w:rsidR="00A74A1E" w14:paraId="1426ECAA" w14:textId="77777777">
        <w:trPr>
          <w:jc w:val="center"/>
          <w:hidden/>
        </w:trPr>
        <w:tc>
          <w:tcPr>
            <w:tcW w:w="0" w:type="auto"/>
            <w:gridSpan w:val="3"/>
            <w:shd w:val="clear" w:color="auto" w:fill="auto"/>
          </w:tcPr>
          <w:p w14:paraId="1426ECA2" w14:textId="77777777" w:rsidR="00A74A1E" w:rsidRDefault="00A74A1E">
            <w:pPr>
              <w:rPr>
                <w:rFonts w:ascii="宋体"/>
                <w:vanish/>
              </w:rPr>
            </w:pPr>
          </w:p>
        </w:tc>
        <w:tc>
          <w:tcPr>
            <w:tcW w:w="0" w:type="auto"/>
            <w:gridSpan w:val="3"/>
            <w:shd w:val="clear" w:color="auto" w:fill="auto"/>
          </w:tcPr>
          <w:p w14:paraId="1426ECA3" w14:textId="77777777" w:rsidR="00A74A1E" w:rsidRDefault="00A74A1E">
            <w:pPr>
              <w:rPr>
                <w:rFonts w:ascii="宋体"/>
                <w:vanish/>
              </w:rPr>
            </w:pPr>
          </w:p>
        </w:tc>
        <w:tc>
          <w:tcPr>
            <w:tcW w:w="0" w:type="auto"/>
            <w:gridSpan w:val="3"/>
            <w:shd w:val="clear" w:color="auto" w:fill="auto"/>
          </w:tcPr>
          <w:p w14:paraId="1426ECA4" w14:textId="77777777" w:rsidR="00A74A1E" w:rsidRDefault="00A74A1E">
            <w:pPr>
              <w:rPr>
                <w:rFonts w:ascii="宋体"/>
                <w:vanish/>
              </w:rPr>
            </w:pPr>
          </w:p>
        </w:tc>
        <w:tc>
          <w:tcPr>
            <w:tcW w:w="0" w:type="auto"/>
            <w:gridSpan w:val="3"/>
            <w:shd w:val="clear" w:color="auto" w:fill="auto"/>
          </w:tcPr>
          <w:p w14:paraId="1426ECA5" w14:textId="77777777" w:rsidR="00A74A1E" w:rsidRDefault="00A74A1E">
            <w:pPr>
              <w:rPr>
                <w:rFonts w:ascii="宋体"/>
                <w:vanish/>
              </w:rPr>
            </w:pPr>
          </w:p>
        </w:tc>
        <w:tc>
          <w:tcPr>
            <w:tcW w:w="0" w:type="auto"/>
            <w:gridSpan w:val="3"/>
            <w:shd w:val="clear" w:color="auto" w:fill="auto"/>
          </w:tcPr>
          <w:p w14:paraId="1426ECA6" w14:textId="77777777" w:rsidR="00A74A1E" w:rsidRDefault="00A74A1E">
            <w:pPr>
              <w:rPr>
                <w:rFonts w:ascii="宋体"/>
                <w:vanish/>
              </w:rPr>
            </w:pPr>
          </w:p>
        </w:tc>
        <w:tc>
          <w:tcPr>
            <w:tcW w:w="0" w:type="auto"/>
            <w:gridSpan w:val="3"/>
            <w:shd w:val="clear" w:color="auto" w:fill="auto"/>
          </w:tcPr>
          <w:p w14:paraId="1426ECA7" w14:textId="77777777" w:rsidR="00A74A1E" w:rsidRDefault="00A74A1E">
            <w:pPr>
              <w:rPr>
                <w:rFonts w:ascii="宋体"/>
                <w:vanish/>
              </w:rPr>
            </w:pPr>
          </w:p>
        </w:tc>
        <w:tc>
          <w:tcPr>
            <w:tcW w:w="0" w:type="auto"/>
            <w:gridSpan w:val="3"/>
            <w:shd w:val="clear" w:color="auto" w:fill="auto"/>
          </w:tcPr>
          <w:p w14:paraId="1426ECA8" w14:textId="77777777" w:rsidR="00A74A1E" w:rsidRDefault="00A74A1E">
            <w:pPr>
              <w:rPr>
                <w:rFonts w:ascii="宋体"/>
                <w:vanish/>
              </w:rPr>
            </w:pPr>
          </w:p>
        </w:tc>
        <w:tc>
          <w:tcPr>
            <w:tcW w:w="0" w:type="auto"/>
            <w:gridSpan w:val="3"/>
            <w:shd w:val="clear" w:color="auto" w:fill="auto"/>
          </w:tcPr>
          <w:p w14:paraId="1426ECA9" w14:textId="77777777" w:rsidR="00A74A1E" w:rsidRDefault="00A74A1E">
            <w:pPr>
              <w:rPr>
                <w:rFonts w:ascii="宋体"/>
                <w:vanish/>
              </w:rPr>
            </w:pPr>
          </w:p>
        </w:tc>
      </w:tr>
      <w:tr w:rsidR="00A74A1E" w14:paraId="1426ECB3" w14:textId="77777777">
        <w:trPr>
          <w:jc w:val="center"/>
          <w:hidden/>
        </w:trPr>
        <w:tc>
          <w:tcPr>
            <w:tcW w:w="0" w:type="auto"/>
            <w:gridSpan w:val="3"/>
            <w:shd w:val="clear" w:color="auto" w:fill="auto"/>
          </w:tcPr>
          <w:p w14:paraId="1426ECAB" w14:textId="77777777" w:rsidR="00A74A1E" w:rsidRDefault="00A74A1E">
            <w:pPr>
              <w:rPr>
                <w:rFonts w:ascii="宋体"/>
                <w:vanish/>
              </w:rPr>
            </w:pPr>
          </w:p>
        </w:tc>
        <w:tc>
          <w:tcPr>
            <w:tcW w:w="0" w:type="auto"/>
            <w:gridSpan w:val="3"/>
            <w:shd w:val="clear" w:color="auto" w:fill="auto"/>
          </w:tcPr>
          <w:p w14:paraId="1426ECAC" w14:textId="77777777" w:rsidR="00A74A1E" w:rsidRDefault="00A74A1E">
            <w:pPr>
              <w:rPr>
                <w:rFonts w:ascii="宋体"/>
                <w:vanish/>
              </w:rPr>
            </w:pPr>
          </w:p>
        </w:tc>
        <w:tc>
          <w:tcPr>
            <w:tcW w:w="0" w:type="auto"/>
            <w:gridSpan w:val="3"/>
            <w:shd w:val="clear" w:color="auto" w:fill="auto"/>
          </w:tcPr>
          <w:p w14:paraId="1426ECAD" w14:textId="77777777" w:rsidR="00A74A1E" w:rsidRDefault="00A74A1E">
            <w:pPr>
              <w:rPr>
                <w:rFonts w:ascii="宋体"/>
                <w:vanish/>
              </w:rPr>
            </w:pPr>
          </w:p>
        </w:tc>
        <w:tc>
          <w:tcPr>
            <w:tcW w:w="0" w:type="auto"/>
            <w:gridSpan w:val="3"/>
            <w:shd w:val="clear" w:color="auto" w:fill="auto"/>
          </w:tcPr>
          <w:p w14:paraId="1426ECAE" w14:textId="77777777" w:rsidR="00A74A1E" w:rsidRDefault="00A74A1E">
            <w:pPr>
              <w:rPr>
                <w:rFonts w:ascii="宋体"/>
                <w:vanish/>
              </w:rPr>
            </w:pPr>
          </w:p>
        </w:tc>
        <w:tc>
          <w:tcPr>
            <w:tcW w:w="0" w:type="auto"/>
            <w:gridSpan w:val="3"/>
            <w:shd w:val="clear" w:color="auto" w:fill="auto"/>
          </w:tcPr>
          <w:p w14:paraId="1426ECAF" w14:textId="77777777" w:rsidR="00A74A1E" w:rsidRDefault="00A74A1E">
            <w:pPr>
              <w:rPr>
                <w:rFonts w:ascii="宋体"/>
                <w:vanish/>
              </w:rPr>
            </w:pPr>
          </w:p>
        </w:tc>
        <w:tc>
          <w:tcPr>
            <w:tcW w:w="0" w:type="auto"/>
            <w:gridSpan w:val="3"/>
            <w:shd w:val="clear" w:color="auto" w:fill="auto"/>
          </w:tcPr>
          <w:p w14:paraId="1426ECB0" w14:textId="77777777" w:rsidR="00A74A1E" w:rsidRDefault="00A74A1E">
            <w:pPr>
              <w:rPr>
                <w:rFonts w:ascii="宋体"/>
                <w:vanish/>
              </w:rPr>
            </w:pPr>
          </w:p>
        </w:tc>
        <w:tc>
          <w:tcPr>
            <w:tcW w:w="0" w:type="auto"/>
            <w:gridSpan w:val="3"/>
            <w:shd w:val="clear" w:color="auto" w:fill="auto"/>
          </w:tcPr>
          <w:p w14:paraId="1426ECB1" w14:textId="77777777" w:rsidR="00A74A1E" w:rsidRDefault="00A74A1E">
            <w:pPr>
              <w:rPr>
                <w:rFonts w:ascii="宋体"/>
                <w:vanish/>
              </w:rPr>
            </w:pPr>
          </w:p>
        </w:tc>
        <w:tc>
          <w:tcPr>
            <w:tcW w:w="0" w:type="auto"/>
            <w:gridSpan w:val="3"/>
            <w:shd w:val="clear" w:color="auto" w:fill="auto"/>
          </w:tcPr>
          <w:p w14:paraId="1426ECB2" w14:textId="77777777" w:rsidR="00A74A1E" w:rsidRDefault="00A74A1E">
            <w:pPr>
              <w:rPr>
                <w:rFonts w:ascii="宋体"/>
                <w:vanish/>
              </w:rPr>
            </w:pPr>
          </w:p>
        </w:tc>
      </w:tr>
      <w:tr w:rsidR="00A74A1E" w14:paraId="1426ECBC" w14:textId="77777777">
        <w:trPr>
          <w:jc w:val="center"/>
          <w:hidden/>
        </w:trPr>
        <w:tc>
          <w:tcPr>
            <w:tcW w:w="0" w:type="auto"/>
            <w:gridSpan w:val="3"/>
            <w:shd w:val="clear" w:color="auto" w:fill="auto"/>
          </w:tcPr>
          <w:p w14:paraId="1426ECB4" w14:textId="77777777" w:rsidR="00A74A1E" w:rsidRDefault="00A74A1E">
            <w:pPr>
              <w:rPr>
                <w:rFonts w:ascii="宋体"/>
                <w:vanish/>
              </w:rPr>
            </w:pPr>
          </w:p>
        </w:tc>
        <w:tc>
          <w:tcPr>
            <w:tcW w:w="0" w:type="auto"/>
            <w:gridSpan w:val="3"/>
            <w:shd w:val="clear" w:color="auto" w:fill="auto"/>
          </w:tcPr>
          <w:p w14:paraId="1426ECB5" w14:textId="77777777" w:rsidR="00A74A1E" w:rsidRDefault="00A74A1E">
            <w:pPr>
              <w:rPr>
                <w:rFonts w:ascii="宋体"/>
                <w:vanish/>
              </w:rPr>
            </w:pPr>
          </w:p>
        </w:tc>
        <w:tc>
          <w:tcPr>
            <w:tcW w:w="0" w:type="auto"/>
            <w:gridSpan w:val="3"/>
            <w:shd w:val="clear" w:color="auto" w:fill="auto"/>
          </w:tcPr>
          <w:p w14:paraId="1426ECB6" w14:textId="77777777" w:rsidR="00A74A1E" w:rsidRDefault="00A74A1E">
            <w:pPr>
              <w:rPr>
                <w:rFonts w:ascii="宋体"/>
                <w:vanish/>
              </w:rPr>
            </w:pPr>
          </w:p>
        </w:tc>
        <w:tc>
          <w:tcPr>
            <w:tcW w:w="0" w:type="auto"/>
            <w:gridSpan w:val="3"/>
            <w:shd w:val="clear" w:color="auto" w:fill="auto"/>
          </w:tcPr>
          <w:p w14:paraId="1426ECB7" w14:textId="77777777" w:rsidR="00A74A1E" w:rsidRDefault="00A74A1E">
            <w:pPr>
              <w:rPr>
                <w:rFonts w:ascii="宋体"/>
                <w:vanish/>
              </w:rPr>
            </w:pPr>
          </w:p>
        </w:tc>
        <w:tc>
          <w:tcPr>
            <w:tcW w:w="0" w:type="auto"/>
            <w:gridSpan w:val="3"/>
            <w:shd w:val="clear" w:color="auto" w:fill="auto"/>
          </w:tcPr>
          <w:p w14:paraId="1426ECB8" w14:textId="77777777" w:rsidR="00A74A1E" w:rsidRDefault="00A74A1E">
            <w:pPr>
              <w:rPr>
                <w:rFonts w:ascii="宋体"/>
                <w:vanish/>
              </w:rPr>
            </w:pPr>
          </w:p>
        </w:tc>
        <w:tc>
          <w:tcPr>
            <w:tcW w:w="0" w:type="auto"/>
            <w:gridSpan w:val="3"/>
            <w:shd w:val="clear" w:color="auto" w:fill="auto"/>
          </w:tcPr>
          <w:p w14:paraId="1426ECB9" w14:textId="77777777" w:rsidR="00A74A1E" w:rsidRDefault="00A74A1E">
            <w:pPr>
              <w:rPr>
                <w:rFonts w:ascii="宋体"/>
                <w:vanish/>
              </w:rPr>
            </w:pPr>
          </w:p>
        </w:tc>
        <w:tc>
          <w:tcPr>
            <w:tcW w:w="0" w:type="auto"/>
            <w:gridSpan w:val="3"/>
            <w:shd w:val="clear" w:color="auto" w:fill="auto"/>
          </w:tcPr>
          <w:p w14:paraId="1426ECBA" w14:textId="77777777" w:rsidR="00A74A1E" w:rsidRDefault="00A74A1E">
            <w:pPr>
              <w:rPr>
                <w:rFonts w:ascii="宋体"/>
                <w:vanish/>
              </w:rPr>
            </w:pPr>
          </w:p>
        </w:tc>
        <w:tc>
          <w:tcPr>
            <w:tcW w:w="0" w:type="auto"/>
            <w:gridSpan w:val="3"/>
            <w:shd w:val="clear" w:color="auto" w:fill="auto"/>
          </w:tcPr>
          <w:p w14:paraId="1426ECBB" w14:textId="77777777" w:rsidR="00A74A1E" w:rsidRDefault="00A74A1E">
            <w:pPr>
              <w:rPr>
                <w:rFonts w:ascii="宋体"/>
                <w:vanish/>
              </w:rPr>
            </w:pPr>
          </w:p>
        </w:tc>
      </w:tr>
      <w:tr w:rsidR="00A74A1E" w14:paraId="1426ECC5" w14:textId="77777777">
        <w:trPr>
          <w:jc w:val="center"/>
          <w:hidden/>
        </w:trPr>
        <w:tc>
          <w:tcPr>
            <w:tcW w:w="0" w:type="auto"/>
            <w:gridSpan w:val="3"/>
            <w:shd w:val="clear" w:color="auto" w:fill="auto"/>
          </w:tcPr>
          <w:p w14:paraId="1426ECBD" w14:textId="77777777" w:rsidR="00A74A1E" w:rsidRDefault="00A74A1E">
            <w:pPr>
              <w:rPr>
                <w:rFonts w:ascii="宋体"/>
                <w:vanish/>
              </w:rPr>
            </w:pPr>
          </w:p>
        </w:tc>
        <w:tc>
          <w:tcPr>
            <w:tcW w:w="0" w:type="auto"/>
            <w:gridSpan w:val="3"/>
            <w:shd w:val="clear" w:color="auto" w:fill="auto"/>
          </w:tcPr>
          <w:p w14:paraId="1426ECBE" w14:textId="77777777" w:rsidR="00A74A1E" w:rsidRDefault="00A74A1E">
            <w:pPr>
              <w:rPr>
                <w:rFonts w:ascii="宋体"/>
                <w:vanish/>
              </w:rPr>
            </w:pPr>
          </w:p>
        </w:tc>
        <w:tc>
          <w:tcPr>
            <w:tcW w:w="0" w:type="auto"/>
            <w:gridSpan w:val="3"/>
            <w:shd w:val="clear" w:color="auto" w:fill="auto"/>
          </w:tcPr>
          <w:p w14:paraId="1426ECBF" w14:textId="77777777" w:rsidR="00A74A1E" w:rsidRDefault="00A74A1E">
            <w:pPr>
              <w:rPr>
                <w:rFonts w:ascii="宋体"/>
                <w:vanish/>
              </w:rPr>
            </w:pPr>
          </w:p>
        </w:tc>
        <w:tc>
          <w:tcPr>
            <w:tcW w:w="0" w:type="auto"/>
            <w:gridSpan w:val="3"/>
            <w:shd w:val="clear" w:color="auto" w:fill="auto"/>
          </w:tcPr>
          <w:p w14:paraId="1426ECC0" w14:textId="77777777" w:rsidR="00A74A1E" w:rsidRDefault="00A74A1E">
            <w:pPr>
              <w:rPr>
                <w:rFonts w:ascii="宋体"/>
                <w:vanish/>
              </w:rPr>
            </w:pPr>
          </w:p>
        </w:tc>
        <w:tc>
          <w:tcPr>
            <w:tcW w:w="0" w:type="auto"/>
            <w:gridSpan w:val="3"/>
            <w:shd w:val="clear" w:color="auto" w:fill="auto"/>
          </w:tcPr>
          <w:p w14:paraId="1426ECC1" w14:textId="77777777" w:rsidR="00A74A1E" w:rsidRDefault="00A74A1E">
            <w:pPr>
              <w:rPr>
                <w:rFonts w:ascii="宋体"/>
                <w:vanish/>
              </w:rPr>
            </w:pPr>
          </w:p>
        </w:tc>
        <w:tc>
          <w:tcPr>
            <w:tcW w:w="0" w:type="auto"/>
            <w:gridSpan w:val="3"/>
            <w:shd w:val="clear" w:color="auto" w:fill="auto"/>
          </w:tcPr>
          <w:p w14:paraId="1426ECC2" w14:textId="77777777" w:rsidR="00A74A1E" w:rsidRDefault="00A74A1E">
            <w:pPr>
              <w:rPr>
                <w:rFonts w:ascii="宋体"/>
                <w:vanish/>
              </w:rPr>
            </w:pPr>
          </w:p>
        </w:tc>
        <w:tc>
          <w:tcPr>
            <w:tcW w:w="0" w:type="auto"/>
            <w:gridSpan w:val="3"/>
            <w:shd w:val="clear" w:color="auto" w:fill="auto"/>
          </w:tcPr>
          <w:p w14:paraId="1426ECC3" w14:textId="77777777" w:rsidR="00A74A1E" w:rsidRDefault="00A74A1E">
            <w:pPr>
              <w:rPr>
                <w:rFonts w:ascii="宋体"/>
                <w:vanish/>
              </w:rPr>
            </w:pPr>
          </w:p>
        </w:tc>
        <w:tc>
          <w:tcPr>
            <w:tcW w:w="0" w:type="auto"/>
            <w:gridSpan w:val="3"/>
            <w:shd w:val="clear" w:color="auto" w:fill="auto"/>
          </w:tcPr>
          <w:p w14:paraId="1426ECC4" w14:textId="77777777" w:rsidR="00A74A1E" w:rsidRDefault="00A74A1E">
            <w:pPr>
              <w:rPr>
                <w:rFonts w:ascii="宋体"/>
                <w:vanish/>
              </w:rPr>
            </w:pPr>
          </w:p>
        </w:tc>
      </w:tr>
      <w:tr w:rsidR="00A74A1E" w14:paraId="1426ECCE" w14:textId="77777777">
        <w:trPr>
          <w:jc w:val="center"/>
          <w:hidden/>
        </w:trPr>
        <w:tc>
          <w:tcPr>
            <w:tcW w:w="0" w:type="auto"/>
            <w:gridSpan w:val="3"/>
            <w:shd w:val="clear" w:color="auto" w:fill="auto"/>
          </w:tcPr>
          <w:p w14:paraId="1426ECC6" w14:textId="77777777" w:rsidR="00A74A1E" w:rsidRDefault="00A74A1E">
            <w:pPr>
              <w:rPr>
                <w:rFonts w:ascii="宋体"/>
                <w:vanish/>
              </w:rPr>
            </w:pPr>
          </w:p>
        </w:tc>
        <w:tc>
          <w:tcPr>
            <w:tcW w:w="0" w:type="auto"/>
            <w:gridSpan w:val="3"/>
            <w:shd w:val="clear" w:color="auto" w:fill="auto"/>
          </w:tcPr>
          <w:p w14:paraId="1426ECC7" w14:textId="77777777" w:rsidR="00A74A1E" w:rsidRDefault="00A74A1E">
            <w:pPr>
              <w:rPr>
                <w:rFonts w:ascii="宋体"/>
                <w:vanish/>
              </w:rPr>
            </w:pPr>
          </w:p>
        </w:tc>
        <w:tc>
          <w:tcPr>
            <w:tcW w:w="0" w:type="auto"/>
            <w:gridSpan w:val="3"/>
            <w:shd w:val="clear" w:color="auto" w:fill="auto"/>
          </w:tcPr>
          <w:p w14:paraId="1426ECC8" w14:textId="77777777" w:rsidR="00A74A1E" w:rsidRDefault="00A74A1E">
            <w:pPr>
              <w:rPr>
                <w:rFonts w:ascii="宋体"/>
                <w:vanish/>
              </w:rPr>
            </w:pPr>
          </w:p>
        </w:tc>
        <w:tc>
          <w:tcPr>
            <w:tcW w:w="0" w:type="auto"/>
            <w:gridSpan w:val="3"/>
            <w:shd w:val="clear" w:color="auto" w:fill="auto"/>
          </w:tcPr>
          <w:p w14:paraId="1426ECC9" w14:textId="77777777" w:rsidR="00A74A1E" w:rsidRDefault="00A74A1E">
            <w:pPr>
              <w:rPr>
                <w:rFonts w:ascii="宋体"/>
                <w:vanish/>
              </w:rPr>
            </w:pPr>
          </w:p>
        </w:tc>
        <w:tc>
          <w:tcPr>
            <w:tcW w:w="0" w:type="auto"/>
            <w:gridSpan w:val="3"/>
            <w:shd w:val="clear" w:color="auto" w:fill="auto"/>
          </w:tcPr>
          <w:p w14:paraId="1426ECCA" w14:textId="77777777" w:rsidR="00A74A1E" w:rsidRDefault="00A74A1E">
            <w:pPr>
              <w:rPr>
                <w:rFonts w:ascii="宋体"/>
                <w:vanish/>
              </w:rPr>
            </w:pPr>
          </w:p>
        </w:tc>
        <w:tc>
          <w:tcPr>
            <w:tcW w:w="0" w:type="auto"/>
            <w:gridSpan w:val="3"/>
            <w:shd w:val="clear" w:color="auto" w:fill="auto"/>
          </w:tcPr>
          <w:p w14:paraId="1426ECCB" w14:textId="77777777" w:rsidR="00A74A1E" w:rsidRDefault="00A74A1E">
            <w:pPr>
              <w:rPr>
                <w:rFonts w:ascii="宋体"/>
                <w:vanish/>
              </w:rPr>
            </w:pPr>
          </w:p>
        </w:tc>
        <w:tc>
          <w:tcPr>
            <w:tcW w:w="0" w:type="auto"/>
            <w:gridSpan w:val="3"/>
            <w:shd w:val="clear" w:color="auto" w:fill="auto"/>
          </w:tcPr>
          <w:p w14:paraId="1426ECCC" w14:textId="77777777" w:rsidR="00A74A1E" w:rsidRDefault="00A74A1E">
            <w:pPr>
              <w:rPr>
                <w:rFonts w:ascii="宋体"/>
                <w:vanish/>
              </w:rPr>
            </w:pPr>
          </w:p>
        </w:tc>
        <w:tc>
          <w:tcPr>
            <w:tcW w:w="0" w:type="auto"/>
            <w:gridSpan w:val="3"/>
            <w:shd w:val="clear" w:color="auto" w:fill="auto"/>
          </w:tcPr>
          <w:p w14:paraId="1426ECCD" w14:textId="77777777" w:rsidR="00A74A1E" w:rsidRDefault="00A74A1E">
            <w:pPr>
              <w:rPr>
                <w:rFonts w:ascii="宋体"/>
                <w:vanish/>
              </w:rPr>
            </w:pPr>
          </w:p>
        </w:tc>
      </w:tr>
      <w:tr w:rsidR="00A74A1E" w14:paraId="1426ECD7" w14:textId="77777777">
        <w:trPr>
          <w:jc w:val="center"/>
          <w:hidden/>
        </w:trPr>
        <w:tc>
          <w:tcPr>
            <w:tcW w:w="0" w:type="auto"/>
            <w:gridSpan w:val="3"/>
            <w:shd w:val="clear" w:color="auto" w:fill="auto"/>
          </w:tcPr>
          <w:p w14:paraId="1426ECCF" w14:textId="77777777" w:rsidR="00A74A1E" w:rsidRDefault="00A74A1E">
            <w:pPr>
              <w:rPr>
                <w:rFonts w:ascii="宋体"/>
                <w:vanish/>
              </w:rPr>
            </w:pPr>
          </w:p>
        </w:tc>
        <w:tc>
          <w:tcPr>
            <w:tcW w:w="0" w:type="auto"/>
            <w:gridSpan w:val="3"/>
            <w:shd w:val="clear" w:color="auto" w:fill="auto"/>
          </w:tcPr>
          <w:p w14:paraId="1426ECD0" w14:textId="77777777" w:rsidR="00A74A1E" w:rsidRDefault="00A74A1E">
            <w:pPr>
              <w:rPr>
                <w:rFonts w:ascii="宋体"/>
                <w:vanish/>
              </w:rPr>
            </w:pPr>
          </w:p>
        </w:tc>
        <w:tc>
          <w:tcPr>
            <w:tcW w:w="0" w:type="auto"/>
            <w:gridSpan w:val="3"/>
            <w:shd w:val="clear" w:color="auto" w:fill="auto"/>
          </w:tcPr>
          <w:p w14:paraId="1426ECD1" w14:textId="77777777" w:rsidR="00A74A1E" w:rsidRDefault="00A74A1E">
            <w:pPr>
              <w:rPr>
                <w:rFonts w:ascii="宋体"/>
                <w:vanish/>
              </w:rPr>
            </w:pPr>
          </w:p>
        </w:tc>
        <w:tc>
          <w:tcPr>
            <w:tcW w:w="0" w:type="auto"/>
            <w:gridSpan w:val="3"/>
            <w:shd w:val="clear" w:color="auto" w:fill="auto"/>
          </w:tcPr>
          <w:p w14:paraId="1426ECD2" w14:textId="77777777" w:rsidR="00A74A1E" w:rsidRDefault="00A74A1E">
            <w:pPr>
              <w:rPr>
                <w:rFonts w:ascii="宋体"/>
                <w:vanish/>
              </w:rPr>
            </w:pPr>
          </w:p>
        </w:tc>
        <w:tc>
          <w:tcPr>
            <w:tcW w:w="0" w:type="auto"/>
            <w:gridSpan w:val="3"/>
            <w:shd w:val="clear" w:color="auto" w:fill="auto"/>
          </w:tcPr>
          <w:p w14:paraId="1426ECD3" w14:textId="77777777" w:rsidR="00A74A1E" w:rsidRDefault="00A74A1E">
            <w:pPr>
              <w:rPr>
                <w:rFonts w:ascii="宋体"/>
                <w:vanish/>
              </w:rPr>
            </w:pPr>
          </w:p>
        </w:tc>
        <w:tc>
          <w:tcPr>
            <w:tcW w:w="0" w:type="auto"/>
            <w:gridSpan w:val="3"/>
            <w:shd w:val="clear" w:color="auto" w:fill="auto"/>
          </w:tcPr>
          <w:p w14:paraId="1426ECD4" w14:textId="77777777" w:rsidR="00A74A1E" w:rsidRDefault="00A74A1E">
            <w:pPr>
              <w:rPr>
                <w:rFonts w:ascii="宋体"/>
                <w:vanish/>
              </w:rPr>
            </w:pPr>
          </w:p>
        </w:tc>
        <w:tc>
          <w:tcPr>
            <w:tcW w:w="0" w:type="auto"/>
            <w:gridSpan w:val="3"/>
            <w:shd w:val="clear" w:color="auto" w:fill="auto"/>
          </w:tcPr>
          <w:p w14:paraId="1426ECD5" w14:textId="77777777" w:rsidR="00A74A1E" w:rsidRDefault="00A74A1E">
            <w:pPr>
              <w:rPr>
                <w:rFonts w:ascii="宋体"/>
                <w:vanish/>
              </w:rPr>
            </w:pPr>
          </w:p>
        </w:tc>
        <w:tc>
          <w:tcPr>
            <w:tcW w:w="0" w:type="auto"/>
            <w:gridSpan w:val="3"/>
            <w:shd w:val="clear" w:color="auto" w:fill="auto"/>
          </w:tcPr>
          <w:p w14:paraId="1426ECD6" w14:textId="77777777" w:rsidR="00A74A1E" w:rsidRDefault="00A74A1E">
            <w:pPr>
              <w:rPr>
                <w:rFonts w:ascii="宋体"/>
                <w:vanish/>
              </w:rPr>
            </w:pPr>
          </w:p>
        </w:tc>
      </w:tr>
      <w:tr w:rsidR="00A74A1E" w14:paraId="1426ECE0" w14:textId="77777777">
        <w:trPr>
          <w:jc w:val="center"/>
          <w:hidden/>
        </w:trPr>
        <w:tc>
          <w:tcPr>
            <w:tcW w:w="0" w:type="auto"/>
            <w:gridSpan w:val="3"/>
            <w:shd w:val="clear" w:color="auto" w:fill="auto"/>
          </w:tcPr>
          <w:p w14:paraId="1426ECD8" w14:textId="77777777" w:rsidR="00A74A1E" w:rsidRDefault="00A74A1E">
            <w:pPr>
              <w:rPr>
                <w:rFonts w:ascii="宋体"/>
                <w:vanish/>
              </w:rPr>
            </w:pPr>
          </w:p>
        </w:tc>
        <w:tc>
          <w:tcPr>
            <w:tcW w:w="0" w:type="auto"/>
            <w:gridSpan w:val="3"/>
            <w:shd w:val="clear" w:color="auto" w:fill="auto"/>
          </w:tcPr>
          <w:p w14:paraId="1426ECD9" w14:textId="77777777" w:rsidR="00A74A1E" w:rsidRDefault="00A74A1E">
            <w:pPr>
              <w:rPr>
                <w:rFonts w:ascii="宋体"/>
                <w:vanish/>
              </w:rPr>
            </w:pPr>
          </w:p>
        </w:tc>
        <w:tc>
          <w:tcPr>
            <w:tcW w:w="0" w:type="auto"/>
            <w:gridSpan w:val="3"/>
            <w:shd w:val="clear" w:color="auto" w:fill="auto"/>
          </w:tcPr>
          <w:p w14:paraId="1426ECDA" w14:textId="77777777" w:rsidR="00A74A1E" w:rsidRDefault="00A74A1E">
            <w:pPr>
              <w:rPr>
                <w:rFonts w:ascii="宋体"/>
                <w:vanish/>
              </w:rPr>
            </w:pPr>
          </w:p>
        </w:tc>
        <w:tc>
          <w:tcPr>
            <w:tcW w:w="0" w:type="auto"/>
            <w:gridSpan w:val="3"/>
            <w:shd w:val="clear" w:color="auto" w:fill="auto"/>
          </w:tcPr>
          <w:p w14:paraId="1426ECDB" w14:textId="77777777" w:rsidR="00A74A1E" w:rsidRDefault="00A74A1E">
            <w:pPr>
              <w:rPr>
                <w:rFonts w:ascii="宋体"/>
                <w:vanish/>
              </w:rPr>
            </w:pPr>
          </w:p>
        </w:tc>
        <w:tc>
          <w:tcPr>
            <w:tcW w:w="0" w:type="auto"/>
            <w:gridSpan w:val="3"/>
            <w:shd w:val="clear" w:color="auto" w:fill="auto"/>
          </w:tcPr>
          <w:p w14:paraId="1426ECDC" w14:textId="77777777" w:rsidR="00A74A1E" w:rsidRDefault="00A74A1E">
            <w:pPr>
              <w:rPr>
                <w:rFonts w:ascii="宋体"/>
                <w:vanish/>
              </w:rPr>
            </w:pPr>
          </w:p>
        </w:tc>
        <w:tc>
          <w:tcPr>
            <w:tcW w:w="0" w:type="auto"/>
            <w:gridSpan w:val="3"/>
            <w:shd w:val="clear" w:color="auto" w:fill="auto"/>
          </w:tcPr>
          <w:p w14:paraId="1426ECDD" w14:textId="77777777" w:rsidR="00A74A1E" w:rsidRDefault="00A74A1E">
            <w:pPr>
              <w:rPr>
                <w:rFonts w:ascii="宋体"/>
                <w:vanish/>
              </w:rPr>
            </w:pPr>
          </w:p>
        </w:tc>
        <w:tc>
          <w:tcPr>
            <w:tcW w:w="0" w:type="auto"/>
            <w:gridSpan w:val="3"/>
            <w:shd w:val="clear" w:color="auto" w:fill="auto"/>
          </w:tcPr>
          <w:p w14:paraId="1426ECDE" w14:textId="77777777" w:rsidR="00A74A1E" w:rsidRDefault="00A74A1E">
            <w:pPr>
              <w:rPr>
                <w:rFonts w:ascii="宋体"/>
                <w:vanish/>
              </w:rPr>
            </w:pPr>
          </w:p>
        </w:tc>
        <w:tc>
          <w:tcPr>
            <w:tcW w:w="0" w:type="auto"/>
            <w:gridSpan w:val="3"/>
            <w:shd w:val="clear" w:color="auto" w:fill="auto"/>
          </w:tcPr>
          <w:p w14:paraId="1426ECDF" w14:textId="77777777" w:rsidR="00A74A1E" w:rsidRDefault="00A74A1E">
            <w:pPr>
              <w:rPr>
                <w:rFonts w:ascii="宋体"/>
                <w:vanish/>
              </w:rPr>
            </w:pPr>
          </w:p>
        </w:tc>
      </w:tr>
      <w:tr w:rsidR="00A74A1E" w14:paraId="1426ECE9" w14:textId="77777777">
        <w:trPr>
          <w:jc w:val="center"/>
          <w:hidden/>
        </w:trPr>
        <w:tc>
          <w:tcPr>
            <w:tcW w:w="0" w:type="auto"/>
            <w:gridSpan w:val="3"/>
            <w:shd w:val="clear" w:color="auto" w:fill="auto"/>
          </w:tcPr>
          <w:p w14:paraId="1426ECE1" w14:textId="77777777" w:rsidR="00A74A1E" w:rsidRDefault="00A74A1E">
            <w:pPr>
              <w:rPr>
                <w:rFonts w:ascii="宋体"/>
                <w:vanish/>
              </w:rPr>
            </w:pPr>
          </w:p>
        </w:tc>
        <w:tc>
          <w:tcPr>
            <w:tcW w:w="0" w:type="auto"/>
            <w:gridSpan w:val="3"/>
            <w:shd w:val="clear" w:color="auto" w:fill="auto"/>
          </w:tcPr>
          <w:p w14:paraId="1426ECE2" w14:textId="77777777" w:rsidR="00A74A1E" w:rsidRDefault="00A74A1E">
            <w:pPr>
              <w:rPr>
                <w:rFonts w:ascii="宋体"/>
                <w:vanish/>
              </w:rPr>
            </w:pPr>
          </w:p>
        </w:tc>
        <w:tc>
          <w:tcPr>
            <w:tcW w:w="0" w:type="auto"/>
            <w:gridSpan w:val="3"/>
            <w:shd w:val="clear" w:color="auto" w:fill="auto"/>
          </w:tcPr>
          <w:p w14:paraId="1426ECE3" w14:textId="77777777" w:rsidR="00A74A1E" w:rsidRDefault="00A74A1E">
            <w:pPr>
              <w:rPr>
                <w:rFonts w:ascii="宋体"/>
                <w:vanish/>
              </w:rPr>
            </w:pPr>
          </w:p>
        </w:tc>
        <w:tc>
          <w:tcPr>
            <w:tcW w:w="0" w:type="auto"/>
            <w:gridSpan w:val="3"/>
            <w:shd w:val="clear" w:color="auto" w:fill="auto"/>
          </w:tcPr>
          <w:p w14:paraId="1426ECE4" w14:textId="77777777" w:rsidR="00A74A1E" w:rsidRDefault="00A74A1E">
            <w:pPr>
              <w:rPr>
                <w:rFonts w:ascii="宋体"/>
                <w:vanish/>
              </w:rPr>
            </w:pPr>
          </w:p>
        </w:tc>
        <w:tc>
          <w:tcPr>
            <w:tcW w:w="0" w:type="auto"/>
            <w:gridSpan w:val="3"/>
            <w:shd w:val="clear" w:color="auto" w:fill="auto"/>
          </w:tcPr>
          <w:p w14:paraId="1426ECE5" w14:textId="77777777" w:rsidR="00A74A1E" w:rsidRDefault="00A74A1E">
            <w:pPr>
              <w:rPr>
                <w:rFonts w:ascii="宋体"/>
                <w:vanish/>
              </w:rPr>
            </w:pPr>
          </w:p>
        </w:tc>
        <w:tc>
          <w:tcPr>
            <w:tcW w:w="0" w:type="auto"/>
            <w:gridSpan w:val="3"/>
            <w:shd w:val="clear" w:color="auto" w:fill="auto"/>
          </w:tcPr>
          <w:p w14:paraId="1426ECE6" w14:textId="77777777" w:rsidR="00A74A1E" w:rsidRDefault="00A74A1E">
            <w:pPr>
              <w:rPr>
                <w:rFonts w:ascii="宋体"/>
                <w:vanish/>
              </w:rPr>
            </w:pPr>
          </w:p>
        </w:tc>
        <w:tc>
          <w:tcPr>
            <w:tcW w:w="0" w:type="auto"/>
            <w:gridSpan w:val="3"/>
            <w:shd w:val="clear" w:color="auto" w:fill="auto"/>
          </w:tcPr>
          <w:p w14:paraId="1426ECE7" w14:textId="77777777" w:rsidR="00A74A1E" w:rsidRDefault="00A74A1E">
            <w:pPr>
              <w:rPr>
                <w:rFonts w:ascii="宋体"/>
                <w:vanish/>
              </w:rPr>
            </w:pPr>
          </w:p>
        </w:tc>
        <w:tc>
          <w:tcPr>
            <w:tcW w:w="0" w:type="auto"/>
            <w:gridSpan w:val="3"/>
            <w:shd w:val="clear" w:color="auto" w:fill="auto"/>
          </w:tcPr>
          <w:p w14:paraId="1426ECE8" w14:textId="77777777" w:rsidR="00A74A1E" w:rsidRDefault="00A74A1E">
            <w:pPr>
              <w:rPr>
                <w:rFonts w:ascii="宋体"/>
                <w:vanish/>
              </w:rPr>
            </w:pPr>
          </w:p>
        </w:tc>
      </w:tr>
      <w:tr w:rsidR="00A74A1E" w14:paraId="1426ECF2" w14:textId="77777777">
        <w:trPr>
          <w:jc w:val="center"/>
          <w:hidden/>
        </w:trPr>
        <w:tc>
          <w:tcPr>
            <w:tcW w:w="0" w:type="auto"/>
            <w:gridSpan w:val="3"/>
            <w:shd w:val="clear" w:color="auto" w:fill="auto"/>
          </w:tcPr>
          <w:p w14:paraId="1426ECEA" w14:textId="77777777" w:rsidR="00A74A1E" w:rsidRDefault="00A74A1E">
            <w:pPr>
              <w:rPr>
                <w:rFonts w:ascii="宋体"/>
                <w:vanish/>
              </w:rPr>
            </w:pPr>
          </w:p>
        </w:tc>
        <w:tc>
          <w:tcPr>
            <w:tcW w:w="0" w:type="auto"/>
            <w:gridSpan w:val="3"/>
            <w:shd w:val="clear" w:color="auto" w:fill="auto"/>
          </w:tcPr>
          <w:p w14:paraId="1426ECEB" w14:textId="77777777" w:rsidR="00A74A1E" w:rsidRDefault="00A74A1E">
            <w:pPr>
              <w:rPr>
                <w:rFonts w:ascii="宋体"/>
                <w:vanish/>
              </w:rPr>
            </w:pPr>
          </w:p>
        </w:tc>
        <w:tc>
          <w:tcPr>
            <w:tcW w:w="0" w:type="auto"/>
            <w:gridSpan w:val="3"/>
            <w:shd w:val="clear" w:color="auto" w:fill="auto"/>
          </w:tcPr>
          <w:p w14:paraId="1426ECEC" w14:textId="77777777" w:rsidR="00A74A1E" w:rsidRDefault="00A74A1E">
            <w:pPr>
              <w:rPr>
                <w:rFonts w:ascii="宋体"/>
                <w:vanish/>
              </w:rPr>
            </w:pPr>
          </w:p>
        </w:tc>
        <w:tc>
          <w:tcPr>
            <w:tcW w:w="0" w:type="auto"/>
            <w:gridSpan w:val="3"/>
            <w:shd w:val="clear" w:color="auto" w:fill="auto"/>
          </w:tcPr>
          <w:p w14:paraId="1426ECED" w14:textId="77777777" w:rsidR="00A74A1E" w:rsidRDefault="00A74A1E">
            <w:pPr>
              <w:rPr>
                <w:rFonts w:ascii="宋体"/>
                <w:vanish/>
              </w:rPr>
            </w:pPr>
          </w:p>
        </w:tc>
        <w:tc>
          <w:tcPr>
            <w:tcW w:w="0" w:type="auto"/>
            <w:gridSpan w:val="3"/>
            <w:shd w:val="clear" w:color="auto" w:fill="auto"/>
          </w:tcPr>
          <w:p w14:paraId="1426ECEE" w14:textId="77777777" w:rsidR="00A74A1E" w:rsidRDefault="00A74A1E">
            <w:pPr>
              <w:rPr>
                <w:rFonts w:ascii="宋体"/>
                <w:vanish/>
              </w:rPr>
            </w:pPr>
          </w:p>
        </w:tc>
        <w:tc>
          <w:tcPr>
            <w:tcW w:w="0" w:type="auto"/>
            <w:gridSpan w:val="3"/>
            <w:shd w:val="clear" w:color="auto" w:fill="auto"/>
          </w:tcPr>
          <w:p w14:paraId="1426ECEF" w14:textId="77777777" w:rsidR="00A74A1E" w:rsidRDefault="00A74A1E">
            <w:pPr>
              <w:rPr>
                <w:rFonts w:ascii="宋体"/>
                <w:vanish/>
              </w:rPr>
            </w:pPr>
          </w:p>
        </w:tc>
        <w:tc>
          <w:tcPr>
            <w:tcW w:w="0" w:type="auto"/>
            <w:gridSpan w:val="3"/>
            <w:shd w:val="clear" w:color="auto" w:fill="auto"/>
          </w:tcPr>
          <w:p w14:paraId="1426ECF0" w14:textId="77777777" w:rsidR="00A74A1E" w:rsidRDefault="00A74A1E">
            <w:pPr>
              <w:rPr>
                <w:rFonts w:ascii="宋体"/>
                <w:vanish/>
              </w:rPr>
            </w:pPr>
          </w:p>
        </w:tc>
        <w:tc>
          <w:tcPr>
            <w:tcW w:w="0" w:type="auto"/>
            <w:gridSpan w:val="3"/>
            <w:shd w:val="clear" w:color="auto" w:fill="auto"/>
          </w:tcPr>
          <w:p w14:paraId="1426ECF1" w14:textId="77777777" w:rsidR="00A74A1E" w:rsidRDefault="00A74A1E">
            <w:pPr>
              <w:rPr>
                <w:rFonts w:ascii="宋体"/>
                <w:vanish/>
              </w:rPr>
            </w:pPr>
          </w:p>
        </w:tc>
      </w:tr>
      <w:tr w:rsidR="00A74A1E" w14:paraId="1426ECFB" w14:textId="77777777">
        <w:trPr>
          <w:jc w:val="center"/>
          <w:hidden/>
        </w:trPr>
        <w:tc>
          <w:tcPr>
            <w:tcW w:w="0" w:type="auto"/>
            <w:gridSpan w:val="3"/>
            <w:shd w:val="clear" w:color="auto" w:fill="auto"/>
          </w:tcPr>
          <w:p w14:paraId="1426ECF3" w14:textId="77777777" w:rsidR="00A74A1E" w:rsidRDefault="00A74A1E">
            <w:pPr>
              <w:rPr>
                <w:rFonts w:ascii="宋体"/>
                <w:vanish/>
              </w:rPr>
            </w:pPr>
          </w:p>
        </w:tc>
        <w:tc>
          <w:tcPr>
            <w:tcW w:w="0" w:type="auto"/>
            <w:gridSpan w:val="3"/>
            <w:shd w:val="clear" w:color="auto" w:fill="auto"/>
          </w:tcPr>
          <w:p w14:paraId="1426ECF4" w14:textId="77777777" w:rsidR="00A74A1E" w:rsidRDefault="00A74A1E">
            <w:pPr>
              <w:rPr>
                <w:rFonts w:ascii="宋体"/>
                <w:vanish/>
              </w:rPr>
            </w:pPr>
          </w:p>
        </w:tc>
        <w:tc>
          <w:tcPr>
            <w:tcW w:w="0" w:type="auto"/>
            <w:gridSpan w:val="3"/>
            <w:shd w:val="clear" w:color="auto" w:fill="auto"/>
          </w:tcPr>
          <w:p w14:paraId="1426ECF5" w14:textId="77777777" w:rsidR="00A74A1E" w:rsidRDefault="00A74A1E">
            <w:pPr>
              <w:rPr>
                <w:rFonts w:ascii="宋体"/>
                <w:vanish/>
              </w:rPr>
            </w:pPr>
          </w:p>
        </w:tc>
        <w:tc>
          <w:tcPr>
            <w:tcW w:w="0" w:type="auto"/>
            <w:gridSpan w:val="3"/>
            <w:shd w:val="clear" w:color="auto" w:fill="auto"/>
          </w:tcPr>
          <w:p w14:paraId="1426ECF6" w14:textId="77777777" w:rsidR="00A74A1E" w:rsidRDefault="00A74A1E">
            <w:pPr>
              <w:rPr>
                <w:rFonts w:ascii="宋体"/>
                <w:vanish/>
              </w:rPr>
            </w:pPr>
          </w:p>
        </w:tc>
        <w:tc>
          <w:tcPr>
            <w:tcW w:w="0" w:type="auto"/>
            <w:gridSpan w:val="3"/>
            <w:shd w:val="clear" w:color="auto" w:fill="auto"/>
          </w:tcPr>
          <w:p w14:paraId="1426ECF7" w14:textId="77777777" w:rsidR="00A74A1E" w:rsidRDefault="00A74A1E">
            <w:pPr>
              <w:rPr>
                <w:rFonts w:ascii="宋体"/>
                <w:vanish/>
              </w:rPr>
            </w:pPr>
          </w:p>
        </w:tc>
        <w:tc>
          <w:tcPr>
            <w:tcW w:w="0" w:type="auto"/>
            <w:gridSpan w:val="3"/>
            <w:shd w:val="clear" w:color="auto" w:fill="auto"/>
          </w:tcPr>
          <w:p w14:paraId="1426ECF8" w14:textId="77777777" w:rsidR="00A74A1E" w:rsidRDefault="00A74A1E">
            <w:pPr>
              <w:rPr>
                <w:rFonts w:ascii="宋体"/>
                <w:vanish/>
              </w:rPr>
            </w:pPr>
          </w:p>
        </w:tc>
        <w:tc>
          <w:tcPr>
            <w:tcW w:w="0" w:type="auto"/>
            <w:gridSpan w:val="3"/>
            <w:shd w:val="clear" w:color="auto" w:fill="auto"/>
          </w:tcPr>
          <w:p w14:paraId="1426ECF9" w14:textId="77777777" w:rsidR="00A74A1E" w:rsidRDefault="00A74A1E">
            <w:pPr>
              <w:rPr>
                <w:rFonts w:ascii="宋体"/>
                <w:vanish/>
              </w:rPr>
            </w:pPr>
          </w:p>
        </w:tc>
        <w:tc>
          <w:tcPr>
            <w:tcW w:w="0" w:type="auto"/>
            <w:gridSpan w:val="3"/>
            <w:shd w:val="clear" w:color="auto" w:fill="auto"/>
          </w:tcPr>
          <w:p w14:paraId="1426ECFA" w14:textId="77777777" w:rsidR="00A74A1E" w:rsidRDefault="00A74A1E">
            <w:pPr>
              <w:rPr>
                <w:rFonts w:ascii="宋体"/>
                <w:vanish/>
              </w:rPr>
            </w:pPr>
          </w:p>
        </w:tc>
      </w:tr>
      <w:tr w:rsidR="00A74A1E" w14:paraId="1426ED04" w14:textId="77777777">
        <w:trPr>
          <w:jc w:val="center"/>
          <w:hidden/>
        </w:trPr>
        <w:tc>
          <w:tcPr>
            <w:tcW w:w="0" w:type="auto"/>
            <w:gridSpan w:val="3"/>
            <w:shd w:val="clear" w:color="auto" w:fill="auto"/>
          </w:tcPr>
          <w:p w14:paraId="1426ECFC" w14:textId="77777777" w:rsidR="00A74A1E" w:rsidRDefault="00A74A1E">
            <w:pPr>
              <w:rPr>
                <w:rFonts w:ascii="宋体"/>
                <w:vanish/>
              </w:rPr>
            </w:pPr>
          </w:p>
        </w:tc>
        <w:tc>
          <w:tcPr>
            <w:tcW w:w="0" w:type="auto"/>
            <w:gridSpan w:val="3"/>
            <w:shd w:val="clear" w:color="auto" w:fill="auto"/>
          </w:tcPr>
          <w:p w14:paraId="1426ECFD" w14:textId="77777777" w:rsidR="00A74A1E" w:rsidRDefault="00A74A1E">
            <w:pPr>
              <w:rPr>
                <w:rFonts w:ascii="宋体"/>
                <w:vanish/>
              </w:rPr>
            </w:pPr>
          </w:p>
        </w:tc>
        <w:tc>
          <w:tcPr>
            <w:tcW w:w="0" w:type="auto"/>
            <w:gridSpan w:val="3"/>
            <w:shd w:val="clear" w:color="auto" w:fill="auto"/>
          </w:tcPr>
          <w:p w14:paraId="1426ECFE" w14:textId="77777777" w:rsidR="00A74A1E" w:rsidRDefault="00A74A1E">
            <w:pPr>
              <w:rPr>
                <w:rFonts w:ascii="宋体"/>
                <w:vanish/>
              </w:rPr>
            </w:pPr>
          </w:p>
        </w:tc>
        <w:tc>
          <w:tcPr>
            <w:tcW w:w="0" w:type="auto"/>
            <w:gridSpan w:val="3"/>
            <w:shd w:val="clear" w:color="auto" w:fill="auto"/>
          </w:tcPr>
          <w:p w14:paraId="1426ECFF" w14:textId="77777777" w:rsidR="00A74A1E" w:rsidRDefault="00A74A1E">
            <w:pPr>
              <w:rPr>
                <w:rFonts w:ascii="宋体"/>
                <w:vanish/>
              </w:rPr>
            </w:pPr>
          </w:p>
        </w:tc>
        <w:tc>
          <w:tcPr>
            <w:tcW w:w="0" w:type="auto"/>
            <w:gridSpan w:val="3"/>
            <w:shd w:val="clear" w:color="auto" w:fill="auto"/>
          </w:tcPr>
          <w:p w14:paraId="1426ED00" w14:textId="77777777" w:rsidR="00A74A1E" w:rsidRDefault="00A74A1E">
            <w:pPr>
              <w:rPr>
                <w:rFonts w:ascii="宋体"/>
                <w:vanish/>
              </w:rPr>
            </w:pPr>
          </w:p>
        </w:tc>
        <w:tc>
          <w:tcPr>
            <w:tcW w:w="0" w:type="auto"/>
            <w:gridSpan w:val="3"/>
            <w:shd w:val="clear" w:color="auto" w:fill="auto"/>
          </w:tcPr>
          <w:p w14:paraId="1426ED01" w14:textId="77777777" w:rsidR="00A74A1E" w:rsidRDefault="00A74A1E">
            <w:pPr>
              <w:rPr>
                <w:rFonts w:ascii="宋体"/>
                <w:vanish/>
              </w:rPr>
            </w:pPr>
          </w:p>
        </w:tc>
        <w:tc>
          <w:tcPr>
            <w:tcW w:w="0" w:type="auto"/>
            <w:gridSpan w:val="3"/>
            <w:shd w:val="clear" w:color="auto" w:fill="auto"/>
          </w:tcPr>
          <w:p w14:paraId="1426ED02" w14:textId="77777777" w:rsidR="00A74A1E" w:rsidRDefault="00A74A1E">
            <w:pPr>
              <w:rPr>
                <w:rFonts w:ascii="宋体"/>
                <w:vanish/>
              </w:rPr>
            </w:pPr>
          </w:p>
        </w:tc>
        <w:tc>
          <w:tcPr>
            <w:tcW w:w="0" w:type="auto"/>
            <w:gridSpan w:val="3"/>
            <w:shd w:val="clear" w:color="auto" w:fill="auto"/>
          </w:tcPr>
          <w:p w14:paraId="1426ED03" w14:textId="77777777" w:rsidR="00A74A1E" w:rsidRDefault="00A74A1E">
            <w:pPr>
              <w:rPr>
                <w:rFonts w:ascii="宋体"/>
                <w:vanish/>
              </w:rPr>
            </w:pPr>
          </w:p>
        </w:tc>
      </w:tr>
      <w:tr w:rsidR="00A74A1E" w14:paraId="1426ED0D" w14:textId="77777777">
        <w:trPr>
          <w:jc w:val="center"/>
          <w:hidden/>
        </w:trPr>
        <w:tc>
          <w:tcPr>
            <w:tcW w:w="0" w:type="auto"/>
            <w:gridSpan w:val="3"/>
            <w:shd w:val="clear" w:color="auto" w:fill="auto"/>
          </w:tcPr>
          <w:p w14:paraId="1426ED05" w14:textId="77777777" w:rsidR="00A74A1E" w:rsidRDefault="00A74A1E">
            <w:pPr>
              <w:rPr>
                <w:rFonts w:ascii="宋体"/>
                <w:vanish/>
              </w:rPr>
            </w:pPr>
          </w:p>
        </w:tc>
        <w:tc>
          <w:tcPr>
            <w:tcW w:w="0" w:type="auto"/>
            <w:gridSpan w:val="3"/>
            <w:shd w:val="clear" w:color="auto" w:fill="auto"/>
          </w:tcPr>
          <w:p w14:paraId="1426ED06" w14:textId="77777777" w:rsidR="00A74A1E" w:rsidRDefault="00A74A1E">
            <w:pPr>
              <w:rPr>
                <w:rFonts w:ascii="宋体"/>
                <w:vanish/>
              </w:rPr>
            </w:pPr>
          </w:p>
        </w:tc>
        <w:tc>
          <w:tcPr>
            <w:tcW w:w="0" w:type="auto"/>
            <w:gridSpan w:val="3"/>
            <w:shd w:val="clear" w:color="auto" w:fill="auto"/>
          </w:tcPr>
          <w:p w14:paraId="1426ED07" w14:textId="77777777" w:rsidR="00A74A1E" w:rsidRDefault="00A74A1E">
            <w:pPr>
              <w:rPr>
                <w:rFonts w:ascii="宋体"/>
                <w:vanish/>
              </w:rPr>
            </w:pPr>
          </w:p>
        </w:tc>
        <w:tc>
          <w:tcPr>
            <w:tcW w:w="0" w:type="auto"/>
            <w:gridSpan w:val="3"/>
            <w:shd w:val="clear" w:color="auto" w:fill="auto"/>
          </w:tcPr>
          <w:p w14:paraId="1426ED08" w14:textId="77777777" w:rsidR="00A74A1E" w:rsidRDefault="00A74A1E">
            <w:pPr>
              <w:rPr>
                <w:rFonts w:ascii="宋体"/>
                <w:vanish/>
              </w:rPr>
            </w:pPr>
          </w:p>
        </w:tc>
        <w:tc>
          <w:tcPr>
            <w:tcW w:w="0" w:type="auto"/>
            <w:gridSpan w:val="3"/>
            <w:shd w:val="clear" w:color="auto" w:fill="auto"/>
          </w:tcPr>
          <w:p w14:paraId="1426ED09" w14:textId="77777777" w:rsidR="00A74A1E" w:rsidRDefault="00A74A1E">
            <w:pPr>
              <w:rPr>
                <w:rFonts w:ascii="宋体"/>
                <w:vanish/>
              </w:rPr>
            </w:pPr>
          </w:p>
        </w:tc>
        <w:tc>
          <w:tcPr>
            <w:tcW w:w="0" w:type="auto"/>
            <w:gridSpan w:val="3"/>
            <w:shd w:val="clear" w:color="auto" w:fill="auto"/>
          </w:tcPr>
          <w:p w14:paraId="1426ED0A" w14:textId="77777777" w:rsidR="00A74A1E" w:rsidRDefault="00A74A1E">
            <w:pPr>
              <w:rPr>
                <w:rFonts w:ascii="宋体"/>
                <w:vanish/>
              </w:rPr>
            </w:pPr>
          </w:p>
        </w:tc>
        <w:tc>
          <w:tcPr>
            <w:tcW w:w="0" w:type="auto"/>
            <w:gridSpan w:val="3"/>
            <w:shd w:val="clear" w:color="auto" w:fill="auto"/>
          </w:tcPr>
          <w:p w14:paraId="1426ED0B" w14:textId="77777777" w:rsidR="00A74A1E" w:rsidRDefault="00A74A1E">
            <w:pPr>
              <w:rPr>
                <w:rFonts w:ascii="宋体"/>
                <w:vanish/>
              </w:rPr>
            </w:pPr>
          </w:p>
        </w:tc>
        <w:tc>
          <w:tcPr>
            <w:tcW w:w="0" w:type="auto"/>
            <w:gridSpan w:val="3"/>
            <w:shd w:val="clear" w:color="auto" w:fill="auto"/>
          </w:tcPr>
          <w:p w14:paraId="1426ED0C" w14:textId="77777777" w:rsidR="00A74A1E" w:rsidRDefault="00A74A1E">
            <w:pPr>
              <w:rPr>
                <w:rFonts w:ascii="宋体"/>
                <w:vanish/>
              </w:rPr>
            </w:pPr>
          </w:p>
        </w:tc>
      </w:tr>
      <w:tr w:rsidR="00A74A1E" w14:paraId="1426ED16" w14:textId="77777777">
        <w:trPr>
          <w:jc w:val="center"/>
          <w:hidden/>
        </w:trPr>
        <w:tc>
          <w:tcPr>
            <w:tcW w:w="0" w:type="auto"/>
            <w:gridSpan w:val="3"/>
            <w:shd w:val="clear" w:color="auto" w:fill="auto"/>
          </w:tcPr>
          <w:p w14:paraId="1426ED0E" w14:textId="77777777" w:rsidR="00A74A1E" w:rsidRDefault="00A74A1E">
            <w:pPr>
              <w:rPr>
                <w:rFonts w:ascii="宋体"/>
                <w:vanish/>
              </w:rPr>
            </w:pPr>
          </w:p>
        </w:tc>
        <w:tc>
          <w:tcPr>
            <w:tcW w:w="0" w:type="auto"/>
            <w:gridSpan w:val="3"/>
            <w:shd w:val="clear" w:color="auto" w:fill="auto"/>
          </w:tcPr>
          <w:p w14:paraId="1426ED0F" w14:textId="77777777" w:rsidR="00A74A1E" w:rsidRDefault="00A74A1E">
            <w:pPr>
              <w:rPr>
                <w:rFonts w:ascii="宋体"/>
                <w:vanish/>
              </w:rPr>
            </w:pPr>
          </w:p>
        </w:tc>
        <w:tc>
          <w:tcPr>
            <w:tcW w:w="0" w:type="auto"/>
            <w:gridSpan w:val="3"/>
            <w:shd w:val="clear" w:color="auto" w:fill="auto"/>
          </w:tcPr>
          <w:p w14:paraId="1426ED10" w14:textId="77777777" w:rsidR="00A74A1E" w:rsidRDefault="00A74A1E">
            <w:pPr>
              <w:rPr>
                <w:rFonts w:ascii="宋体"/>
                <w:vanish/>
              </w:rPr>
            </w:pPr>
          </w:p>
        </w:tc>
        <w:tc>
          <w:tcPr>
            <w:tcW w:w="0" w:type="auto"/>
            <w:gridSpan w:val="3"/>
            <w:shd w:val="clear" w:color="auto" w:fill="auto"/>
          </w:tcPr>
          <w:p w14:paraId="1426ED11" w14:textId="77777777" w:rsidR="00A74A1E" w:rsidRDefault="00A74A1E">
            <w:pPr>
              <w:rPr>
                <w:rFonts w:ascii="宋体"/>
                <w:vanish/>
              </w:rPr>
            </w:pPr>
          </w:p>
        </w:tc>
        <w:tc>
          <w:tcPr>
            <w:tcW w:w="0" w:type="auto"/>
            <w:gridSpan w:val="3"/>
            <w:shd w:val="clear" w:color="auto" w:fill="auto"/>
          </w:tcPr>
          <w:p w14:paraId="1426ED12" w14:textId="77777777" w:rsidR="00A74A1E" w:rsidRDefault="00A74A1E">
            <w:pPr>
              <w:rPr>
                <w:rFonts w:ascii="宋体"/>
                <w:vanish/>
              </w:rPr>
            </w:pPr>
          </w:p>
        </w:tc>
        <w:tc>
          <w:tcPr>
            <w:tcW w:w="0" w:type="auto"/>
            <w:gridSpan w:val="3"/>
            <w:shd w:val="clear" w:color="auto" w:fill="auto"/>
          </w:tcPr>
          <w:p w14:paraId="1426ED13" w14:textId="77777777" w:rsidR="00A74A1E" w:rsidRDefault="00A74A1E">
            <w:pPr>
              <w:rPr>
                <w:rFonts w:ascii="宋体"/>
                <w:vanish/>
              </w:rPr>
            </w:pPr>
          </w:p>
        </w:tc>
        <w:tc>
          <w:tcPr>
            <w:tcW w:w="0" w:type="auto"/>
            <w:gridSpan w:val="3"/>
            <w:shd w:val="clear" w:color="auto" w:fill="auto"/>
          </w:tcPr>
          <w:p w14:paraId="1426ED14" w14:textId="77777777" w:rsidR="00A74A1E" w:rsidRDefault="00A74A1E">
            <w:pPr>
              <w:rPr>
                <w:rFonts w:ascii="宋体"/>
                <w:vanish/>
              </w:rPr>
            </w:pPr>
          </w:p>
        </w:tc>
        <w:tc>
          <w:tcPr>
            <w:tcW w:w="0" w:type="auto"/>
            <w:gridSpan w:val="3"/>
            <w:shd w:val="clear" w:color="auto" w:fill="auto"/>
          </w:tcPr>
          <w:p w14:paraId="1426ED15" w14:textId="77777777" w:rsidR="00A74A1E" w:rsidRDefault="00A74A1E">
            <w:pPr>
              <w:rPr>
                <w:rFonts w:ascii="宋体"/>
                <w:vanish/>
              </w:rPr>
            </w:pPr>
          </w:p>
        </w:tc>
      </w:tr>
      <w:tr w:rsidR="00A74A1E" w14:paraId="1426ED1F" w14:textId="77777777">
        <w:trPr>
          <w:jc w:val="center"/>
          <w:hidden/>
        </w:trPr>
        <w:tc>
          <w:tcPr>
            <w:tcW w:w="0" w:type="auto"/>
            <w:gridSpan w:val="3"/>
            <w:shd w:val="clear" w:color="auto" w:fill="auto"/>
          </w:tcPr>
          <w:p w14:paraId="1426ED17" w14:textId="77777777" w:rsidR="00A74A1E" w:rsidRDefault="00A74A1E">
            <w:pPr>
              <w:rPr>
                <w:rFonts w:ascii="宋体"/>
                <w:vanish/>
              </w:rPr>
            </w:pPr>
          </w:p>
        </w:tc>
        <w:tc>
          <w:tcPr>
            <w:tcW w:w="0" w:type="auto"/>
            <w:gridSpan w:val="3"/>
            <w:shd w:val="clear" w:color="auto" w:fill="auto"/>
          </w:tcPr>
          <w:p w14:paraId="1426ED18" w14:textId="77777777" w:rsidR="00A74A1E" w:rsidRDefault="00A74A1E">
            <w:pPr>
              <w:rPr>
                <w:rFonts w:ascii="宋体"/>
                <w:vanish/>
              </w:rPr>
            </w:pPr>
          </w:p>
        </w:tc>
        <w:tc>
          <w:tcPr>
            <w:tcW w:w="0" w:type="auto"/>
            <w:gridSpan w:val="3"/>
            <w:shd w:val="clear" w:color="auto" w:fill="auto"/>
          </w:tcPr>
          <w:p w14:paraId="1426ED19" w14:textId="77777777" w:rsidR="00A74A1E" w:rsidRDefault="00A74A1E">
            <w:pPr>
              <w:rPr>
                <w:rFonts w:ascii="宋体"/>
                <w:vanish/>
              </w:rPr>
            </w:pPr>
          </w:p>
        </w:tc>
        <w:tc>
          <w:tcPr>
            <w:tcW w:w="0" w:type="auto"/>
            <w:gridSpan w:val="3"/>
            <w:shd w:val="clear" w:color="auto" w:fill="auto"/>
          </w:tcPr>
          <w:p w14:paraId="1426ED1A" w14:textId="77777777" w:rsidR="00A74A1E" w:rsidRDefault="00A74A1E">
            <w:pPr>
              <w:rPr>
                <w:rFonts w:ascii="宋体"/>
                <w:vanish/>
              </w:rPr>
            </w:pPr>
          </w:p>
        </w:tc>
        <w:tc>
          <w:tcPr>
            <w:tcW w:w="0" w:type="auto"/>
            <w:gridSpan w:val="3"/>
            <w:shd w:val="clear" w:color="auto" w:fill="auto"/>
          </w:tcPr>
          <w:p w14:paraId="1426ED1B" w14:textId="77777777" w:rsidR="00A74A1E" w:rsidRDefault="00A74A1E">
            <w:pPr>
              <w:rPr>
                <w:rFonts w:ascii="宋体"/>
                <w:vanish/>
              </w:rPr>
            </w:pPr>
          </w:p>
        </w:tc>
        <w:tc>
          <w:tcPr>
            <w:tcW w:w="0" w:type="auto"/>
            <w:gridSpan w:val="3"/>
            <w:shd w:val="clear" w:color="auto" w:fill="auto"/>
          </w:tcPr>
          <w:p w14:paraId="1426ED1C" w14:textId="77777777" w:rsidR="00A74A1E" w:rsidRDefault="00A74A1E">
            <w:pPr>
              <w:rPr>
                <w:rFonts w:ascii="宋体"/>
                <w:vanish/>
              </w:rPr>
            </w:pPr>
          </w:p>
        </w:tc>
        <w:tc>
          <w:tcPr>
            <w:tcW w:w="0" w:type="auto"/>
            <w:gridSpan w:val="3"/>
            <w:shd w:val="clear" w:color="auto" w:fill="auto"/>
          </w:tcPr>
          <w:p w14:paraId="1426ED1D" w14:textId="77777777" w:rsidR="00A74A1E" w:rsidRDefault="00A74A1E">
            <w:pPr>
              <w:rPr>
                <w:rFonts w:ascii="宋体"/>
                <w:vanish/>
              </w:rPr>
            </w:pPr>
          </w:p>
        </w:tc>
        <w:tc>
          <w:tcPr>
            <w:tcW w:w="0" w:type="auto"/>
            <w:gridSpan w:val="3"/>
            <w:shd w:val="clear" w:color="auto" w:fill="auto"/>
          </w:tcPr>
          <w:p w14:paraId="1426ED1E" w14:textId="77777777" w:rsidR="00A74A1E" w:rsidRDefault="00A74A1E">
            <w:pPr>
              <w:rPr>
                <w:rFonts w:ascii="宋体"/>
                <w:vanish/>
              </w:rPr>
            </w:pPr>
          </w:p>
        </w:tc>
      </w:tr>
      <w:tr w:rsidR="00A74A1E" w14:paraId="1426ED28" w14:textId="77777777">
        <w:trPr>
          <w:jc w:val="center"/>
          <w:hidden/>
        </w:trPr>
        <w:tc>
          <w:tcPr>
            <w:tcW w:w="0" w:type="auto"/>
            <w:gridSpan w:val="3"/>
            <w:shd w:val="clear" w:color="auto" w:fill="auto"/>
          </w:tcPr>
          <w:p w14:paraId="1426ED20" w14:textId="77777777" w:rsidR="00A74A1E" w:rsidRDefault="00A74A1E">
            <w:pPr>
              <w:rPr>
                <w:rFonts w:ascii="宋体"/>
                <w:vanish/>
              </w:rPr>
            </w:pPr>
          </w:p>
        </w:tc>
        <w:tc>
          <w:tcPr>
            <w:tcW w:w="0" w:type="auto"/>
            <w:gridSpan w:val="3"/>
            <w:shd w:val="clear" w:color="auto" w:fill="auto"/>
          </w:tcPr>
          <w:p w14:paraId="1426ED21" w14:textId="77777777" w:rsidR="00A74A1E" w:rsidRDefault="00A74A1E">
            <w:pPr>
              <w:rPr>
                <w:rFonts w:ascii="宋体"/>
                <w:vanish/>
              </w:rPr>
            </w:pPr>
          </w:p>
        </w:tc>
        <w:tc>
          <w:tcPr>
            <w:tcW w:w="0" w:type="auto"/>
            <w:gridSpan w:val="3"/>
            <w:shd w:val="clear" w:color="auto" w:fill="auto"/>
          </w:tcPr>
          <w:p w14:paraId="1426ED22" w14:textId="77777777" w:rsidR="00A74A1E" w:rsidRDefault="00A74A1E">
            <w:pPr>
              <w:rPr>
                <w:rFonts w:ascii="宋体"/>
                <w:vanish/>
              </w:rPr>
            </w:pPr>
          </w:p>
        </w:tc>
        <w:tc>
          <w:tcPr>
            <w:tcW w:w="0" w:type="auto"/>
            <w:gridSpan w:val="3"/>
            <w:shd w:val="clear" w:color="auto" w:fill="auto"/>
          </w:tcPr>
          <w:p w14:paraId="1426ED23" w14:textId="77777777" w:rsidR="00A74A1E" w:rsidRDefault="00A74A1E">
            <w:pPr>
              <w:rPr>
                <w:rFonts w:ascii="宋体"/>
                <w:vanish/>
              </w:rPr>
            </w:pPr>
          </w:p>
        </w:tc>
        <w:tc>
          <w:tcPr>
            <w:tcW w:w="0" w:type="auto"/>
            <w:gridSpan w:val="3"/>
            <w:shd w:val="clear" w:color="auto" w:fill="auto"/>
          </w:tcPr>
          <w:p w14:paraId="1426ED24" w14:textId="77777777" w:rsidR="00A74A1E" w:rsidRDefault="00A74A1E">
            <w:pPr>
              <w:rPr>
                <w:rFonts w:ascii="宋体"/>
                <w:vanish/>
              </w:rPr>
            </w:pPr>
          </w:p>
        </w:tc>
        <w:tc>
          <w:tcPr>
            <w:tcW w:w="0" w:type="auto"/>
            <w:gridSpan w:val="3"/>
            <w:shd w:val="clear" w:color="auto" w:fill="auto"/>
          </w:tcPr>
          <w:p w14:paraId="1426ED25" w14:textId="77777777" w:rsidR="00A74A1E" w:rsidRDefault="00A74A1E">
            <w:pPr>
              <w:rPr>
                <w:rFonts w:ascii="宋体"/>
                <w:vanish/>
              </w:rPr>
            </w:pPr>
          </w:p>
        </w:tc>
        <w:tc>
          <w:tcPr>
            <w:tcW w:w="0" w:type="auto"/>
            <w:gridSpan w:val="3"/>
            <w:shd w:val="clear" w:color="auto" w:fill="auto"/>
          </w:tcPr>
          <w:p w14:paraId="1426ED26" w14:textId="77777777" w:rsidR="00A74A1E" w:rsidRDefault="00A74A1E">
            <w:pPr>
              <w:rPr>
                <w:rFonts w:ascii="宋体"/>
                <w:vanish/>
              </w:rPr>
            </w:pPr>
          </w:p>
        </w:tc>
        <w:tc>
          <w:tcPr>
            <w:tcW w:w="0" w:type="auto"/>
            <w:gridSpan w:val="3"/>
            <w:shd w:val="clear" w:color="auto" w:fill="auto"/>
          </w:tcPr>
          <w:p w14:paraId="1426ED27" w14:textId="77777777" w:rsidR="00A74A1E" w:rsidRDefault="00A74A1E">
            <w:pPr>
              <w:rPr>
                <w:rFonts w:ascii="宋体"/>
                <w:vanish/>
              </w:rPr>
            </w:pPr>
          </w:p>
        </w:tc>
      </w:tr>
      <w:tr w:rsidR="00A74A1E" w14:paraId="1426ED31" w14:textId="77777777">
        <w:trPr>
          <w:jc w:val="center"/>
          <w:hidden/>
        </w:trPr>
        <w:tc>
          <w:tcPr>
            <w:tcW w:w="0" w:type="auto"/>
            <w:gridSpan w:val="3"/>
            <w:shd w:val="clear" w:color="auto" w:fill="auto"/>
          </w:tcPr>
          <w:p w14:paraId="1426ED29" w14:textId="77777777" w:rsidR="00A74A1E" w:rsidRDefault="00A74A1E">
            <w:pPr>
              <w:rPr>
                <w:rFonts w:ascii="宋体"/>
                <w:vanish/>
              </w:rPr>
            </w:pPr>
          </w:p>
        </w:tc>
        <w:tc>
          <w:tcPr>
            <w:tcW w:w="0" w:type="auto"/>
            <w:gridSpan w:val="3"/>
            <w:shd w:val="clear" w:color="auto" w:fill="auto"/>
          </w:tcPr>
          <w:p w14:paraId="1426ED2A" w14:textId="77777777" w:rsidR="00A74A1E" w:rsidRDefault="00A74A1E">
            <w:pPr>
              <w:rPr>
                <w:rFonts w:ascii="宋体"/>
                <w:vanish/>
              </w:rPr>
            </w:pPr>
          </w:p>
        </w:tc>
        <w:tc>
          <w:tcPr>
            <w:tcW w:w="0" w:type="auto"/>
            <w:gridSpan w:val="3"/>
            <w:shd w:val="clear" w:color="auto" w:fill="auto"/>
          </w:tcPr>
          <w:p w14:paraId="1426ED2B" w14:textId="77777777" w:rsidR="00A74A1E" w:rsidRDefault="00A74A1E">
            <w:pPr>
              <w:rPr>
                <w:rFonts w:ascii="宋体"/>
                <w:vanish/>
              </w:rPr>
            </w:pPr>
          </w:p>
        </w:tc>
        <w:tc>
          <w:tcPr>
            <w:tcW w:w="0" w:type="auto"/>
            <w:gridSpan w:val="3"/>
            <w:shd w:val="clear" w:color="auto" w:fill="auto"/>
          </w:tcPr>
          <w:p w14:paraId="1426ED2C" w14:textId="77777777" w:rsidR="00A74A1E" w:rsidRDefault="00A74A1E">
            <w:pPr>
              <w:rPr>
                <w:rFonts w:ascii="宋体"/>
                <w:vanish/>
              </w:rPr>
            </w:pPr>
          </w:p>
        </w:tc>
        <w:tc>
          <w:tcPr>
            <w:tcW w:w="0" w:type="auto"/>
            <w:gridSpan w:val="3"/>
            <w:shd w:val="clear" w:color="auto" w:fill="auto"/>
          </w:tcPr>
          <w:p w14:paraId="1426ED2D" w14:textId="77777777" w:rsidR="00A74A1E" w:rsidRDefault="00A74A1E">
            <w:pPr>
              <w:rPr>
                <w:rFonts w:ascii="宋体"/>
                <w:vanish/>
              </w:rPr>
            </w:pPr>
          </w:p>
        </w:tc>
        <w:tc>
          <w:tcPr>
            <w:tcW w:w="0" w:type="auto"/>
            <w:gridSpan w:val="3"/>
            <w:shd w:val="clear" w:color="auto" w:fill="auto"/>
          </w:tcPr>
          <w:p w14:paraId="1426ED2E" w14:textId="77777777" w:rsidR="00A74A1E" w:rsidRDefault="00A74A1E">
            <w:pPr>
              <w:rPr>
                <w:rFonts w:ascii="宋体"/>
                <w:vanish/>
              </w:rPr>
            </w:pPr>
          </w:p>
        </w:tc>
        <w:tc>
          <w:tcPr>
            <w:tcW w:w="0" w:type="auto"/>
            <w:gridSpan w:val="3"/>
            <w:shd w:val="clear" w:color="auto" w:fill="auto"/>
          </w:tcPr>
          <w:p w14:paraId="1426ED2F" w14:textId="77777777" w:rsidR="00A74A1E" w:rsidRDefault="00A74A1E">
            <w:pPr>
              <w:rPr>
                <w:rFonts w:ascii="宋体"/>
                <w:vanish/>
              </w:rPr>
            </w:pPr>
          </w:p>
        </w:tc>
        <w:tc>
          <w:tcPr>
            <w:tcW w:w="0" w:type="auto"/>
            <w:gridSpan w:val="3"/>
            <w:shd w:val="clear" w:color="auto" w:fill="auto"/>
          </w:tcPr>
          <w:p w14:paraId="1426ED30" w14:textId="77777777" w:rsidR="00A74A1E" w:rsidRDefault="00A74A1E">
            <w:pPr>
              <w:rPr>
                <w:rFonts w:ascii="宋体"/>
                <w:vanish/>
              </w:rPr>
            </w:pPr>
          </w:p>
        </w:tc>
      </w:tr>
      <w:tr w:rsidR="00A74A1E" w14:paraId="1426ED3A" w14:textId="77777777">
        <w:trPr>
          <w:jc w:val="center"/>
          <w:hidden/>
        </w:trPr>
        <w:tc>
          <w:tcPr>
            <w:tcW w:w="0" w:type="auto"/>
            <w:gridSpan w:val="3"/>
            <w:shd w:val="clear" w:color="auto" w:fill="auto"/>
          </w:tcPr>
          <w:p w14:paraId="1426ED32" w14:textId="77777777" w:rsidR="00A74A1E" w:rsidRDefault="00A74A1E">
            <w:pPr>
              <w:rPr>
                <w:rFonts w:ascii="宋体"/>
                <w:vanish/>
              </w:rPr>
            </w:pPr>
          </w:p>
        </w:tc>
        <w:tc>
          <w:tcPr>
            <w:tcW w:w="0" w:type="auto"/>
            <w:gridSpan w:val="3"/>
            <w:shd w:val="clear" w:color="auto" w:fill="auto"/>
          </w:tcPr>
          <w:p w14:paraId="1426ED33" w14:textId="77777777" w:rsidR="00A74A1E" w:rsidRDefault="00A74A1E">
            <w:pPr>
              <w:rPr>
                <w:rFonts w:ascii="宋体"/>
                <w:vanish/>
              </w:rPr>
            </w:pPr>
          </w:p>
        </w:tc>
        <w:tc>
          <w:tcPr>
            <w:tcW w:w="0" w:type="auto"/>
            <w:gridSpan w:val="3"/>
            <w:shd w:val="clear" w:color="auto" w:fill="auto"/>
          </w:tcPr>
          <w:p w14:paraId="1426ED34" w14:textId="77777777" w:rsidR="00A74A1E" w:rsidRDefault="00A74A1E">
            <w:pPr>
              <w:rPr>
                <w:rFonts w:ascii="宋体"/>
                <w:vanish/>
              </w:rPr>
            </w:pPr>
          </w:p>
        </w:tc>
        <w:tc>
          <w:tcPr>
            <w:tcW w:w="0" w:type="auto"/>
            <w:gridSpan w:val="3"/>
            <w:shd w:val="clear" w:color="auto" w:fill="auto"/>
          </w:tcPr>
          <w:p w14:paraId="1426ED35" w14:textId="77777777" w:rsidR="00A74A1E" w:rsidRDefault="00A74A1E">
            <w:pPr>
              <w:rPr>
                <w:rFonts w:ascii="宋体"/>
                <w:vanish/>
              </w:rPr>
            </w:pPr>
          </w:p>
        </w:tc>
        <w:tc>
          <w:tcPr>
            <w:tcW w:w="0" w:type="auto"/>
            <w:gridSpan w:val="3"/>
            <w:shd w:val="clear" w:color="auto" w:fill="auto"/>
          </w:tcPr>
          <w:p w14:paraId="1426ED36" w14:textId="77777777" w:rsidR="00A74A1E" w:rsidRDefault="00A74A1E">
            <w:pPr>
              <w:rPr>
                <w:rFonts w:ascii="宋体"/>
                <w:vanish/>
              </w:rPr>
            </w:pPr>
          </w:p>
        </w:tc>
        <w:tc>
          <w:tcPr>
            <w:tcW w:w="0" w:type="auto"/>
            <w:gridSpan w:val="3"/>
            <w:shd w:val="clear" w:color="auto" w:fill="auto"/>
          </w:tcPr>
          <w:p w14:paraId="1426ED37" w14:textId="77777777" w:rsidR="00A74A1E" w:rsidRDefault="00A74A1E">
            <w:pPr>
              <w:rPr>
                <w:rFonts w:ascii="宋体"/>
                <w:vanish/>
              </w:rPr>
            </w:pPr>
          </w:p>
        </w:tc>
        <w:tc>
          <w:tcPr>
            <w:tcW w:w="0" w:type="auto"/>
            <w:gridSpan w:val="3"/>
            <w:shd w:val="clear" w:color="auto" w:fill="auto"/>
          </w:tcPr>
          <w:p w14:paraId="1426ED38" w14:textId="77777777" w:rsidR="00A74A1E" w:rsidRDefault="00A74A1E">
            <w:pPr>
              <w:rPr>
                <w:rFonts w:ascii="宋体"/>
                <w:vanish/>
              </w:rPr>
            </w:pPr>
          </w:p>
        </w:tc>
        <w:tc>
          <w:tcPr>
            <w:tcW w:w="0" w:type="auto"/>
            <w:gridSpan w:val="3"/>
            <w:shd w:val="clear" w:color="auto" w:fill="auto"/>
          </w:tcPr>
          <w:p w14:paraId="1426ED39" w14:textId="77777777" w:rsidR="00A74A1E" w:rsidRDefault="00A74A1E">
            <w:pPr>
              <w:rPr>
                <w:rFonts w:ascii="宋体"/>
                <w:vanish/>
              </w:rPr>
            </w:pPr>
          </w:p>
        </w:tc>
      </w:tr>
      <w:tr w:rsidR="00A74A1E" w14:paraId="1426ED43" w14:textId="77777777">
        <w:trPr>
          <w:jc w:val="center"/>
          <w:hidden/>
        </w:trPr>
        <w:tc>
          <w:tcPr>
            <w:tcW w:w="0" w:type="auto"/>
            <w:gridSpan w:val="3"/>
            <w:shd w:val="clear" w:color="auto" w:fill="auto"/>
          </w:tcPr>
          <w:p w14:paraId="1426ED3B" w14:textId="77777777" w:rsidR="00A74A1E" w:rsidRDefault="00A74A1E">
            <w:pPr>
              <w:rPr>
                <w:rFonts w:ascii="宋体"/>
                <w:vanish/>
              </w:rPr>
            </w:pPr>
          </w:p>
        </w:tc>
        <w:tc>
          <w:tcPr>
            <w:tcW w:w="0" w:type="auto"/>
            <w:gridSpan w:val="3"/>
            <w:shd w:val="clear" w:color="auto" w:fill="auto"/>
          </w:tcPr>
          <w:p w14:paraId="1426ED3C" w14:textId="77777777" w:rsidR="00A74A1E" w:rsidRDefault="00A74A1E">
            <w:pPr>
              <w:rPr>
                <w:rFonts w:ascii="宋体"/>
                <w:vanish/>
              </w:rPr>
            </w:pPr>
          </w:p>
        </w:tc>
        <w:tc>
          <w:tcPr>
            <w:tcW w:w="0" w:type="auto"/>
            <w:gridSpan w:val="3"/>
            <w:shd w:val="clear" w:color="auto" w:fill="auto"/>
          </w:tcPr>
          <w:p w14:paraId="1426ED3D" w14:textId="77777777" w:rsidR="00A74A1E" w:rsidRDefault="00A74A1E">
            <w:pPr>
              <w:rPr>
                <w:rFonts w:ascii="宋体"/>
                <w:vanish/>
              </w:rPr>
            </w:pPr>
          </w:p>
        </w:tc>
        <w:tc>
          <w:tcPr>
            <w:tcW w:w="0" w:type="auto"/>
            <w:gridSpan w:val="3"/>
            <w:shd w:val="clear" w:color="auto" w:fill="auto"/>
          </w:tcPr>
          <w:p w14:paraId="1426ED3E" w14:textId="77777777" w:rsidR="00A74A1E" w:rsidRDefault="00A74A1E">
            <w:pPr>
              <w:rPr>
                <w:rFonts w:ascii="宋体"/>
                <w:vanish/>
              </w:rPr>
            </w:pPr>
          </w:p>
        </w:tc>
        <w:tc>
          <w:tcPr>
            <w:tcW w:w="0" w:type="auto"/>
            <w:gridSpan w:val="3"/>
            <w:shd w:val="clear" w:color="auto" w:fill="auto"/>
          </w:tcPr>
          <w:p w14:paraId="1426ED3F" w14:textId="77777777" w:rsidR="00A74A1E" w:rsidRDefault="00A74A1E">
            <w:pPr>
              <w:rPr>
                <w:rFonts w:ascii="宋体"/>
                <w:vanish/>
              </w:rPr>
            </w:pPr>
          </w:p>
        </w:tc>
        <w:tc>
          <w:tcPr>
            <w:tcW w:w="0" w:type="auto"/>
            <w:gridSpan w:val="3"/>
            <w:shd w:val="clear" w:color="auto" w:fill="auto"/>
          </w:tcPr>
          <w:p w14:paraId="1426ED40" w14:textId="77777777" w:rsidR="00A74A1E" w:rsidRDefault="00A74A1E">
            <w:pPr>
              <w:rPr>
                <w:rFonts w:ascii="宋体"/>
                <w:vanish/>
              </w:rPr>
            </w:pPr>
          </w:p>
        </w:tc>
        <w:tc>
          <w:tcPr>
            <w:tcW w:w="0" w:type="auto"/>
            <w:gridSpan w:val="3"/>
            <w:shd w:val="clear" w:color="auto" w:fill="auto"/>
          </w:tcPr>
          <w:p w14:paraId="1426ED41" w14:textId="77777777" w:rsidR="00A74A1E" w:rsidRDefault="00A74A1E">
            <w:pPr>
              <w:rPr>
                <w:rFonts w:ascii="宋体"/>
                <w:vanish/>
              </w:rPr>
            </w:pPr>
          </w:p>
        </w:tc>
        <w:tc>
          <w:tcPr>
            <w:tcW w:w="0" w:type="auto"/>
            <w:gridSpan w:val="3"/>
            <w:shd w:val="clear" w:color="auto" w:fill="auto"/>
          </w:tcPr>
          <w:p w14:paraId="1426ED42" w14:textId="77777777" w:rsidR="00A74A1E" w:rsidRDefault="00A74A1E">
            <w:pPr>
              <w:rPr>
                <w:rFonts w:ascii="宋体"/>
                <w:vanish/>
              </w:rPr>
            </w:pPr>
          </w:p>
        </w:tc>
      </w:tr>
      <w:tr w:rsidR="00A74A1E" w14:paraId="1426ED4C" w14:textId="77777777">
        <w:trPr>
          <w:jc w:val="center"/>
          <w:hidden/>
        </w:trPr>
        <w:tc>
          <w:tcPr>
            <w:tcW w:w="0" w:type="auto"/>
            <w:gridSpan w:val="3"/>
            <w:shd w:val="clear" w:color="auto" w:fill="auto"/>
          </w:tcPr>
          <w:p w14:paraId="1426ED44" w14:textId="77777777" w:rsidR="00A74A1E" w:rsidRDefault="00A74A1E">
            <w:pPr>
              <w:rPr>
                <w:rFonts w:ascii="宋体"/>
                <w:vanish/>
              </w:rPr>
            </w:pPr>
          </w:p>
        </w:tc>
        <w:tc>
          <w:tcPr>
            <w:tcW w:w="0" w:type="auto"/>
            <w:gridSpan w:val="3"/>
            <w:shd w:val="clear" w:color="auto" w:fill="auto"/>
          </w:tcPr>
          <w:p w14:paraId="1426ED45" w14:textId="77777777" w:rsidR="00A74A1E" w:rsidRDefault="00A74A1E">
            <w:pPr>
              <w:rPr>
                <w:rFonts w:ascii="宋体"/>
                <w:vanish/>
              </w:rPr>
            </w:pPr>
          </w:p>
        </w:tc>
        <w:tc>
          <w:tcPr>
            <w:tcW w:w="0" w:type="auto"/>
            <w:gridSpan w:val="3"/>
            <w:shd w:val="clear" w:color="auto" w:fill="auto"/>
          </w:tcPr>
          <w:p w14:paraId="1426ED46" w14:textId="77777777" w:rsidR="00A74A1E" w:rsidRDefault="00A74A1E">
            <w:pPr>
              <w:rPr>
                <w:rFonts w:ascii="宋体"/>
                <w:vanish/>
              </w:rPr>
            </w:pPr>
          </w:p>
        </w:tc>
        <w:tc>
          <w:tcPr>
            <w:tcW w:w="0" w:type="auto"/>
            <w:gridSpan w:val="3"/>
            <w:shd w:val="clear" w:color="auto" w:fill="auto"/>
          </w:tcPr>
          <w:p w14:paraId="1426ED47" w14:textId="77777777" w:rsidR="00A74A1E" w:rsidRDefault="00A74A1E">
            <w:pPr>
              <w:rPr>
                <w:rFonts w:ascii="宋体"/>
                <w:vanish/>
              </w:rPr>
            </w:pPr>
          </w:p>
        </w:tc>
        <w:tc>
          <w:tcPr>
            <w:tcW w:w="0" w:type="auto"/>
            <w:gridSpan w:val="3"/>
            <w:shd w:val="clear" w:color="auto" w:fill="auto"/>
          </w:tcPr>
          <w:p w14:paraId="1426ED48" w14:textId="77777777" w:rsidR="00A74A1E" w:rsidRDefault="00A74A1E">
            <w:pPr>
              <w:rPr>
                <w:rFonts w:ascii="宋体"/>
                <w:vanish/>
              </w:rPr>
            </w:pPr>
          </w:p>
        </w:tc>
        <w:tc>
          <w:tcPr>
            <w:tcW w:w="0" w:type="auto"/>
            <w:gridSpan w:val="3"/>
            <w:shd w:val="clear" w:color="auto" w:fill="auto"/>
          </w:tcPr>
          <w:p w14:paraId="1426ED49" w14:textId="77777777" w:rsidR="00A74A1E" w:rsidRDefault="00A74A1E">
            <w:pPr>
              <w:rPr>
                <w:rFonts w:ascii="宋体"/>
                <w:vanish/>
              </w:rPr>
            </w:pPr>
          </w:p>
        </w:tc>
        <w:tc>
          <w:tcPr>
            <w:tcW w:w="0" w:type="auto"/>
            <w:gridSpan w:val="3"/>
            <w:shd w:val="clear" w:color="auto" w:fill="auto"/>
          </w:tcPr>
          <w:p w14:paraId="1426ED4A" w14:textId="77777777" w:rsidR="00A74A1E" w:rsidRDefault="00A74A1E">
            <w:pPr>
              <w:rPr>
                <w:rFonts w:ascii="宋体"/>
                <w:vanish/>
              </w:rPr>
            </w:pPr>
          </w:p>
        </w:tc>
        <w:tc>
          <w:tcPr>
            <w:tcW w:w="0" w:type="auto"/>
            <w:gridSpan w:val="3"/>
            <w:shd w:val="clear" w:color="auto" w:fill="auto"/>
          </w:tcPr>
          <w:p w14:paraId="1426ED4B" w14:textId="77777777" w:rsidR="00A74A1E" w:rsidRDefault="00A74A1E">
            <w:pPr>
              <w:rPr>
                <w:rFonts w:ascii="宋体"/>
                <w:vanish/>
              </w:rPr>
            </w:pPr>
          </w:p>
        </w:tc>
      </w:tr>
      <w:tr w:rsidR="00A74A1E" w14:paraId="1426ED55" w14:textId="77777777">
        <w:trPr>
          <w:jc w:val="center"/>
          <w:hidden/>
        </w:trPr>
        <w:tc>
          <w:tcPr>
            <w:tcW w:w="0" w:type="auto"/>
            <w:gridSpan w:val="3"/>
            <w:shd w:val="clear" w:color="auto" w:fill="auto"/>
          </w:tcPr>
          <w:p w14:paraId="1426ED4D" w14:textId="77777777" w:rsidR="00A74A1E" w:rsidRDefault="00A74A1E">
            <w:pPr>
              <w:rPr>
                <w:rFonts w:ascii="宋体"/>
                <w:vanish/>
              </w:rPr>
            </w:pPr>
          </w:p>
        </w:tc>
        <w:tc>
          <w:tcPr>
            <w:tcW w:w="0" w:type="auto"/>
            <w:gridSpan w:val="3"/>
            <w:shd w:val="clear" w:color="auto" w:fill="auto"/>
          </w:tcPr>
          <w:p w14:paraId="1426ED4E" w14:textId="77777777" w:rsidR="00A74A1E" w:rsidRDefault="00A74A1E">
            <w:pPr>
              <w:rPr>
                <w:rFonts w:ascii="宋体"/>
                <w:vanish/>
              </w:rPr>
            </w:pPr>
          </w:p>
        </w:tc>
        <w:tc>
          <w:tcPr>
            <w:tcW w:w="0" w:type="auto"/>
            <w:gridSpan w:val="3"/>
            <w:shd w:val="clear" w:color="auto" w:fill="auto"/>
          </w:tcPr>
          <w:p w14:paraId="1426ED4F" w14:textId="77777777" w:rsidR="00A74A1E" w:rsidRDefault="00A74A1E">
            <w:pPr>
              <w:rPr>
                <w:rFonts w:ascii="宋体"/>
                <w:vanish/>
              </w:rPr>
            </w:pPr>
          </w:p>
        </w:tc>
        <w:tc>
          <w:tcPr>
            <w:tcW w:w="0" w:type="auto"/>
            <w:gridSpan w:val="3"/>
            <w:shd w:val="clear" w:color="auto" w:fill="auto"/>
          </w:tcPr>
          <w:p w14:paraId="1426ED50" w14:textId="77777777" w:rsidR="00A74A1E" w:rsidRDefault="00A74A1E">
            <w:pPr>
              <w:rPr>
                <w:rFonts w:ascii="宋体"/>
                <w:vanish/>
              </w:rPr>
            </w:pPr>
          </w:p>
        </w:tc>
        <w:tc>
          <w:tcPr>
            <w:tcW w:w="0" w:type="auto"/>
            <w:gridSpan w:val="3"/>
            <w:shd w:val="clear" w:color="auto" w:fill="auto"/>
          </w:tcPr>
          <w:p w14:paraId="1426ED51" w14:textId="77777777" w:rsidR="00A74A1E" w:rsidRDefault="00A74A1E">
            <w:pPr>
              <w:rPr>
                <w:rFonts w:ascii="宋体"/>
                <w:vanish/>
              </w:rPr>
            </w:pPr>
          </w:p>
        </w:tc>
        <w:tc>
          <w:tcPr>
            <w:tcW w:w="0" w:type="auto"/>
            <w:gridSpan w:val="3"/>
            <w:shd w:val="clear" w:color="auto" w:fill="auto"/>
          </w:tcPr>
          <w:p w14:paraId="1426ED52" w14:textId="77777777" w:rsidR="00A74A1E" w:rsidRDefault="00A74A1E">
            <w:pPr>
              <w:rPr>
                <w:rFonts w:ascii="宋体"/>
                <w:vanish/>
              </w:rPr>
            </w:pPr>
          </w:p>
        </w:tc>
        <w:tc>
          <w:tcPr>
            <w:tcW w:w="0" w:type="auto"/>
            <w:gridSpan w:val="3"/>
            <w:shd w:val="clear" w:color="auto" w:fill="auto"/>
          </w:tcPr>
          <w:p w14:paraId="1426ED53" w14:textId="77777777" w:rsidR="00A74A1E" w:rsidRDefault="00A74A1E">
            <w:pPr>
              <w:rPr>
                <w:rFonts w:ascii="宋体"/>
                <w:vanish/>
              </w:rPr>
            </w:pPr>
          </w:p>
        </w:tc>
        <w:tc>
          <w:tcPr>
            <w:tcW w:w="0" w:type="auto"/>
            <w:gridSpan w:val="3"/>
            <w:shd w:val="clear" w:color="auto" w:fill="auto"/>
          </w:tcPr>
          <w:p w14:paraId="1426ED54" w14:textId="77777777" w:rsidR="00A74A1E" w:rsidRDefault="00A74A1E">
            <w:pPr>
              <w:rPr>
                <w:rFonts w:ascii="宋体"/>
                <w:vanish/>
              </w:rPr>
            </w:pPr>
          </w:p>
        </w:tc>
      </w:tr>
      <w:tr w:rsidR="00A74A1E" w14:paraId="1426ED5E" w14:textId="77777777">
        <w:trPr>
          <w:jc w:val="center"/>
          <w:hidden/>
        </w:trPr>
        <w:tc>
          <w:tcPr>
            <w:tcW w:w="0" w:type="auto"/>
            <w:gridSpan w:val="3"/>
            <w:shd w:val="clear" w:color="auto" w:fill="auto"/>
          </w:tcPr>
          <w:p w14:paraId="1426ED56" w14:textId="77777777" w:rsidR="00A74A1E" w:rsidRDefault="00A74A1E">
            <w:pPr>
              <w:rPr>
                <w:rFonts w:ascii="宋体"/>
                <w:vanish/>
              </w:rPr>
            </w:pPr>
          </w:p>
        </w:tc>
        <w:tc>
          <w:tcPr>
            <w:tcW w:w="0" w:type="auto"/>
            <w:gridSpan w:val="3"/>
            <w:shd w:val="clear" w:color="auto" w:fill="auto"/>
          </w:tcPr>
          <w:p w14:paraId="1426ED57" w14:textId="77777777" w:rsidR="00A74A1E" w:rsidRDefault="00A74A1E">
            <w:pPr>
              <w:rPr>
                <w:rFonts w:ascii="宋体"/>
                <w:vanish/>
              </w:rPr>
            </w:pPr>
          </w:p>
        </w:tc>
        <w:tc>
          <w:tcPr>
            <w:tcW w:w="0" w:type="auto"/>
            <w:gridSpan w:val="3"/>
            <w:shd w:val="clear" w:color="auto" w:fill="auto"/>
          </w:tcPr>
          <w:p w14:paraId="1426ED58" w14:textId="77777777" w:rsidR="00A74A1E" w:rsidRDefault="00A74A1E">
            <w:pPr>
              <w:rPr>
                <w:rFonts w:ascii="宋体"/>
                <w:vanish/>
              </w:rPr>
            </w:pPr>
          </w:p>
        </w:tc>
        <w:tc>
          <w:tcPr>
            <w:tcW w:w="0" w:type="auto"/>
            <w:gridSpan w:val="3"/>
            <w:shd w:val="clear" w:color="auto" w:fill="auto"/>
          </w:tcPr>
          <w:p w14:paraId="1426ED59" w14:textId="77777777" w:rsidR="00A74A1E" w:rsidRDefault="00A74A1E">
            <w:pPr>
              <w:rPr>
                <w:rFonts w:ascii="宋体"/>
                <w:vanish/>
              </w:rPr>
            </w:pPr>
          </w:p>
        </w:tc>
        <w:tc>
          <w:tcPr>
            <w:tcW w:w="0" w:type="auto"/>
            <w:gridSpan w:val="3"/>
            <w:shd w:val="clear" w:color="auto" w:fill="auto"/>
          </w:tcPr>
          <w:p w14:paraId="1426ED5A" w14:textId="77777777" w:rsidR="00A74A1E" w:rsidRDefault="00A74A1E">
            <w:pPr>
              <w:rPr>
                <w:rFonts w:ascii="宋体"/>
                <w:vanish/>
              </w:rPr>
            </w:pPr>
          </w:p>
        </w:tc>
        <w:tc>
          <w:tcPr>
            <w:tcW w:w="0" w:type="auto"/>
            <w:gridSpan w:val="3"/>
            <w:shd w:val="clear" w:color="auto" w:fill="auto"/>
          </w:tcPr>
          <w:p w14:paraId="1426ED5B" w14:textId="77777777" w:rsidR="00A74A1E" w:rsidRDefault="00A74A1E">
            <w:pPr>
              <w:rPr>
                <w:rFonts w:ascii="宋体"/>
                <w:vanish/>
              </w:rPr>
            </w:pPr>
          </w:p>
        </w:tc>
        <w:tc>
          <w:tcPr>
            <w:tcW w:w="0" w:type="auto"/>
            <w:gridSpan w:val="3"/>
            <w:shd w:val="clear" w:color="auto" w:fill="auto"/>
          </w:tcPr>
          <w:p w14:paraId="1426ED5C" w14:textId="77777777" w:rsidR="00A74A1E" w:rsidRDefault="00A74A1E">
            <w:pPr>
              <w:rPr>
                <w:rFonts w:ascii="宋体"/>
                <w:vanish/>
              </w:rPr>
            </w:pPr>
          </w:p>
        </w:tc>
        <w:tc>
          <w:tcPr>
            <w:tcW w:w="0" w:type="auto"/>
            <w:gridSpan w:val="3"/>
            <w:shd w:val="clear" w:color="auto" w:fill="auto"/>
          </w:tcPr>
          <w:p w14:paraId="1426ED5D" w14:textId="77777777" w:rsidR="00A74A1E" w:rsidRDefault="00A74A1E">
            <w:pPr>
              <w:rPr>
                <w:rFonts w:ascii="宋体"/>
                <w:vanish/>
              </w:rPr>
            </w:pPr>
          </w:p>
        </w:tc>
      </w:tr>
      <w:tr w:rsidR="00A74A1E" w14:paraId="1426ED67" w14:textId="77777777">
        <w:trPr>
          <w:jc w:val="center"/>
          <w:hidden/>
        </w:trPr>
        <w:tc>
          <w:tcPr>
            <w:tcW w:w="0" w:type="auto"/>
            <w:gridSpan w:val="3"/>
            <w:shd w:val="clear" w:color="auto" w:fill="auto"/>
          </w:tcPr>
          <w:p w14:paraId="1426ED5F" w14:textId="77777777" w:rsidR="00A74A1E" w:rsidRDefault="00A74A1E">
            <w:pPr>
              <w:rPr>
                <w:rFonts w:ascii="宋体"/>
                <w:vanish/>
              </w:rPr>
            </w:pPr>
          </w:p>
        </w:tc>
        <w:tc>
          <w:tcPr>
            <w:tcW w:w="0" w:type="auto"/>
            <w:gridSpan w:val="3"/>
            <w:shd w:val="clear" w:color="auto" w:fill="auto"/>
          </w:tcPr>
          <w:p w14:paraId="1426ED60" w14:textId="77777777" w:rsidR="00A74A1E" w:rsidRDefault="00A74A1E">
            <w:pPr>
              <w:rPr>
                <w:rFonts w:ascii="宋体"/>
                <w:vanish/>
              </w:rPr>
            </w:pPr>
          </w:p>
        </w:tc>
        <w:tc>
          <w:tcPr>
            <w:tcW w:w="0" w:type="auto"/>
            <w:gridSpan w:val="3"/>
            <w:shd w:val="clear" w:color="auto" w:fill="auto"/>
          </w:tcPr>
          <w:p w14:paraId="1426ED61" w14:textId="77777777" w:rsidR="00A74A1E" w:rsidRDefault="00A74A1E">
            <w:pPr>
              <w:rPr>
                <w:rFonts w:ascii="宋体"/>
                <w:vanish/>
              </w:rPr>
            </w:pPr>
          </w:p>
        </w:tc>
        <w:tc>
          <w:tcPr>
            <w:tcW w:w="0" w:type="auto"/>
            <w:gridSpan w:val="3"/>
            <w:shd w:val="clear" w:color="auto" w:fill="auto"/>
          </w:tcPr>
          <w:p w14:paraId="1426ED62" w14:textId="77777777" w:rsidR="00A74A1E" w:rsidRDefault="00A74A1E">
            <w:pPr>
              <w:rPr>
                <w:rFonts w:ascii="宋体"/>
                <w:vanish/>
              </w:rPr>
            </w:pPr>
          </w:p>
        </w:tc>
        <w:tc>
          <w:tcPr>
            <w:tcW w:w="0" w:type="auto"/>
            <w:gridSpan w:val="3"/>
            <w:shd w:val="clear" w:color="auto" w:fill="auto"/>
          </w:tcPr>
          <w:p w14:paraId="1426ED63" w14:textId="77777777" w:rsidR="00A74A1E" w:rsidRDefault="00A74A1E">
            <w:pPr>
              <w:rPr>
                <w:rFonts w:ascii="宋体"/>
                <w:vanish/>
              </w:rPr>
            </w:pPr>
          </w:p>
        </w:tc>
        <w:tc>
          <w:tcPr>
            <w:tcW w:w="0" w:type="auto"/>
            <w:gridSpan w:val="3"/>
            <w:shd w:val="clear" w:color="auto" w:fill="auto"/>
          </w:tcPr>
          <w:p w14:paraId="1426ED64" w14:textId="77777777" w:rsidR="00A74A1E" w:rsidRDefault="00A74A1E">
            <w:pPr>
              <w:rPr>
                <w:rFonts w:ascii="宋体"/>
                <w:vanish/>
              </w:rPr>
            </w:pPr>
          </w:p>
        </w:tc>
        <w:tc>
          <w:tcPr>
            <w:tcW w:w="0" w:type="auto"/>
            <w:gridSpan w:val="3"/>
            <w:shd w:val="clear" w:color="auto" w:fill="auto"/>
          </w:tcPr>
          <w:p w14:paraId="1426ED65" w14:textId="77777777" w:rsidR="00A74A1E" w:rsidRDefault="00A74A1E">
            <w:pPr>
              <w:rPr>
                <w:rFonts w:ascii="宋体"/>
                <w:vanish/>
              </w:rPr>
            </w:pPr>
          </w:p>
        </w:tc>
        <w:tc>
          <w:tcPr>
            <w:tcW w:w="0" w:type="auto"/>
            <w:gridSpan w:val="3"/>
            <w:shd w:val="clear" w:color="auto" w:fill="auto"/>
          </w:tcPr>
          <w:p w14:paraId="1426ED66" w14:textId="77777777" w:rsidR="00A74A1E" w:rsidRDefault="00A74A1E">
            <w:pPr>
              <w:rPr>
                <w:rFonts w:ascii="宋体"/>
                <w:vanish/>
              </w:rPr>
            </w:pPr>
          </w:p>
        </w:tc>
      </w:tr>
      <w:tr w:rsidR="00A74A1E" w14:paraId="1426ED70" w14:textId="77777777">
        <w:trPr>
          <w:jc w:val="center"/>
          <w:hidden/>
        </w:trPr>
        <w:tc>
          <w:tcPr>
            <w:tcW w:w="0" w:type="auto"/>
            <w:gridSpan w:val="3"/>
            <w:shd w:val="clear" w:color="auto" w:fill="auto"/>
          </w:tcPr>
          <w:p w14:paraId="1426ED68" w14:textId="77777777" w:rsidR="00A74A1E" w:rsidRDefault="00A74A1E">
            <w:pPr>
              <w:rPr>
                <w:rFonts w:ascii="宋体"/>
                <w:vanish/>
              </w:rPr>
            </w:pPr>
          </w:p>
        </w:tc>
        <w:tc>
          <w:tcPr>
            <w:tcW w:w="0" w:type="auto"/>
            <w:gridSpan w:val="3"/>
            <w:shd w:val="clear" w:color="auto" w:fill="auto"/>
          </w:tcPr>
          <w:p w14:paraId="1426ED69" w14:textId="77777777" w:rsidR="00A74A1E" w:rsidRDefault="00A74A1E">
            <w:pPr>
              <w:rPr>
                <w:rFonts w:ascii="宋体"/>
                <w:vanish/>
              </w:rPr>
            </w:pPr>
          </w:p>
        </w:tc>
        <w:tc>
          <w:tcPr>
            <w:tcW w:w="0" w:type="auto"/>
            <w:gridSpan w:val="3"/>
            <w:shd w:val="clear" w:color="auto" w:fill="auto"/>
          </w:tcPr>
          <w:p w14:paraId="1426ED6A" w14:textId="77777777" w:rsidR="00A74A1E" w:rsidRDefault="00A74A1E">
            <w:pPr>
              <w:rPr>
                <w:rFonts w:ascii="宋体"/>
                <w:vanish/>
              </w:rPr>
            </w:pPr>
          </w:p>
        </w:tc>
        <w:tc>
          <w:tcPr>
            <w:tcW w:w="0" w:type="auto"/>
            <w:gridSpan w:val="3"/>
            <w:shd w:val="clear" w:color="auto" w:fill="auto"/>
          </w:tcPr>
          <w:p w14:paraId="1426ED6B" w14:textId="77777777" w:rsidR="00A74A1E" w:rsidRDefault="00A74A1E">
            <w:pPr>
              <w:rPr>
                <w:rFonts w:ascii="宋体"/>
                <w:vanish/>
              </w:rPr>
            </w:pPr>
          </w:p>
        </w:tc>
        <w:tc>
          <w:tcPr>
            <w:tcW w:w="0" w:type="auto"/>
            <w:gridSpan w:val="3"/>
            <w:shd w:val="clear" w:color="auto" w:fill="auto"/>
          </w:tcPr>
          <w:p w14:paraId="1426ED6C" w14:textId="77777777" w:rsidR="00A74A1E" w:rsidRDefault="00A74A1E">
            <w:pPr>
              <w:rPr>
                <w:rFonts w:ascii="宋体"/>
                <w:vanish/>
              </w:rPr>
            </w:pPr>
          </w:p>
        </w:tc>
        <w:tc>
          <w:tcPr>
            <w:tcW w:w="0" w:type="auto"/>
            <w:gridSpan w:val="3"/>
            <w:shd w:val="clear" w:color="auto" w:fill="auto"/>
          </w:tcPr>
          <w:p w14:paraId="1426ED6D" w14:textId="77777777" w:rsidR="00A74A1E" w:rsidRDefault="00A74A1E">
            <w:pPr>
              <w:rPr>
                <w:rFonts w:ascii="宋体"/>
                <w:vanish/>
              </w:rPr>
            </w:pPr>
          </w:p>
        </w:tc>
        <w:tc>
          <w:tcPr>
            <w:tcW w:w="0" w:type="auto"/>
            <w:gridSpan w:val="3"/>
            <w:shd w:val="clear" w:color="auto" w:fill="auto"/>
          </w:tcPr>
          <w:p w14:paraId="1426ED6E" w14:textId="77777777" w:rsidR="00A74A1E" w:rsidRDefault="00A74A1E">
            <w:pPr>
              <w:rPr>
                <w:rFonts w:ascii="宋体"/>
                <w:vanish/>
              </w:rPr>
            </w:pPr>
          </w:p>
        </w:tc>
        <w:tc>
          <w:tcPr>
            <w:tcW w:w="0" w:type="auto"/>
            <w:gridSpan w:val="3"/>
            <w:shd w:val="clear" w:color="auto" w:fill="auto"/>
          </w:tcPr>
          <w:p w14:paraId="1426ED6F" w14:textId="77777777" w:rsidR="00A74A1E" w:rsidRDefault="00A74A1E">
            <w:pPr>
              <w:rPr>
                <w:rFonts w:ascii="宋体"/>
                <w:vanish/>
              </w:rPr>
            </w:pPr>
          </w:p>
        </w:tc>
      </w:tr>
    </w:tbl>
    <w:p w14:paraId="1426ED71" w14:textId="77777777" w:rsidR="00A74A1E" w:rsidRDefault="00807990">
      <w:pPr>
        <w:spacing w:before="180"/>
        <w:jc w:val="center"/>
      </w:pPr>
      <w:r>
        <w:rPr>
          <w:rFonts w:ascii="Arial" w:eastAsia="宋体" w:hAnsi="Arial" w:cs="Arial"/>
          <w:color w:val="000000"/>
          <w:sz w:val="20"/>
          <w:szCs w:val="20"/>
        </w:rPr>
        <w:t>See accompanying notes.</w:t>
      </w:r>
    </w:p>
    <w:p w14:paraId="1426ED72" w14:textId="77777777" w:rsidR="00A74A1E" w:rsidRDefault="00807990">
      <w:pPr>
        <w:jc w:val="center"/>
      </w:pPr>
      <w:r>
        <w:rPr>
          <w:rFonts w:ascii="Arial" w:eastAsia="宋体" w:hAnsi="Arial" w:cs="Arial"/>
          <w:color w:val="000000"/>
          <w:sz w:val="20"/>
          <w:szCs w:val="20"/>
        </w:rPr>
        <w:t>3</w:t>
      </w:r>
    </w:p>
    <w:p w14:paraId="1426ED73" w14:textId="77777777" w:rsidR="00A74A1E" w:rsidRDefault="00807990">
      <w:r>
        <w:pict w14:anchorId="1426FC0E">
          <v:rect id="_x0000_i1027" style="width:415.3pt;height:1.5pt" o:hralign="center" o:hrstd="t" o:hr="t" fillcolor="#a0a0a0" stroked="f"/>
        </w:pict>
      </w:r>
    </w:p>
    <w:p w14:paraId="1426ED74" w14:textId="77777777" w:rsidR="00A74A1E" w:rsidRDefault="00A74A1E">
      <w:pPr>
        <w:spacing w:before="60"/>
      </w:pPr>
    </w:p>
    <w:p w14:paraId="1426ED75" w14:textId="77777777" w:rsidR="00A74A1E" w:rsidRDefault="00807990">
      <w:pPr>
        <w:jc w:val="center"/>
      </w:pPr>
      <w:r>
        <w:rPr>
          <w:rFonts w:ascii="Arial" w:eastAsia="宋体" w:hAnsi="Arial" w:cs="Arial"/>
          <w:b/>
          <w:bCs/>
          <w:color w:val="000000"/>
          <w:sz w:val="20"/>
          <w:szCs w:val="20"/>
        </w:rPr>
        <w:t>Advanced Micro Devices, Inc.</w:t>
      </w:r>
    </w:p>
    <w:p w14:paraId="1426ED76" w14:textId="77777777" w:rsidR="00A74A1E" w:rsidRDefault="00807990">
      <w:pPr>
        <w:jc w:val="center"/>
      </w:pPr>
      <w:r>
        <w:rPr>
          <w:rFonts w:ascii="Arial" w:eastAsia="宋体" w:hAnsi="Arial" w:cs="Arial"/>
          <w:b/>
          <w:bCs/>
          <w:color w:val="000000"/>
          <w:sz w:val="20"/>
          <w:szCs w:val="20"/>
        </w:rPr>
        <w:t>Condensed Consolidated Statements of Comprehensive Income</w:t>
      </w:r>
    </w:p>
    <w:p w14:paraId="1426ED77" w14:textId="77777777" w:rsidR="00A74A1E" w:rsidRDefault="00807990">
      <w:pPr>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074"/>
        <w:gridCol w:w="36"/>
        <w:gridCol w:w="133"/>
        <w:gridCol w:w="796"/>
        <w:gridCol w:w="36"/>
        <w:gridCol w:w="36"/>
        <w:gridCol w:w="36"/>
        <w:gridCol w:w="36"/>
        <w:gridCol w:w="133"/>
        <w:gridCol w:w="796"/>
        <w:gridCol w:w="36"/>
        <w:gridCol w:w="36"/>
        <w:gridCol w:w="36"/>
        <w:gridCol w:w="36"/>
        <w:gridCol w:w="133"/>
        <w:gridCol w:w="797"/>
        <w:gridCol w:w="36"/>
        <w:gridCol w:w="36"/>
        <w:gridCol w:w="36"/>
        <w:gridCol w:w="36"/>
        <w:gridCol w:w="133"/>
        <w:gridCol w:w="799"/>
        <w:gridCol w:w="36"/>
      </w:tblGrid>
      <w:tr w:rsidR="00A74A1E" w14:paraId="1426ED90" w14:textId="77777777">
        <w:tc>
          <w:tcPr>
            <w:tcW w:w="50" w:type="pct"/>
            <w:shd w:val="clear" w:color="auto" w:fill="auto"/>
          </w:tcPr>
          <w:p w14:paraId="1426ED78" w14:textId="77777777" w:rsidR="00A74A1E" w:rsidRDefault="00A74A1E">
            <w:pPr>
              <w:rPr>
                <w:rFonts w:ascii="宋体"/>
              </w:rPr>
            </w:pPr>
          </w:p>
        </w:tc>
        <w:tc>
          <w:tcPr>
            <w:tcW w:w="2518" w:type="pct"/>
            <w:shd w:val="clear" w:color="auto" w:fill="auto"/>
          </w:tcPr>
          <w:p w14:paraId="1426ED79" w14:textId="77777777" w:rsidR="00A74A1E" w:rsidRDefault="00A74A1E">
            <w:pPr>
              <w:rPr>
                <w:rFonts w:ascii="宋体"/>
              </w:rPr>
            </w:pPr>
          </w:p>
        </w:tc>
        <w:tc>
          <w:tcPr>
            <w:tcW w:w="5" w:type="pct"/>
            <w:shd w:val="clear" w:color="auto" w:fill="auto"/>
          </w:tcPr>
          <w:p w14:paraId="1426ED7A" w14:textId="77777777" w:rsidR="00A74A1E" w:rsidRDefault="00A74A1E">
            <w:pPr>
              <w:rPr>
                <w:rFonts w:ascii="宋体"/>
              </w:rPr>
            </w:pPr>
          </w:p>
        </w:tc>
        <w:tc>
          <w:tcPr>
            <w:tcW w:w="50" w:type="pct"/>
            <w:shd w:val="clear" w:color="auto" w:fill="auto"/>
          </w:tcPr>
          <w:p w14:paraId="1426ED7B" w14:textId="77777777" w:rsidR="00A74A1E" w:rsidRDefault="00A74A1E">
            <w:pPr>
              <w:rPr>
                <w:rFonts w:ascii="宋体"/>
              </w:rPr>
            </w:pPr>
          </w:p>
        </w:tc>
        <w:tc>
          <w:tcPr>
            <w:tcW w:w="529" w:type="pct"/>
            <w:shd w:val="clear" w:color="auto" w:fill="auto"/>
          </w:tcPr>
          <w:p w14:paraId="1426ED7C" w14:textId="77777777" w:rsidR="00A74A1E" w:rsidRDefault="00A74A1E">
            <w:pPr>
              <w:rPr>
                <w:rFonts w:ascii="宋体"/>
              </w:rPr>
            </w:pPr>
          </w:p>
        </w:tc>
        <w:tc>
          <w:tcPr>
            <w:tcW w:w="5" w:type="pct"/>
            <w:shd w:val="clear" w:color="auto" w:fill="auto"/>
          </w:tcPr>
          <w:p w14:paraId="1426ED7D" w14:textId="77777777" w:rsidR="00A74A1E" w:rsidRDefault="00A74A1E">
            <w:pPr>
              <w:rPr>
                <w:rFonts w:ascii="宋体"/>
              </w:rPr>
            </w:pPr>
          </w:p>
        </w:tc>
        <w:tc>
          <w:tcPr>
            <w:tcW w:w="5" w:type="pct"/>
            <w:shd w:val="clear" w:color="auto" w:fill="auto"/>
          </w:tcPr>
          <w:p w14:paraId="1426ED7E" w14:textId="77777777" w:rsidR="00A74A1E" w:rsidRDefault="00A74A1E">
            <w:pPr>
              <w:rPr>
                <w:rFonts w:ascii="宋体"/>
              </w:rPr>
            </w:pPr>
          </w:p>
        </w:tc>
        <w:tc>
          <w:tcPr>
            <w:tcW w:w="19" w:type="pct"/>
            <w:shd w:val="clear" w:color="auto" w:fill="auto"/>
          </w:tcPr>
          <w:p w14:paraId="1426ED7F" w14:textId="77777777" w:rsidR="00A74A1E" w:rsidRDefault="00A74A1E">
            <w:pPr>
              <w:rPr>
                <w:rFonts w:ascii="宋体"/>
              </w:rPr>
            </w:pPr>
          </w:p>
        </w:tc>
        <w:tc>
          <w:tcPr>
            <w:tcW w:w="5" w:type="pct"/>
            <w:shd w:val="clear" w:color="auto" w:fill="auto"/>
          </w:tcPr>
          <w:p w14:paraId="1426ED80" w14:textId="77777777" w:rsidR="00A74A1E" w:rsidRDefault="00A74A1E">
            <w:pPr>
              <w:rPr>
                <w:rFonts w:ascii="宋体"/>
              </w:rPr>
            </w:pPr>
          </w:p>
        </w:tc>
        <w:tc>
          <w:tcPr>
            <w:tcW w:w="50" w:type="pct"/>
            <w:shd w:val="clear" w:color="auto" w:fill="auto"/>
          </w:tcPr>
          <w:p w14:paraId="1426ED81" w14:textId="77777777" w:rsidR="00A74A1E" w:rsidRDefault="00A74A1E">
            <w:pPr>
              <w:rPr>
                <w:rFonts w:ascii="宋体"/>
              </w:rPr>
            </w:pPr>
          </w:p>
        </w:tc>
        <w:tc>
          <w:tcPr>
            <w:tcW w:w="529" w:type="pct"/>
            <w:shd w:val="clear" w:color="auto" w:fill="auto"/>
          </w:tcPr>
          <w:p w14:paraId="1426ED82" w14:textId="77777777" w:rsidR="00A74A1E" w:rsidRDefault="00A74A1E">
            <w:pPr>
              <w:rPr>
                <w:rFonts w:ascii="宋体"/>
              </w:rPr>
            </w:pPr>
          </w:p>
        </w:tc>
        <w:tc>
          <w:tcPr>
            <w:tcW w:w="5" w:type="pct"/>
            <w:shd w:val="clear" w:color="auto" w:fill="auto"/>
          </w:tcPr>
          <w:p w14:paraId="1426ED83" w14:textId="77777777" w:rsidR="00A74A1E" w:rsidRDefault="00A74A1E">
            <w:pPr>
              <w:rPr>
                <w:rFonts w:ascii="宋体"/>
              </w:rPr>
            </w:pPr>
          </w:p>
        </w:tc>
        <w:tc>
          <w:tcPr>
            <w:tcW w:w="5" w:type="pct"/>
            <w:shd w:val="clear" w:color="auto" w:fill="auto"/>
          </w:tcPr>
          <w:p w14:paraId="1426ED84" w14:textId="77777777" w:rsidR="00A74A1E" w:rsidRDefault="00A74A1E">
            <w:pPr>
              <w:rPr>
                <w:rFonts w:ascii="宋体"/>
              </w:rPr>
            </w:pPr>
          </w:p>
        </w:tc>
        <w:tc>
          <w:tcPr>
            <w:tcW w:w="19" w:type="pct"/>
            <w:shd w:val="clear" w:color="auto" w:fill="auto"/>
          </w:tcPr>
          <w:p w14:paraId="1426ED85" w14:textId="77777777" w:rsidR="00A74A1E" w:rsidRDefault="00A74A1E">
            <w:pPr>
              <w:rPr>
                <w:rFonts w:ascii="宋体"/>
              </w:rPr>
            </w:pPr>
          </w:p>
        </w:tc>
        <w:tc>
          <w:tcPr>
            <w:tcW w:w="5" w:type="pct"/>
            <w:shd w:val="clear" w:color="auto" w:fill="auto"/>
          </w:tcPr>
          <w:p w14:paraId="1426ED86" w14:textId="77777777" w:rsidR="00A74A1E" w:rsidRDefault="00A74A1E">
            <w:pPr>
              <w:rPr>
                <w:rFonts w:ascii="宋体"/>
              </w:rPr>
            </w:pPr>
          </w:p>
        </w:tc>
        <w:tc>
          <w:tcPr>
            <w:tcW w:w="50" w:type="pct"/>
            <w:shd w:val="clear" w:color="auto" w:fill="auto"/>
          </w:tcPr>
          <w:p w14:paraId="1426ED87" w14:textId="77777777" w:rsidR="00A74A1E" w:rsidRDefault="00A74A1E">
            <w:pPr>
              <w:rPr>
                <w:rFonts w:ascii="宋体"/>
              </w:rPr>
            </w:pPr>
          </w:p>
        </w:tc>
        <w:tc>
          <w:tcPr>
            <w:tcW w:w="529" w:type="pct"/>
            <w:shd w:val="clear" w:color="auto" w:fill="auto"/>
          </w:tcPr>
          <w:p w14:paraId="1426ED88" w14:textId="77777777" w:rsidR="00A74A1E" w:rsidRDefault="00A74A1E">
            <w:pPr>
              <w:rPr>
                <w:rFonts w:ascii="宋体"/>
              </w:rPr>
            </w:pPr>
          </w:p>
        </w:tc>
        <w:tc>
          <w:tcPr>
            <w:tcW w:w="5" w:type="pct"/>
            <w:shd w:val="clear" w:color="auto" w:fill="auto"/>
          </w:tcPr>
          <w:p w14:paraId="1426ED89" w14:textId="77777777" w:rsidR="00A74A1E" w:rsidRDefault="00A74A1E">
            <w:pPr>
              <w:rPr>
                <w:rFonts w:ascii="宋体"/>
              </w:rPr>
            </w:pPr>
          </w:p>
        </w:tc>
        <w:tc>
          <w:tcPr>
            <w:tcW w:w="5" w:type="pct"/>
            <w:shd w:val="clear" w:color="auto" w:fill="auto"/>
          </w:tcPr>
          <w:p w14:paraId="1426ED8A" w14:textId="77777777" w:rsidR="00A74A1E" w:rsidRDefault="00A74A1E">
            <w:pPr>
              <w:rPr>
                <w:rFonts w:ascii="宋体"/>
              </w:rPr>
            </w:pPr>
          </w:p>
        </w:tc>
        <w:tc>
          <w:tcPr>
            <w:tcW w:w="19" w:type="pct"/>
            <w:shd w:val="clear" w:color="auto" w:fill="auto"/>
          </w:tcPr>
          <w:p w14:paraId="1426ED8B" w14:textId="77777777" w:rsidR="00A74A1E" w:rsidRDefault="00A74A1E">
            <w:pPr>
              <w:rPr>
                <w:rFonts w:ascii="宋体"/>
              </w:rPr>
            </w:pPr>
          </w:p>
        </w:tc>
        <w:tc>
          <w:tcPr>
            <w:tcW w:w="5" w:type="pct"/>
            <w:shd w:val="clear" w:color="auto" w:fill="auto"/>
          </w:tcPr>
          <w:p w14:paraId="1426ED8C" w14:textId="77777777" w:rsidR="00A74A1E" w:rsidRDefault="00A74A1E">
            <w:pPr>
              <w:rPr>
                <w:rFonts w:ascii="宋体"/>
              </w:rPr>
            </w:pPr>
          </w:p>
        </w:tc>
        <w:tc>
          <w:tcPr>
            <w:tcW w:w="50" w:type="pct"/>
            <w:shd w:val="clear" w:color="auto" w:fill="auto"/>
          </w:tcPr>
          <w:p w14:paraId="1426ED8D" w14:textId="77777777" w:rsidR="00A74A1E" w:rsidRDefault="00A74A1E">
            <w:pPr>
              <w:rPr>
                <w:rFonts w:ascii="宋体"/>
              </w:rPr>
            </w:pPr>
          </w:p>
        </w:tc>
        <w:tc>
          <w:tcPr>
            <w:tcW w:w="530" w:type="pct"/>
            <w:shd w:val="clear" w:color="auto" w:fill="auto"/>
          </w:tcPr>
          <w:p w14:paraId="1426ED8E" w14:textId="77777777" w:rsidR="00A74A1E" w:rsidRDefault="00A74A1E">
            <w:pPr>
              <w:rPr>
                <w:rFonts w:ascii="宋体"/>
              </w:rPr>
            </w:pPr>
          </w:p>
        </w:tc>
        <w:tc>
          <w:tcPr>
            <w:tcW w:w="5" w:type="pct"/>
            <w:shd w:val="clear" w:color="auto" w:fill="auto"/>
          </w:tcPr>
          <w:p w14:paraId="1426ED8F" w14:textId="77777777" w:rsidR="00A74A1E" w:rsidRDefault="00A74A1E">
            <w:pPr>
              <w:rPr>
                <w:rFonts w:ascii="宋体"/>
              </w:rPr>
            </w:pPr>
          </w:p>
        </w:tc>
      </w:tr>
      <w:tr w:rsidR="00A74A1E" w14:paraId="1426ED95" w14:textId="77777777">
        <w:tc>
          <w:tcPr>
            <w:tcW w:w="0" w:type="auto"/>
            <w:gridSpan w:val="3"/>
            <w:shd w:val="clear" w:color="auto" w:fill="auto"/>
            <w:tcMar>
              <w:top w:w="40" w:type="dxa"/>
              <w:left w:w="20" w:type="dxa"/>
              <w:bottom w:w="40" w:type="dxa"/>
              <w:right w:w="20" w:type="dxa"/>
            </w:tcMar>
            <w:vAlign w:val="bottom"/>
          </w:tcPr>
          <w:p w14:paraId="1426ED91" w14:textId="77777777" w:rsidR="00A74A1E" w:rsidRDefault="00807990">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426ED92"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ED93"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ED94"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ED9E" w14:textId="77777777">
        <w:tc>
          <w:tcPr>
            <w:tcW w:w="0" w:type="auto"/>
            <w:gridSpan w:val="3"/>
            <w:shd w:val="clear" w:color="auto" w:fill="auto"/>
            <w:tcMar>
              <w:top w:w="40" w:type="dxa"/>
              <w:left w:w="20" w:type="dxa"/>
              <w:bottom w:w="40" w:type="dxa"/>
              <w:right w:w="20" w:type="dxa"/>
            </w:tcMar>
            <w:vAlign w:val="bottom"/>
          </w:tcPr>
          <w:p w14:paraId="1426ED96" w14:textId="77777777" w:rsidR="00A74A1E" w:rsidRDefault="00807990">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ED97"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ED98"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D99"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ED9A"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D9B"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ED9C"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D9D"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EDA1" w14:textId="77777777">
        <w:tc>
          <w:tcPr>
            <w:tcW w:w="0" w:type="auto"/>
            <w:gridSpan w:val="3"/>
            <w:shd w:val="clear" w:color="auto" w:fill="auto"/>
            <w:tcMar>
              <w:top w:w="40" w:type="dxa"/>
              <w:left w:w="20" w:type="dxa"/>
              <w:bottom w:w="40" w:type="dxa"/>
              <w:right w:w="20" w:type="dxa"/>
            </w:tcMar>
            <w:vAlign w:val="bottom"/>
          </w:tcPr>
          <w:p w14:paraId="1426ED9F" w14:textId="77777777" w:rsidR="00A74A1E" w:rsidRDefault="00807990">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EDA0"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EDB2" w14:textId="77777777">
        <w:tc>
          <w:tcPr>
            <w:tcW w:w="0" w:type="auto"/>
            <w:gridSpan w:val="3"/>
            <w:shd w:val="clear" w:color="auto" w:fill="CCEEFF"/>
            <w:tcMar>
              <w:top w:w="40" w:type="dxa"/>
              <w:left w:w="20" w:type="dxa"/>
              <w:bottom w:w="40" w:type="dxa"/>
              <w:right w:w="20" w:type="dxa"/>
            </w:tcMar>
            <w:vAlign w:val="bottom"/>
          </w:tcPr>
          <w:p w14:paraId="1426EDA2" w14:textId="77777777" w:rsidR="00A74A1E" w:rsidRDefault="00807990">
            <w:pPr>
              <w:textAlignment w:val="bottom"/>
            </w:pPr>
            <w:r>
              <w:rPr>
                <w:rFonts w:ascii="Arial" w:eastAsia="宋体" w:hAnsi="Arial" w:cs="Arial"/>
                <w:color w:val="000000"/>
                <w:sz w:val="20"/>
                <w:szCs w:val="20"/>
              </w:rPr>
              <w:t xml:space="preserve">Net income </w:t>
            </w:r>
          </w:p>
        </w:tc>
        <w:tc>
          <w:tcPr>
            <w:tcW w:w="0" w:type="auto"/>
            <w:shd w:val="clear" w:color="auto" w:fill="CCEEFF"/>
            <w:tcMar>
              <w:top w:w="40" w:type="dxa"/>
              <w:left w:w="20" w:type="dxa"/>
              <w:bottom w:w="40" w:type="dxa"/>
              <w:right w:w="0" w:type="dxa"/>
            </w:tcMar>
            <w:vAlign w:val="bottom"/>
          </w:tcPr>
          <w:p w14:paraId="1426EDA3"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DA4" w14:textId="77777777" w:rsidR="00A74A1E" w:rsidRDefault="00807990">
            <w:pPr>
              <w:jc w:val="right"/>
              <w:textAlignment w:val="bottom"/>
            </w:pPr>
            <w:r>
              <w:rPr>
                <w:rFonts w:ascii="Arial" w:eastAsia="宋体" w:hAnsi="Arial" w:cs="Arial"/>
                <w:color w:val="000000"/>
                <w:sz w:val="20"/>
                <w:szCs w:val="20"/>
              </w:rPr>
              <w:t>390 </w:t>
            </w:r>
          </w:p>
        </w:tc>
        <w:tc>
          <w:tcPr>
            <w:tcW w:w="0" w:type="auto"/>
            <w:shd w:val="clear" w:color="auto" w:fill="CCEEFF"/>
            <w:tcMar>
              <w:top w:w="40" w:type="dxa"/>
              <w:left w:w="0" w:type="dxa"/>
              <w:bottom w:w="40" w:type="dxa"/>
              <w:right w:w="20" w:type="dxa"/>
            </w:tcMar>
            <w:vAlign w:val="bottom"/>
          </w:tcPr>
          <w:p w14:paraId="1426EDA5"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A6"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DA7"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DA8" w14:textId="77777777" w:rsidR="00A74A1E" w:rsidRDefault="00807990">
            <w:pPr>
              <w:jc w:val="right"/>
              <w:textAlignment w:val="bottom"/>
            </w:pPr>
            <w:r>
              <w:rPr>
                <w:rFonts w:ascii="Arial" w:eastAsia="宋体"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1426EDA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AA"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DAB"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DAC" w14:textId="77777777" w:rsidR="00A74A1E" w:rsidRDefault="00807990">
            <w:pPr>
              <w:jc w:val="right"/>
              <w:textAlignment w:val="bottom"/>
            </w:pPr>
            <w:r>
              <w:rPr>
                <w:rFonts w:ascii="Arial" w:eastAsia="宋体" w:hAnsi="Arial" w:cs="Arial"/>
                <w:color w:val="000000"/>
                <w:sz w:val="20"/>
                <w:szCs w:val="20"/>
              </w:rPr>
              <w:t>709 </w:t>
            </w:r>
          </w:p>
        </w:tc>
        <w:tc>
          <w:tcPr>
            <w:tcW w:w="0" w:type="auto"/>
            <w:shd w:val="clear" w:color="auto" w:fill="CCEEFF"/>
            <w:tcMar>
              <w:top w:w="40" w:type="dxa"/>
              <w:left w:w="0" w:type="dxa"/>
              <w:bottom w:w="40" w:type="dxa"/>
              <w:right w:w="20" w:type="dxa"/>
            </w:tcMar>
            <w:vAlign w:val="bottom"/>
          </w:tcPr>
          <w:p w14:paraId="1426EDA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AE"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DAF"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DB0" w14:textId="77777777" w:rsidR="00A74A1E" w:rsidRDefault="00807990">
            <w:pPr>
              <w:jc w:val="right"/>
              <w:textAlignment w:val="bottom"/>
            </w:pPr>
            <w:r>
              <w:rPr>
                <w:rFonts w:ascii="Arial" w:eastAsia="宋体" w:hAnsi="Arial" w:cs="Arial"/>
                <w:color w:val="000000"/>
                <w:sz w:val="20"/>
                <w:szCs w:val="20"/>
              </w:rPr>
              <w:t>171 </w:t>
            </w:r>
          </w:p>
        </w:tc>
        <w:tc>
          <w:tcPr>
            <w:tcW w:w="0" w:type="auto"/>
            <w:shd w:val="clear" w:color="auto" w:fill="CCEEFF"/>
            <w:tcMar>
              <w:top w:w="40" w:type="dxa"/>
              <w:left w:w="0" w:type="dxa"/>
              <w:bottom w:w="40" w:type="dxa"/>
              <w:right w:w="20" w:type="dxa"/>
            </w:tcMar>
            <w:vAlign w:val="bottom"/>
          </w:tcPr>
          <w:p w14:paraId="1426EDB1" w14:textId="77777777" w:rsidR="00A74A1E" w:rsidRDefault="00A74A1E">
            <w:pPr>
              <w:jc w:val="right"/>
              <w:rPr>
                <w:rFonts w:ascii="宋体"/>
              </w:rPr>
            </w:pPr>
          </w:p>
        </w:tc>
      </w:tr>
      <w:tr w:rsidR="00A74A1E" w14:paraId="1426EDBB" w14:textId="77777777">
        <w:tc>
          <w:tcPr>
            <w:tcW w:w="0" w:type="auto"/>
            <w:gridSpan w:val="3"/>
            <w:shd w:val="clear" w:color="auto" w:fill="FFFFFF"/>
            <w:tcMar>
              <w:top w:w="40" w:type="dxa"/>
              <w:left w:w="20" w:type="dxa"/>
              <w:bottom w:w="40" w:type="dxa"/>
              <w:right w:w="20" w:type="dxa"/>
            </w:tcMar>
            <w:vAlign w:val="bottom"/>
          </w:tcPr>
          <w:p w14:paraId="1426EDB3" w14:textId="77777777" w:rsidR="00A74A1E" w:rsidRDefault="00807990">
            <w:pPr>
              <w:textAlignment w:val="bottom"/>
            </w:pPr>
            <w:r>
              <w:rPr>
                <w:rFonts w:ascii="Arial" w:eastAsia="宋体" w:hAnsi="Arial" w:cs="Arial"/>
                <w:color w:val="000000"/>
                <w:sz w:val="20"/>
                <w:szCs w:val="20"/>
              </w:rPr>
              <w:t>Other comprehensive income (loss), net of tax of zero:</w:t>
            </w:r>
          </w:p>
        </w:tc>
        <w:tc>
          <w:tcPr>
            <w:tcW w:w="0" w:type="auto"/>
            <w:gridSpan w:val="3"/>
            <w:tcBorders>
              <w:top w:val="single" w:sz="8" w:space="0" w:color="000000"/>
            </w:tcBorders>
            <w:shd w:val="clear" w:color="auto" w:fill="FFFFFF"/>
            <w:tcMar>
              <w:top w:w="0" w:type="dxa"/>
              <w:left w:w="20" w:type="dxa"/>
              <w:bottom w:w="0" w:type="dxa"/>
              <w:right w:w="20" w:type="dxa"/>
            </w:tcMar>
          </w:tcPr>
          <w:p w14:paraId="1426EDB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DB5"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EDB6"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DB7"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EDB8"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DB9"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EDBA" w14:textId="77777777" w:rsidR="00A74A1E" w:rsidRDefault="00A74A1E">
            <w:pPr>
              <w:rPr>
                <w:rFonts w:ascii="宋体"/>
              </w:rPr>
            </w:pPr>
          </w:p>
        </w:tc>
      </w:tr>
      <w:tr w:rsidR="00A74A1E" w14:paraId="1426EDC8" w14:textId="77777777">
        <w:tc>
          <w:tcPr>
            <w:tcW w:w="0" w:type="auto"/>
            <w:gridSpan w:val="3"/>
            <w:shd w:val="clear" w:color="auto" w:fill="CCEEFF"/>
            <w:tcMar>
              <w:top w:w="40" w:type="dxa"/>
              <w:left w:w="360" w:type="dxa"/>
              <w:bottom w:w="40" w:type="dxa"/>
              <w:right w:w="20" w:type="dxa"/>
            </w:tcMar>
            <w:vAlign w:val="bottom"/>
          </w:tcPr>
          <w:p w14:paraId="1426EDBC" w14:textId="77777777" w:rsidR="00A74A1E" w:rsidRDefault="00807990">
            <w:pPr>
              <w:textAlignment w:val="bottom"/>
            </w:pPr>
            <w:r>
              <w:rPr>
                <w:rFonts w:ascii="Arial" w:eastAsia="宋体" w:hAnsi="Arial" w:cs="Arial"/>
                <w:color w:val="000000"/>
                <w:sz w:val="20"/>
                <w:szCs w:val="20"/>
              </w:rPr>
              <w:t>Net change in unrealized gains (losses) on cash flow</w:t>
            </w:r>
            <w:r>
              <w:rPr>
                <w:rFonts w:ascii="Arial" w:eastAsia="宋体" w:hAnsi="Arial" w:cs="Arial"/>
                <w:color w:val="000000"/>
                <w:sz w:val="20"/>
                <w:szCs w:val="20"/>
              </w:rPr>
              <w:br/>
              <w:t>hedges</w:t>
            </w:r>
          </w:p>
        </w:tc>
        <w:tc>
          <w:tcPr>
            <w:tcW w:w="0" w:type="auto"/>
            <w:gridSpan w:val="2"/>
            <w:shd w:val="clear" w:color="auto" w:fill="CCEEFF"/>
            <w:tcMar>
              <w:top w:w="40" w:type="dxa"/>
              <w:left w:w="20" w:type="dxa"/>
              <w:bottom w:w="40" w:type="dxa"/>
              <w:right w:w="0" w:type="dxa"/>
            </w:tcMar>
            <w:vAlign w:val="bottom"/>
          </w:tcPr>
          <w:p w14:paraId="1426EDBD" w14:textId="77777777" w:rsidR="00A74A1E" w:rsidRDefault="00807990">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1426EDB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B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DC0" w14:textId="77777777" w:rsidR="00A74A1E" w:rsidRDefault="00807990">
            <w:pPr>
              <w:jc w:val="right"/>
              <w:textAlignment w:val="bottom"/>
            </w:pPr>
            <w:r>
              <w:rPr>
                <w:rFonts w:ascii="Arial" w:eastAsia="宋体"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1426EDC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C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DC3" w14:textId="77777777" w:rsidR="00A74A1E" w:rsidRDefault="00807990">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1426EDC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DC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DC6"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EDC7" w14:textId="77777777" w:rsidR="00A74A1E" w:rsidRDefault="00A74A1E">
            <w:pPr>
              <w:jc w:val="right"/>
              <w:rPr>
                <w:rFonts w:ascii="宋体"/>
              </w:rPr>
            </w:pPr>
          </w:p>
        </w:tc>
      </w:tr>
      <w:tr w:rsidR="00A74A1E" w14:paraId="1426EDD9" w14:textId="77777777">
        <w:tc>
          <w:tcPr>
            <w:tcW w:w="0" w:type="auto"/>
            <w:gridSpan w:val="3"/>
            <w:shd w:val="clear" w:color="auto" w:fill="FFFFFF"/>
            <w:tcMar>
              <w:top w:w="40" w:type="dxa"/>
              <w:left w:w="20" w:type="dxa"/>
              <w:bottom w:w="40" w:type="dxa"/>
              <w:right w:w="20" w:type="dxa"/>
            </w:tcMar>
            <w:vAlign w:val="bottom"/>
          </w:tcPr>
          <w:p w14:paraId="1426EDC9" w14:textId="77777777" w:rsidR="00A74A1E" w:rsidRDefault="00807990">
            <w:pPr>
              <w:textAlignment w:val="bottom"/>
            </w:pPr>
            <w:r>
              <w:rPr>
                <w:rFonts w:ascii="Arial" w:eastAsia="宋体" w:hAnsi="Arial" w:cs="Arial"/>
                <w:color w:val="000000"/>
                <w:sz w:val="20"/>
                <w:szCs w:val="20"/>
              </w:rPr>
              <w:t xml:space="preserve">Total comprehensive income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EDCA"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EDCB" w14:textId="77777777" w:rsidR="00A74A1E" w:rsidRDefault="00807990">
            <w:pPr>
              <w:jc w:val="right"/>
              <w:textAlignment w:val="bottom"/>
            </w:pPr>
            <w:r>
              <w:rPr>
                <w:rFonts w:ascii="Arial" w:eastAsia="宋体" w:hAnsi="Arial" w:cs="Arial"/>
                <w:color w:val="000000"/>
                <w:sz w:val="20"/>
                <w:szCs w:val="20"/>
              </w:rPr>
              <w:t>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EDC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DCD"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EDCE"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EDCF" w14:textId="77777777" w:rsidR="00A74A1E" w:rsidRDefault="00807990">
            <w:pPr>
              <w:jc w:val="right"/>
              <w:textAlignment w:val="bottom"/>
            </w:pPr>
            <w:r>
              <w:rPr>
                <w:rFonts w:ascii="Arial" w:eastAsia="宋体" w:hAnsi="Arial" w:cs="Arial"/>
                <w:color w:val="000000"/>
                <w:sz w:val="20"/>
                <w:szCs w:val="20"/>
              </w:rPr>
              <w:t>113 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EDD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DD1"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EDD2"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EDD3" w14:textId="77777777" w:rsidR="00A74A1E" w:rsidRDefault="00807990">
            <w:pPr>
              <w:jc w:val="right"/>
              <w:textAlignment w:val="bottom"/>
            </w:pPr>
            <w:r>
              <w:rPr>
                <w:rFonts w:ascii="Arial" w:eastAsia="宋体" w:hAnsi="Arial" w:cs="Arial"/>
                <w:color w:val="000000"/>
                <w:sz w:val="20"/>
                <w:szCs w:val="20"/>
              </w:rPr>
              <w:t>714 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EDD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DD5"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EDD6"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EDD7" w14:textId="77777777" w:rsidR="00A74A1E" w:rsidRDefault="00807990">
            <w:pPr>
              <w:jc w:val="right"/>
              <w:textAlignment w:val="bottom"/>
            </w:pPr>
            <w:r>
              <w:rPr>
                <w:rFonts w:ascii="Arial" w:eastAsia="宋体" w:hAnsi="Arial" w:cs="Arial"/>
                <w:color w:val="000000"/>
                <w:sz w:val="20"/>
                <w:szCs w:val="20"/>
              </w:rPr>
              <w:t>172 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EDD8" w14:textId="77777777" w:rsidR="00A74A1E" w:rsidRDefault="00A74A1E">
            <w:pPr>
              <w:jc w:val="right"/>
              <w:rPr>
                <w:rFonts w:ascii="宋体"/>
              </w:rPr>
            </w:pPr>
          </w:p>
        </w:tc>
      </w:tr>
    </w:tbl>
    <w:p w14:paraId="1426EDDA" w14:textId="77777777" w:rsidR="00A74A1E" w:rsidRDefault="00807990">
      <w:pPr>
        <w:spacing w:before="180"/>
        <w:ind w:firstLine="135"/>
        <w:jc w:val="center"/>
      </w:pPr>
      <w:r>
        <w:rPr>
          <w:rFonts w:ascii="Arial" w:eastAsia="宋体" w:hAnsi="Arial" w:cs="Arial"/>
          <w:color w:val="000000"/>
          <w:sz w:val="20"/>
          <w:szCs w:val="20"/>
        </w:rPr>
        <w:t>See accompanying notes.</w:t>
      </w:r>
    </w:p>
    <w:p w14:paraId="1426EDDB" w14:textId="77777777" w:rsidR="00A74A1E" w:rsidRDefault="00807990">
      <w:pPr>
        <w:jc w:val="center"/>
      </w:pPr>
      <w:r>
        <w:rPr>
          <w:rFonts w:ascii="Arial" w:eastAsia="宋体" w:hAnsi="Arial" w:cs="Arial"/>
          <w:color w:val="000000"/>
          <w:sz w:val="20"/>
          <w:szCs w:val="20"/>
        </w:rPr>
        <w:t>4</w:t>
      </w:r>
    </w:p>
    <w:p w14:paraId="1426EDDC" w14:textId="77777777" w:rsidR="00A74A1E" w:rsidRDefault="00807990">
      <w:r>
        <w:pict w14:anchorId="1426FC0F">
          <v:rect id="_x0000_i1028" style="width:415.3pt;height:1.5pt" o:hralign="center" o:hrstd="t" o:hr="t" fillcolor="#a0a0a0" stroked="f"/>
        </w:pict>
      </w:r>
    </w:p>
    <w:p w14:paraId="1426EDDD" w14:textId="77777777" w:rsidR="00A74A1E" w:rsidRDefault="00A74A1E">
      <w:pPr>
        <w:spacing w:before="60"/>
      </w:pPr>
    </w:p>
    <w:p w14:paraId="1426EDDE" w14:textId="77777777" w:rsidR="00A74A1E" w:rsidRDefault="00807990">
      <w:pPr>
        <w:jc w:val="center"/>
      </w:pPr>
      <w:r>
        <w:rPr>
          <w:rFonts w:ascii="Arial" w:eastAsia="宋体" w:hAnsi="Arial" w:cs="Arial"/>
          <w:b/>
          <w:bCs/>
          <w:color w:val="000000"/>
          <w:sz w:val="20"/>
          <w:szCs w:val="20"/>
        </w:rPr>
        <w:t>Advanced Micro Devices, Inc.</w:t>
      </w:r>
    </w:p>
    <w:p w14:paraId="1426EDDF" w14:textId="77777777" w:rsidR="00A74A1E" w:rsidRDefault="00807990">
      <w:pPr>
        <w:jc w:val="center"/>
      </w:pPr>
      <w:r>
        <w:rPr>
          <w:rFonts w:ascii="Arial" w:eastAsia="宋体" w:hAnsi="Arial" w:cs="Arial"/>
          <w:b/>
          <w:bCs/>
          <w:color w:val="000000"/>
          <w:sz w:val="20"/>
          <w:szCs w:val="20"/>
        </w:rPr>
        <w:t xml:space="preserve">Condensed Consolidated Balance Sheets </w:t>
      </w:r>
    </w:p>
    <w:p w14:paraId="1426EDE0" w14:textId="77777777" w:rsidR="00A74A1E" w:rsidRDefault="00807990">
      <w:pPr>
        <w:jc w:val="center"/>
      </w:pPr>
      <w:r>
        <w:rPr>
          <w:rFonts w:ascii="Arial" w:eastAsia="宋体" w:hAnsi="Arial" w:cs="Arial"/>
          <w:b/>
          <w:bCs/>
          <w:color w:val="000000"/>
          <w:sz w:val="20"/>
          <w:szCs w:val="20"/>
        </w:rPr>
        <w:t>(Unau</w:t>
      </w:r>
      <w:r>
        <w:rPr>
          <w:rFonts w:ascii="Arial" w:eastAsia="宋体" w:hAnsi="Arial" w:cs="Arial"/>
          <w:b/>
          <w:bCs/>
          <w:color w:val="000000"/>
          <w:sz w:val="20"/>
          <w:szCs w:val="20"/>
        </w:rPr>
        <w:t>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53"/>
        <w:gridCol w:w="39"/>
        <w:gridCol w:w="134"/>
        <w:gridCol w:w="1374"/>
        <w:gridCol w:w="37"/>
        <w:gridCol w:w="37"/>
        <w:gridCol w:w="44"/>
        <w:gridCol w:w="36"/>
        <w:gridCol w:w="133"/>
        <w:gridCol w:w="1373"/>
        <w:gridCol w:w="36"/>
      </w:tblGrid>
      <w:tr w:rsidR="00A74A1E" w14:paraId="1426EDED" w14:textId="77777777">
        <w:trPr>
          <w:jc w:val="center"/>
        </w:trPr>
        <w:tc>
          <w:tcPr>
            <w:tcW w:w="50" w:type="pct"/>
            <w:shd w:val="clear" w:color="auto" w:fill="auto"/>
          </w:tcPr>
          <w:p w14:paraId="1426EDE1" w14:textId="77777777" w:rsidR="00A74A1E" w:rsidRDefault="00A74A1E">
            <w:pPr>
              <w:rPr>
                <w:rFonts w:ascii="宋体"/>
              </w:rPr>
            </w:pPr>
          </w:p>
        </w:tc>
        <w:tc>
          <w:tcPr>
            <w:tcW w:w="3154" w:type="pct"/>
            <w:shd w:val="clear" w:color="auto" w:fill="auto"/>
          </w:tcPr>
          <w:p w14:paraId="1426EDE2" w14:textId="77777777" w:rsidR="00A74A1E" w:rsidRDefault="00A74A1E">
            <w:pPr>
              <w:rPr>
                <w:rFonts w:ascii="宋体"/>
              </w:rPr>
            </w:pPr>
          </w:p>
        </w:tc>
        <w:tc>
          <w:tcPr>
            <w:tcW w:w="5" w:type="pct"/>
            <w:shd w:val="clear" w:color="auto" w:fill="auto"/>
          </w:tcPr>
          <w:p w14:paraId="1426EDE3" w14:textId="77777777" w:rsidR="00A74A1E" w:rsidRDefault="00A74A1E">
            <w:pPr>
              <w:rPr>
                <w:rFonts w:ascii="宋体"/>
              </w:rPr>
            </w:pPr>
          </w:p>
        </w:tc>
        <w:tc>
          <w:tcPr>
            <w:tcW w:w="50" w:type="pct"/>
            <w:shd w:val="clear" w:color="auto" w:fill="auto"/>
          </w:tcPr>
          <w:p w14:paraId="1426EDE4" w14:textId="77777777" w:rsidR="00A74A1E" w:rsidRDefault="00A74A1E">
            <w:pPr>
              <w:rPr>
                <w:rFonts w:ascii="宋体"/>
              </w:rPr>
            </w:pPr>
          </w:p>
        </w:tc>
        <w:tc>
          <w:tcPr>
            <w:tcW w:w="822" w:type="pct"/>
            <w:shd w:val="clear" w:color="auto" w:fill="auto"/>
          </w:tcPr>
          <w:p w14:paraId="1426EDE5" w14:textId="77777777" w:rsidR="00A74A1E" w:rsidRDefault="00A74A1E">
            <w:pPr>
              <w:rPr>
                <w:rFonts w:ascii="宋体"/>
              </w:rPr>
            </w:pPr>
          </w:p>
        </w:tc>
        <w:tc>
          <w:tcPr>
            <w:tcW w:w="5" w:type="pct"/>
            <w:shd w:val="clear" w:color="auto" w:fill="auto"/>
          </w:tcPr>
          <w:p w14:paraId="1426EDE6" w14:textId="77777777" w:rsidR="00A74A1E" w:rsidRDefault="00A74A1E">
            <w:pPr>
              <w:rPr>
                <w:rFonts w:ascii="宋体"/>
              </w:rPr>
            </w:pPr>
          </w:p>
        </w:tc>
        <w:tc>
          <w:tcPr>
            <w:tcW w:w="5" w:type="pct"/>
            <w:shd w:val="clear" w:color="auto" w:fill="auto"/>
          </w:tcPr>
          <w:p w14:paraId="1426EDE7" w14:textId="77777777" w:rsidR="00A74A1E" w:rsidRDefault="00A74A1E">
            <w:pPr>
              <w:rPr>
                <w:rFonts w:ascii="宋体"/>
              </w:rPr>
            </w:pPr>
          </w:p>
        </w:tc>
        <w:tc>
          <w:tcPr>
            <w:tcW w:w="26" w:type="pct"/>
            <w:shd w:val="clear" w:color="auto" w:fill="auto"/>
          </w:tcPr>
          <w:p w14:paraId="1426EDE8" w14:textId="77777777" w:rsidR="00A74A1E" w:rsidRDefault="00A74A1E">
            <w:pPr>
              <w:rPr>
                <w:rFonts w:ascii="宋体"/>
              </w:rPr>
            </w:pPr>
          </w:p>
        </w:tc>
        <w:tc>
          <w:tcPr>
            <w:tcW w:w="5" w:type="pct"/>
            <w:shd w:val="clear" w:color="auto" w:fill="auto"/>
          </w:tcPr>
          <w:p w14:paraId="1426EDE9" w14:textId="77777777" w:rsidR="00A74A1E" w:rsidRDefault="00A74A1E">
            <w:pPr>
              <w:rPr>
                <w:rFonts w:ascii="宋体"/>
              </w:rPr>
            </w:pPr>
          </w:p>
        </w:tc>
        <w:tc>
          <w:tcPr>
            <w:tcW w:w="50" w:type="pct"/>
            <w:shd w:val="clear" w:color="auto" w:fill="auto"/>
          </w:tcPr>
          <w:p w14:paraId="1426EDEA" w14:textId="77777777" w:rsidR="00A74A1E" w:rsidRDefault="00A74A1E">
            <w:pPr>
              <w:rPr>
                <w:rFonts w:ascii="宋体"/>
              </w:rPr>
            </w:pPr>
          </w:p>
        </w:tc>
        <w:tc>
          <w:tcPr>
            <w:tcW w:w="822" w:type="pct"/>
            <w:shd w:val="clear" w:color="auto" w:fill="auto"/>
          </w:tcPr>
          <w:p w14:paraId="1426EDEB" w14:textId="77777777" w:rsidR="00A74A1E" w:rsidRDefault="00A74A1E">
            <w:pPr>
              <w:rPr>
                <w:rFonts w:ascii="宋体"/>
              </w:rPr>
            </w:pPr>
          </w:p>
        </w:tc>
        <w:tc>
          <w:tcPr>
            <w:tcW w:w="5" w:type="pct"/>
            <w:shd w:val="clear" w:color="auto" w:fill="auto"/>
          </w:tcPr>
          <w:p w14:paraId="1426EDEC" w14:textId="77777777" w:rsidR="00A74A1E" w:rsidRDefault="00A74A1E">
            <w:pPr>
              <w:rPr>
                <w:rFonts w:ascii="宋体"/>
              </w:rPr>
            </w:pPr>
          </w:p>
        </w:tc>
      </w:tr>
      <w:tr w:rsidR="00A74A1E" w14:paraId="1426EDF2" w14:textId="77777777">
        <w:trPr>
          <w:jc w:val="center"/>
        </w:trPr>
        <w:tc>
          <w:tcPr>
            <w:tcW w:w="0" w:type="auto"/>
            <w:gridSpan w:val="3"/>
            <w:shd w:val="clear" w:color="auto" w:fill="auto"/>
            <w:tcMar>
              <w:top w:w="0" w:type="dxa"/>
              <w:left w:w="20" w:type="dxa"/>
              <w:bottom w:w="0" w:type="dxa"/>
              <w:right w:w="20" w:type="dxa"/>
            </w:tcMar>
          </w:tcPr>
          <w:p w14:paraId="1426EDEE"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EDEF"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EDF0"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426EDF1" w14:textId="77777777" w:rsidR="00A74A1E" w:rsidRDefault="00807990">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EDF5" w14:textId="77777777">
        <w:trPr>
          <w:jc w:val="center"/>
        </w:trPr>
        <w:tc>
          <w:tcPr>
            <w:tcW w:w="0" w:type="auto"/>
            <w:gridSpan w:val="3"/>
            <w:shd w:val="clear" w:color="auto" w:fill="auto"/>
            <w:tcMar>
              <w:top w:w="40" w:type="dxa"/>
              <w:left w:w="20" w:type="dxa"/>
              <w:bottom w:w="40" w:type="dxa"/>
              <w:right w:w="20" w:type="dxa"/>
            </w:tcMar>
            <w:vAlign w:val="bottom"/>
          </w:tcPr>
          <w:p w14:paraId="1426EDF3" w14:textId="77777777" w:rsidR="00A74A1E" w:rsidRDefault="00807990">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426EDF4" w14:textId="77777777" w:rsidR="00A74A1E" w:rsidRDefault="00807990">
            <w:pPr>
              <w:jc w:val="center"/>
              <w:textAlignment w:val="bottom"/>
            </w:pPr>
            <w:r>
              <w:rPr>
                <w:rFonts w:ascii="Arial" w:eastAsia="宋体" w:hAnsi="Arial" w:cs="Arial"/>
                <w:b/>
                <w:bCs/>
                <w:color w:val="000000"/>
                <w:sz w:val="16"/>
                <w:szCs w:val="16"/>
              </w:rPr>
              <w:t>(In millions, except par value amounts)</w:t>
            </w:r>
          </w:p>
        </w:tc>
      </w:tr>
      <w:tr w:rsidR="00A74A1E" w14:paraId="1426EDFA" w14:textId="77777777">
        <w:trPr>
          <w:jc w:val="center"/>
        </w:trPr>
        <w:tc>
          <w:tcPr>
            <w:tcW w:w="0" w:type="auto"/>
            <w:gridSpan w:val="3"/>
            <w:shd w:val="clear" w:color="auto" w:fill="CCEEFF"/>
            <w:tcMar>
              <w:top w:w="40" w:type="dxa"/>
              <w:left w:w="20" w:type="dxa"/>
              <w:bottom w:w="40" w:type="dxa"/>
              <w:right w:w="20" w:type="dxa"/>
            </w:tcMar>
            <w:vAlign w:val="bottom"/>
          </w:tcPr>
          <w:p w14:paraId="1426EDF6" w14:textId="77777777" w:rsidR="00A74A1E" w:rsidRDefault="00807990">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tcPr>
          <w:p w14:paraId="1426EDF7"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DF8"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DF9" w14:textId="77777777" w:rsidR="00A74A1E" w:rsidRDefault="00A74A1E">
            <w:pPr>
              <w:rPr>
                <w:rFonts w:ascii="宋体"/>
              </w:rPr>
            </w:pPr>
          </w:p>
        </w:tc>
      </w:tr>
      <w:tr w:rsidR="00A74A1E" w14:paraId="1426EDFF" w14:textId="77777777">
        <w:trPr>
          <w:jc w:val="center"/>
        </w:trPr>
        <w:tc>
          <w:tcPr>
            <w:tcW w:w="0" w:type="auto"/>
            <w:gridSpan w:val="3"/>
            <w:shd w:val="clear" w:color="auto" w:fill="FFFFFF"/>
            <w:tcMar>
              <w:top w:w="40" w:type="dxa"/>
              <w:left w:w="20" w:type="dxa"/>
              <w:bottom w:w="40" w:type="dxa"/>
              <w:right w:w="20" w:type="dxa"/>
            </w:tcMar>
            <w:vAlign w:val="bottom"/>
          </w:tcPr>
          <w:p w14:paraId="1426EDFB" w14:textId="77777777" w:rsidR="00A74A1E" w:rsidRDefault="00807990">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tcPr>
          <w:p w14:paraId="1426EDFC"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DFD"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DFE" w14:textId="77777777" w:rsidR="00A74A1E" w:rsidRDefault="00A74A1E">
            <w:pPr>
              <w:rPr>
                <w:rFonts w:ascii="宋体"/>
              </w:rPr>
            </w:pPr>
          </w:p>
        </w:tc>
      </w:tr>
      <w:tr w:rsidR="00A74A1E" w14:paraId="1426EE08" w14:textId="77777777">
        <w:trPr>
          <w:jc w:val="center"/>
        </w:trPr>
        <w:tc>
          <w:tcPr>
            <w:tcW w:w="0" w:type="auto"/>
            <w:gridSpan w:val="3"/>
            <w:shd w:val="clear" w:color="auto" w:fill="CCEEFF"/>
            <w:tcMar>
              <w:top w:w="40" w:type="dxa"/>
              <w:left w:w="360" w:type="dxa"/>
              <w:bottom w:w="40" w:type="dxa"/>
              <w:right w:w="20" w:type="dxa"/>
            </w:tcMar>
            <w:vAlign w:val="bottom"/>
          </w:tcPr>
          <w:p w14:paraId="1426EE00" w14:textId="77777777" w:rsidR="00A74A1E" w:rsidRDefault="00807990">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426EE0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E02" w14:textId="77777777" w:rsidR="00A74A1E" w:rsidRDefault="00807990">
            <w:pPr>
              <w:jc w:val="right"/>
              <w:textAlignment w:val="bottom"/>
            </w:pPr>
            <w:r>
              <w:rPr>
                <w:rFonts w:ascii="Arial" w:eastAsia="宋体" w:hAnsi="Arial" w:cs="Arial"/>
                <w:color w:val="000000"/>
                <w:sz w:val="20"/>
                <w:szCs w:val="20"/>
              </w:rPr>
              <w:t>1,296 </w:t>
            </w:r>
          </w:p>
        </w:tc>
        <w:tc>
          <w:tcPr>
            <w:tcW w:w="0" w:type="auto"/>
            <w:shd w:val="clear" w:color="auto" w:fill="CCEEFF"/>
            <w:tcMar>
              <w:top w:w="40" w:type="dxa"/>
              <w:left w:w="0" w:type="dxa"/>
              <w:bottom w:w="40" w:type="dxa"/>
              <w:right w:w="20" w:type="dxa"/>
            </w:tcMar>
            <w:vAlign w:val="bottom"/>
          </w:tcPr>
          <w:p w14:paraId="1426EE0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04"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EE0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EE06" w14:textId="77777777" w:rsidR="00A74A1E" w:rsidRDefault="00807990">
            <w:pPr>
              <w:jc w:val="right"/>
              <w:textAlignment w:val="bottom"/>
            </w:pPr>
            <w:r>
              <w:rPr>
                <w:rFonts w:ascii="Arial" w:eastAsia="宋体" w:hAnsi="Arial" w:cs="Arial"/>
                <w:color w:val="000000"/>
                <w:sz w:val="20"/>
                <w:szCs w:val="20"/>
              </w:rPr>
              <w:t>1,466 </w:t>
            </w:r>
          </w:p>
        </w:tc>
        <w:tc>
          <w:tcPr>
            <w:tcW w:w="0" w:type="auto"/>
            <w:shd w:val="clear" w:color="auto" w:fill="CCEEFF"/>
            <w:tcMar>
              <w:top w:w="40" w:type="dxa"/>
              <w:left w:w="0" w:type="dxa"/>
              <w:bottom w:w="40" w:type="dxa"/>
              <w:right w:w="20" w:type="dxa"/>
            </w:tcMar>
            <w:vAlign w:val="bottom"/>
          </w:tcPr>
          <w:p w14:paraId="1426EE07" w14:textId="77777777" w:rsidR="00A74A1E" w:rsidRDefault="00A74A1E">
            <w:pPr>
              <w:jc w:val="right"/>
              <w:rPr>
                <w:rFonts w:ascii="宋体"/>
              </w:rPr>
            </w:pPr>
          </w:p>
        </w:tc>
      </w:tr>
      <w:tr w:rsidR="00A74A1E" w14:paraId="1426EE0F" w14:textId="77777777">
        <w:trPr>
          <w:jc w:val="center"/>
        </w:trPr>
        <w:tc>
          <w:tcPr>
            <w:tcW w:w="0" w:type="auto"/>
            <w:gridSpan w:val="3"/>
            <w:shd w:val="clear" w:color="auto" w:fill="FFFFFF"/>
            <w:tcMar>
              <w:top w:w="40" w:type="dxa"/>
              <w:left w:w="360" w:type="dxa"/>
              <w:bottom w:w="40" w:type="dxa"/>
              <w:right w:w="20" w:type="dxa"/>
            </w:tcMar>
            <w:vAlign w:val="bottom"/>
          </w:tcPr>
          <w:p w14:paraId="1426EE09" w14:textId="77777777" w:rsidR="00A74A1E" w:rsidRDefault="00807990">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1426EE0A" w14:textId="77777777" w:rsidR="00A74A1E" w:rsidRDefault="00807990">
            <w:pPr>
              <w:jc w:val="right"/>
              <w:textAlignment w:val="bottom"/>
            </w:pPr>
            <w:r>
              <w:rPr>
                <w:rFonts w:ascii="Arial" w:eastAsia="宋体" w:hAnsi="Arial" w:cs="Arial"/>
                <w:color w:val="000000"/>
                <w:sz w:val="20"/>
                <w:szCs w:val="20"/>
              </w:rPr>
              <w:t>475 </w:t>
            </w:r>
          </w:p>
        </w:tc>
        <w:tc>
          <w:tcPr>
            <w:tcW w:w="0" w:type="auto"/>
            <w:shd w:val="clear" w:color="auto" w:fill="FFFFFF"/>
            <w:tcMar>
              <w:top w:w="40" w:type="dxa"/>
              <w:left w:w="0" w:type="dxa"/>
              <w:bottom w:w="40" w:type="dxa"/>
              <w:right w:w="20" w:type="dxa"/>
            </w:tcMar>
            <w:vAlign w:val="bottom"/>
          </w:tcPr>
          <w:p w14:paraId="1426EE0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0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0D" w14:textId="77777777" w:rsidR="00A74A1E" w:rsidRDefault="00807990">
            <w:pPr>
              <w:jc w:val="right"/>
              <w:textAlignment w:val="bottom"/>
            </w:pPr>
            <w:r>
              <w:rPr>
                <w:rFonts w:ascii="Arial" w:eastAsia="宋体" w:hAnsi="Arial" w:cs="Arial"/>
                <w:color w:val="000000"/>
                <w:sz w:val="20"/>
                <w:szCs w:val="20"/>
              </w:rPr>
              <w:t>37 </w:t>
            </w:r>
          </w:p>
        </w:tc>
        <w:tc>
          <w:tcPr>
            <w:tcW w:w="0" w:type="auto"/>
            <w:shd w:val="clear" w:color="auto" w:fill="FFFFFF"/>
            <w:tcMar>
              <w:top w:w="40" w:type="dxa"/>
              <w:left w:w="0" w:type="dxa"/>
              <w:bottom w:w="40" w:type="dxa"/>
              <w:right w:w="20" w:type="dxa"/>
            </w:tcMar>
            <w:vAlign w:val="bottom"/>
          </w:tcPr>
          <w:p w14:paraId="1426EE0E" w14:textId="77777777" w:rsidR="00A74A1E" w:rsidRDefault="00A74A1E">
            <w:pPr>
              <w:jc w:val="right"/>
              <w:rPr>
                <w:rFonts w:ascii="宋体"/>
              </w:rPr>
            </w:pPr>
          </w:p>
        </w:tc>
      </w:tr>
      <w:tr w:rsidR="00A74A1E" w14:paraId="1426EE16" w14:textId="77777777">
        <w:trPr>
          <w:jc w:val="center"/>
        </w:trPr>
        <w:tc>
          <w:tcPr>
            <w:tcW w:w="0" w:type="auto"/>
            <w:gridSpan w:val="3"/>
            <w:shd w:val="clear" w:color="auto" w:fill="CCEEFF"/>
            <w:tcMar>
              <w:top w:w="40" w:type="dxa"/>
              <w:left w:w="360" w:type="dxa"/>
              <w:bottom w:w="40" w:type="dxa"/>
              <w:right w:w="20" w:type="dxa"/>
            </w:tcMar>
            <w:vAlign w:val="bottom"/>
          </w:tcPr>
          <w:p w14:paraId="1426EE10" w14:textId="77777777" w:rsidR="00A74A1E" w:rsidRDefault="00807990">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1426EE11" w14:textId="77777777" w:rsidR="00A74A1E" w:rsidRDefault="00807990">
            <w:pPr>
              <w:jc w:val="right"/>
              <w:textAlignment w:val="bottom"/>
            </w:pPr>
            <w:r>
              <w:rPr>
                <w:rFonts w:ascii="Arial" w:eastAsia="宋体" w:hAnsi="Arial" w:cs="Arial"/>
                <w:color w:val="000000"/>
                <w:sz w:val="20"/>
                <w:szCs w:val="20"/>
              </w:rPr>
              <w:t>2,134 </w:t>
            </w:r>
          </w:p>
        </w:tc>
        <w:tc>
          <w:tcPr>
            <w:tcW w:w="0" w:type="auto"/>
            <w:shd w:val="clear" w:color="auto" w:fill="CCEEFF"/>
            <w:tcMar>
              <w:top w:w="40" w:type="dxa"/>
              <w:left w:w="0" w:type="dxa"/>
              <w:bottom w:w="40" w:type="dxa"/>
              <w:right w:w="20" w:type="dxa"/>
            </w:tcMar>
            <w:vAlign w:val="bottom"/>
          </w:tcPr>
          <w:p w14:paraId="1426EE1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1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14" w14:textId="77777777" w:rsidR="00A74A1E" w:rsidRDefault="00807990">
            <w:pPr>
              <w:jc w:val="right"/>
              <w:textAlignment w:val="bottom"/>
            </w:pPr>
            <w:r>
              <w:rPr>
                <w:rFonts w:ascii="Arial" w:eastAsia="宋体" w:hAnsi="Arial" w:cs="Arial"/>
                <w:color w:val="000000"/>
                <w:sz w:val="20"/>
                <w:szCs w:val="20"/>
              </w:rPr>
              <w:t>1,859 </w:t>
            </w:r>
          </w:p>
        </w:tc>
        <w:tc>
          <w:tcPr>
            <w:tcW w:w="0" w:type="auto"/>
            <w:shd w:val="clear" w:color="auto" w:fill="CCEEFF"/>
            <w:tcMar>
              <w:top w:w="40" w:type="dxa"/>
              <w:left w:w="0" w:type="dxa"/>
              <w:bottom w:w="40" w:type="dxa"/>
              <w:right w:w="20" w:type="dxa"/>
            </w:tcMar>
            <w:vAlign w:val="bottom"/>
          </w:tcPr>
          <w:p w14:paraId="1426EE15" w14:textId="77777777" w:rsidR="00A74A1E" w:rsidRDefault="00A74A1E">
            <w:pPr>
              <w:jc w:val="right"/>
              <w:rPr>
                <w:rFonts w:ascii="宋体"/>
              </w:rPr>
            </w:pPr>
          </w:p>
        </w:tc>
      </w:tr>
      <w:tr w:rsidR="00A74A1E" w14:paraId="1426EE1D" w14:textId="77777777">
        <w:trPr>
          <w:jc w:val="center"/>
        </w:trPr>
        <w:tc>
          <w:tcPr>
            <w:tcW w:w="0" w:type="auto"/>
            <w:gridSpan w:val="3"/>
            <w:shd w:val="clear" w:color="auto" w:fill="FFFFFF"/>
            <w:tcMar>
              <w:top w:w="40" w:type="dxa"/>
              <w:left w:w="360" w:type="dxa"/>
              <w:bottom w:w="40" w:type="dxa"/>
              <w:right w:w="20" w:type="dxa"/>
            </w:tcMar>
            <w:vAlign w:val="bottom"/>
          </w:tcPr>
          <w:p w14:paraId="1426EE17" w14:textId="77777777" w:rsidR="00A74A1E" w:rsidRDefault="00807990">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426EE18" w14:textId="77777777" w:rsidR="00A74A1E" w:rsidRDefault="00807990">
            <w:pPr>
              <w:jc w:val="right"/>
              <w:textAlignment w:val="bottom"/>
            </w:pPr>
            <w:r>
              <w:rPr>
                <w:rFonts w:ascii="Arial" w:eastAsia="宋体" w:hAnsi="Arial" w:cs="Arial"/>
                <w:color w:val="000000"/>
                <w:sz w:val="20"/>
                <w:szCs w:val="20"/>
              </w:rPr>
              <w:t>1,292 </w:t>
            </w:r>
          </w:p>
        </w:tc>
        <w:tc>
          <w:tcPr>
            <w:tcW w:w="0" w:type="auto"/>
            <w:shd w:val="clear" w:color="auto" w:fill="FFFFFF"/>
            <w:tcMar>
              <w:top w:w="40" w:type="dxa"/>
              <w:left w:w="0" w:type="dxa"/>
              <w:bottom w:w="40" w:type="dxa"/>
              <w:right w:w="20" w:type="dxa"/>
            </w:tcMar>
            <w:vAlign w:val="bottom"/>
          </w:tcPr>
          <w:p w14:paraId="1426EE1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1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1B" w14:textId="77777777" w:rsidR="00A74A1E" w:rsidRDefault="00807990">
            <w:pPr>
              <w:jc w:val="right"/>
              <w:textAlignment w:val="bottom"/>
            </w:pPr>
            <w:r>
              <w:rPr>
                <w:rFonts w:ascii="Arial" w:eastAsia="宋体" w:hAnsi="Arial" w:cs="Arial"/>
                <w:color w:val="000000"/>
                <w:sz w:val="20"/>
                <w:szCs w:val="20"/>
              </w:rPr>
              <w:t>982 </w:t>
            </w:r>
          </w:p>
        </w:tc>
        <w:tc>
          <w:tcPr>
            <w:tcW w:w="0" w:type="auto"/>
            <w:shd w:val="clear" w:color="auto" w:fill="FFFFFF"/>
            <w:tcMar>
              <w:top w:w="40" w:type="dxa"/>
              <w:left w:w="0" w:type="dxa"/>
              <w:bottom w:w="40" w:type="dxa"/>
              <w:right w:w="20" w:type="dxa"/>
            </w:tcMar>
            <w:vAlign w:val="bottom"/>
          </w:tcPr>
          <w:p w14:paraId="1426EE1C" w14:textId="77777777" w:rsidR="00A74A1E" w:rsidRDefault="00A74A1E">
            <w:pPr>
              <w:jc w:val="right"/>
              <w:rPr>
                <w:rFonts w:ascii="宋体"/>
              </w:rPr>
            </w:pPr>
          </w:p>
        </w:tc>
      </w:tr>
      <w:tr w:rsidR="00A74A1E" w14:paraId="1426EE24" w14:textId="77777777">
        <w:trPr>
          <w:jc w:val="center"/>
        </w:trPr>
        <w:tc>
          <w:tcPr>
            <w:tcW w:w="0" w:type="auto"/>
            <w:gridSpan w:val="3"/>
            <w:shd w:val="clear" w:color="auto" w:fill="CCEEFF"/>
            <w:tcMar>
              <w:top w:w="40" w:type="dxa"/>
              <w:left w:w="360" w:type="dxa"/>
              <w:bottom w:w="40" w:type="dxa"/>
              <w:right w:w="20" w:type="dxa"/>
            </w:tcMar>
            <w:vAlign w:val="bottom"/>
          </w:tcPr>
          <w:p w14:paraId="1426EE1E" w14:textId="77777777" w:rsidR="00A74A1E" w:rsidRDefault="00807990">
            <w:pPr>
              <w:textAlignment w:val="bottom"/>
            </w:pPr>
            <w:r>
              <w:rPr>
                <w:rFonts w:ascii="Arial" w:eastAsia="宋体" w:hAnsi="Arial" w:cs="Arial"/>
                <w:color w:val="000000"/>
                <w:sz w:val="20"/>
                <w:szCs w:val="20"/>
              </w:rPr>
              <w:t>Receivables from related parties</w:t>
            </w:r>
          </w:p>
        </w:tc>
        <w:tc>
          <w:tcPr>
            <w:tcW w:w="0" w:type="auto"/>
            <w:gridSpan w:val="2"/>
            <w:shd w:val="clear" w:color="auto" w:fill="CCEEFF"/>
            <w:tcMar>
              <w:top w:w="40" w:type="dxa"/>
              <w:left w:w="20" w:type="dxa"/>
              <w:bottom w:w="40" w:type="dxa"/>
              <w:right w:w="0" w:type="dxa"/>
            </w:tcMar>
            <w:vAlign w:val="bottom"/>
          </w:tcPr>
          <w:p w14:paraId="1426EE1F" w14:textId="77777777" w:rsidR="00A74A1E" w:rsidRDefault="00807990">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1426EE2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21"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22" w14:textId="77777777" w:rsidR="00A74A1E" w:rsidRDefault="00807990">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1426EE23" w14:textId="77777777" w:rsidR="00A74A1E" w:rsidRDefault="00A74A1E">
            <w:pPr>
              <w:jc w:val="right"/>
              <w:rPr>
                <w:rFonts w:ascii="宋体"/>
              </w:rPr>
            </w:pPr>
          </w:p>
        </w:tc>
      </w:tr>
      <w:tr w:rsidR="00A74A1E" w14:paraId="1426EE2B" w14:textId="77777777">
        <w:trPr>
          <w:jc w:val="center"/>
        </w:trPr>
        <w:tc>
          <w:tcPr>
            <w:tcW w:w="0" w:type="auto"/>
            <w:gridSpan w:val="3"/>
            <w:shd w:val="clear" w:color="auto" w:fill="FFFFFF"/>
            <w:tcMar>
              <w:top w:w="40" w:type="dxa"/>
              <w:left w:w="360" w:type="dxa"/>
              <w:bottom w:w="40" w:type="dxa"/>
              <w:right w:w="20" w:type="dxa"/>
            </w:tcMar>
            <w:vAlign w:val="bottom"/>
          </w:tcPr>
          <w:p w14:paraId="1426EE25" w14:textId="77777777" w:rsidR="00A74A1E" w:rsidRDefault="00807990">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1426EE26" w14:textId="77777777" w:rsidR="00A74A1E" w:rsidRDefault="00807990">
            <w:pPr>
              <w:jc w:val="right"/>
              <w:textAlignment w:val="bottom"/>
            </w:pPr>
            <w:r>
              <w:rPr>
                <w:rFonts w:ascii="Arial" w:eastAsia="宋体" w:hAnsi="Arial" w:cs="Arial"/>
                <w:color w:val="000000"/>
                <w:sz w:val="20"/>
                <w:szCs w:val="20"/>
              </w:rPr>
              <w:t>299 </w:t>
            </w:r>
          </w:p>
        </w:tc>
        <w:tc>
          <w:tcPr>
            <w:tcW w:w="0" w:type="auto"/>
            <w:shd w:val="clear" w:color="auto" w:fill="FFFFFF"/>
            <w:tcMar>
              <w:top w:w="40" w:type="dxa"/>
              <w:left w:w="0" w:type="dxa"/>
              <w:bottom w:w="40" w:type="dxa"/>
              <w:right w:w="20" w:type="dxa"/>
            </w:tcMar>
            <w:vAlign w:val="bottom"/>
          </w:tcPr>
          <w:p w14:paraId="1426EE2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2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29" w14:textId="77777777" w:rsidR="00A74A1E" w:rsidRDefault="00807990">
            <w:pPr>
              <w:jc w:val="right"/>
              <w:textAlignment w:val="bottom"/>
            </w:pPr>
            <w:r>
              <w:rPr>
                <w:rFonts w:ascii="Arial" w:eastAsia="宋体" w:hAnsi="Arial" w:cs="Arial"/>
                <w:color w:val="000000"/>
                <w:sz w:val="20"/>
                <w:szCs w:val="20"/>
              </w:rPr>
              <w:t>233 </w:t>
            </w:r>
          </w:p>
        </w:tc>
        <w:tc>
          <w:tcPr>
            <w:tcW w:w="0" w:type="auto"/>
            <w:shd w:val="clear" w:color="auto" w:fill="FFFFFF"/>
            <w:tcMar>
              <w:top w:w="40" w:type="dxa"/>
              <w:left w:w="0" w:type="dxa"/>
              <w:bottom w:w="40" w:type="dxa"/>
              <w:right w:w="20" w:type="dxa"/>
            </w:tcMar>
            <w:vAlign w:val="bottom"/>
          </w:tcPr>
          <w:p w14:paraId="1426EE2A" w14:textId="77777777" w:rsidR="00A74A1E" w:rsidRDefault="00A74A1E">
            <w:pPr>
              <w:jc w:val="right"/>
              <w:rPr>
                <w:rFonts w:ascii="宋体"/>
              </w:rPr>
            </w:pPr>
          </w:p>
        </w:tc>
      </w:tr>
      <w:tr w:rsidR="00A74A1E" w14:paraId="1426EE30" w14:textId="77777777">
        <w:trPr>
          <w:jc w:val="center"/>
          <w:hidden/>
        </w:trPr>
        <w:tc>
          <w:tcPr>
            <w:tcW w:w="0" w:type="auto"/>
            <w:gridSpan w:val="3"/>
            <w:shd w:val="clear" w:color="auto" w:fill="auto"/>
          </w:tcPr>
          <w:p w14:paraId="1426EE2C" w14:textId="77777777" w:rsidR="00A74A1E" w:rsidRDefault="00A74A1E">
            <w:pPr>
              <w:rPr>
                <w:rFonts w:ascii="宋体"/>
                <w:vanish/>
              </w:rPr>
            </w:pPr>
          </w:p>
        </w:tc>
        <w:tc>
          <w:tcPr>
            <w:tcW w:w="0" w:type="auto"/>
            <w:gridSpan w:val="3"/>
            <w:shd w:val="clear" w:color="auto" w:fill="auto"/>
          </w:tcPr>
          <w:p w14:paraId="1426EE2D" w14:textId="77777777" w:rsidR="00A74A1E" w:rsidRDefault="00A74A1E">
            <w:pPr>
              <w:rPr>
                <w:rFonts w:ascii="宋体"/>
                <w:vanish/>
              </w:rPr>
            </w:pPr>
          </w:p>
        </w:tc>
        <w:tc>
          <w:tcPr>
            <w:tcW w:w="0" w:type="auto"/>
            <w:gridSpan w:val="3"/>
            <w:shd w:val="clear" w:color="auto" w:fill="auto"/>
          </w:tcPr>
          <w:p w14:paraId="1426EE2E" w14:textId="77777777" w:rsidR="00A74A1E" w:rsidRDefault="00A74A1E">
            <w:pPr>
              <w:rPr>
                <w:rFonts w:ascii="宋体"/>
                <w:vanish/>
              </w:rPr>
            </w:pPr>
          </w:p>
        </w:tc>
        <w:tc>
          <w:tcPr>
            <w:tcW w:w="0" w:type="auto"/>
            <w:gridSpan w:val="3"/>
            <w:shd w:val="clear" w:color="auto" w:fill="auto"/>
          </w:tcPr>
          <w:p w14:paraId="1426EE2F" w14:textId="77777777" w:rsidR="00A74A1E" w:rsidRDefault="00A74A1E">
            <w:pPr>
              <w:rPr>
                <w:rFonts w:ascii="宋体"/>
                <w:vanish/>
              </w:rPr>
            </w:pPr>
          </w:p>
        </w:tc>
      </w:tr>
      <w:tr w:rsidR="00A74A1E" w14:paraId="1426EE37" w14:textId="77777777">
        <w:trPr>
          <w:jc w:val="center"/>
        </w:trPr>
        <w:tc>
          <w:tcPr>
            <w:tcW w:w="0" w:type="auto"/>
            <w:gridSpan w:val="3"/>
            <w:shd w:val="clear" w:color="auto" w:fill="CCEEFF"/>
            <w:tcMar>
              <w:top w:w="40" w:type="dxa"/>
              <w:left w:w="20" w:type="dxa"/>
              <w:bottom w:w="40" w:type="dxa"/>
              <w:right w:w="20" w:type="dxa"/>
            </w:tcMar>
            <w:vAlign w:val="bottom"/>
          </w:tcPr>
          <w:p w14:paraId="1426EE31" w14:textId="77777777" w:rsidR="00A74A1E" w:rsidRDefault="00807990">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E32" w14:textId="77777777" w:rsidR="00A74A1E" w:rsidRDefault="00807990">
            <w:pPr>
              <w:jc w:val="right"/>
              <w:textAlignment w:val="bottom"/>
            </w:pPr>
            <w:r>
              <w:rPr>
                <w:rFonts w:ascii="Arial" w:eastAsia="宋体" w:hAnsi="Arial" w:cs="Arial"/>
                <w:color w:val="000000"/>
                <w:sz w:val="20"/>
                <w:szCs w:val="20"/>
              </w:rPr>
              <w:t>5,500 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E3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34"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E35" w14:textId="77777777" w:rsidR="00A74A1E" w:rsidRDefault="00807990">
            <w:pPr>
              <w:jc w:val="right"/>
              <w:textAlignment w:val="bottom"/>
            </w:pPr>
            <w:r>
              <w:rPr>
                <w:rFonts w:ascii="Arial" w:eastAsia="宋体" w:hAnsi="Arial" w:cs="Arial"/>
                <w:color w:val="000000"/>
                <w:sz w:val="20"/>
                <w:szCs w:val="20"/>
              </w:rPr>
              <w:t>4,597 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E36" w14:textId="77777777" w:rsidR="00A74A1E" w:rsidRDefault="00A74A1E">
            <w:pPr>
              <w:jc w:val="right"/>
              <w:rPr>
                <w:rFonts w:ascii="宋体"/>
              </w:rPr>
            </w:pPr>
          </w:p>
        </w:tc>
      </w:tr>
      <w:tr w:rsidR="00A74A1E" w14:paraId="1426EE3E" w14:textId="77777777">
        <w:trPr>
          <w:jc w:val="center"/>
        </w:trPr>
        <w:tc>
          <w:tcPr>
            <w:tcW w:w="0" w:type="auto"/>
            <w:gridSpan w:val="3"/>
            <w:shd w:val="clear" w:color="auto" w:fill="FFFFFF"/>
            <w:tcMar>
              <w:top w:w="40" w:type="dxa"/>
              <w:left w:w="20" w:type="dxa"/>
              <w:bottom w:w="40" w:type="dxa"/>
              <w:right w:w="20" w:type="dxa"/>
            </w:tcMar>
            <w:vAlign w:val="bottom"/>
          </w:tcPr>
          <w:p w14:paraId="1426EE38" w14:textId="77777777" w:rsidR="00A74A1E" w:rsidRDefault="00807990">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1426EE39" w14:textId="77777777" w:rsidR="00A74A1E" w:rsidRDefault="00807990">
            <w:pPr>
              <w:jc w:val="right"/>
              <w:textAlignment w:val="bottom"/>
            </w:pPr>
            <w:r>
              <w:rPr>
                <w:rFonts w:ascii="Arial" w:eastAsia="宋体" w:hAnsi="Arial" w:cs="Arial"/>
                <w:color w:val="000000"/>
                <w:sz w:val="20"/>
                <w:szCs w:val="20"/>
              </w:rPr>
              <w:t>595 </w:t>
            </w:r>
          </w:p>
        </w:tc>
        <w:tc>
          <w:tcPr>
            <w:tcW w:w="0" w:type="auto"/>
            <w:shd w:val="clear" w:color="auto" w:fill="FFFFFF"/>
            <w:tcMar>
              <w:top w:w="40" w:type="dxa"/>
              <w:left w:w="0" w:type="dxa"/>
              <w:bottom w:w="40" w:type="dxa"/>
              <w:right w:w="20" w:type="dxa"/>
            </w:tcMar>
            <w:vAlign w:val="bottom"/>
          </w:tcPr>
          <w:p w14:paraId="1426EE3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3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3C" w14:textId="77777777" w:rsidR="00A74A1E" w:rsidRDefault="00807990">
            <w:pPr>
              <w:jc w:val="right"/>
              <w:textAlignment w:val="bottom"/>
            </w:pPr>
            <w:r>
              <w:rPr>
                <w:rFonts w:ascii="Arial" w:eastAsia="宋体" w:hAnsi="Arial" w:cs="Arial"/>
                <w:color w:val="000000"/>
                <w:sz w:val="20"/>
                <w:szCs w:val="20"/>
              </w:rPr>
              <w:t>500 </w:t>
            </w:r>
          </w:p>
        </w:tc>
        <w:tc>
          <w:tcPr>
            <w:tcW w:w="0" w:type="auto"/>
            <w:shd w:val="clear" w:color="auto" w:fill="FFFFFF"/>
            <w:tcMar>
              <w:top w:w="40" w:type="dxa"/>
              <w:left w:w="0" w:type="dxa"/>
              <w:bottom w:w="40" w:type="dxa"/>
              <w:right w:w="20" w:type="dxa"/>
            </w:tcMar>
            <w:vAlign w:val="bottom"/>
          </w:tcPr>
          <w:p w14:paraId="1426EE3D" w14:textId="77777777" w:rsidR="00A74A1E" w:rsidRDefault="00A74A1E">
            <w:pPr>
              <w:jc w:val="right"/>
              <w:rPr>
                <w:rFonts w:ascii="宋体"/>
              </w:rPr>
            </w:pPr>
          </w:p>
        </w:tc>
      </w:tr>
      <w:tr w:rsidR="00A74A1E" w14:paraId="1426EE45" w14:textId="77777777">
        <w:trPr>
          <w:jc w:val="center"/>
        </w:trPr>
        <w:tc>
          <w:tcPr>
            <w:tcW w:w="0" w:type="auto"/>
            <w:gridSpan w:val="3"/>
            <w:shd w:val="clear" w:color="auto" w:fill="CCEEFF"/>
            <w:tcMar>
              <w:top w:w="40" w:type="dxa"/>
              <w:left w:w="20" w:type="dxa"/>
              <w:bottom w:w="40" w:type="dxa"/>
              <w:right w:w="20" w:type="dxa"/>
            </w:tcMar>
            <w:vAlign w:val="bottom"/>
          </w:tcPr>
          <w:p w14:paraId="1426EE3F" w14:textId="77777777" w:rsidR="00A74A1E" w:rsidRDefault="00807990">
            <w:pPr>
              <w:textAlignment w:val="bottom"/>
            </w:pPr>
            <w:r>
              <w:rPr>
                <w:rFonts w:ascii="Arial" w:eastAsia="宋体" w:hAnsi="Arial" w:cs="Arial"/>
                <w:color w:val="000000"/>
                <w:sz w:val="20"/>
                <w:szCs w:val="20"/>
              </w:rPr>
              <w:t xml:space="preserve">Operating lease </w:t>
            </w:r>
            <w:r>
              <w:rPr>
                <w:rFonts w:ascii="Arial" w:eastAsia="宋体" w:hAnsi="Arial" w:cs="Arial"/>
                <w:color w:val="000000"/>
                <w:sz w:val="20"/>
                <w:szCs w:val="20"/>
              </w:rPr>
              <w:t>right-of-use assets</w:t>
            </w:r>
          </w:p>
        </w:tc>
        <w:tc>
          <w:tcPr>
            <w:tcW w:w="0" w:type="auto"/>
            <w:gridSpan w:val="2"/>
            <w:shd w:val="clear" w:color="auto" w:fill="CCEEFF"/>
            <w:tcMar>
              <w:top w:w="40" w:type="dxa"/>
              <w:left w:w="20" w:type="dxa"/>
              <w:bottom w:w="40" w:type="dxa"/>
              <w:right w:w="0" w:type="dxa"/>
            </w:tcMar>
            <w:vAlign w:val="bottom"/>
          </w:tcPr>
          <w:p w14:paraId="1426EE40" w14:textId="77777777" w:rsidR="00A74A1E" w:rsidRDefault="00807990">
            <w:pPr>
              <w:jc w:val="right"/>
              <w:textAlignment w:val="bottom"/>
            </w:pPr>
            <w:r>
              <w:rPr>
                <w:rFonts w:ascii="Arial" w:eastAsia="宋体" w:hAnsi="Arial" w:cs="Arial"/>
                <w:color w:val="000000"/>
                <w:sz w:val="20"/>
                <w:szCs w:val="20"/>
              </w:rPr>
              <w:t>215 </w:t>
            </w:r>
          </w:p>
        </w:tc>
        <w:tc>
          <w:tcPr>
            <w:tcW w:w="0" w:type="auto"/>
            <w:shd w:val="clear" w:color="auto" w:fill="CCEEFF"/>
            <w:tcMar>
              <w:top w:w="40" w:type="dxa"/>
              <w:left w:w="0" w:type="dxa"/>
              <w:bottom w:w="40" w:type="dxa"/>
              <w:right w:w="20" w:type="dxa"/>
            </w:tcMar>
            <w:vAlign w:val="bottom"/>
          </w:tcPr>
          <w:p w14:paraId="1426EE4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4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43" w14:textId="77777777" w:rsidR="00A74A1E" w:rsidRDefault="00807990">
            <w:pPr>
              <w:jc w:val="right"/>
              <w:textAlignment w:val="bottom"/>
            </w:pPr>
            <w:r>
              <w:rPr>
                <w:rFonts w:ascii="Arial" w:eastAsia="宋体" w:hAnsi="Arial" w:cs="Arial"/>
                <w:color w:val="000000"/>
                <w:sz w:val="20"/>
                <w:szCs w:val="20"/>
              </w:rPr>
              <w:t>205 </w:t>
            </w:r>
          </w:p>
        </w:tc>
        <w:tc>
          <w:tcPr>
            <w:tcW w:w="0" w:type="auto"/>
            <w:shd w:val="clear" w:color="auto" w:fill="CCEEFF"/>
            <w:tcMar>
              <w:top w:w="40" w:type="dxa"/>
              <w:left w:w="0" w:type="dxa"/>
              <w:bottom w:w="40" w:type="dxa"/>
              <w:right w:w="20" w:type="dxa"/>
            </w:tcMar>
            <w:vAlign w:val="bottom"/>
          </w:tcPr>
          <w:p w14:paraId="1426EE44" w14:textId="77777777" w:rsidR="00A74A1E" w:rsidRDefault="00A74A1E">
            <w:pPr>
              <w:jc w:val="right"/>
              <w:rPr>
                <w:rFonts w:ascii="宋体"/>
              </w:rPr>
            </w:pPr>
          </w:p>
        </w:tc>
      </w:tr>
      <w:tr w:rsidR="00A74A1E" w14:paraId="1426EE4C" w14:textId="77777777">
        <w:trPr>
          <w:jc w:val="center"/>
        </w:trPr>
        <w:tc>
          <w:tcPr>
            <w:tcW w:w="0" w:type="auto"/>
            <w:gridSpan w:val="3"/>
            <w:shd w:val="clear" w:color="auto" w:fill="FFFFFF"/>
            <w:tcMar>
              <w:top w:w="40" w:type="dxa"/>
              <w:left w:w="20" w:type="dxa"/>
              <w:bottom w:w="40" w:type="dxa"/>
              <w:right w:w="20" w:type="dxa"/>
            </w:tcMar>
            <w:vAlign w:val="bottom"/>
          </w:tcPr>
          <w:p w14:paraId="1426EE46" w14:textId="77777777" w:rsidR="00A74A1E" w:rsidRDefault="00807990">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426EE47" w14:textId="77777777" w:rsidR="00A74A1E" w:rsidRDefault="00807990">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1426EE4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49"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4A" w14:textId="77777777" w:rsidR="00A74A1E" w:rsidRDefault="00807990">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1426EE4B" w14:textId="77777777" w:rsidR="00A74A1E" w:rsidRDefault="00A74A1E">
            <w:pPr>
              <w:jc w:val="right"/>
              <w:rPr>
                <w:rFonts w:ascii="宋体"/>
              </w:rPr>
            </w:pPr>
          </w:p>
        </w:tc>
      </w:tr>
      <w:tr w:rsidR="00A74A1E" w14:paraId="1426EE53" w14:textId="77777777">
        <w:trPr>
          <w:jc w:val="center"/>
        </w:trPr>
        <w:tc>
          <w:tcPr>
            <w:tcW w:w="0" w:type="auto"/>
            <w:gridSpan w:val="3"/>
            <w:shd w:val="clear" w:color="auto" w:fill="CCEEFF"/>
            <w:tcMar>
              <w:top w:w="40" w:type="dxa"/>
              <w:left w:w="20" w:type="dxa"/>
              <w:bottom w:w="40" w:type="dxa"/>
              <w:right w:w="20" w:type="dxa"/>
            </w:tcMar>
            <w:vAlign w:val="bottom"/>
          </w:tcPr>
          <w:p w14:paraId="1426EE4D" w14:textId="77777777" w:rsidR="00A74A1E" w:rsidRDefault="00807990">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CCEEFF"/>
            <w:tcMar>
              <w:top w:w="40" w:type="dxa"/>
              <w:left w:w="20" w:type="dxa"/>
              <w:bottom w:w="40" w:type="dxa"/>
              <w:right w:w="0" w:type="dxa"/>
            </w:tcMar>
            <w:vAlign w:val="bottom"/>
          </w:tcPr>
          <w:p w14:paraId="1426EE4E" w14:textId="77777777" w:rsidR="00A74A1E" w:rsidRDefault="00807990">
            <w:pPr>
              <w:jc w:val="right"/>
              <w:textAlignment w:val="bottom"/>
            </w:pPr>
            <w:r>
              <w:rPr>
                <w:rFonts w:ascii="Arial" w:eastAsia="宋体" w:hAnsi="Arial" w:cs="Arial"/>
                <w:color w:val="000000"/>
                <w:sz w:val="20"/>
                <w:szCs w:val="20"/>
              </w:rPr>
              <w:t>60 </w:t>
            </w:r>
          </w:p>
        </w:tc>
        <w:tc>
          <w:tcPr>
            <w:tcW w:w="0" w:type="auto"/>
            <w:shd w:val="clear" w:color="auto" w:fill="CCEEFF"/>
            <w:tcMar>
              <w:top w:w="40" w:type="dxa"/>
              <w:left w:w="0" w:type="dxa"/>
              <w:bottom w:w="40" w:type="dxa"/>
              <w:right w:w="20" w:type="dxa"/>
            </w:tcMar>
            <w:vAlign w:val="bottom"/>
          </w:tcPr>
          <w:p w14:paraId="1426EE4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5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51" w14:textId="77777777" w:rsidR="00A74A1E" w:rsidRDefault="00807990">
            <w:pPr>
              <w:jc w:val="right"/>
              <w:textAlignment w:val="bottom"/>
            </w:pPr>
            <w:r>
              <w:rPr>
                <w:rFonts w:ascii="Arial" w:eastAsia="宋体" w:hAnsi="Arial" w:cs="Arial"/>
                <w:color w:val="000000"/>
                <w:sz w:val="20"/>
                <w:szCs w:val="20"/>
              </w:rPr>
              <w:t>58 </w:t>
            </w:r>
          </w:p>
        </w:tc>
        <w:tc>
          <w:tcPr>
            <w:tcW w:w="0" w:type="auto"/>
            <w:shd w:val="clear" w:color="auto" w:fill="CCEEFF"/>
            <w:tcMar>
              <w:top w:w="40" w:type="dxa"/>
              <w:left w:w="0" w:type="dxa"/>
              <w:bottom w:w="40" w:type="dxa"/>
              <w:right w:w="20" w:type="dxa"/>
            </w:tcMar>
            <w:vAlign w:val="bottom"/>
          </w:tcPr>
          <w:p w14:paraId="1426EE52" w14:textId="77777777" w:rsidR="00A74A1E" w:rsidRDefault="00A74A1E">
            <w:pPr>
              <w:jc w:val="right"/>
              <w:rPr>
                <w:rFonts w:ascii="宋体"/>
              </w:rPr>
            </w:pPr>
          </w:p>
        </w:tc>
      </w:tr>
      <w:tr w:rsidR="00A74A1E" w14:paraId="1426EE5A" w14:textId="77777777">
        <w:trPr>
          <w:jc w:val="center"/>
        </w:trPr>
        <w:tc>
          <w:tcPr>
            <w:tcW w:w="0" w:type="auto"/>
            <w:gridSpan w:val="3"/>
            <w:shd w:val="clear" w:color="auto" w:fill="FFFFFF"/>
            <w:tcMar>
              <w:top w:w="40" w:type="dxa"/>
              <w:left w:w="20" w:type="dxa"/>
              <w:bottom w:w="40" w:type="dxa"/>
              <w:right w:w="20" w:type="dxa"/>
            </w:tcMar>
            <w:vAlign w:val="bottom"/>
          </w:tcPr>
          <w:p w14:paraId="1426EE54" w14:textId="77777777" w:rsidR="00A74A1E" w:rsidRDefault="00807990">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1426EE55" w14:textId="77777777" w:rsidR="00A74A1E" w:rsidRDefault="00807990">
            <w:pPr>
              <w:jc w:val="right"/>
              <w:textAlignment w:val="bottom"/>
            </w:pPr>
            <w:r>
              <w:rPr>
                <w:rFonts w:ascii="Arial" w:eastAsia="宋体" w:hAnsi="Arial" w:cs="Arial"/>
                <w:color w:val="000000"/>
                <w:sz w:val="20"/>
                <w:szCs w:val="20"/>
              </w:rPr>
              <w:t>364 </w:t>
            </w:r>
          </w:p>
        </w:tc>
        <w:tc>
          <w:tcPr>
            <w:tcW w:w="0" w:type="auto"/>
            <w:shd w:val="clear" w:color="auto" w:fill="FFFFFF"/>
            <w:tcMar>
              <w:top w:w="40" w:type="dxa"/>
              <w:left w:w="0" w:type="dxa"/>
              <w:bottom w:w="40" w:type="dxa"/>
              <w:right w:w="20" w:type="dxa"/>
            </w:tcMar>
            <w:vAlign w:val="bottom"/>
          </w:tcPr>
          <w:p w14:paraId="1426EE5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57"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58" w14:textId="77777777" w:rsidR="00A74A1E" w:rsidRDefault="00807990">
            <w:pPr>
              <w:jc w:val="right"/>
              <w:textAlignment w:val="bottom"/>
            </w:pPr>
            <w:r>
              <w:rPr>
                <w:rFonts w:ascii="Arial" w:eastAsia="宋体" w:hAnsi="Arial" w:cs="Arial"/>
                <w:color w:val="000000"/>
                <w:sz w:val="20"/>
                <w:szCs w:val="20"/>
              </w:rPr>
              <w:t>379 </w:t>
            </w:r>
          </w:p>
        </w:tc>
        <w:tc>
          <w:tcPr>
            <w:tcW w:w="0" w:type="auto"/>
            <w:shd w:val="clear" w:color="auto" w:fill="FFFFFF"/>
            <w:tcMar>
              <w:top w:w="40" w:type="dxa"/>
              <w:left w:w="0" w:type="dxa"/>
              <w:bottom w:w="40" w:type="dxa"/>
              <w:right w:w="20" w:type="dxa"/>
            </w:tcMar>
            <w:vAlign w:val="bottom"/>
          </w:tcPr>
          <w:p w14:paraId="1426EE59" w14:textId="77777777" w:rsidR="00A74A1E" w:rsidRDefault="00A74A1E">
            <w:pPr>
              <w:jc w:val="right"/>
              <w:rPr>
                <w:rFonts w:ascii="宋体"/>
              </w:rPr>
            </w:pPr>
          </w:p>
        </w:tc>
      </w:tr>
      <w:tr w:rsidR="00A74A1E" w14:paraId="1426EE63" w14:textId="77777777">
        <w:trPr>
          <w:jc w:val="center"/>
        </w:trPr>
        <w:tc>
          <w:tcPr>
            <w:tcW w:w="0" w:type="auto"/>
            <w:gridSpan w:val="3"/>
            <w:shd w:val="clear" w:color="auto" w:fill="CCEEFF"/>
            <w:tcMar>
              <w:top w:w="40" w:type="dxa"/>
              <w:left w:w="20" w:type="dxa"/>
              <w:bottom w:w="40" w:type="dxa"/>
              <w:right w:w="20" w:type="dxa"/>
            </w:tcMar>
            <w:vAlign w:val="bottom"/>
          </w:tcPr>
          <w:p w14:paraId="1426EE5B" w14:textId="77777777" w:rsidR="00A74A1E" w:rsidRDefault="00807990">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1426EE5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EE5D" w14:textId="77777777" w:rsidR="00A74A1E" w:rsidRDefault="00807990">
            <w:pPr>
              <w:jc w:val="right"/>
              <w:textAlignment w:val="bottom"/>
            </w:pPr>
            <w:r>
              <w:rPr>
                <w:rFonts w:ascii="Arial" w:eastAsia="宋体" w:hAnsi="Arial" w:cs="Arial"/>
                <w:color w:val="000000"/>
                <w:sz w:val="20"/>
                <w:szCs w:val="20"/>
              </w:rPr>
              <w:t>7,023 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E5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5F"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EE6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EE61" w14:textId="77777777" w:rsidR="00A74A1E" w:rsidRDefault="00807990">
            <w:pPr>
              <w:jc w:val="right"/>
              <w:textAlignment w:val="bottom"/>
            </w:pPr>
            <w:r>
              <w:rPr>
                <w:rFonts w:ascii="Arial" w:eastAsia="宋体" w:hAnsi="Arial" w:cs="Arial"/>
                <w:color w:val="000000"/>
                <w:sz w:val="20"/>
                <w:szCs w:val="20"/>
              </w:rPr>
              <w:t>6,028 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E62" w14:textId="77777777" w:rsidR="00A74A1E" w:rsidRDefault="00A74A1E">
            <w:pPr>
              <w:jc w:val="right"/>
              <w:rPr>
                <w:rFonts w:ascii="宋体"/>
              </w:rPr>
            </w:pPr>
          </w:p>
        </w:tc>
      </w:tr>
      <w:tr w:rsidR="00A74A1E" w14:paraId="1426EE68" w14:textId="77777777">
        <w:trPr>
          <w:jc w:val="center"/>
        </w:trPr>
        <w:tc>
          <w:tcPr>
            <w:tcW w:w="0" w:type="auto"/>
            <w:gridSpan w:val="3"/>
            <w:shd w:val="clear" w:color="auto" w:fill="FFFFFF"/>
            <w:tcMar>
              <w:top w:w="40" w:type="dxa"/>
              <w:left w:w="20" w:type="dxa"/>
              <w:bottom w:w="40" w:type="dxa"/>
              <w:right w:w="20" w:type="dxa"/>
            </w:tcMar>
            <w:vAlign w:val="bottom"/>
          </w:tcPr>
          <w:p w14:paraId="1426EE64" w14:textId="77777777" w:rsidR="00A74A1E" w:rsidRDefault="00807990">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tcPr>
          <w:p w14:paraId="1426EE65"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E66"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EE67" w14:textId="77777777" w:rsidR="00A74A1E" w:rsidRDefault="00A74A1E">
            <w:pPr>
              <w:rPr>
                <w:rFonts w:ascii="宋体"/>
              </w:rPr>
            </w:pPr>
          </w:p>
        </w:tc>
      </w:tr>
      <w:tr w:rsidR="00A74A1E" w14:paraId="1426EE6D" w14:textId="77777777">
        <w:trPr>
          <w:jc w:val="center"/>
        </w:trPr>
        <w:tc>
          <w:tcPr>
            <w:tcW w:w="0" w:type="auto"/>
            <w:gridSpan w:val="3"/>
            <w:shd w:val="clear" w:color="auto" w:fill="CCEEFF"/>
            <w:tcMar>
              <w:top w:w="40" w:type="dxa"/>
              <w:left w:w="20" w:type="dxa"/>
              <w:bottom w:w="40" w:type="dxa"/>
              <w:right w:w="20" w:type="dxa"/>
            </w:tcMar>
            <w:vAlign w:val="bottom"/>
          </w:tcPr>
          <w:p w14:paraId="1426EE69" w14:textId="77777777" w:rsidR="00A74A1E" w:rsidRDefault="00807990">
            <w:pPr>
              <w:textAlignment w:val="bottom"/>
            </w:pPr>
            <w:r>
              <w:rPr>
                <w:rFonts w:ascii="Arial" w:eastAsia="宋体" w:hAnsi="Arial" w:cs="Arial"/>
                <w:b/>
                <w:bCs/>
                <w:color w:val="000000"/>
                <w:sz w:val="20"/>
                <w:szCs w:val="20"/>
              </w:rPr>
              <w:t>Current liabilities:</w:t>
            </w:r>
          </w:p>
        </w:tc>
        <w:tc>
          <w:tcPr>
            <w:tcW w:w="0" w:type="auto"/>
            <w:gridSpan w:val="3"/>
            <w:shd w:val="clear" w:color="auto" w:fill="CCEEFF"/>
            <w:tcMar>
              <w:top w:w="0" w:type="dxa"/>
              <w:left w:w="20" w:type="dxa"/>
              <w:bottom w:w="0" w:type="dxa"/>
              <w:right w:w="20" w:type="dxa"/>
            </w:tcMar>
          </w:tcPr>
          <w:p w14:paraId="1426EE6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E6B"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E6C" w14:textId="77777777" w:rsidR="00A74A1E" w:rsidRDefault="00A74A1E">
            <w:pPr>
              <w:rPr>
                <w:rFonts w:ascii="宋体"/>
              </w:rPr>
            </w:pPr>
          </w:p>
        </w:tc>
      </w:tr>
      <w:tr w:rsidR="00A74A1E" w14:paraId="1426EE76" w14:textId="77777777">
        <w:trPr>
          <w:jc w:val="center"/>
        </w:trPr>
        <w:tc>
          <w:tcPr>
            <w:tcW w:w="0" w:type="auto"/>
            <w:gridSpan w:val="3"/>
            <w:shd w:val="clear" w:color="auto" w:fill="FFFFFF"/>
            <w:tcMar>
              <w:top w:w="40" w:type="dxa"/>
              <w:left w:w="360" w:type="dxa"/>
              <w:bottom w:w="40" w:type="dxa"/>
              <w:right w:w="20" w:type="dxa"/>
            </w:tcMar>
            <w:vAlign w:val="bottom"/>
          </w:tcPr>
          <w:p w14:paraId="1426EE6E" w14:textId="77777777" w:rsidR="00A74A1E" w:rsidRDefault="00807990">
            <w:pPr>
              <w:textAlignment w:val="bottom"/>
            </w:pPr>
            <w:r>
              <w:rPr>
                <w:rFonts w:ascii="Arial" w:eastAsia="宋体" w:hAnsi="Arial" w:cs="Arial"/>
                <w:color w:val="000000"/>
                <w:sz w:val="20"/>
                <w:szCs w:val="20"/>
              </w:rPr>
              <w:t xml:space="preserve">Accounts </w:t>
            </w:r>
            <w:r>
              <w:rPr>
                <w:rFonts w:ascii="Arial" w:eastAsia="宋体" w:hAnsi="Arial" w:cs="Arial"/>
                <w:color w:val="000000"/>
                <w:sz w:val="20"/>
                <w:szCs w:val="20"/>
              </w:rPr>
              <w:t>payable</w:t>
            </w:r>
          </w:p>
        </w:tc>
        <w:tc>
          <w:tcPr>
            <w:tcW w:w="0" w:type="auto"/>
            <w:shd w:val="clear" w:color="auto" w:fill="FFFFFF"/>
            <w:tcMar>
              <w:top w:w="40" w:type="dxa"/>
              <w:left w:w="20" w:type="dxa"/>
              <w:bottom w:w="40" w:type="dxa"/>
              <w:right w:w="0" w:type="dxa"/>
            </w:tcMar>
            <w:vAlign w:val="bottom"/>
          </w:tcPr>
          <w:p w14:paraId="1426EE6F"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E70" w14:textId="77777777" w:rsidR="00A74A1E" w:rsidRDefault="00807990">
            <w:pPr>
              <w:jc w:val="right"/>
              <w:textAlignment w:val="bottom"/>
            </w:pPr>
            <w:r>
              <w:rPr>
                <w:rFonts w:ascii="Arial" w:eastAsia="宋体" w:hAnsi="Arial" w:cs="Arial"/>
                <w:color w:val="000000"/>
                <w:sz w:val="20"/>
                <w:szCs w:val="20"/>
              </w:rPr>
              <w:t>752 </w:t>
            </w:r>
          </w:p>
        </w:tc>
        <w:tc>
          <w:tcPr>
            <w:tcW w:w="0" w:type="auto"/>
            <w:shd w:val="clear" w:color="auto" w:fill="FFFFFF"/>
            <w:tcMar>
              <w:top w:w="40" w:type="dxa"/>
              <w:left w:w="0" w:type="dxa"/>
              <w:bottom w:w="40" w:type="dxa"/>
              <w:right w:w="20" w:type="dxa"/>
            </w:tcMar>
            <w:vAlign w:val="bottom"/>
          </w:tcPr>
          <w:p w14:paraId="1426EE7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72"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E73"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EE74" w14:textId="77777777" w:rsidR="00A74A1E" w:rsidRDefault="00807990">
            <w:pPr>
              <w:jc w:val="right"/>
              <w:textAlignment w:val="bottom"/>
            </w:pPr>
            <w:r>
              <w:rPr>
                <w:rFonts w:ascii="Arial" w:eastAsia="宋体" w:hAnsi="Arial" w:cs="Arial"/>
                <w:color w:val="000000"/>
                <w:sz w:val="20"/>
                <w:szCs w:val="20"/>
              </w:rPr>
              <w:t>988 </w:t>
            </w:r>
          </w:p>
        </w:tc>
        <w:tc>
          <w:tcPr>
            <w:tcW w:w="0" w:type="auto"/>
            <w:shd w:val="clear" w:color="auto" w:fill="FFFFFF"/>
            <w:tcMar>
              <w:top w:w="40" w:type="dxa"/>
              <w:left w:w="0" w:type="dxa"/>
              <w:bottom w:w="40" w:type="dxa"/>
              <w:right w:w="20" w:type="dxa"/>
            </w:tcMar>
            <w:vAlign w:val="bottom"/>
          </w:tcPr>
          <w:p w14:paraId="1426EE75" w14:textId="77777777" w:rsidR="00A74A1E" w:rsidRDefault="00A74A1E">
            <w:pPr>
              <w:jc w:val="right"/>
              <w:rPr>
                <w:rFonts w:ascii="宋体"/>
              </w:rPr>
            </w:pPr>
          </w:p>
        </w:tc>
      </w:tr>
      <w:tr w:rsidR="00A74A1E" w14:paraId="1426EE7D" w14:textId="77777777">
        <w:trPr>
          <w:jc w:val="center"/>
        </w:trPr>
        <w:tc>
          <w:tcPr>
            <w:tcW w:w="0" w:type="auto"/>
            <w:gridSpan w:val="3"/>
            <w:shd w:val="clear" w:color="auto" w:fill="CCEEFF"/>
            <w:tcMar>
              <w:top w:w="40" w:type="dxa"/>
              <w:left w:w="360" w:type="dxa"/>
              <w:bottom w:w="40" w:type="dxa"/>
              <w:right w:w="20" w:type="dxa"/>
            </w:tcMar>
            <w:vAlign w:val="bottom"/>
          </w:tcPr>
          <w:p w14:paraId="1426EE77" w14:textId="77777777" w:rsidR="00A74A1E" w:rsidRDefault="00807990">
            <w:pPr>
              <w:textAlignment w:val="bottom"/>
            </w:pPr>
            <w:r>
              <w:rPr>
                <w:rFonts w:ascii="Arial" w:eastAsia="宋体" w:hAnsi="Arial" w:cs="Arial"/>
                <w:color w:val="000000"/>
                <w:sz w:val="20"/>
                <w:szCs w:val="20"/>
              </w:rPr>
              <w:t>Payables to related parties</w:t>
            </w:r>
          </w:p>
        </w:tc>
        <w:tc>
          <w:tcPr>
            <w:tcW w:w="0" w:type="auto"/>
            <w:gridSpan w:val="2"/>
            <w:shd w:val="clear" w:color="auto" w:fill="CCEEFF"/>
            <w:tcMar>
              <w:top w:w="40" w:type="dxa"/>
              <w:left w:w="20" w:type="dxa"/>
              <w:bottom w:w="40" w:type="dxa"/>
              <w:right w:w="0" w:type="dxa"/>
            </w:tcMar>
            <w:vAlign w:val="bottom"/>
          </w:tcPr>
          <w:p w14:paraId="1426EE78" w14:textId="77777777" w:rsidR="00A74A1E" w:rsidRDefault="00807990">
            <w:pPr>
              <w:jc w:val="right"/>
              <w:textAlignment w:val="bottom"/>
            </w:pPr>
            <w:r>
              <w:rPr>
                <w:rFonts w:ascii="Arial" w:eastAsia="宋体" w:hAnsi="Arial" w:cs="Arial"/>
                <w:color w:val="000000"/>
                <w:sz w:val="20"/>
                <w:szCs w:val="20"/>
              </w:rPr>
              <w:t>115 </w:t>
            </w:r>
          </w:p>
        </w:tc>
        <w:tc>
          <w:tcPr>
            <w:tcW w:w="0" w:type="auto"/>
            <w:shd w:val="clear" w:color="auto" w:fill="CCEEFF"/>
            <w:tcMar>
              <w:top w:w="40" w:type="dxa"/>
              <w:left w:w="0" w:type="dxa"/>
              <w:bottom w:w="40" w:type="dxa"/>
              <w:right w:w="20" w:type="dxa"/>
            </w:tcMar>
            <w:vAlign w:val="bottom"/>
          </w:tcPr>
          <w:p w14:paraId="1426EE7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7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7B" w14:textId="77777777" w:rsidR="00A74A1E" w:rsidRDefault="00807990">
            <w:pPr>
              <w:jc w:val="right"/>
              <w:textAlignment w:val="bottom"/>
            </w:pPr>
            <w:r>
              <w:rPr>
                <w:rFonts w:ascii="Arial" w:eastAsia="宋体" w:hAnsi="Arial" w:cs="Arial"/>
                <w:color w:val="000000"/>
                <w:sz w:val="20"/>
                <w:szCs w:val="20"/>
              </w:rPr>
              <w:t>213 </w:t>
            </w:r>
          </w:p>
        </w:tc>
        <w:tc>
          <w:tcPr>
            <w:tcW w:w="0" w:type="auto"/>
            <w:shd w:val="clear" w:color="auto" w:fill="CCEEFF"/>
            <w:tcMar>
              <w:top w:w="40" w:type="dxa"/>
              <w:left w:w="0" w:type="dxa"/>
              <w:bottom w:w="40" w:type="dxa"/>
              <w:right w:w="20" w:type="dxa"/>
            </w:tcMar>
            <w:vAlign w:val="bottom"/>
          </w:tcPr>
          <w:p w14:paraId="1426EE7C" w14:textId="77777777" w:rsidR="00A74A1E" w:rsidRDefault="00A74A1E">
            <w:pPr>
              <w:jc w:val="right"/>
              <w:rPr>
                <w:rFonts w:ascii="宋体"/>
              </w:rPr>
            </w:pPr>
          </w:p>
        </w:tc>
      </w:tr>
      <w:tr w:rsidR="00A74A1E" w14:paraId="1426EE84" w14:textId="77777777">
        <w:trPr>
          <w:jc w:val="center"/>
        </w:trPr>
        <w:tc>
          <w:tcPr>
            <w:tcW w:w="0" w:type="auto"/>
            <w:gridSpan w:val="3"/>
            <w:shd w:val="clear" w:color="auto" w:fill="FFFFFF"/>
            <w:tcMar>
              <w:top w:w="40" w:type="dxa"/>
              <w:left w:w="360" w:type="dxa"/>
              <w:bottom w:w="40" w:type="dxa"/>
              <w:right w:w="20" w:type="dxa"/>
            </w:tcMar>
            <w:vAlign w:val="bottom"/>
          </w:tcPr>
          <w:p w14:paraId="1426EE7E" w14:textId="77777777" w:rsidR="00A74A1E" w:rsidRDefault="00807990">
            <w:pPr>
              <w:textAlignment w:val="bottom"/>
            </w:pPr>
            <w:r>
              <w:rPr>
                <w:rFonts w:ascii="Arial" w:eastAsia="宋体" w:hAnsi="Arial" w:cs="Arial"/>
                <w:color w:val="000000"/>
                <w:sz w:val="20"/>
                <w:szCs w:val="20"/>
              </w:rPr>
              <w:t>Accrued liabilities</w:t>
            </w:r>
          </w:p>
        </w:tc>
        <w:tc>
          <w:tcPr>
            <w:tcW w:w="0" w:type="auto"/>
            <w:gridSpan w:val="2"/>
            <w:shd w:val="clear" w:color="auto" w:fill="FFFFFF"/>
            <w:tcMar>
              <w:top w:w="40" w:type="dxa"/>
              <w:left w:w="20" w:type="dxa"/>
              <w:bottom w:w="40" w:type="dxa"/>
              <w:right w:w="0" w:type="dxa"/>
            </w:tcMar>
            <w:vAlign w:val="bottom"/>
          </w:tcPr>
          <w:p w14:paraId="1426EE7F" w14:textId="77777777" w:rsidR="00A74A1E" w:rsidRDefault="00807990">
            <w:pPr>
              <w:jc w:val="right"/>
              <w:textAlignment w:val="bottom"/>
            </w:pPr>
            <w:r>
              <w:rPr>
                <w:rFonts w:ascii="Arial" w:eastAsia="宋体" w:hAnsi="Arial" w:cs="Arial"/>
                <w:color w:val="000000"/>
                <w:sz w:val="20"/>
                <w:szCs w:val="20"/>
              </w:rPr>
              <w:t>1,478 </w:t>
            </w:r>
          </w:p>
        </w:tc>
        <w:tc>
          <w:tcPr>
            <w:tcW w:w="0" w:type="auto"/>
            <w:shd w:val="clear" w:color="auto" w:fill="FFFFFF"/>
            <w:tcMar>
              <w:top w:w="40" w:type="dxa"/>
              <w:left w:w="0" w:type="dxa"/>
              <w:bottom w:w="40" w:type="dxa"/>
              <w:right w:w="20" w:type="dxa"/>
            </w:tcMar>
            <w:vAlign w:val="bottom"/>
          </w:tcPr>
          <w:p w14:paraId="1426EE8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8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82" w14:textId="77777777" w:rsidR="00A74A1E" w:rsidRDefault="00807990">
            <w:pPr>
              <w:jc w:val="right"/>
              <w:textAlignment w:val="bottom"/>
            </w:pPr>
            <w:r>
              <w:rPr>
                <w:rFonts w:ascii="Arial" w:eastAsia="宋体" w:hAnsi="Arial" w:cs="Arial"/>
                <w:color w:val="000000"/>
                <w:sz w:val="20"/>
                <w:szCs w:val="20"/>
              </w:rPr>
              <w:t>1,084 </w:t>
            </w:r>
          </w:p>
        </w:tc>
        <w:tc>
          <w:tcPr>
            <w:tcW w:w="0" w:type="auto"/>
            <w:shd w:val="clear" w:color="auto" w:fill="FFFFFF"/>
            <w:tcMar>
              <w:top w:w="40" w:type="dxa"/>
              <w:left w:w="0" w:type="dxa"/>
              <w:bottom w:w="40" w:type="dxa"/>
              <w:right w:w="20" w:type="dxa"/>
            </w:tcMar>
            <w:vAlign w:val="bottom"/>
          </w:tcPr>
          <w:p w14:paraId="1426EE83" w14:textId="77777777" w:rsidR="00A74A1E" w:rsidRDefault="00A74A1E">
            <w:pPr>
              <w:jc w:val="right"/>
              <w:rPr>
                <w:rFonts w:ascii="宋体"/>
              </w:rPr>
            </w:pPr>
          </w:p>
        </w:tc>
      </w:tr>
      <w:tr w:rsidR="00A74A1E" w14:paraId="1426EE8B" w14:textId="77777777">
        <w:trPr>
          <w:jc w:val="center"/>
        </w:trPr>
        <w:tc>
          <w:tcPr>
            <w:tcW w:w="0" w:type="auto"/>
            <w:gridSpan w:val="3"/>
            <w:shd w:val="clear" w:color="auto" w:fill="CCEEFF"/>
            <w:tcMar>
              <w:top w:w="40" w:type="dxa"/>
              <w:left w:w="360" w:type="dxa"/>
              <w:bottom w:w="40" w:type="dxa"/>
              <w:right w:w="20" w:type="dxa"/>
            </w:tcMar>
            <w:vAlign w:val="bottom"/>
          </w:tcPr>
          <w:p w14:paraId="1426EE85" w14:textId="77777777" w:rsidR="00A74A1E" w:rsidRDefault="00807990">
            <w:pPr>
              <w:textAlignment w:val="bottom"/>
            </w:pPr>
            <w:r>
              <w:rPr>
                <w:rFonts w:ascii="Arial" w:eastAsia="宋体" w:hAnsi="Arial" w:cs="Arial"/>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1426EE86" w14:textId="77777777" w:rsidR="00A74A1E" w:rsidRDefault="00807990">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1426EE8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8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89" w14:textId="77777777" w:rsidR="00A74A1E" w:rsidRDefault="00807990">
            <w:pPr>
              <w:jc w:val="right"/>
              <w:textAlignment w:val="bottom"/>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bottom"/>
          </w:tcPr>
          <w:p w14:paraId="1426EE8A" w14:textId="77777777" w:rsidR="00A74A1E" w:rsidRDefault="00A74A1E">
            <w:pPr>
              <w:jc w:val="right"/>
              <w:rPr>
                <w:rFonts w:ascii="宋体"/>
              </w:rPr>
            </w:pPr>
          </w:p>
        </w:tc>
      </w:tr>
      <w:tr w:rsidR="00A74A1E" w14:paraId="1426EE92" w14:textId="77777777">
        <w:trPr>
          <w:jc w:val="center"/>
        </w:trPr>
        <w:tc>
          <w:tcPr>
            <w:tcW w:w="0" w:type="auto"/>
            <w:gridSpan w:val="3"/>
            <w:shd w:val="clear" w:color="auto" w:fill="FFFFFF"/>
            <w:tcMar>
              <w:top w:w="40" w:type="dxa"/>
              <w:left w:w="20" w:type="dxa"/>
              <w:bottom w:w="40" w:type="dxa"/>
              <w:right w:w="20" w:type="dxa"/>
            </w:tcMar>
            <w:vAlign w:val="bottom"/>
          </w:tcPr>
          <w:p w14:paraId="1426EE8C" w14:textId="77777777" w:rsidR="00A74A1E" w:rsidRDefault="00807990">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E8D" w14:textId="77777777" w:rsidR="00A74A1E" w:rsidRDefault="00807990">
            <w:pPr>
              <w:jc w:val="right"/>
              <w:textAlignment w:val="bottom"/>
            </w:pPr>
            <w:r>
              <w:rPr>
                <w:rFonts w:ascii="Arial" w:eastAsia="宋体" w:hAnsi="Arial" w:cs="Arial"/>
                <w:color w:val="000000"/>
                <w:sz w:val="20"/>
                <w:szCs w:val="20"/>
              </w:rPr>
              <w:t>2,417 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E8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8F"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E90" w14:textId="77777777" w:rsidR="00A74A1E" w:rsidRDefault="00807990">
            <w:pPr>
              <w:jc w:val="right"/>
              <w:textAlignment w:val="bottom"/>
            </w:pPr>
            <w:r>
              <w:rPr>
                <w:rFonts w:ascii="Arial" w:eastAsia="宋体" w:hAnsi="Arial" w:cs="Arial"/>
                <w:color w:val="000000"/>
                <w:sz w:val="20"/>
                <w:szCs w:val="20"/>
              </w:rPr>
              <w:t>2,359 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E91" w14:textId="77777777" w:rsidR="00A74A1E" w:rsidRDefault="00A74A1E">
            <w:pPr>
              <w:jc w:val="right"/>
              <w:rPr>
                <w:rFonts w:ascii="宋体"/>
              </w:rPr>
            </w:pPr>
          </w:p>
        </w:tc>
      </w:tr>
      <w:tr w:rsidR="00A74A1E" w14:paraId="1426EE99" w14:textId="77777777">
        <w:trPr>
          <w:jc w:val="center"/>
        </w:trPr>
        <w:tc>
          <w:tcPr>
            <w:tcW w:w="0" w:type="auto"/>
            <w:gridSpan w:val="3"/>
            <w:shd w:val="clear" w:color="auto" w:fill="CCEEFF"/>
            <w:tcMar>
              <w:top w:w="40" w:type="dxa"/>
              <w:left w:w="20" w:type="dxa"/>
              <w:bottom w:w="40" w:type="dxa"/>
              <w:right w:w="20" w:type="dxa"/>
            </w:tcMar>
            <w:vAlign w:val="bottom"/>
          </w:tcPr>
          <w:p w14:paraId="1426EE93" w14:textId="77777777" w:rsidR="00A74A1E" w:rsidRDefault="00807990">
            <w:pPr>
              <w:textAlignment w:val="bottom"/>
            </w:pPr>
            <w:r>
              <w:rPr>
                <w:rFonts w:ascii="Arial" w:eastAsia="宋体" w:hAnsi="Arial" w:cs="Arial"/>
                <w:color w:val="000000"/>
                <w:sz w:val="20"/>
                <w:szCs w:val="20"/>
              </w:rPr>
              <w:t>Long-term debt, net</w:t>
            </w:r>
          </w:p>
        </w:tc>
        <w:tc>
          <w:tcPr>
            <w:tcW w:w="0" w:type="auto"/>
            <w:gridSpan w:val="2"/>
            <w:shd w:val="clear" w:color="auto" w:fill="CCEEFF"/>
            <w:tcMar>
              <w:top w:w="40" w:type="dxa"/>
              <w:left w:w="20" w:type="dxa"/>
              <w:bottom w:w="40" w:type="dxa"/>
              <w:right w:w="0" w:type="dxa"/>
            </w:tcMar>
            <w:vAlign w:val="bottom"/>
          </w:tcPr>
          <w:p w14:paraId="1426EE94" w14:textId="77777777" w:rsidR="00A74A1E" w:rsidRDefault="00807990">
            <w:pPr>
              <w:jc w:val="right"/>
              <w:textAlignment w:val="bottom"/>
            </w:pPr>
            <w:r>
              <w:rPr>
                <w:rFonts w:ascii="Arial" w:eastAsia="宋体" w:hAnsi="Arial" w:cs="Arial"/>
                <w:color w:val="000000"/>
                <w:sz w:val="20"/>
                <w:szCs w:val="20"/>
              </w:rPr>
              <w:t>373 </w:t>
            </w:r>
          </w:p>
        </w:tc>
        <w:tc>
          <w:tcPr>
            <w:tcW w:w="0" w:type="auto"/>
            <w:shd w:val="clear" w:color="auto" w:fill="CCEEFF"/>
            <w:tcMar>
              <w:top w:w="40" w:type="dxa"/>
              <w:left w:w="0" w:type="dxa"/>
              <w:bottom w:w="40" w:type="dxa"/>
              <w:right w:w="20" w:type="dxa"/>
            </w:tcMar>
            <w:vAlign w:val="bottom"/>
          </w:tcPr>
          <w:p w14:paraId="1426EE95"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96"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97" w14:textId="77777777" w:rsidR="00A74A1E" w:rsidRDefault="00807990">
            <w:pPr>
              <w:jc w:val="right"/>
              <w:textAlignment w:val="bottom"/>
            </w:pPr>
            <w:r>
              <w:rPr>
                <w:rFonts w:ascii="Arial" w:eastAsia="宋体" w:hAnsi="Arial" w:cs="Arial"/>
                <w:color w:val="000000"/>
                <w:sz w:val="20"/>
                <w:szCs w:val="20"/>
              </w:rPr>
              <w:t>486 </w:t>
            </w:r>
          </w:p>
        </w:tc>
        <w:tc>
          <w:tcPr>
            <w:tcW w:w="0" w:type="auto"/>
            <w:shd w:val="clear" w:color="auto" w:fill="CCEEFF"/>
            <w:tcMar>
              <w:top w:w="40" w:type="dxa"/>
              <w:left w:w="0" w:type="dxa"/>
              <w:bottom w:w="40" w:type="dxa"/>
              <w:right w:w="20" w:type="dxa"/>
            </w:tcMar>
            <w:vAlign w:val="bottom"/>
          </w:tcPr>
          <w:p w14:paraId="1426EE98" w14:textId="77777777" w:rsidR="00A74A1E" w:rsidRDefault="00A74A1E">
            <w:pPr>
              <w:jc w:val="right"/>
              <w:rPr>
                <w:rFonts w:ascii="宋体"/>
              </w:rPr>
            </w:pPr>
          </w:p>
        </w:tc>
      </w:tr>
      <w:tr w:rsidR="00A74A1E" w14:paraId="1426EEA0" w14:textId="77777777">
        <w:trPr>
          <w:jc w:val="center"/>
        </w:trPr>
        <w:tc>
          <w:tcPr>
            <w:tcW w:w="0" w:type="auto"/>
            <w:gridSpan w:val="3"/>
            <w:shd w:val="clear" w:color="auto" w:fill="FFFFFF"/>
            <w:tcMar>
              <w:top w:w="40" w:type="dxa"/>
              <w:left w:w="20" w:type="dxa"/>
              <w:bottom w:w="40" w:type="dxa"/>
              <w:right w:w="20" w:type="dxa"/>
            </w:tcMar>
            <w:vAlign w:val="bottom"/>
          </w:tcPr>
          <w:p w14:paraId="1426EE9A" w14:textId="77777777" w:rsidR="00A74A1E" w:rsidRDefault="00807990">
            <w:pPr>
              <w:textAlignment w:val="bottom"/>
            </w:pPr>
            <w:r>
              <w:rPr>
                <w:rFonts w:ascii="Arial" w:eastAsia="宋体" w:hAnsi="Arial" w:cs="Arial"/>
                <w:color w:val="000000"/>
                <w:sz w:val="20"/>
                <w:szCs w:val="20"/>
              </w:rPr>
              <w:t xml:space="preserve">Long-term operating lease </w:t>
            </w:r>
            <w:r>
              <w:rPr>
                <w:rFonts w:ascii="Arial" w:eastAsia="宋体" w:hAnsi="Arial" w:cs="Arial"/>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1426EE9B" w14:textId="77777777" w:rsidR="00A74A1E" w:rsidRDefault="00807990">
            <w:pPr>
              <w:jc w:val="right"/>
              <w:textAlignment w:val="bottom"/>
            </w:pPr>
            <w:r>
              <w:rPr>
                <w:rFonts w:ascii="Arial" w:eastAsia="宋体" w:hAnsi="Arial" w:cs="Arial"/>
                <w:color w:val="000000"/>
                <w:sz w:val="20"/>
                <w:szCs w:val="20"/>
              </w:rPr>
              <w:t>205 </w:t>
            </w:r>
          </w:p>
        </w:tc>
        <w:tc>
          <w:tcPr>
            <w:tcW w:w="0" w:type="auto"/>
            <w:shd w:val="clear" w:color="auto" w:fill="FFFFFF"/>
            <w:tcMar>
              <w:top w:w="40" w:type="dxa"/>
              <w:left w:w="0" w:type="dxa"/>
              <w:bottom w:w="40" w:type="dxa"/>
              <w:right w:w="20" w:type="dxa"/>
            </w:tcMar>
            <w:vAlign w:val="bottom"/>
          </w:tcPr>
          <w:p w14:paraId="1426EE9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9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9E" w14:textId="77777777" w:rsidR="00A74A1E" w:rsidRDefault="00807990">
            <w:pPr>
              <w:jc w:val="right"/>
              <w:textAlignment w:val="bottom"/>
            </w:pPr>
            <w:r>
              <w:rPr>
                <w:rFonts w:ascii="Arial" w:eastAsia="宋体" w:hAnsi="Arial" w:cs="Arial"/>
                <w:color w:val="000000"/>
                <w:sz w:val="20"/>
                <w:szCs w:val="20"/>
              </w:rPr>
              <w:t>199 </w:t>
            </w:r>
          </w:p>
        </w:tc>
        <w:tc>
          <w:tcPr>
            <w:tcW w:w="0" w:type="auto"/>
            <w:shd w:val="clear" w:color="auto" w:fill="FFFFFF"/>
            <w:tcMar>
              <w:top w:w="40" w:type="dxa"/>
              <w:left w:w="0" w:type="dxa"/>
              <w:bottom w:w="40" w:type="dxa"/>
              <w:right w:w="20" w:type="dxa"/>
            </w:tcMar>
            <w:vAlign w:val="bottom"/>
          </w:tcPr>
          <w:p w14:paraId="1426EE9F" w14:textId="77777777" w:rsidR="00A74A1E" w:rsidRDefault="00A74A1E">
            <w:pPr>
              <w:jc w:val="right"/>
              <w:rPr>
                <w:rFonts w:ascii="宋体"/>
              </w:rPr>
            </w:pPr>
          </w:p>
        </w:tc>
      </w:tr>
      <w:tr w:rsidR="00A74A1E" w14:paraId="1426EEA7" w14:textId="77777777">
        <w:trPr>
          <w:jc w:val="center"/>
        </w:trPr>
        <w:tc>
          <w:tcPr>
            <w:tcW w:w="0" w:type="auto"/>
            <w:gridSpan w:val="3"/>
            <w:shd w:val="clear" w:color="auto" w:fill="CCEEFF"/>
            <w:tcMar>
              <w:top w:w="40" w:type="dxa"/>
              <w:left w:w="20" w:type="dxa"/>
              <w:bottom w:w="40" w:type="dxa"/>
              <w:right w:w="20" w:type="dxa"/>
            </w:tcMar>
            <w:vAlign w:val="bottom"/>
          </w:tcPr>
          <w:p w14:paraId="1426EEA1" w14:textId="77777777" w:rsidR="00A74A1E" w:rsidRDefault="00807990">
            <w:pPr>
              <w:textAlignment w:val="bottom"/>
            </w:pPr>
            <w:r>
              <w:rPr>
                <w:rFonts w:ascii="Arial" w:eastAsia="宋体"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1426EEA2" w14:textId="77777777" w:rsidR="00A74A1E" w:rsidRDefault="00807990">
            <w:pPr>
              <w:jc w:val="right"/>
              <w:textAlignment w:val="bottom"/>
            </w:pPr>
            <w:r>
              <w:rPr>
                <w:rFonts w:ascii="Arial" w:eastAsia="宋体" w:hAnsi="Arial" w:cs="Arial"/>
                <w:color w:val="000000"/>
                <w:sz w:val="20"/>
                <w:szCs w:val="20"/>
              </w:rPr>
              <w:t>161 </w:t>
            </w:r>
          </w:p>
        </w:tc>
        <w:tc>
          <w:tcPr>
            <w:tcW w:w="0" w:type="auto"/>
            <w:shd w:val="clear" w:color="auto" w:fill="CCEEFF"/>
            <w:tcMar>
              <w:top w:w="40" w:type="dxa"/>
              <w:left w:w="0" w:type="dxa"/>
              <w:bottom w:w="40" w:type="dxa"/>
              <w:right w:w="20" w:type="dxa"/>
            </w:tcMar>
            <w:vAlign w:val="bottom"/>
          </w:tcPr>
          <w:p w14:paraId="1426EEA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A4"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A5" w14:textId="77777777" w:rsidR="00A74A1E" w:rsidRDefault="00807990">
            <w:pPr>
              <w:jc w:val="right"/>
              <w:textAlignment w:val="bottom"/>
            </w:pPr>
            <w:r>
              <w:rPr>
                <w:rFonts w:ascii="Arial" w:eastAsia="宋体" w:hAnsi="Arial" w:cs="Arial"/>
                <w:color w:val="000000"/>
                <w:sz w:val="20"/>
                <w:szCs w:val="20"/>
              </w:rPr>
              <w:t>157 </w:t>
            </w:r>
          </w:p>
        </w:tc>
        <w:tc>
          <w:tcPr>
            <w:tcW w:w="0" w:type="auto"/>
            <w:shd w:val="clear" w:color="auto" w:fill="CCEEFF"/>
            <w:tcMar>
              <w:top w:w="40" w:type="dxa"/>
              <w:left w:w="0" w:type="dxa"/>
              <w:bottom w:w="40" w:type="dxa"/>
              <w:right w:w="20" w:type="dxa"/>
            </w:tcMar>
            <w:vAlign w:val="bottom"/>
          </w:tcPr>
          <w:p w14:paraId="1426EEA6" w14:textId="77777777" w:rsidR="00A74A1E" w:rsidRDefault="00A74A1E">
            <w:pPr>
              <w:jc w:val="right"/>
              <w:rPr>
                <w:rFonts w:ascii="宋体"/>
              </w:rPr>
            </w:pPr>
          </w:p>
        </w:tc>
      </w:tr>
      <w:tr w:rsidR="00A74A1E" w14:paraId="1426EEAC" w14:textId="77777777">
        <w:trPr>
          <w:jc w:val="center"/>
        </w:trPr>
        <w:tc>
          <w:tcPr>
            <w:tcW w:w="0" w:type="auto"/>
            <w:gridSpan w:val="3"/>
            <w:shd w:val="clear" w:color="auto" w:fill="FFFFFF"/>
            <w:tcMar>
              <w:top w:w="40" w:type="dxa"/>
              <w:left w:w="20" w:type="dxa"/>
              <w:bottom w:w="40" w:type="dxa"/>
              <w:right w:w="20" w:type="dxa"/>
            </w:tcMar>
            <w:vAlign w:val="bottom"/>
          </w:tcPr>
          <w:p w14:paraId="1426EEA8" w14:textId="77777777" w:rsidR="00A74A1E" w:rsidRDefault="00807990">
            <w:pPr>
              <w:textAlignment w:val="bottom"/>
            </w:pPr>
            <w:r>
              <w:rPr>
                <w:rFonts w:ascii="Arial" w:eastAsia="宋体" w:hAnsi="Arial" w:cs="Arial"/>
                <w:color w:val="000000"/>
                <w:sz w:val="20"/>
                <w:szCs w:val="20"/>
              </w:rPr>
              <w:t>Contingencies (See Note 11)</w:t>
            </w:r>
          </w:p>
        </w:tc>
        <w:tc>
          <w:tcPr>
            <w:tcW w:w="0" w:type="auto"/>
            <w:gridSpan w:val="3"/>
            <w:shd w:val="clear" w:color="auto" w:fill="FFFFFF"/>
            <w:tcMar>
              <w:top w:w="0" w:type="dxa"/>
              <w:left w:w="20" w:type="dxa"/>
              <w:bottom w:w="0" w:type="dxa"/>
              <w:right w:w="20" w:type="dxa"/>
            </w:tcMar>
          </w:tcPr>
          <w:p w14:paraId="1426EEA9"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EAA"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EAB" w14:textId="77777777" w:rsidR="00A74A1E" w:rsidRDefault="00A74A1E">
            <w:pPr>
              <w:rPr>
                <w:rFonts w:ascii="宋体"/>
              </w:rPr>
            </w:pPr>
          </w:p>
        </w:tc>
      </w:tr>
      <w:tr w:rsidR="00A74A1E" w14:paraId="1426EEB1" w14:textId="77777777">
        <w:trPr>
          <w:jc w:val="center"/>
        </w:trPr>
        <w:tc>
          <w:tcPr>
            <w:tcW w:w="0" w:type="auto"/>
            <w:gridSpan w:val="3"/>
            <w:shd w:val="clear" w:color="auto" w:fill="CCEEFF"/>
            <w:tcMar>
              <w:top w:w="40" w:type="dxa"/>
              <w:left w:w="20" w:type="dxa"/>
              <w:bottom w:w="40" w:type="dxa"/>
              <w:right w:w="20" w:type="dxa"/>
            </w:tcMar>
            <w:vAlign w:val="bottom"/>
          </w:tcPr>
          <w:p w14:paraId="1426EEAD" w14:textId="77777777" w:rsidR="00A74A1E" w:rsidRDefault="00807990">
            <w:pPr>
              <w:textAlignment w:val="bottom"/>
            </w:pPr>
            <w:r>
              <w:rPr>
                <w:rFonts w:ascii="Arial" w:eastAsia="宋体"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tcPr>
          <w:p w14:paraId="1426EEAE"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EA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EB0" w14:textId="77777777" w:rsidR="00A74A1E" w:rsidRDefault="00A74A1E">
            <w:pPr>
              <w:rPr>
                <w:rFonts w:ascii="宋体"/>
              </w:rPr>
            </w:pPr>
          </w:p>
        </w:tc>
      </w:tr>
      <w:tr w:rsidR="00A74A1E" w14:paraId="1426EEB6" w14:textId="77777777">
        <w:trPr>
          <w:jc w:val="center"/>
        </w:trPr>
        <w:tc>
          <w:tcPr>
            <w:tcW w:w="0" w:type="auto"/>
            <w:gridSpan w:val="3"/>
            <w:shd w:val="clear" w:color="auto" w:fill="FFFFFF"/>
            <w:tcMar>
              <w:top w:w="40" w:type="dxa"/>
              <w:left w:w="20" w:type="dxa"/>
              <w:bottom w:w="40" w:type="dxa"/>
              <w:right w:w="20" w:type="dxa"/>
            </w:tcMar>
            <w:vAlign w:val="bottom"/>
          </w:tcPr>
          <w:p w14:paraId="1426EEB2" w14:textId="77777777" w:rsidR="00A74A1E" w:rsidRDefault="00807990">
            <w:pPr>
              <w:textAlignment w:val="bottom"/>
            </w:pPr>
            <w:r>
              <w:rPr>
                <w:rFonts w:ascii="Arial" w:eastAsia="宋体" w:hAnsi="Arial" w:cs="Arial"/>
                <w:color w:val="000000"/>
                <w:sz w:val="20"/>
                <w:szCs w:val="20"/>
              </w:rPr>
              <w:t>Capital stock:</w:t>
            </w:r>
          </w:p>
        </w:tc>
        <w:tc>
          <w:tcPr>
            <w:tcW w:w="0" w:type="auto"/>
            <w:gridSpan w:val="3"/>
            <w:shd w:val="clear" w:color="auto" w:fill="FFFFFF"/>
            <w:tcMar>
              <w:top w:w="0" w:type="dxa"/>
              <w:left w:w="20" w:type="dxa"/>
              <w:bottom w:w="0" w:type="dxa"/>
              <w:right w:w="20" w:type="dxa"/>
            </w:tcMar>
          </w:tcPr>
          <w:p w14:paraId="1426EEB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EB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EB5" w14:textId="77777777" w:rsidR="00A74A1E" w:rsidRDefault="00A74A1E">
            <w:pPr>
              <w:rPr>
                <w:rFonts w:ascii="宋体"/>
              </w:rPr>
            </w:pPr>
          </w:p>
        </w:tc>
      </w:tr>
      <w:tr w:rsidR="00A74A1E" w14:paraId="1426EEBD" w14:textId="77777777">
        <w:trPr>
          <w:jc w:val="center"/>
        </w:trPr>
        <w:tc>
          <w:tcPr>
            <w:tcW w:w="0" w:type="auto"/>
            <w:gridSpan w:val="3"/>
            <w:shd w:val="clear" w:color="auto" w:fill="CCEEFF"/>
            <w:tcMar>
              <w:top w:w="40" w:type="dxa"/>
              <w:left w:w="20" w:type="dxa"/>
              <w:bottom w:w="40" w:type="dxa"/>
              <w:right w:w="20" w:type="dxa"/>
            </w:tcMar>
            <w:vAlign w:val="bottom"/>
          </w:tcPr>
          <w:p w14:paraId="1426EEB7" w14:textId="77777777" w:rsidR="00A74A1E" w:rsidRDefault="00807990">
            <w:pPr>
              <w:textAlignment w:val="bottom"/>
            </w:pPr>
            <w:r>
              <w:rPr>
                <w:rFonts w:ascii="Arial" w:eastAsia="宋体" w:hAnsi="Arial" w:cs="Arial"/>
                <w:color w:val="000000"/>
                <w:sz w:val="20"/>
                <w:szCs w:val="20"/>
              </w:rPr>
              <w:t xml:space="preserve">Common stock, par value 0.01; shares authorized: 2,250; shares issued: 1,208 and 1,175; shares </w:t>
            </w:r>
            <w:r>
              <w:rPr>
                <w:rFonts w:ascii="Arial" w:eastAsia="宋体" w:hAnsi="Arial" w:cs="Arial"/>
                <w:color w:val="000000"/>
                <w:sz w:val="20"/>
                <w:szCs w:val="20"/>
              </w:rPr>
              <w:t>outstanding: 1,202 and 1,170</w:t>
            </w:r>
          </w:p>
        </w:tc>
        <w:tc>
          <w:tcPr>
            <w:tcW w:w="0" w:type="auto"/>
            <w:gridSpan w:val="2"/>
            <w:shd w:val="clear" w:color="auto" w:fill="CCEEFF"/>
            <w:tcMar>
              <w:top w:w="40" w:type="dxa"/>
              <w:left w:w="20" w:type="dxa"/>
              <w:bottom w:w="40" w:type="dxa"/>
              <w:right w:w="0" w:type="dxa"/>
            </w:tcMar>
            <w:vAlign w:val="bottom"/>
          </w:tcPr>
          <w:p w14:paraId="1426EEB8"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426EEB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B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BB"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426EEBC" w14:textId="77777777" w:rsidR="00A74A1E" w:rsidRDefault="00A74A1E">
            <w:pPr>
              <w:jc w:val="right"/>
              <w:rPr>
                <w:rFonts w:ascii="宋体"/>
              </w:rPr>
            </w:pPr>
          </w:p>
        </w:tc>
      </w:tr>
      <w:tr w:rsidR="00A74A1E" w14:paraId="1426EEC4" w14:textId="77777777">
        <w:trPr>
          <w:jc w:val="center"/>
        </w:trPr>
        <w:tc>
          <w:tcPr>
            <w:tcW w:w="0" w:type="auto"/>
            <w:gridSpan w:val="3"/>
            <w:shd w:val="clear" w:color="auto" w:fill="FFFFFF"/>
            <w:tcMar>
              <w:top w:w="40" w:type="dxa"/>
              <w:left w:w="360" w:type="dxa"/>
              <w:bottom w:w="40" w:type="dxa"/>
              <w:right w:w="20" w:type="dxa"/>
            </w:tcMar>
            <w:vAlign w:val="bottom"/>
          </w:tcPr>
          <w:p w14:paraId="1426EEBE" w14:textId="77777777" w:rsidR="00A74A1E" w:rsidRDefault="00807990">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1426EEBF" w14:textId="77777777" w:rsidR="00A74A1E" w:rsidRDefault="00807990">
            <w:pPr>
              <w:jc w:val="right"/>
              <w:textAlignment w:val="bottom"/>
            </w:pPr>
            <w:r>
              <w:rPr>
                <w:rFonts w:ascii="Arial" w:eastAsia="宋体" w:hAnsi="Arial" w:cs="Arial"/>
                <w:color w:val="000000"/>
                <w:sz w:val="20"/>
                <w:szCs w:val="20"/>
              </w:rPr>
              <w:t>10,362 </w:t>
            </w:r>
          </w:p>
        </w:tc>
        <w:tc>
          <w:tcPr>
            <w:tcW w:w="0" w:type="auto"/>
            <w:shd w:val="clear" w:color="auto" w:fill="FFFFFF"/>
            <w:tcMar>
              <w:top w:w="40" w:type="dxa"/>
              <w:left w:w="0" w:type="dxa"/>
              <w:bottom w:w="40" w:type="dxa"/>
              <w:right w:w="20" w:type="dxa"/>
            </w:tcMar>
            <w:vAlign w:val="bottom"/>
          </w:tcPr>
          <w:p w14:paraId="1426EEC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C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C2" w14:textId="77777777" w:rsidR="00A74A1E" w:rsidRDefault="00807990">
            <w:pPr>
              <w:jc w:val="right"/>
              <w:textAlignment w:val="bottom"/>
            </w:pPr>
            <w:r>
              <w:rPr>
                <w:rFonts w:ascii="Arial" w:eastAsia="宋体" w:hAnsi="Arial" w:cs="Arial"/>
                <w:color w:val="000000"/>
                <w:sz w:val="20"/>
                <w:szCs w:val="20"/>
              </w:rPr>
              <w:t>9,963 </w:t>
            </w:r>
          </w:p>
        </w:tc>
        <w:tc>
          <w:tcPr>
            <w:tcW w:w="0" w:type="auto"/>
            <w:shd w:val="clear" w:color="auto" w:fill="FFFFFF"/>
            <w:tcMar>
              <w:top w:w="40" w:type="dxa"/>
              <w:left w:w="0" w:type="dxa"/>
              <w:bottom w:w="40" w:type="dxa"/>
              <w:right w:w="20" w:type="dxa"/>
            </w:tcMar>
            <w:vAlign w:val="bottom"/>
          </w:tcPr>
          <w:p w14:paraId="1426EEC3" w14:textId="77777777" w:rsidR="00A74A1E" w:rsidRDefault="00A74A1E">
            <w:pPr>
              <w:jc w:val="right"/>
              <w:rPr>
                <w:rFonts w:ascii="宋体"/>
              </w:rPr>
            </w:pPr>
          </w:p>
        </w:tc>
      </w:tr>
      <w:tr w:rsidR="00A74A1E" w14:paraId="1426EECB" w14:textId="77777777">
        <w:trPr>
          <w:jc w:val="center"/>
        </w:trPr>
        <w:tc>
          <w:tcPr>
            <w:tcW w:w="0" w:type="auto"/>
            <w:gridSpan w:val="3"/>
            <w:shd w:val="clear" w:color="auto" w:fill="CCEEFF"/>
            <w:tcMar>
              <w:top w:w="40" w:type="dxa"/>
              <w:left w:w="20" w:type="dxa"/>
              <w:bottom w:w="40" w:type="dxa"/>
              <w:right w:w="20" w:type="dxa"/>
            </w:tcMar>
            <w:vAlign w:val="bottom"/>
          </w:tcPr>
          <w:p w14:paraId="1426EEC5" w14:textId="77777777" w:rsidR="00A74A1E" w:rsidRDefault="00807990">
            <w:pPr>
              <w:textAlignment w:val="bottom"/>
            </w:pPr>
            <w:r>
              <w:rPr>
                <w:rFonts w:ascii="Arial" w:eastAsia="宋体" w:hAnsi="Arial" w:cs="Arial"/>
                <w:color w:val="000000"/>
                <w:sz w:val="20"/>
                <w:szCs w:val="20"/>
              </w:rPr>
              <w:t>Treasury stock, at cost (shares held: 6 and 5)</w:t>
            </w:r>
          </w:p>
        </w:tc>
        <w:tc>
          <w:tcPr>
            <w:tcW w:w="0" w:type="auto"/>
            <w:gridSpan w:val="2"/>
            <w:shd w:val="clear" w:color="auto" w:fill="CCEEFF"/>
            <w:tcMar>
              <w:top w:w="40" w:type="dxa"/>
              <w:left w:w="20" w:type="dxa"/>
              <w:bottom w:w="40" w:type="dxa"/>
              <w:right w:w="0" w:type="dxa"/>
            </w:tcMar>
            <w:vAlign w:val="bottom"/>
          </w:tcPr>
          <w:p w14:paraId="1426EEC6" w14:textId="77777777" w:rsidR="00A74A1E" w:rsidRDefault="00807990">
            <w:pPr>
              <w:jc w:val="right"/>
              <w:textAlignment w:val="bottom"/>
            </w:pPr>
            <w:r>
              <w:rPr>
                <w:rFonts w:ascii="Arial" w:eastAsia="宋体" w:hAnsi="Arial" w:cs="Arial"/>
                <w:color w:val="000000"/>
                <w:sz w:val="20"/>
                <w:szCs w:val="20"/>
              </w:rPr>
              <w:t>(126)</w:t>
            </w:r>
          </w:p>
        </w:tc>
        <w:tc>
          <w:tcPr>
            <w:tcW w:w="0" w:type="auto"/>
            <w:shd w:val="clear" w:color="auto" w:fill="CCEEFF"/>
            <w:tcMar>
              <w:top w:w="40" w:type="dxa"/>
              <w:left w:w="0" w:type="dxa"/>
              <w:bottom w:w="40" w:type="dxa"/>
              <w:right w:w="20" w:type="dxa"/>
            </w:tcMar>
            <w:vAlign w:val="bottom"/>
          </w:tcPr>
          <w:p w14:paraId="1426EEC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C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C9" w14:textId="77777777" w:rsidR="00A74A1E" w:rsidRDefault="00807990">
            <w:pPr>
              <w:jc w:val="right"/>
              <w:textAlignment w:val="bottom"/>
            </w:pPr>
            <w:r>
              <w:rPr>
                <w:rFonts w:ascii="Arial" w:eastAsia="宋体"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1426EECA" w14:textId="77777777" w:rsidR="00A74A1E" w:rsidRDefault="00A74A1E">
            <w:pPr>
              <w:jc w:val="right"/>
              <w:rPr>
                <w:rFonts w:ascii="宋体"/>
              </w:rPr>
            </w:pPr>
          </w:p>
        </w:tc>
      </w:tr>
      <w:tr w:rsidR="00A74A1E" w14:paraId="1426EED2" w14:textId="77777777">
        <w:trPr>
          <w:jc w:val="center"/>
        </w:trPr>
        <w:tc>
          <w:tcPr>
            <w:tcW w:w="0" w:type="auto"/>
            <w:gridSpan w:val="3"/>
            <w:shd w:val="clear" w:color="auto" w:fill="FFFFFF"/>
            <w:tcMar>
              <w:top w:w="40" w:type="dxa"/>
              <w:left w:w="20" w:type="dxa"/>
              <w:bottom w:w="40" w:type="dxa"/>
              <w:right w:w="20" w:type="dxa"/>
            </w:tcMar>
            <w:vAlign w:val="bottom"/>
          </w:tcPr>
          <w:p w14:paraId="1426EECC" w14:textId="77777777" w:rsidR="00A74A1E" w:rsidRDefault="00807990">
            <w:pPr>
              <w:textAlignment w:val="bottom"/>
            </w:pPr>
            <w:r>
              <w:rPr>
                <w:rFonts w:ascii="Arial" w:eastAsia="宋体"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1426EECD" w14:textId="77777777" w:rsidR="00A74A1E" w:rsidRDefault="00807990">
            <w:pPr>
              <w:jc w:val="right"/>
              <w:textAlignment w:val="bottom"/>
            </w:pPr>
            <w:r>
              <w:rPr>
                <w:rFonts w:ascii="Arial" w:eastAsia="宋体" w:hAnsi="Arial" w:cs="Arial"/>
                <w:color w:val="000000"/>
                <w:sz w:val="20"/>
                <w:szCs w:val="20"/>
              </w:rPr>
              <w:t>(6,386)</w:t>
            </w:r>
          </w:p>
        </w:tc>
        <w:tc>
          <w:tcPr>
            <w:tcW w:w="0" w:type="auto"/>
            <w:shd w:val="clear" w:color="auto" w:fill="FFFFFF"/>
            <w:tcMar>
              <w:top w:w="40" w:type="dxa"/>
              <w:left w:w="0" w:type="dxa"/>
              <w:bottom w:w="40" w:type="dxa"/>
              <w:right w:w="20" w:type="dxa"/>
            </w:tcMar>
            <w:vAlign w:val="bottom"/>
          </w:tcPr>
          <w:p w14:paraId="1426EEC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C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ED0" w14:textId="77777777" w:rsidR="00A74A1E" w:rsidRDefault="00807990">
            <w:pPr>
              <w:jc w:val="right"/>
              <w:textAlignment w:val="bottom"/>
            </w:pPr>
            <w:r>
              <w:rPr>
                <w:rFonts w:ascii="Arial" w:eastAsia="宋体" w:hAnsi="Arial" w:cs="Arial"/>
                <w:color w:val="000000"/>
                <w:sz w:val="20"/>
                <w:szCs w:val="20"/>
              </w:rPr>
              <w:t>(7,095)</w:t>
            </w:r>
          </w:p>
        </w:tc>
        <w:tc>
          <w:tcPr>
            <w:tcW w:w="0" w:type="auto"/>
            <w:shd w:val="clear" w:color="auto" w:fill="FFFFFF"/>
            <w:tcMar>
              <w:top w:w="40" w:type="dxa"/>
              <w:left w:w="0" w:type="dxa"/>
              <w:bottom w:w="40" w:type="dxa"/>
              <w:right w:w="20" w:type="dxa"/>
            </w:tcMar>
            <w:vAlign w:val="bottom"/>
          </w:tcPr>
          <w:p w14:paraId="1426EED1" w14:textId="77777777" w:rsidR="00A74A1E" w:rsidRDefault="00A74A1E">
            <w:pPr>
              <w:jc w:val="right"/>
              <w:rPr>
                <w:rFonts w:ascii="宋体"/>
              </w:rPr>
            </w:pPr>
          </w:p>
        </w:tc>
      </w:tr>
      <w:tr w:rsidR="00A74A1E" w14:paraId="1426EED9" w14:textId="77777777">
        <w:trPr>
          <w:jc w:val="center"/>
        </w:trPr>
        <w:tc>
          <w:tcPr>
            <w:tcW w:w="0" w:type="auto"/>
            <w:gridSpan w:val="3"/>
            <w:shd w:val="clear" w:color="auto" w:fill="CCEEFF"/>
            <w:tcMar>
              <w:top w:w="40" w:type="dxa"/>
              <w:left w:w="20" w:type="dxa"/>
              <w:bottom w:w="40" w:type="dxa"/>
              <w:right w:w="20" w:type="dxa"/>
            </w:tcMar>
            <w:vAlign w:val="bottom"/>
          </w:tcPr>
          <w:p w14:paraId="1426EED3" w14:textId="77777777" w:rsidR="00A74A1E" w:rsidRDefault="00807990">
            <w:pPr>
              <w:textAlignment w:val="bottom"/>
            </w:pPr>
            <w:r>
              <w:rPr>
                <w:rFonts w:ascii="Arial" w:eastAsia="宋体" w:hAnsi="Arial" w:cs="Arial"/>
                <w:color w:val="000000"/>
                <w:sz w:val="20"/>
                <w:szCs w:val="20"/>
              </w:rPr>
              <w:t>Accumulated other comprehensive income</w:t>
            </w:r>
          </w:p>
        </w:tc>
        <w:tc>
          <w:tcPr>
            <w:tcW w:w="0" w:type="auto"/>
            <w:gridSpan w:val="2"/>
            <w:shd w:val="clear" w:color="auto" w:fill="CCEEFF"/>
            <w:tcMar>
              <w:top w:w="40" w:type="dxa"/>
              <w:left w:w="20" w:type="dxa"/>
              <w:bottom w:w="40" w:type="dxa"/>
              <w:right w:w="0" w:type="dxa"/>
            </w:tcMar>
            <w:vAlign w:val="bottom"/>
          </w:tcPr>
          <w:p w14:paraId="1426EED4" w14:textId="77777777" w:rsidR="00A74A1E" w:rsidRDefault="00807990">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1426EED5"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D6"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ED7"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EED8" w14:textId="77777777" w:rsidR="00A74A1E" w:rsidRDefault="00A74A1E">
            <w:pPr>
              <w:jc w:val="right"/>
              <w:rPr>
                <w:rFonts w:ascii="宋体"/>
              </w:rPr>
            </w:pPr>
          </w:p>
        </w:tc>
      </w:tr>
      <w:tr w:rsidR="00A74A1E" w14:paraId="1426EEE0" w14:textId="77777777">
        <w:trPr>
          <w:jc w:val="center"/>
        </w:trPr>
        <w:tc>
          <w:tcPr>
            <w:tcW w:w="0" w:type="auto"/>
            <w:gridSpan w:val="3"/>
            <w:shd w:val="clear" w:color="auto" w:fill="FFFFFF"/>
            <w:tcMar>
              <w:top w:w="40" w:type="dxa"/>
              <w:left w:w="20" w:type="dxa"/>
              <w:bottom w:w="40" w:type="dxa"/>
              <w:right w:w="20" w:type="dxa"/>
            </w:tcMar>
            <w:vAlign w:val="bottom"/>
          </w:tcPr>
          <w:p w14:paraId="1426EEDA" w14:textId="77777777" w:rsidR="00A74A1E" w:rsidRDefault="00807990">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EDB" w14:textId="77777777" w:rsidR="00A74A1E" w:rsidRDefault="00807990">
            <w:pPr>
              <w:jc w:val="right"/>
              <w:textAlignment w:val="bottom"/>
            </w:pPr>
            <w:r>
              <w:rPr>
                <w:rFonts w:ascii="Arial" w:eastAsia="宋体" w:hAnsi="Arial" w:cs="Arial"/>
                <w:color w:val="000000"/>
                <w:sz w:val="20"/>
                <w:szCs w:val="20"/>
              </w:rPr>
              <w:t>3,867 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ED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EDD"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EDE" w14:textId="77777777" w:rsidR="00A74A1E" w:rsidRDefault="00807990">
            <w:pPr>
              <w:jc w:val="right"/>
              <w:textAlignment w:val="bottom"/>
            </w:pPr>
            <w:r>
              <w:rPr>
                <w:rFonts w:ascii="Arial" w:eastAsia="宋体" w:hAnsi="Arial" w:cs="Arial"/>
                <w:color w:val="000000"/>
                <w:sz w:val="20"/>
                <w:szCs w:val="20"/>
              </w:rPr>
              <w:t>2,827 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EDF" w14:textId="77777777" w:rsidR="00A74A1E" w:rsidRDefault="00A74A1E">
            <w:pPr>
              <w:jc w:val="right"/>
              <w:rPr>
                <w:rFonts w:ascii="宋体"/>
              </w:rPr>
            </w:pPr>
          </w:p>
        </w:tc>
      </w:tr>
      <w:tr w:rsidR="00A74A1E" w14:paraId="1426EEE9" w14:textId="77777777">
        <w:trPr>
          <w:jc w:val="center"/>
        </w:trPr>
        <w:tc>
          <w:tcPr>
            <w:tcW w:w="0" w:type="auto"/>
            <w:gridSpan w:val="3"/>
            <w:shd w:val="clear" w:color="auto" w:fill="CCEEFF"/>
            <w:tcMar>
              <w:top w:w="40" w:type="dxa"/>
              <w:left w:w="20" w:type="dxa"/>
              <w:bottom w:w="40" w:type="dxa"/>
              <w:right w:w="20" w:type="dxa"/>
            </w:tcMar>
            <w:vAlign w:val="bottom"/>
          </w:tcPr>
          <w:p w14:paraId="1426EEE1" w14:textId="77777777" w:rsidR="00A74A1E" w:rsidRDefault="00807990">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EEE2"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EEE3" w14:textId="77777777" w:rsidR="00A74A1E" w:rsidRDefault="00807990">
            <w:pPr>
              <w:jc w:val="right"/>
              <w:textAlignment w:val="bottom"/>
            </w:pPr>
            <w:r>
              <w:rPr>
                <w:rFonts w:ascii="Arial" w:eastAsia="宋体" w:hAnsi="Arial" w:cs="Arial"/>
                <w:color w:val="000000"/>
                <w:sz w:val="20"/>
                <w:szCs w:val="20"/>
              </w:rPr>
              <w:t>7,023 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EEE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EE5"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EEE6"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EEE7" w14:textId="77777777" w:rsidR="00A74A1E" w:rsidRDefault="00807990">
            <w:pPr>
              <w:jc w:val="right"/>
              <w:textAlignment w:val="bottom"/>
            </w:pPr>
            <w:r>
              <w:rPr>
                <w:rFonts w:ascii="Arial" w:eastAsia="宋体" w:hAnsi="Arial" w:cs="Arial"/>
                <w:color w:val="000000"/>
                <w:sz w:val="20"/>
                <w:szCs w:val="20"/>
              </w:rPr>
              <w:t>6,028 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EEE8" w14:textId="77777777" w:rsidR="00A74A1E" w:rsidRDefault="00A74A1E">
            <w:pPr>
              <w:jc w:val="right"/>
              <w:rPr>
                <w:rFonts w:ascii="宋体"/>
              </w:rPr>
            </w:pPr>
          </w:p>
        </w:tc>
      </w:tr>
    </w:tbl>
    <w:p w14:paraId="1426EEEA" w14:textId="77777777" w:rsidR="00A74A1E" w:rsidRDefault="00A74A1E">
      <w:pPr>
        <w:jc w:val="center"/>
      </w:pPr>
    </w:p>
    <w:p w14:paraId="1426EEEB" w14:textId="77777777" w:rsidR="00A74A1E" w:rsidRDefault="00807990">
      <w:pPr>
        <w:jc w:val="center"/>
      </w:pPr>
      <w:r>
        <w:rPr>
          <w:rFonts w:ascii="Arial" w:eastAsia="宋体" w:hAnsi="Arial" w:cs="Arial"/>
          <w:color w:val="000000"/>
          <w:sz w:val="20"/>
          <w:szCs w:val="20"/>
        </w:rPr>
        <w:t>See accompanying notes.</w:t>
      </w:r>
    </w:p>
    <w:p w14:paraId="1426EEEC" w14:textId="77777777" w:rsidR="00A74A1E" w:rsidRDefault="00807990">
      <w:pPr>
        <w:jc w:val="center"/>
      </w:pPr>
      <w:r>
        <w:rPr>
          <w:rFonts w:ascii="Arial" w:eastAsia="宋体" w:hAnsi="Arial" w:cs="Arial"/>
          <w:color w:val="000000"/>
          <w:sz w:val="20"/>
          <w:szCs w:val="20"/>
        </w:rPr>
        <w:t>5</w:t>
      </w:r>
    </w:p>
    <w:p w14:paraId="1426EEED" w14:textId="77777777" w:rsidR="00A74A1E" w:rsidRDefault="00807990">
      <w:r>
        <w:pict w14:anchorId="1426FC10">
          <v:rect id="_x0000_i1029" style="width:415.3pt;height:1.5pt" o:hralign="center" o:hrstd="t" o:hr="t" fillcolor="#a0a0a0" stroked="f"/>
        </w:pict>
      </w:r>
    </w:p>
    <w:p w14:paraId="1426EEEE" w14:textId="77777777" w:rsidR="00A74A1E" w:rsidRDefault="00A74A1E">
      <w:pPr>
        <w:spacing w:before="60"/>
      </w:pPr>
    </w:p>
    <w:p w14:paraId="1426EEEF" w14:textId="77777777" w:rsidR="00A74A1E" w:rsidRDefault="00807990">
      <w:pPr>
        <w:jc w:val="center"/>
      </w:pPr>
      <w:r>
        <w:rPr>
          <w:rFonts w:ascii="Arial" w:eastAsia="宋体" w:hAnsi="Arial" w:cs="Arial"/>
          <w:b/>
          <w:bCs/>
          <w:color w:val="000000"/>
          <w:sz w:val="20"/>
          <w:szCs w:val="20"/>
        </w:rPr>
        <w:t>Advanced Micro Devices, Inc.</w:t>
      </w:r>
    </w:p>
    <w:p w14:paraId="1426EEF0" w14:textId="77777777" w:rsidR="00A74A1E" w:rsidRDefault="00807990">
      <w:pPr>
        <w:spacing w:before="60"/>
        <w:jc w:val="center"/>
      </w:pPr>
      <w:r>
        <w:rPr>
          <w:rFonts w:ascii="Arial" w:eastAsia="宋体" w:hAnsi="Arial" w:cs="Arial"/>
          <w:b/>
          <w:bCs/>
          <w:color w:val="000000"/>
          <w:sz w:val="20"/>
          <w:szCs w:val="20"/>
        </w:rPr>
        <w:t>Condensed Consolidated Statements of Cash Flows</w:t>
      </w:r>
    </w:p>
    <w:p w14:paraId="1426EEF1" w14:textId="77777777" w:rsidR="00A74A1E" w:rsidRDefault="00807990">
      <w:pPr>
        <w:spacing w:before="6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18"/>
        <w:gridCol w:w="40"/>
        <w:gridCol w:w="122"/>
        <w:gridCol w:w="923"/>
        <w:gridCol w:w="36"/>
        <w:gridCol w:w="36"/>
        <w:gridCol w:w="36"/>
        <w:gridCol w:w="36"/>
        <w:gridCol w:w="122"/>
        <w:gridCol w:w="890"/>
        <w:gridCol w:w="36"/>
      </w:tblGrid>
      <w:tr w:rsidR="00A74A1E" w14:paraId="1426EEFE" w14:textId="77777777">
        <w:trPr>
          <w:jc w:val="center"/>
        </w:trPr>
        <w:tc>
          <w:tcPr>
            <w:tcW w:w="50" w:type="pct"/>
            <w:shd w:val="clear" w:color="auto" w:fill="auto"/>
          </w:tcPr>
          <w:p w14:paraId="1426EEF2" w14:textId="77777777" w:rsidR="00A74A1E" w:rsidRDefault="00A74A1E">
            <w:pPr>
              <w:rPr>
                <w:rFonts w:ascii="宋体"/>
              </w:rPr>
            </w:pPr>
          </w:p>
        </w:tc>
        <w:tc>
          <w:tcPr>
            <w:tcW w:w="3636" w:type="pct"/>
            <w:shd w:val="clear" w:color="auto" w:fill="auto"/>
          </w:tcPr>
          <w:p w14:paraId="1426EEF3" w14:textId="77777777" w:rsidR="00A74A1E" w:rsidRDefault="00A74A1E">
            <w:pPr>
              <w:rPr>
                <w:rFonts w:ascii="宋体"/>
              </w:rPr>
            </w:pPr>
          </w:p>
        </w:tc>
        <w:tc>
          <w:tcPr>
            <w:tcW w:w="5" w:type="pct"/>
            <w:shd w:val="clear" w:color="auto" w:fill="auto"/>
          </w:tcPr>
          <w:p w14:paraId="1426EEF4" w14:textId="77777777" w:rsidR="00A74A1E" w:rsidRDefault="00A74A1E">
            <w:pPr>
              <w:rPr>
                <w:rFonts w:ascii="宋体"/>
              </w:rPr>
            </w:pPr>
          </w:p>
        </w:tc>
        <w:tc>
          <w:tcPr>
            <w:tcW w:w="50" w:type="pct"/>
            <w:shd w:val="clear" w:color="auto" w:fill="auto"/>
          </w:tcPr>
          <w:p w14:paraId="1426EEF5" w14:textId="77777777" w:rsidR="00A74A1E" w:rsidRDefault="00A74A1E">
            <w:pPr>
              <w:rPr>
                <w:rFonts w:ascii="宋体"/>
              </w:rPr>
            </w:pPr>
          </w:p>
        </w:tc>
        <w:tc>
          <w:tcPr>
            <w:tcW w:w="580" w:type="pct"/>
            <w:shd w:val="clear" w:color="auto" w:fill="auto"/>
          </w:tcPr>
          <w:p w14:paraId="1426EEF6" w14:textId="77777777" w:rsidR="00A74A1E" w:rsidRDefault="00A74A1E">
            <w:pPr>
              <w:rPr>
                <w:rFonts w:ascii="宋体"/>
              </w:rPr>
            </w:pPr>
          </w:p>
        </w:tc>
        <w:tc>
          <w:tcPr>
            <w:tcW w:w="5" w:type="pct"/>
            <w:shd w:val="clear" w:color="auto" w:fill="auto"/>
          </w:tcPr>
          <w:p w14:paraId="1426EEF7" w14:textId="77777777" w:rsidR="00A74A1E" w:rsidRDefault="00A74A1E">
            <w:pPr>
              <w:rPr>
                <w:rFonts w:ascii="宋体"/>
              </w:rPr>
            </w:pPr>
          </w:p>
        </w:tc>
        <w:tc>
          <w:tcPr>
            <w:tcW w:w="5" w:type="pct"/>
            <w:shd w:val="clear" w:color="auto" w:fill="auto"/>
          </w:tcPr>
          <w:p w14:paraId="1426EEF8" w14:textId="77777777" w:rsidR="00A74A1E" w:rsidRDefault="00A74A1E">
            <w:pPr>
              <w:rPr>
                <w:rFonts w:ascii="宋体"/>
              </w:rPr>
            </w:pPr>
          </w:p>
        </w:tc>
        <w:tc>
          <w:tcPr>
            <w:tcW w:w="26" w:type="pct"/>
            <w:shd w:val="clear" w:color="auto" w:fill="auto"/>
          </w:tcPr>
          <w:p w14:paraId="1426EEF9" w14:textId="77777777" w:rsidR="00A74A1E" w:rsidRDefault="00A74A1E">
            <w:pPr>
              <w:rPr>
                <w:rFonts w:ascii="宋体"/>
              </w:rPr>
            </w:pPr>
          </w:p>
        </w:tc>
        <w:tc>
          <w:tcPr>
            <w:tcW w:w="5" w:type="pct"/>
            <w:shd w:val="clear" w:color="auto" w:fill="auto"/>
          </w:tcPr>
          <w:p w14:paraId="1426EEFA" w14:textId="77777777" w:rsidR="00A74A1E" w:rsidRDefault="00A74A1E">
            <w:pPr>
              <w:rPr>
                <w:rFonts w:ascii="宋体"/>
              </w:rPr>
            </w:pPr>
          </w:p>
        </w:tc>
        <w:tc>
          <w:tcPr>
            <w:tcW w:w="50" w:type="pct"/>
            <w:shd w:val="clear" w:color="auto" w:fill="auto"/>
          </w:tcPr>
          <w:p w14:paraId="1426EEFB" w14:textId="77777777" w:rsidR="00A74A1E" w:rsidRDefault="00A74A1E">
            <w:pPr>
              <w:rPr>
                <w:rFonts w:ascii="宋体"/>
              </w:rPr>
            </w:pPr>
          </w:p>
        </w:tc>
        <w:tc>
          <w:tcPr>
            <w:tcW w:w="581" w:type="pct"/>
            <w:shd w:val="clear" w:color="auto" w:fill="auto"/>
          </w:tcPr>
          <w:p w14:paraId="1426EEFC" w14:textId="77777777" w:rsidR="00A74A1E" w:rsidRDefault="00A74A1E">
            <w:pPr>
              <w:rPr>
                <w:rFonts w:ascii="宋体"/>
              </w:rPr>
            </w:pPr>
          </w:p>
        </w:tc>
        <w:tc>
          <w:tcPr>
            <w:tcW w:w="5" w:type="pct"/>
            <w:shd w:val="clear" w:color="auto" w:fill="auto"/>
          </w:tcPr>
          <w:p w14:paraId="1426EEFD" w14:textId="77777777" w:rsidR="00A74A1E" w:rsidRDefault="00A74A1E">
            <w:pPr>
              <w:rPr>
                <w:rFonts w:ascii="宋体"/>
              </w:rPr>
            </w:pPr>
          </w:p>
        </w:tc>
      </w:tr>
      <w:tr w:rsidR="00A74A1E" w14:paraId="1426EF01" w14:textId="77777777">
        <w:trPr>
          <w:jc w:val="center"/>
        </w:trPr>
        <w:tc>
          <w:tcPr>
            <w:tcW w:w="0" w:type="auto"/>
            <w:gridSpan w:val="3"/>
            <w:shd w:val="clear" w:color="auto" w:fill="auto"/>
            <w:tcMar>
              <w:top w:w="40" w:type="dxa"/>
              <w:left w:w="20" w:type="dxa"/>
              <w:bottom w:w="40" w:type="dxa"/>
              <w:right w:w="20" w:type="dxa"/>
            </w:tcMar>
            <w:vAlign w:val="bottom"/>
          </w:tcPr>
          <w:p w14:paraId="1426EEFF" w14:textId="77777777" w:rsidR="00A74A1E" w:rsidRDefault="00807990">
            <w:pPr>
              <w:textAlignment w:val="bottom"/>
            </w:pPr>
            <w:r>
              <w:rPr>
                <w:rFonts w:ascii="Arial" w:eastAsia="宋体"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1426EF00" w14:textId="77777777" w:rsidR="00A74A1E" w:rsidRDefault="00807990">
            <w:pPr>
              <w:jc w:val="center"/>
              <w:textAlignment w:val="bottom"/>
            </w:pPr>
            <w:r>
              <w:rPr>
                <w:rFonts w:ascii="Arial" w:eastAsia="宋体" w:hAnsi="Arial" w:cs="Arial"/>
                <w:b/>
                <w:bCs/>
                <w:color w:val="000000"/>
                <w:sz w:val="16"/>
                <w:szCs w:val="16"/>
              </w:rPr>
              <w:t xml:space="preserve">Nine </w:t>
            </w:r>
            <w:r>
              <w:rPr>
                <w:rFonts w:ascii="Arial" w:eastAsia="宋体" w:hAnsi="Arial" w:cs="Arial"/>
                <w:b/>
                <w:bCs/>
                <w:color w:val="000000"/>
                <w:sz w:val="16"/>
                <w:szCs w:val="16"/>
              </w:rPr>
              <w:t>Months Ended</w:t>
            </w:r>
          </w:p>
        </w:tc>
      </w:tr>
      <w:tr w:rsidR="00A74A1E" w14:paraId="1426EF06" w14:textId="77777777">
        <w:trPr>
          <w:jc w:val="center"/>
        </w:trPr>
        <w:tc>
          <w:tcPr>
            <w:tcW w:w="0" w:type="auto"/>
            <w:gridSpan w:val="3"/>
            <w:shd w:val="clear" w:color="auto" w:fill="auto"/>
            <w:tcMar>
              <w:top w:w="40" w:type="dxa"/>
              <w:left w:w="20" w:type="dxa"/>
              <w:bottom w:w="40" w:type="dxa"/>
              <w:right w:w="20" w:type="dxa"/>
            </w:tcMar>
            <w:vAlign w:val="bottom"/>
          </w:tcPr>
          <w:p w14:paraId="1426EF02" w14:textId="77777777" w:rsidR="00A74A1E" w:rsidRDefault="00807990">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EF03"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EF04"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EF05"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EF09" w14:textId="77777777">
        <w:trPr>
          <w:jc w:val="center"/>
        </w:trPr>
        <w:tc>
          <w:tcPr>
            <w:tcW w:w="0" w:type="auto"/>
            <w:gridSpan w:val="3"/>
            <w:shd w:val="clear" w:color="auto" w:fill="auto"/>
            <w:tcMar>
              <w:top w:w="40" w:type="dxa"/>
              <w:left w:w="20" w:type="dxa"/>
              <w:bottom w:w="40" w:type="dxa"/>
              <w:right w:w="20" w:type="dxa"/>
            </w:tcMar>
            <w:vAlign w:val="bottom"/>
          </w:tcPr>
          <w:p w14:paraId="1426EF07" w14:textId="77777777" w:rsidR="00A74A1E" w:rsidRDefault="00807990">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426EF08"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EF0E" w14:textId="77777777">
        <w:trPr>
          <w:jc w:val="center"/>
        </w:trPr>
        <w:tc>
          <w:tcPr>
            <w:tcW w:w="0" w:type="auto"/>
            <w:gridSpan w:val="3"/>
            <w:shd w:val="clear" w:color="auto" w:fill="CCEEFF"/>
            <w:tcMar>
              <w:top w:w="40" w:type="dxa"/>
              <w:left w:w="20" w:type="dxa"/>
              <w:bottom w:w="40" w:type="dxa"/>
              <w:right w:w="20" w:type="dxa"/>
            </w:tcMar>
            <w:vAlign w:val="bottom"/>
          </w:tcPr>
          <w:p w14:paraId="1426EF0A" w14:textId="77777777" w:rsidR="00A74A1E" w:rsidRDefault="00807990">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tcPr>
          <w:p w14:paraId="1426EF0B"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0C"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0D" w14:textId="77777777" w:rsidR="00A74A1E" w:rsidRDefault="00A74A1E">
            <w:pPr>
              <w:rPr>
                <w:rFonts w:ascii="宋体"/>
              </w:rPr>
            </w:pPr>
          </w:p>
        </w:tc>
      </w:tr>
      <w:tr w:rsidR="00A74A1E" w14:paraId="1426EF17" w14:textId="77777777">
        <w:trPr>
          <w:jc w:val="center"/>
        </w:trPr>
        <w:tc>
          <w:tcPr>
            <w:tcW w:w="0" w:type="auto"/>
            <w:gridSpan w:val="3"/>
            <w:shd w:val="clear" w:color="auto" w:fill="FFFFFF"/>
            <w:tcMar>
              <w:top w:w="40" w:type="dxa"/>
              <w:left w:w="360" w:type="dxa"/>
              <w:bottom w:w="40" w:type="dxa"/>
              <w:right w:w="20" w:type="dxa"/>
            </w:tcMar>
            <w:vAlign w:val="bottom"/>
          </w:tcPr>
          <w:p w14:paraId="1426EF0F" w14:textId="77777777" w:rsidR="00A74A1E" w:rsidRDefault="00807990">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1426EF10"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EF11" w14:textId="77777777" w:rsidR="00A74A1E" w:rsidRDefault="00807990">
            <w:pPr>
              <w:jc w:val="right"/>
              <w:textAlignment w:val="bottom"/>
            </w:pPr>
            <w:r>
              <w:rPr>
                <w:rFonts w:ascii="Arial" w:eastAsia="宋体" w:hAnsi="Arial" w:cs="Arial"/>
                <w:color w:val="000000"/>
                <w:sz w:val="18"/>
                <w:szCs w:val="18"/>
              </w:rPr>
              <w:t>709 </w:t>
            </w:r>
          </w:p>
        </w:tc>
        <w:tc>
          <w:tcPr>
            <w:tcW w:w="0" w:type="auto"/>
            <w:shd w:val="clear" w:color="auto" w:fill="FFFFFF"/>
            <w:tcMar>
              <w:top w:w="40" w:type="dxa"/>
              <w:left w:w="0" w:type="dxa"/>
              <w:bottom w:w="40" w:type="dxa"/>
              <w:right w:w="20" w:type="dxa"/>
            </w:tcMar>
            <w:vAlign w:val="bottom"/>
          </w:tcPr>
          <w:p w14:paraId="1426EF1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13"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F14"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EF15" w14:textId="77777777" w:rsidR="00A74A1E" w:rsidRDefault="00807990">
            <w:pPr>
              <w:jc w:val="right"/>
              <w:textAlignment w:val="bottom"/>
            </w:pPr>
            <w:r>
              <w:rPr>
                <w:rFonts w:ascii="Arial" w:eastAsia="宋体" w:hAnsi="Arial" w:cs="Arial"/>
                <w:color w:val="000000"/>
                <w:sz w:val="18"/>
                <w:szCs w:val="18"/>
              </w:rPr>
              <w:t>171 </w:t>
            </w:r>
          </w:p>
        </w:tc>
        <w:tc>
          <w:tcPr>
            <w:tcW w:w="0" w:type="auto"/>
            <w:shd w:val="clear" w:color="auto" w:fill="FFFFFF"/>
            <w:tcMar>
              <w:top w:w="40" w:type="dxa"/>
              <w:left w:w="0" w:type="dxa"/>
              <w:bottom w:w="40" w:type="dxa"/>
              <w:right w:w="20" w:type="dxa"/>
            </w:tcMar>
            <w:vAlign w:val="bottom"/>
          </w:tcPr>
          <w:p w14:paraId="1426EF16" w14:textId="77777777" w:rsidR="00A74A1E" w:rsidRDefault="00A74A1E">
            <w:pPr>
              <w:jc w:val="right"/>
              <w:rPr>
                <w:rFonts w:ascii="宋体"/>
              </w:rPr>
            </w:pPr>
          </w:p>
        </w:tc>
      </w:tr>
      <w:tr w:rsidR="00A74A1E" w14:paraId="1426EF1C" w14:textId="77777777">
        <w:trPr>
          <w:jc w:val="center"/>
        </w:trPr>
        <w:tc>
          <w:tcPr>
            <w:tcW w:w="0" w:type="auto"/>
            <w:gridSpan w:val="3"/>
            <w:shd w:val="clear" w:color="auto" w:fill="CCEEFF"/>
            <w:tcMar>
              <w:top w:w="40" w:type="dxa"/>
              <w:left w:w="360" w:type="dxa"/>
              <w:bottom w:w="40" w:type="dxa"/>
              <w:right w:w="20" w:type="dxa"/>
            </w:tcMar>
            <w:vAlign w:val="bottom"/>
          </w:tcPr>
          <w:p w14:paraId="1426EF18" w14:textId="77777777" w:rsidR="00A74A1E" w:rsidRDefault="00807990">
            <w:pPr>
              <w:textAlignment w:val="bottom"/>
            </w:pPr>
            <w:r>
              <w:rPr>
                <w:rFonts w:ascii="Arial" w:eastAsia="宋体" w:hAnsi="Arial" w:cs="Arial"/>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tcPr>
          <w:p w14:paraId="1426EF19"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1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1B" w14:textId="77777777" w:rsidR="00A74A1E" w:rsidRDefault="00A74A1E">
            <w:pPr>
              <w:rPr>
                <w:rFonts w:ascii="宋体"/>
              </w:rPr>
            </w:pPr>
          </w:p>
        </w:tc>
      </w:tr>
      <w:tr w:rsidR="00A74A1E" w14:paraId="1426EF23" w14:textId="77777777">
        <w:trPr>
          <w:jc w:val="center"/>
        </w:trPr>
        <w:tc>
          <w:tcPr>
            <w:tcW w:w="0" w:type="auto"/>
            <w:gridSpan w:val="3"/>
            <w:shd w:val="clear" w:color="auto" w:fill="FFFFFF"/>
            <w:tcMar>
              <w:top w:w="40" w:type="dxa"/>
              <w:left w:w="720" w:type="dxa"/>
              <w:bottom w:w="40" w:type="dxa"/>
              <w:right w:w="20" w:type="dxa"/>
            </w:tcMar>
            <w:vAlign w:val="bottom"/>
          </w:tcPr>
          <w:p w14:paraId="1426EF1D" w14:textId="77777777" w:rsidR="00A74A1E" w:rsidRDefault="00807990">
            <w:pPr>
              <w:textAlignment w:val="bottom"/>
            </w:pPr>
            <w:r>
              <w:rPr>
                <w:rFonts w:ascii="Arial" w:eastAsia="宋体" w:hAnsi="Arial" w:cs="Arial"/>
                <w:color w:val="000000"/>
                <w:sz w:val="18"/>
                <w:szCs w:val="18"/>
              </w:rPr>
              <w:t xml:space="preserve">Depreciation and </w:t>
            </w:r>
            <w:r>
              <w:rPr>
                <w:rFonts w:ascii="Arial" w:eastAsia="宋体" w:hAnsi="Arial" w:cs="Arial"/>
                <w:color w:val="000000"/>
                <w:sz w:val="18"/>
                <w:szCs w:val="18"/>
              </w:rPr>
              <w:t>amortization</w:t>
            </w:r>
          </w:p>
        </w:tc>
        <w:tc>
          <w:tcPr>
            <w:tcW w:w="0" w:type="auto"/>
            <w:gridSpan w:val="2"/>
            <w:shd w:val="clear" w:color="auto" w:fill="FFFFFF"/>
            <w:tcMar>
              <w:top w:w="40" w:type="dxa"/>
              <w:left w:w="20" w:type="dxa"/>
              <w:bottom w:w="40" w:type="dxa"/>
              <w:right w:w="0" w:type="dxa"/>
            </w:tcMar>
            <w:vAlign w:val="bottom"/>
          </w:tcPr>
          <w:p w14:paraId="1426EF1E" w14:textId="77777777" w:rsidR="00A74A1E" w:rsidRDefault="00807990">
            <w:pPr>
              <w:jc w:val="right"/>
              <w:textAlignment w:val="bottom"/>
            </w:pPr>
            <w:r>
              <w:rPr>
                <w:rFonts w:ascii="Arial" w:eastAsia="宋体" w:hAnsi="Arial" w:cs="Arial"/>
                <w:color w:val="000000"/>
                <w:sz w:val="18"/>
                <w:szCs w:val="18"/>
              </w:rPr>
              <w:t>222 </w:t>
            </w:r>
          </w:p>
        </w:tc>
        <w:tc>
          <w:tcPr>
            <w:tcW w:w="0" w:type="auto"/>
            <w:shd w:val="clear" w:color="auto" w:fill="FFFFFF"/>
            <w:tcMar>
              <w:top w:w="40" w:type="dxa"/>
              <w:left w:w="0" w:type="dxa"/>
              <w:bottom w:w="40" w:type="dxa"/>
              <w:right w:w="20" w:type="dxa"/>
            </w:tcMar>
            <w:vAlign w:val="bottom"/>
          </w:tcPr>
          <w:p w14:paraId="1426EF1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2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21" w14:textId="77777777" w:rsidR="00A74A1E" w:rsidRDefault="00807990">
            <w:pPr>
              <w:jc w:val="right"/>
              <w:textAlignment w:val="bottom"/>
            </w:pPr>
            <w:r>
              <w:rPr>
                <w:rFonts w:ascii="Arial" w:eastAsia="宋体" w:hAnsi="Arial" w:cs="Arial"/>
                <w:color w:val="000000"/>
                <w:sz w:val="18"/>
                <w:szCs w:val="18"/>
              </w:rPr>
              <w:t>158 </w:t>
            </w:r>
          </w:p>
        </w:tc>
        <w:tc>
          <w:tcPr>
            <w:tcW w:w="0" w:type="auto"/>
            <w:shd w:val="clear" w:color="auto" w:fill="FFFFFF"/>
            <w:tcMar>
              <w:top w:w="40" w:type="dxa"/>
              <w:left w:w="0" w:type="dxa"/>
              <w:bottom w:w="40" w:type="dxa"/>
              <w:right w:w="20" w:type="dxa"/>
            </w:tcMar>
            <w:vAlign w:val="bottom"/>
          </w:tcPr>
          <w:p w14:paraId="1426EF22" w14:textId="77777777" w:rsidR="00A74A1E" w:rsidRDefault="00A74A1E">
            <w:pPr>
              <w:jc w:val="right"/>
              <w:rPr>
                <w:rFonts w:ascii="宋体"/>
              </w:rPr>
            </w:pPr>
          </w:p>
        </w:tc>
      </w:tr>
      <w:tr w:rsidR="00A74A1E" w14:paraId="1426EF2A" w14:textId="77777777">
        <w:trPr>
          <w:jc w:val="center"/>
        </w:trPr>
        <w:tc>
          <w:tcPr>
            <w:tcW w:w="0" w:type="auto"/>
            <w:gridSpan w:val="3"/>
            <w:shd w:val="clear" w:color="auto" w:fill="CCEEFF"/>
            <w:tcMar>
              <w:top w:w="40" w:type="dxa"/>
              <w:left w:w="720" w:type="dxa"/>
              <w:bottom w:w="40" w:type="dxa"/>
              <w:right w:w="20" w:type="dxa"/>
            </w:tcMar>
            <w:vAlign w:val="bottom"/>
          </w:tcPr>
          <w:p w14:paraId="1426EF24" w14:textId="77777777" w:rsidR="00A74A1E" w:rsidRDefault="00807990">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1426EF25" w14:textId="77777777" w:rsidR="00A74A1E" w:rsidRDefault="00807990">
            <w:pPr>
              <w:jc w:val="right"/>
              <w:textAlignment w:val="bottom"/>
            </w:pPr>
            <w:r>
              <w:rPr>
                <w:rFonts w:ascii="Arial" w:eastAsia="宋体" w:hAnsi="Arial" w:cs="Arial"/>
                <w:color w:val="000000"/>
                <w:sz w:val="18"/>
                <w:szCs w:val="18"/>
              </w:rPr>
              <w:t>195 </w:t>
            </w:r>
          </w:p>
        </w:tc>
        <w:tc>
          <w:tcPr>
            <w:tcW w:w="0" w:type="auto"/>
            <w:shd w:val="clear" w:color="auto" w:fill="CCEEFF"/>
            <w:tcMar>
              <w:top w:w="40" w:type="dxa"/>
              <w:left w:w="0" w:type="dxa"/>
              <w:bottom w:w="40" w:type="dxa"/>
              <w:right w:w="20" w:type="dxa"/>
            </w:tcMar>
            <w:vAlign w:val="bottom"/>
          </w:tcPr>
          <w:p w14:paraId="1426EF2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2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28" w14:textId="77777777" w:rsidR="00A74A1E" w:rsidRDefault="00807990">
            <w:pPr>
              <w:jc w:val="right"/>
              <w:textAlignment w:val="bottom"/>
            </w:pPr>
            <w:r>
              <w:rPr>
                <w:rFonts w:ascii="Arial" w:eastAsia="宋体" w:hAnsi="Arial" w:cs="Arial"/>
                <w:color w:val="000000"/>
                <w:sz w:val="18"/>
                <w:szCs w:val="18"/>
              </w:rPr>
              <w:t>140 </w:t>
            </w:r>
          </w:p>
        </w:tc>
        <w:tc>
          <w:tcPr>
            <w:tcW w:w="0" w:type="auto"/>
            <w:shd w:val="clear" w:color="auto" w:fill="CCEEFF"/>
            <w:tcMar>
              <w:top w:w="40" w:type="dxa"/>
              <w:left w:w="0" w:type="dxa"/>
              <w:bottom w:w="40" w:type="dxa"/>
              <w:right w:w="20" w:type="dxa"/>
            </w:tcMar>
            <w:vAlign w:val="bottom"/>
          </w:tcPr>
          <w:p w14:paraId="1426EF29" w14:textId="77777777" w:rsidR="00A74A1E" w:rsidRDefault="00A74A1E">
            <w:pPr>
              <w:jc w:val="right"/>
              <w:rPr>
                <w:rFonts w:ascii="宋体"/>
              </w:rPr>
            </w:pPr>
          </w:p>
        </w:tc>
      </w:tr>
      <w:tr w:rsidR="00A74A1E" w14:paraId="1426EF31" w14:textId="77777777">
        <w:trPr>
          <w:jc w:val="center"/>
        </w:trPr>
        <w:tc>
          <w:tcPr>
            <w:tcW w:w="0" w:type="auto"/>
            <w:gridSpan w:val="3"/>
            <w:shd w:val="clear" w:color="auto" w:fill="FFFFFF"/>
            <w:tcMar>
              <w:top w:w="40" w:type="dxa"/>
              <w:left w:w="720" w:type="dxa"/>
              <w:bottom w:w="40" w:type="dxa"/>
              <w:right w:w="20" w:type="dxa"/>
            </w:tcMar>
            <w:vAlign w:val="bottom"/>
          </w:tcPr>
          <w:p w14:paraId="1426EF2B" w14:textId="77777777" w:rsidR="00A74A1E" w:rsidRDefault="00807990">
            <w:pPr>
              <w:textAlignment w:val="bottom"/>
            </w:pPr>
            <w:r>
              <w:rPr>
                <w:rFonts w:ascii="Arial" w:eastAsia="宋体" w:hAnsi="Arial" w:cs="Arial"/>
                <w:color w:val="000000"/>
                <w:sz w:val="18"/>
                <w:szCs w:val="18"/>
              </w:rPr>
              <w:t>Amortization of debt discount and issuance costs</w:t>
            </w:r>
          </w:p>
        </w:tc>
        <w:tc>
          <w:tcPr>
            <w:tcW w:w="0" w:type="auto"/>
            <w:gridSpan w:val="2"/>
            <w:shd w:val="clear" w:color="auto" w:fill="FFFFFF"/>
            <w:tcMar>
              <w:top w:w="40" w:type="dxa"/>
              <w:left w:w="20" w:type="dxa"/>
              <w:bottom w:w="40" w:type="dxa"/>
              <w:right w:w="0" w:type="dxa"/>
            </w:tcMar>
            <w:vAlign w:val="bottom"/>
          </w:tcPr>
          <w:p w14:paraId="1426EF2C" w14:textId="77777777" w:rsidR="00A74A1E" w:rsidRDefault="00807990">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426EF2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2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2F" w14:textId="77777777" w:rsidR="00A74A1E" w:rsidRDefault="00807990">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426EF30" w14:textId="77777777" w:rsidR="00A74A1E" w:rsidRDefault="00A74A1E">
            <w:pPr>
              <w:jc w:val="right"/>
              <w:rPr>
                <w:rFonts w:ascii="宋体"/>
              </w:rPr>
            </w:pPr>
          </w:p>
        </w:tc>
      </w:tr>
      <w:tr w:rsidR="00A74A1E" w14:paraId="1426EF38" w14:textId="77777777">
        <w:trPr>
          <w:jc w:val="center"/>
        </w:trPr>
        <w:tc>
          <w:tcPr>
            <w:tcW w:w="0" w:type="auto"/>
            <w:gridSpan w:val="3"/>
            <w:shd w:val="clear" w:color="auto" w:fill="CCEEFF"/>
            <w:tcMar>
              <w:top w:w="40" w:type="dxa"/>
              <w:left w:w="720" w:type="dxa"/>
              <w:bottom w:w="40" w:type="dxa"/>
              <w:right w:w="20" w:type="dxa"/>
            </w:tcMar>
            <w:vAlign w:val="bottom"/>
          </w:tcPr>
          <w:p w14:paraId="1426EF32" w14:textId="77777777" w:rsidR="00A74A1E" w:rsidRDefault="00807990">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1426EF33" w14:textId="77777777" w:rsidR="00A74A1E" w:rsidRDefault="00807990">
            <w:pPr>
              <w:jc w:val="right"/>
              <w:textAlignment w:val="bottom"/>
            </w:pPr>
            <w:r>
              <w:rPr>
                <w:rFonts w:ascii="Arial" w:eastAsia="宋体" w:hAnsi="Arial" w:cs="Arial"/>
                <w:color w:val="000000"/>
                <w:sz w:val="18"/>
                <w:szCs w:val="18"/>
              </w:rPr>
              <w:t>31 </w:t>
            </w:r>
          </w:p>
        </w:tc>
        <w:tc>
          <w:tcPr>
            <w:tcW w:w="0" w:type="auto"/>
            <w:shd w:val="clear" w:color="auto" w:fill="CCEEFF"/>
            <w:tcMar>
              <w:top w:w="40" w:type="dxa"/>
              <w:left w:w="0" w:type="dxa"/>
              <w:bottom w:w="40" w:type="dxa"/>
              <w:right w:w="20" w:type="dxa"/>
            </w:tcMar>
            <w:vAlign w:val="bottom"/>
          </w:tcPr>
          <w:p w14:paraId="1426EF3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3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36" w14:textId="77777777" w:rsidR="00A74A1E" w:rsidRDefault="00807990">
            <w:pPr>
              <w:jc w:val="right"/>
              <w:textAlignment w:val="bottom"/>
            </w:pPr>
            <w:r>
              <w:rPr>
                <w:rFonts w:ascii="Arial" w:eastAsia="宋体" w:hAnsi="Arial" w:cs="Arial"/>
                <w:color w:val="000000"/>
                <w:sz w:val="18"/>
                <w:szCs w:val="18"/>
              </w:rPr>
              <w:t>27 </w:t>
            </w:r>
          </w:p>
        </w:tc>
        <w:tc>
          <w:tcPr>
            <w:tcW w:w="0" w:type="auto"/>
            <w:shd w:val="clear" w:color="auto" w:fill="CCEEFF"/>
            <w:tcMar>
              <w:top w:w="40" w:type="dxa"/>
              <w:left w:w="0" w:type="dxa"/>
              <w:bottom w:w="40" w:type="dxa"/>
              <w:right w:w="20" w:type="dxa"/>
            </w:tcMar>
            <w:vAlign w:val="bottom"/>
          </w:tcPr>
          <w:p w14:paraId="1426EF37" w14:textId="77777777" w:rsidR="00A74A1E" w:rsidRDefault="00A74A1E">
            <w:pPr>
              <w:jc w:val="right"/>
              <w:rPr>
                <w:rFonts w:ascii="宋体"/>
              </w:rPr>
            </w:pPr>
          </w:p>
        </w:tc>
      </w:tr>
      <w:tr w:rsidR="00A74A1E" w14:paraId="1426EF3F" w14:textId="77777777">
        <w:trPr>
          <w:jc w:val="center"/>
        </w:trPr>
        <w:tc>
          <w:tcPr>
            <w:tcW w:w="0" w:type="auto"/>
            <w:gridSpan w:val="3"/>
            <w:shd w:val="clear" w:color="auto" w:fill="FFFFFF"/>
            <w:tcMar>
              <w:top w:w="40" w:type="dxa"/>
              <w:left w:w="720" w:type="dxa"/>
              <w:bottom w:w="40" w:type="dxa"/>
              <w:right w:w="20" w:type="dxa"/>
            </w:tcMar>
            <w:vAlign w:val="bottom"/>
          </w:tcPr>
          <w:p w14:paraId="1426EF39" w14:textId="77777777" w:rsidR="00A74A1E" w:rsidRDefault="00807990">
            <w:pPr>
              <w:textAlignment w:val="bottom"/>
            </w:pPr>
            <w:r>
              <w:rPr>
                <w:rFonts w:ascii="Arial" w:eastAsia="宋体" w:hAnsi="Arial" w:cs="Arial"/>
                <w:color w:val="000000"/>
                <w:sz w:val="18"/>
                <w:szCs w:val="18"/>
              </w:rPr>
              <w:t>Loss on debt redemption, repurchase and conversion</w:t>
            </w:r>
          </w:p>
        </w:tc>
        <w:tc>
          <w:tcPr>
            <w:tcW w:w="0" w:type="auto"/>
            <w:gridSpan w:val="2"/>
            <w:shd w:val="clear" w:color="auto" w:fill="FFFFFF"/>
            <w:tcMar>
              <w:top w:w="40" w:type="dxa"/>
              <w:left w:w="20" w:type="dxa"/>
              <w:bottom w:w="40" w:type="dxa"/>
              <w:right w:w="0" w:type="dxa"/>
            </w:tcMar>
            <w:vAlign w:val="bottom"/>
          </w:tcPr>
          <w:p w14:paraId="1426EF3A" w14:textId="77777777" w:rsidR="00A74A1E" w:rsidRDefault="00807990">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1426EF3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3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3D" w14:textId="77777777" w:rsidR="00A74A1E" w:rsidRDefault="00807990">
            <w:pPr>
              <w:jc w:val="right"/>
              <w:textAlignment w:val="bottom"/>
            </w:pPr>
            <w:r>
              <w:rPr>
                <w:rFonts w:ascii="Arial" w:eastAsia="宋体" w:hAnsi="Arial" w:cs="Arial"/>
                <w:color w:val="000000"/>
                <w:sz w:val="18"/>
                <w:szCs w:val="18"/>
              </w:rPr>
              <w:t>48 </w:t>
            </w:r>
          </w:p>
        </w:tc>
        <w:tc>
          <w:tcPr>
            <w:tcW w:w="0" w:type="auto"/>
            <w:shd w:val="clear" w:color="auto" w:fill="FFFFFF"/>
            <w:tcMar>
              <w:top w:w="40" w:type="dxa"/>
              <w:left w:w="0" w:type="dxa"/>
              <w:bottom w:w="40" w:type="dxa"/>
              <w:right w:w="20" w:type="dxa"/>
            </w:tcMar>
            <w:vAlign w:val="bottom"/>
          </w:tcPr>
          <w:p w14:paraId="1426EF3E" w14:textId="77777777" w:rsidR="00A74A1E" w:rsidRDefault="00A74A1E">
            <w:pPr>
              <w:jc w:val="right"/>
              <w:rPr>
                <w:rFonts w:ascii="宋体"/>
              </w:rPr>
            </w:pPr>
          </w:p>
        </w:tc>
      </w:tr>
      <w:tr w:rsidR="00A74A1E" w14:paraId="1426EF46" w14:textId="77777777">
        <w:trPr>
          <w:jc w:val="center"/>
        </w:trPr>
        <w:tc>
          <w:tcPr>
            <w:tcW w:w="0" w:type="auto"/>
            <w:gridSpan w:val="3"/>
            <w:shd w:val="clear" w:color="auto" w:fill="CCEEFF"/>
            <w:tcMar>
              <w:top w:w="40" w:type="dxa"/>
              <w:left w:w="720" w:type="dxa"/>
              <w:bottom w:w="40" w:type="dxa"/>
              <w:right w:w="20" w:type="dxa"/>
            </w:tcMar>
            <w:vAlign w:val="bottom"/>
          </w:tcPr>
          <w:p w14:paraId="1426EF40" w14:textId="77777777" w:rsidR="00A74A1E" w:rsidRDefault="00807990">
            <w:pPr>
              <w:textAlignment w:val="bottom"/>
            </w:pPr>
            <w:r>
              <w:rPr>
                <w:rFonts w:ascii="Arial" w:eastAsia="宋体" w:hAnsi="Arial" w:cs="Arial"/>
                <w:color w:val="000000"/>
                <w:sz w:val="18"/>
                <w:szCs w:val="18"/>
              </w:rPr>
              <w:t>Loss on sale/disposal of property and equipment</w:t>
            </w:r>
          </w:p>
        </w:tc>
        <w:tc>
          <w:tcPr>
            <w:tcW w:w="0" w:type="auto"/>
            <w:gridSpan w:val="2"/>
            <w:shd w:val="clear" w:color="auto" w:fill="CCEEFF"/>
            <w:tcMar>
              <w:top w:w="40" w:type="dxa"/>
              <w:left w:w="20" w:type="dxa"/>
              <w:bottom w:w="40" w:type="dxa"/>
              <w:right w:w="0" w:type="dxa"/>
            </w:tcMar>
            <w:vAlign w:val="bottom"/>
          </w:tcPr>
          <w:p w14:paraId="1426EF41" w14:textId="77777777" w:rsidR="00A74A1E" w:rsidRDefault="00807990">
            <w:pPr>
              <w:jc w:val="right"/>
              <w:textAlignment w:val="bottom"/>
            </w:pPr>
            <w:r>
              <w:rPr>
                <w:rFonts w:ascii="Arial" w:eastAsia="宋体" w:hAnsi="Arial" w:cs="Arial"/>
                <w:color w:val="000000"/>
                <w:sz w:val="18"/>
                <w:szCs w:val="18"/>
              </w:rPr>
              <w:t>28 </w:t>
            </w:r>
          </w:p>
        </w:tc>
        <w:tc>
          <w:tcPr>
            <w:tcW w:w="0" w:type="auto"/>
            <w:shd w:val="clear" w:color="auto" w:fill="CCEEFF"/>
            <w:tcMar>
              <w:top w:w="40" w:type="dxa"/>
              <w:left w:w="0" w:type="dxa"/>
              <w:bottom w:w="40" w:type="dxa"/>
              <w:right w:w="20" w:type="dxa"/>
            </w:tcMar>
            <w:vAlign w:val="bottom"/>
          </w:tcPr>
          <w:p w14:paraId="1426EF4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4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44" w14:textId="77777777" w:rsidR="00A74A1E" w:rsidRDefault="00807990">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1426EF45" w14:textId="77777777" w:rsidR="00A74A1E" w:rsidRDefault="00A74A1E">
            <w:pPr>
              <w:jc w:val="right"/>
              <w:rPr>
                <w:rFonts w:ascii="宋体"/>
              </w:rPr>
            </w:pPr>
          </w:p>
        </w:tc>
      </w:tr>
      <w:tr w:rsidR="00A74A1E" w14:paraId="1426EF4D" w14:textId="77777777">
        <w:trPr>
          <w:jc w:val="center"/>
        </w:trPr>
        <w:tc>
          <w:tcPr>
            <w:tcW w:w="0" w:type="auto"/>
            <w:gridSpan w:val="3"/>
            <w:shd w:val="clear" w:color="auto" w:fill="FFFFFF"/>
            <w:tcMar>
              <w:top w:w="40" w:type="dxa"/>
              <w:left w:w="720" w:type="dxa"/>
              <w:bottom w:w="40" w:type="dxa"/>
              <w:right w:w="20" w:type="dxa"/>
            </w:tcMar>
            <w:vAlign w:val="bottom"/>
          </w:tcPr>
          <w:p w14:paraId="1426EF47" w14:textId="77777777" w:rsidR="00A74A1E" w:rsidRDefault="00807990">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426EF48" w14:textId="77777777" w:rsidR="00A74A1E" w:rsidRDefault="00807990">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426EF4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4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4B" w14:textId="77777777" w:rsidR="00A74A1E" w:rsidRDefault="00807990">
            <w:pPr>
              <w:jc w:val="right"/>
              <w:textAlignment w:val="bottom"/>
            </w:pPr>
            <w:r>
              <w:rPr>
                <w:rFonts w:ascii="Arial" w:eastAsia="宋体" w:hAnsi="Arial" w:cs="Arial"/>
                <w:color w:val="000000"/>
                <w:sz w:val="18"/>
                <w:szCs w:val="18"/>
              </w:rPr>
              <w:t>(13)</w:t>
            </w:r>
          </w:p>
        </w:tc>
        <w:tc>
          <w:tcPr>
            <w:tcW w:w="0" w:type="auto"/>
            <w:shd w:val="clear" w:color="auto" w:fill="FFFFFF"/>
            <w:tcMar>
              <w:top w:w="40" w:type="dxa"/>
              <w:left w:w="0" w:type="dxa"/>
              <w:bottom w:w="40" w:type="dxa"/>
              <w:right w:w="20" w:type="dxa"/>
            </w:tcMar>
            <w:vAlign w:val="bottom"/>
          </w:tcPr>
          <w:p w14:paraId="1426EF4C" w14:textId="77777777" w:rsidR="00A74A1E" w:rsidRDefault="00A74A1E">
            <w:pPr>
              <w:jc w:val="right"/>
              <w:rPr>
                <w:rFonts w:ascii="宋体"/>
              </w:rPr>
            </w:pPr>
          </w:p>
        </w:tc>
      </w:tr>
      <w:tr w:rsidR="00A74A1E" w14:paraId="1426EF52" w14:textId="77777777">
        <w:trPr>
          <w:jc w:val="center"/>
        </w:trPr>
        <w:tc>
          <w:tcPr>
            <w:tcW w:w="0" w:type="auto"/>
            <w:gridSpan w:val="3"/>
            <w:shd w:val="clear" w:color="auto" w:fill="CCEEFF"/>
            <w:tcMar>
              <w:top w:w="40" w:type="dxa"/>
              <w:left w:w="360" w:type="dxa"/>
              <w:bottom w:w="40" w:type="dxa"/>
              <w:right w:w="20" w:type="dxa"/>
            </w:tcMar>
            <w:vAlign w:val="bottom"/>
          </w:tcPr>
          <w:p w14:paraId="1426EF4E" w14:textId="77777777" w:rsidR="00A74A1E" w:rsidRDefault="00807990">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tcPr>
          <w:p w14:paraId="1426EF4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5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51" w14:textId="77777777" w:rsidR="00A74A1E" w:rsidRDefault="00A74A1E">
            <w:pPr>
              <w:rPr>
                <w:rFonts w:ascii="宋体"/>
              </w:rPr>
            </w:pPr>
          </w:p>
        </w:tc>
      </w:tr>
      <w:tr w:rsidR="00A74A1E" w14:paraId="1426EF59" w14:textId="77777777">
        <w:trPr>
          <w:jc w:val="center"/>
        </w:trPr>
        <w:tc>
          <w:tcPr>
            <w:tcW w:w="0" w:type="auto"/>
            <w:gridSpan w:val="3"/>
            <w:shd w:val="clear" w:color="auto" w:fill="FFFFFF"/>
            <w:tcMar>
              <w:top w:w="40" w:type="dxa"/>
              <w:left w:w="720" w:type="dxa"/>
              <w:bottom w:w="40" w:type="dxa"/>
              <w:right w:w="20" w:type="dxa"/>
            </w:tcMar>
            <w:vAlign w:val="bottom"/>
          </w:tcPr>
          <w:p w14:paraId="1426EF53" w14:textId="77777777" w:rsidR="00A74A1E" w:rsidRDefault="00807990">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1426EF54" w14:textId="77777777" w:rsidR="00A74A1E" w:rsidRDefault="00807990">
            <w:pPr>
              <w:jc w:val="right"/>
              <w:textAlignment w:val="bottom"/>
            </w:pPr>
            <w:r>
              <w:rPr>
                <w:rFonts w:ascii="Arial" w:eastAsia="宋体" w:hAnsi="Arial" w:cs="Arial"/>
                <w:color w:val="000000"/>
                <w:sz w:val="18"/>
                <w:szCs w:val="18"/>
              </w:rPr>
              <w:t>(287)</w:t>
            </w:r>
          </w:p>
        </w:tc>
        <w:tc>
          <w:tcPr>
            <w:tcW w:w="0" w:type="auto"/>
            <w:shd w:val="clear" w:color="auto" w:fill="FFFFFF"/>
            <w:tcMar>
              <w:top w:w="40" w:type="dxa"/>
              <w:left w:w="0" w:type="dxa"/>
              <w:bottom w:w="40" w:type="dxa"/>
              <w:right w:w="20" w:type="dxa"/>
            </w:tcMar>
            <w:vAlign w:val="bottom"/>
          </w:tcPr>
          <w:p w14:paraId="1426EF5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56"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57" w14:textId="77777777" w:rsidR="00A74A1E" w:rsidRDefault="00807990">
            <w:pPr>
              <w:jc w:val="right"/>
              <w:textAlignment w:val="bottom"/>
            </w:pPr>
            <w:r>
              <w:rPr>
                <w:rFonts w:ascii="Arial" w:eastAsia="宋体" w:hAnsi="Arial" w:cs="Arial"/>
                <w:color w:val="000000"/>
                <w:sz w:val="18"/>
                <w:szCs w:val="18"/>
              </w:rPr>
              <w:t>(158)</w:t>
            </w:r>
          </w:p>
        </w:tc>
        <w:tc>
          <w:tcPr>
            <w:tcW w:w="0" w:type="auto"/>
            <w:shd w:val="clear" w:color="auto" w:fill="FFFFFF"/>
            <w:tcMar>
              <w:top w:w="40" w:type="dxa"/>
              <w:left w:w="0" w:type="dxa"/>
              <w:bottom w:w="40" w:type="dxa"/>
              <w:right w:w="20" w:type="dxa"/>
            </w:tcMar>
            <w:vAlign w:val="bottom"/>
          </w:tcPr>
          <w:p w14:paraId="1426EF58" w14:textId="77777777" w:rsidR="00A74A1E" w:rsidRDefault="00A74A1E">
            <w:pPr>
              <w:jc w:val="right"/>
              <w:rPr>
                <w:rFonts w:ascii="宋体"/>
              </w:rPr>
            </w:pPr>
          </w:p>
        </w:tc>
      </w:tr>
      <w:tr w:rsidR="00A74A1E" w14:paraId="1426EF60" w14:textId="77777777">
        <w:trPr>
          <w:jc w:val="center"/>
        </w:trPr>
        <w:tc>
          <w:tcPr>
            <w:tcW w:w="0" w:type="auto"/>
            <w:gridSpan w:val="3"/>
            <w:shd w:val="clear" w:color="auto" w:fill="CCEEFF"/>
            <w:tcMar>
              <w:top w:w="40" w:type="dxa"/>
              <w:left w:w="720" w:type="dxa"/>
              <w:bottom w:w="40" w:type="dxa"/>
              <w:right w:w="20" w:type="dxa"/>
            </w:tcMar>
            <w:vAlign w:val="bottom"/>
          </w:tcPr>
          <w:p w14:paraId="1426EF5A" w14:textId="77777777" w:rsidR="00A74A1E" w:rsidRDefault="00807990">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1426EF5B" w14:textId="77777777" w:rsidR="00A74A1E" w:rsidRDefault="00807990">
            <w:pPr>
              <w:jc w:val="right"/>
              <w:textAlignment w:val="bottom"/>
            </w:pPr>
            <w:r>
              <w:rPr>
                <w:rFonts w:ascii="Arial" w:eastAsia="宋体" w:hAnsi="Arial" w:cs="Arial"/>
                <w:color w:val="000000"/>
                <w:sz w:val="18"/>
                <w:szCs w:val="18"/>
              </w:rPr>
              <w:t>(310)</w:t>
            </w:r>
          </w:p>
        </w:tc>
        <w:tc>
          <w:tcPr>
            <w:tcW w:w="0" w:type="auto"/>
            <w:shd w:val="clear" w:color="auto" w:fill="CCEEFF"/>
            <w:tcMar>
              <w:top w:w="40" w:type="dxa"/>
              <w:left w:w="0" w:type="dxa"/>
              <w:bottom w:w="40" w:type="dxa"/>
              <w:right w:w="20" w:type="dxa"/>
            </w:tcMar>
            <w:vAlign w:val="bottom"/>
          </w:tcPr>
          <w:p w14:paraId="1426EF5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5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5E" w14:textId="77777777" w:rsidR="00A74A1E" w:rsidRDefault="00807990">
            <w:pPr>
              <w:jc w:val="right"/>
              <w:textAlignment w:val="bottom"/>
            </w:pPr>
            <w:r>
              <w:rPr>
                <w:rFonts w:ascii="Arial" w:eastAsia="宋体" w:hAnsi="Arial" w:cs="Arial"/>
                <w:color w:val="000000"/>
                <w:sz w:val="18"/>
                <w:szCs w:val="18"/>
              </w:rPr>
              <w:t>(195)</w:t>
            </w:r>
          </w:p>
        </w:tc>
        <w:tc>
          <w:tcPr>
            <w:tcW w:w="0" w:type="auto"/>
            <w:shd w:val="clear" w:color="auto" w:fill="CCEEFF"/>
            <w:tcMar>
              <w:top w:w="40" w:type="dxa"/>
              <w:left w:w="0" w:type="dxa"/>
              <w:bottom w:w="40" w:type="dxa"/>
              <w:right w:w="20" w:type="dxa"/>
            </w:tcMar>
            <w:vAlign w:val="bottom"/>
          </w:tcPr>
          <w:p w14:paraId="1426EF5F" w14:textId="77777777" w:rsidR="00A74A1E" w:rsidRDefault="00A74A1E">
            <w:pPr>
              <w:jc w:val="right"/>
              <w:rPr>
                <w:rFonts w:ascii="宋体"/>
              </w:rPr>
            </w:pPr>
          </w:p>
        </w:tc>
      </w:tr>
      <w:tr w:rsidR="00A74A1E" w14:paraId="1426EF67" w14:textId="77777777">
        <w:trPr>
          <w:jc w:val="center"/>
        </w:trPr>
        <w:tc>
          <w:tcPr>
            <w:tcW w:w="0" w:type="auto"/>
            <w:gridSpan w:val="3"/>
            <w:shd w:val="clear" w:color="auto" w:fill="FFFFFF"/>
            <w:tcMar>
              <w:top w:w="40" w:type="dxa"/>
              <w:left w:w="720" w:type="dxa"/>
              <w:bottom w:w="40" w:type="dxa"/>
              <w:right w:w="20" w:type="dxa"/>
            </w:tcMar>
            <w:vAlign w:val="bottom"/>
          </w:tcPr>
          <w:p w14:paraId="1426EF61" w14:textId="77777777" w:rsidR="00A74A1E" w:rsidRDefault="00807990">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1426EF62" w14:textId="77777777" w:rsidR="00A74A1E" w:rsidRDefault="00807990">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1426EF6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64"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65" w14:textId="77777777" w:rsidR="00A74A1E" w:rsidRDefault="00807990">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1426EF66" w14:textId="77777777" w:rsidR="00A74A1E" w:rsidRDefault="00A74A1E">
            <w:pPr>
              <w:jc w:val="right"/>
              <w:rPr>
                <w:rFonts w:ascii="宋体"/>
              </w:rPr>
            </w:pPr>
          </w:p>
        </w:tc>
      </w:tr>
      <w:tr w:rsidR="00A74A1E" w14:paraId="1426EF6E" w14:textId="77777777">
        <w:trPr>
          <w:jc w:val="center"/>
        </w:trPr>
        <w:tc>
          <w:tcPr>
            <w:tcW w:w="0" w:type="auto"/>
            <w:gridSpan w:val="3"/>
            <w:shd w:val="clear" w:color="auto" w:fill="CCEEFF"/>
            <w:tcMar>
              <w:top w:w="40" w:type="dxa"/>
              <w:left w:w="720" w:type="dxa"/>
              <w:bottom w:w="40" w:type="dxa"/>
              <w:right w:w="20" w:type="dxa"/>
            </w:tcMar>
            <w:vAlign w:val="bottom"/>
          </w:tcPr>
          <w:p w14:paraId="1426EF68" w14:textId="77777777" w:rsidR="00A74A1E" w:rsidRDefault="00807990">
            <w:pPr>
              <w:textAlignment w:val="bottom"/>
            </w:pPr>
            <w:r>
              <w:rPr>
                <w:rFonts w:ascii="Arial" w:eastAsia="宋体" w:hAnsi="Arial" w:cs="Arial"/>
                <w:color w:val="000000"/>
                <w:sz w:val="18"/>
                <w:szCs w:val="18"/>
              </w:rPr>
              <w:t xml:space="preserve">Prepaid </w:t>
            </w:r>
            <w:r>
              <w:rPr>
                <w:rFonts w:ascii="Arial" w:eastAsia="宋体" w:hAnsi="Arial" w:cs="Arial"/>
                <w:color w:val="000000"/>
                <w:sz w:val="18"/>
                <w:szCs w:val="18"/>
              </w:rPr>
              <w:t>expenses and other assets</w:t>
            </w:r>
          </w:p>
        </w:tc>
        <w:tc>
          <w:tcPr>
            <w:tcW w:w="0" w:type="auto"/>
            <w:gridSpan w:val="2"/>
            <w:shd w:val="clear" w:color="auto" w:fill="CCEEFF"/>
            <w:tcMar>
              <w:top w:w="40" w:type="dxa"/>
              <w:left w:w="20" w:type="dxa"/>
              <w:bottom w:w="40" w:type="dxa"/>
              <w:right w:w="0" w:type="dxa"/>
            </w:tcMar>
            <w:vAlign w:val="bottom"/>
          </w:tcPr>
          <w:p w14:paraId="1426EF69" w14:textId="77777777" w:rsidR="00A74A1E" w:rsidRDefault="00807990">
            <w:pPr>
              <w:jc w:val="right"/>
              <w:textAlignment w:val="bottom"/>
            </w:pPr>
            <w:r>
              <w:rPr>
                <w:rFonts w:ascii="Arial" w:eastAsia="宋体" w:hAnsi="Arial" w:cs="Arial"/>
                <w:color w:val="000000"/>
                <w:sz w:val="18"/>
                <w:szCs w:val="18"/>
              </w:rPr>
              <w:t>(172)</w:t>
            </w:r>
          </w:p>
        </w:tc>
        <w:tc>
          <w:tcPr>
            <w:tcW w:w="0" w:type="auto"/>
            <w:shd w:val="clear" w:color="auto" w:fill="CCEEFF"/>
            <w:tcMar>
              <w:top w:w="40" w:type="dxa"/>
              <w:left w:w="0" w:type="dxa"/>
              <w:bottom w:w="40" w:type="dxa"/>
              <w:right w:w="20" w:type="dxa"/>
            </w:tcMar>
            <w:vAlign w:val="bottom"/>
          </w:tcPr>
          <w:p w14:paraId="1426EF6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6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6C" w14:textId="77777777" w:rsidR="00A74A1E" w:rsidRDefault="00807990">
            <w:pPr>
              <w:jc w:val="right"/>
              <w:textAlignment w:val="bottom"/>
            </w:pPr>
            <w:r>
              <w:rPr>
                <w:rFonts w:ascii="Arial" w:eastAsia="宋体" w:hAnsi="Arial" w:cs="Arial"/>
                <w:color w:val="000000"/>
                <w:sz w:val="18"/>
                <w:szCs w:val="18"/>
              </w:rPr>
              <w:t>(32)</w:t>
            </w:r>
          </w:p>
        </w:tc>
        <w:tc>
          <w:tcPr>
            <w:tcW w:w="0" w:type="auto"/>
            <w:shd w:val="clear" w:color="auto" w:fill="CCEEFF"/>
            <w:tcMar>
              <w:top w:w="40" w:type="dxa"/>
              <w:left w:w="0" w:type="dxa"/>
              <w:bottom w:w="40" w:type="dxa"/>
              <w:right w:w="20" w:type="dxa"/>
            </w:tcMar>
            <w:vAlign w:val="bottom"/>
          </w:tcPr>
          <w:p w14:paraId="1426EF6D" w14:textId="77777777" w:rsidR="00A74A1E" w:rsidRDefault="00A74A1E">
            <w:pPr>
              <w:jc w:val="right"/>
              <w:rPr>
                <w:rFonts w:ascii="宋体"/>
              </w:rPr>
            </w:pPr>
          </w:p>
        </w:tc>
      </w:tr>
      <w:tr w:rsidR="00A74A1E" w14:paraId="1426EF75" w14:textId="77777777">
        <w:trPr>
          <w:jc w:val="center"/>
        </w:trPr>
        <w:tc>
          <w:tcPr>
            <w:tcW w:w="0" w:type="auto"/>
            <w:gridSpan w:val="3"/>
            <w:shd w:val="clear" w:color="auto" w:fill="FFFFFF"/>
            <w:tcMar>
              <w:top w:w="40" w:type="dxa"/>
              <w:left w:w="720" w:type="dxa"/>
              <w:bottom w:w="40" w:type="dxa"/>
              <w:right w:w="20" w:type="dxa"/>
            </w:tcMar>
            <w:vAlign w:val="bottom"/>
          </w:tcPr>
          <w:p w14:paraId="1426EF6F" w14:textId="77777777" w:rsidR="00A74A1E" w:rsidRDefault="00807990">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1426EF70" w14:textId="77777777" w:rsidR="00A74A1E" w:rsidRDefault="00807990">
            <w:pPr>
              <w:jc w:val="right"/>
              <w:textAlignment w:val="bottom"/>
            </w:pPr>
            <w:r>
              <w:rPr>
                <w:rFonts w:ascii="Arial" w:eastAsia="宋体" w:hAnsi="Arial" w:cs="Arial"/>
                <w:color w:val="000000"/>
                <w:sz w:val="18"/>
                <w:szCs w:val="18"/>
              </w:rPr>
              <w:t>(98)</w:t>
            </w:r>
          </w:p>
        </w:tc>
        <w:tc>
          <w:tcPr>
            <w:tcW w:w="0" w:type="auto"/>
            <w:shd w:val="clear" w:color="auto" w:fill="FFFFFF"/>
            <w:tcMar>
              <w:top w:w="40" w:type="dxa"/>
              <w:left w:w="0" w:type="dxa"/>
              <w:bottom w:w="40" w:type="dxa"/>
              <w:right w:w="20" w:type="dxa"/>
            </w:tcMar>
            <w:vAlign w:val="bottom"/>
          </w:tcPr>
          <w:p w14:paraId="1426EF7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7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73" w14:textId="77777777" w:rsidR="00A74A1E" w:rsidRDefault="00807990">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1426EF74" w14:textId="77777777" w:rsidR="00A74A1E" w:rsidRDefault="00A74A1E">
            <w:pPr>
              <w:jc w:val="right"/>
              <w:rPr>
                <w:rFonts w:ascii="宋体"/>
              </w:rPr>
            </w:pPr>
          </w:p>
        </w:tc>
      </w:tr>
      <w:tr w:rsidR="00A74A1E" w14:paraId="1426EF7C" w14:textId="77777777">
        <w:trPr>
          <w:jc w:val="center"/>
        </w:trPr>
        <w:tc>
          <w:tcPr>
            <w:tcW w:w="0" w:type="auto"/>
            <w:gridSpan w:val="3"/>
            <w:shd w:val="clear" w:color="auto" w:fill="CCEEFF"/>
            <w:tcMar>
              <w:top w:w="40" w:type="dxa"/>
              <w:left w:w="720" w:type="dxa"/>
              <w:bottom w:w="40" w:type="dxa"/>
              <w:right w:w="20" w:type="dxa"/>
            </w:tcMar>
            <w:vAlign w:val="bottom"/>
          </w:tcPr>
          <w:p w14:paraId="1426EF76" w14:textId="77777777" w:rsidR="00A74A1E" w:rsidRDefault="00807990">
            <w:pPr>
              <w:textAlignment w:val="bottom"/>
            </w:pPr>
            <w:r>
              <w:rPr>
                <w:rFonts w:ascii="Arial" w:eastAsia="宋体" w:hAnsi="Arial" w:cs="Arial"/>
                <w:color w:val="000000"/>
                <w:sz w:val="18"/>
                <w:szCs w:val="18"/>
              </w:rPr>
              <w:t>Accounts payable, accrued liabilities and other</w:t>
            </w:r>
          </w:p>
        </w:tc>
        <w:tc>
          <w:tcPr>
            <w:tcW w:w="0" w:type="auto"/>
            <w:gridSpan w:val="2"/>
            <w:shd w:val="clear" w:color="auto" w:fill="CCEEFF"/>
            <w:tcMar>
              <w:top w:w="40" w:type="dxa"/>
              <w:left w:w="20" w:type="dxa"/>
              <w:bottom w:w="40" w:type="dxa"/>
              <w:right w:w="0" w:type="dxa"/>
            </w:tcMar>
            <w:vAlign w:val="bottom"/>
          </w:tcPr>
          <w:p w14:paraId="1426EF77" w14:textId="77777777" w:rsidR="00A74A1E" w:rsidRDefault="00807990">
            <w:pPr>
              <w:jc w:val="right"/>
              <w:textAlignment w:val="bottom"/>
            </w:pPr>
            <w:r>
              <w:rPr>
                <w:rFonts w:ascii="Arial" w:eastAsia="宋体" w:hAnsi="Arial" w:cs="Arial"/>
                <w:color w:val="000000"/>
                <w:sz w:val="18"/>
                <w:szCs w:val="18"/>
              </w:rPr>
              <w:t>121 </w:t>
            </w:r>
          </w:p>
        </w:tc>
        <w:tc>
          <w:tcPr>
            <w:tcW w:w="0" w:type="auto"/>
            <w:shd w:val="clear" w:color="auto" w:fill="CCEEFF"/>
            <w:tcMar>
              <w:top w:w="40" w:type="dxa"/>
              <w:left w:w="0" w:type="dxa"/>
              <w:bottom w:w="40" w:type="dxa"/>
              <w:right w:w="20" w:type="dxa"/>
            </w:tcMar>
            <w:vAlign w:val="bottom"/>
          </w:tcPr>
          <w:p w14:paraId="1426EF7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7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7A" w14:textId="77777777" w:rsidR="00A74A1E" w:rsidRDefault="00807990">
            <w:pPr>
              <w:jc w:val="right"/>
              <w:textAlignment w:val="bottom"/>
            </w:pPr>
            <w:r>
              <w:rPr>
                <w:rFonts w:ascii="Arial" w:eastAsia="宋体" w:hAnsi="Arial" w:cs="Arial"/>
                <w:color w:val="000000"/>
                <w:sz w:val="18"/>
                <w:szCs w:val="18"/>
              </w:rPr>
              <w:t>(179)</w:t>
            </w:r>
          </w:p>
        </w:tc>
        <w:tc>
          <w:tcPr>
            <w:tcW w:w="0" w:type="auto"/>
            <w:shd w:val="clear" w:color="auto" w:fill="CCEEFF"/>
            <w:tcMar>
              <w:top w:w="40" w:type="dxa"/>
              <w:left w:w="0" w:type="dxa"/>
              <w:bottom w:w="40" w:type="dxa"/>
              <w:right w:w="20" w:type="dxa"/>
            </w:tcMar>
            <w:vAlign w:val="bottom"/>
          </w:tcPr>
          <w:p w14:paraId="1426EF7B" w14:textId="77777777" w:rsidR="00A74A1E" w:rsidRDefault="00A74A1E">
            <w:pPr>
              <w:jc w:val="right"/>
              <w:rPr>
                <w:rFonts w:ascii="宋体"/>
              </w:rPr>
            </w:pPr>
          </w:p>
        </w:tc>
      </w:tr>
      <w:tr w:rsidR="00A74A1E" w14:paraId="1426EF83" w14:textId="77777777">
        <w:trPr>
          <w:jc w:val="center"/>
        </w:trPr>
        <w:tc>
          <w:tcPr>
            <w:tcW w:w="0" w:type="auto"/>
            <w:gridSpan w:val="3"/>
            <w:shd w:val="clear" w:color="auto" w:fill="FFFFFF"/>
            <w:tcMar>
              <w:top w:w="40" w:type="dxa"/>
              <w:left w:w="20" w:type="dxa"/>
              <w:bottom w:w="40" w:type="dxa"/>
              <w:right w:w="20" w:type="dxa"/>
            </w:tcMar>
            <w:vAlign w:val="bottom"/>
          </w:tcPr>
          <w:p w14:paraId="1426EF7D" w14:textId="77777777" w:rsidR="00A74A1E" w:rsidRDefault="00807990">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F7E" w14:textId="77777777" w:rsidR="00A74A1E" w:rsidRDefault="00807990">
            <w:pPr>
              <w:jc w:val="right"/>
              <w:textAlignment w:val="bottom"/>
            </w:pPr>
            <w:r>
              <w:rPr>
                <w:rFonts w:ascii="Arial" w:eastAsia="宋体" w:hAnsi="Arial" w:cs="Arial"/>
                <w:color w:val="000000"/>
                <w:sz w:val="18"/>
                <w:szCs w:val="18"/>
              </w:rPr>
              <w:t>517 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F7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80"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F81" w14:textId="77777777" w:rsidR="00A74A1E" w:rsidRDefault="00807990">
            <w:pPr>
              <w:jc w:val="right"/>
              <w:textAlignment w:val="bottom"/>
            </w:pPr>
            <w:r>
              <w:rPr>
                <w:rFonts w:ascii="Arial" w:eastAsia="宋体" w:hAnsi="Arial" w:cs="Arial"/>
                <w:color w:val="000000"/>
                <w:sz w:val="18"/>
                <w:szCs w:val="18"/>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F82" w14:textId="77777777" w:rsidR="00A74A1E" w:rsidRDefault="00A74A1E">
            <w:pPr>
              <w:jc w:val="right"/>
              <w:rPr>
                <w:rFonts w:ascii="宋体"/>
              </w:rPr>
            </w:pPr>
          </w:p>
        </w:tc>
      </w:tr>
      <w:tr w:rsidR="00A74A1E" w14:paraId="1426EF88" w14:textId="77777777">
        <w:trPr>
          <w:jc w:val="center"/>
        </w:trPr>
        <w:tc>
          <w:tcPr>
            <w:tcW w:w="0" w:type="auto"/>
            <w:gridSpan w:val="3"/>
            <w:shd w:val="clear" w:color="auto" w:fill="CCEEFF"/>
            <w:tcMar>
              <w:top w:w="40" w:type="dxa"/>
              <w:left w:w="20" w:type="dxa"/>
              <w:bottom w:w="40" w:type="dxa"/>
              <w:right w:w="20" w:type="dxa"/>
            </w:tcMar>
            <w:vAlign w:val="bottom"/>
          </w:tcPr>
          <w:p w14:paraId="1426EF84" w14:textId="77777777" w:rsidR="00A74A1E" w:rsidRDefault="00807990">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1426EF85"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EF86"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EF87" w14:textId="77777777" w:rsidR="00A74A1E" w:rsidRDefault="00A74A1E">
            <w:pPr>
              <w:rPr>
                <w:rFonts w:ascii="宋体"/>
              </w:rPr>
            </w:pPr>
          </w:p>
        </w:tc>
      </w:tr>
      <w:tr w:rsidR="00A74A1E" w14:paraId="1426EF8F" w14:textId="77777777">
        <w:trPr>
          <w:jc w:val="center"/>
        </w:trPr>
        <w:tc>
          <w:tcPr>
            <w:tcW w:w="0" w:type="auto"/>
            <w:gridSpan w:val="3"/>
            <w:shd w:val="clear" w:color="auto" w:fill="FFFFFF"/>
            <w:tcMar>
              <w:top w:w="40" w:type="dxa"/>
              <w:left w:w="360" w:type="dxa"/>
              <w:bottom w:w="40" w:type="dxa"/>
              <w:right w:w="20" w:type="dxa"/>
            </w:tcMar>
            <w:vAlign w:val="bottom"/>
          </w:tcPr>
          <w:p w14:paraId="1426EF89" w14:textId="77777777" w:rsidR="00A74A1E" w:rsidRDefault="00807990">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1426EF8A" w14:textId="77777777" w:rsidR="00A74A1E" w:rsidRDefault="00807990">
            <w:pPr>
              <w:jc w:val="right"/>
              <w:textAlignment w:val="bottom"/>
            </w:pPr>
            <w:r>
              <w:rPr>
                <w:rFonts w:ascii="Arial" w:eastAsia="宋体" w:hAnsi="Arial" w:cs="Arial"/>
                <w:color w:val="000000"/>
                <w:sz w:val="18"/>
                <w:szCs w:val="18"/>
              </w:rPr>
              <w:t>(220)</w:t>
            </w:r>
          </w:p>
        </w:tc>
        <w:tc>
          <w:tcPr>
            <w:tcW w:w="0" w:type="auto"/>
            <w:shd w:val="clear" w:color="auto" w:fill="FFFFFF"/>
            <w:tcMar>
              <w:top w:w="40" w:type="dxa"/>
              <w:left w:w="0" w:type="dxa"/>
              <w:bottom w:w="40" w:type="dxa"/>
              <w:right w:w="20" w:type="dxa"/>
            </w:tcMar>
            <w:vAlign w:val="bottom"/>
          </w:tcPr>
          <w:p w14:paraId="1426EF8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8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8D" w14:textId="77777777" w:rsidR="00A74A1E" w:rsidRDefault="00807990">
            <w:pPr>
              <w:jc w:val="right"/>
              <w:textAlignment w:val="bottom"/>
            </w:pPr>
            <w:r>
              <w:rPr>
                <w:rFonts w:ascii="Arial" w:eastAsia="宋体" w:hAnsi="Arial" w:cs="Arial"/>
                <w:color w:val="000000"/>
                <w:sz w:val="18"/>
                <w:szCs w:val="18"/>
              </w:rPr>
              <w:t>(175)</w:t>
            </w:r>
          </w:p>
        </w:tc>
        <w:tc>
          <w:tcPr>
            <w:tcW w:w="0" w:type="auto"/>
            <w:shd w:val="clear" w:color="auto" w:fill="FFFFFF"/>
            <w:tcMar>
              <w:top w:w="40" w:type="dxa"/>
              <w:left w:w="0" w:type="dxa"/>
              <w:bottom w:w="40" w:type="dxa"/>
              <w:right w:w="20" w:type="dxa"/>
            </w:tcMar>
            <w:vAlign w:val="bottom"/>
          </w:tcPr>
          <w:p w14:paraId="1426EF8E" w14:textId="77777777" w:rsidR="00A74A1E" w:rsidRDefault="00A74A1E">
            <w:pPr>
              <w:jc w:val="right"/>
              <w:rPr>
                <w:rFonts w:ascii="宋体"/>
              </w:rPr>
            </w:pPr>
          </w:p>
        </w:tc>
      </w:tr>
      <w:tr w:rsidR="00A74A1E" w14:paraId="1426EF96" w14:textId="77777777">
        <w:trPr>
          <w:jc w:val="center"/>
        </w:trPr>
        <w:tc>
          <w:tcPr>
            <w:tcW w:w="0" w:type="auto"/>
            <w:gridSpan w:val="3"/>
            <w:shd w:val="clear" w:color="auto" w:fill="CCEEFF"/>
            <w:tcMar>
              <w:top w:w="40" w:type="dxa"/>
              <w:left w:w="20" w:type="dxa"/>
              <w:bottom w:w="40" w:type="dxa"/>
              <w:right w:w="20" w:type="dxa"/>
            </w:tcMar>
            <w:vAlign w:val="bottom"/>
          </w:tcPr>
          <w:p w14:paraId="1426EF90" w14:textId="77777777" w:rsidR="00A74A1E" w:rsidRDefault="00807990">
            <w:pPr>
              <w:textAlignment w:val="bottom"/>
            </w:pPr>
            <w:r>
              <w:rPr>
                <w:rFonts w:ascii="Arial" w:eastAsia="宋体" w:hAnsi="Arial" w:cs="Arial"/>
                <w:color w:val="000000"/>
                <w:sz w:val="18"/>
                <w:szCs w:val="18"/>
              </w:rPr>
              <w:t>Purchases of short-term investments</w:t>
            </w:r>
          </w:p>
        </w:tc>
        <w:tc>
          <w:tcPr>
            <w:tcW w:w="0" w:type="auto"/>
            <w:gridSpan w:val="2"/>
            <w:shd w:val="clear" w:color="auto" w:fill="CCEEFF"/>
            <w:tcMar>
              <w:top w:w="40" w:type="dxa"/>
              <w:left w:w="20" w:type="dxa"/>
              <w:bottom w:w="40" w:type="dxa"/>
              <w:right w:w="0" w:type="dxa"/>
            </w:tcMar>
          </w:tcPr>
          <w:p w14:paraId="1426EF91" w14:textId="77777777" w:rsidR="00A74A1E" w:rsidRDefault="00807990">
            <w:pPr>
              <w:jc w:val="right"/>
              <w:textAlignment w:val="top"/>
            </w:pPr>
            <w:r>
              <w:rPr>
                <w:rFonts w:ascii="Arial" w:eastAsia="宋体" w:hAnsi="Arial" w:cs="Arial"/>
                <w:color w:val="000000"/>
                <w:sz w:val="18"/>
                <w:szCs w:val="18"/>
              </w:rPr>
              <w:t>(530)</w:t>
            </w:r>
          </w:p>
        </w:tc>
        <w:tc>
          <w:tcPr>
            <w:tcW w:w="0" w:type="auto"/>
            <w:shd w:val="clear" w:color="auto" w:fill="CCEEFF"/>
            <w:tcMar>
              <w:top w:w="40" w:type="dxa"/>
              <w:left w:w="0" w:type="dxa"/>
              <w:bottom w:w="40" w:type="dxa"/>
              <w:right w:w="20" w:type="dxa"/>
            </w:tcMar>
          </w:tcPr>
          <w:p w14:paraId="1426EF9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9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tcPr>
          <w:p w14:paraId="1426EF94" w14:textId="77777777" w:rsidR="00A74A1E" w:rsidRDefault="00807990">
            <w:pPr>
              <w:jc w:val="right"/>
              <w:textAlignment w:val="top"/>
            </w:pPr>
            <w:r>
              <w:rPr>
                <w:rFonts w:ascii="Arial" w:eastAsia="宋体" w:hAnsi="Arial" w:cs="Arial"/>
                <w:color w:val="000000"/>
                <w:sz w:val="18"/>
                <w:szCs w:val="18"/>
              </w:rPr>
              <w:t>(284)</w:t>
            </w:r>
          </w:p>
        </w:tc>
        <w:tc>
          <w:tcPr>
            <w:tcW w:w="0" w:type="auto"/>
            <w:shd w:val="clear" w:color="auto" w:fill="CCEEFF"/>
            <w:tcMar>
              <w:top w:w="40" w:type="dxa"/>
              <w:left w:w="0" w:type="dxa"/>
              <w:bottom w:w="40" w:type="dxa"/>
              <w:right w:w="20" w:type="dxa"/>
            </w:tcMar>
          </w:tcPr>
          <w:p w14:paraId="1426EF95" w14:textId="77777777" w:rsidR="00A74A1E" w:rsidRDefault="00A74A1E">
            <w:pPr>
              <w:jc w:val="right"/>
              <w:rPr>
                <w:rFonts w:ascii="宋体"/>
              </w:rPr>
            </w:pPr>
          </w:p>
        </w:tc>
      </w:tr>
      <w:tr w:rsidR="00A74A1E" w14:paraId="1426EF9D" w14:textId="77777777">
        <w:trPr>
          <w:jc w:val="center"/>
        </w:trPr>
        <w:tc>
          <w:tcPr>
            <w:tcW w:w="0" w:type="auto"/>
            <w:gridSpan w:val="3"/>
            <w:shd w:val="clear" w:color="auto" w:fill="FFFFFF"/>
            <w:tcMar>
              <w:top w:w="40" w:type="dxa"/>
              <w:left w:w="20" w:type="dxa"/>
              <w:bottom w:w="40" w:type="dxa"/>
              <w:right w:w="20" w:type="dxa"/>
            </w:tcMar>
            <w:vAlign w:val="bottom"/>
          </w:tcPr>
          <w:p w14:paraId="1426EF97" w14:textId="77777777" w:rsidR="00A74A1E" w:rsidRDefault="00807990">
            <w:pPr>
              <w:textAlignment w:val="bottom"/>
            </w:pPr>
            <w:r>
              <w:rPr>
                <w:rFonts w:ascii="Arial" w:eastAsia="宋体" w:hAnsi="Arial" w:cs="Arial"/>
                <w:color w:val="000000"/>
                <w:sz w:val="18"/>
                <w:szCs w:val="18"/>
              </w:rPr>
              <w:t>Proceeds from maturity of short-term investments</w:t>
            </w:r>
          </w:p>
        </w:tc>
        <w:tc>
          <w:tcPr>
            <w:tcW w:w="0" w:type="auto"/>
            <w:gridSpan w:val="2"/>
            <w:shd w:val="clear" w:color="auto" w:fill="FFFFFF"/>
            <w:tcMar>
              <w:top w:w="40" w:type="dxa"/>
              <w:left w:w="20" w:type="dxa"/>
              <w:bottom w:w="40" w:type="dxa"/>
              <w:right w:w="0" w:type="dxa"/>
            </w:tcMar>
            <w:vAlign w:val="bottom"/>
          </w:tcPr>
          <w:p w14:paraId="1426EF98" w14:textId="77777777" w:rsidR="00A74A1E" w:rsidRDefault="00807990">
            <w:pPr>
              <w:jc w:val="right"/>
              <w:textAlignment w:val="bottom"/>
            </w:pPr>
            <w:r>
              <w:rPr>
                <w:rFonts w:ascii="Arial" w:eastAsia="宋体" w:hAnsi="Arial" w:cs="Arial"/>
                <w:color w:val="000000"/>
                <w:sz w:val="18"/>
                <w:szCs w:val="18"/>
              </w:rPr>
              <w:t>92 </w:t>
            </w:r>
          </w:p>
        </w:tc>
        <w:tc>
          <w:tcPr>
            <w:tcW w:w="0" w:type="auto"/>
            <w:shd w:val="clear" w:color="auto" w:fill="FFFFFF"/>
            <w:tcMar>
              <w:top w:w="40" w:type="dxa"/>
              <w:left w:w="0" w:type="dxa"/>
              <w:bottom w:w="40" w:type="dxa"/>
              <w:right w:w="20" w:type="dxa"/>
            </w:tcMar>
            <w:vAlign w:val="bottom"/>
          </w:tcPr>
          <w:p w14:paraId="1426EF9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9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9B" w14:textId="77777777" w:rsidR="00A74A1E" w:rsidRDefault="00807990">
            <w:pPr>
              <w:jc w:val="right"/>
              <w:textAlignment w:val="bottom"/>
            </w:pPr>
            <w:r>
              <w:rPr>
                <w:rFonts w:ascii="Arial" w:eastAsia="宋体" w:hAnsi="Arial" w:cs="Arial"/>
                <w:color w:val="000000"/>
                <w:sz w:val="18"/>
                <w:szCs w:val="18"/>
              </w:rPr>
              <w:t>309 </w:t>
            </w:r>
          </w:p>
        </w:tc>
        <w:tc>
          <w:tcPr>
            <w:tcW w:w="0" w:type="auto"/>
            <w:shd w:val="clear" w:color="auto" w:fill="FFFFFF"/>
            <w:tcMar>
              <w:top w:w="40" w:type="dxa"/>
              <w:left w:w="0" w:type="dxa"/>
              <w:bottom w:w="40" w:type="dxa"/>
              <w:right w:w="20" w:type="dxa"/>
            </w:tcMar>
            <w:vAlign w:val="bottom"/>
          </w:tcPr>
          <w:p w14:paraId="1426EF9C" w14:textId="77777777" w:rsidR="00A74A1E" w:rsidRDefault="00A74A1E">
            <w:pPr>
              <w:jc w:val="right"/>
              <w:rPr>
                <w:rFonts w:ascii="宋体"/>
              </w:rPr>
            </w:pPr>
          </w:p>
        </w:tc>
      </w:tr>
      <w:tr w:rsidR="00A74A1E" w14:paraId="1426EFA4" w14:textId="77777777">
        <w:trPr>
          <w:jc w:val="center"/>
        </w:trPr>
        <w:tc>
          <w:tcPr>
            <w:tcW w:w="0" w:type="auto"/>
            <w:gridSpan w:val="3"/>
            <w:shd w:val="clear" w:color="auto" w:fill="CCEEFF"/>
            <w:tcMar>
              <w:top w:w="40" w:type="dxa"/>
              <w:left w:w="360" w:type="dxa"/>
              <w:bottom w:w="40" w:type="dxa"/>
              <w:right w:w="20" w:type="dxa"/>
            </w:tcMar>
            <w:vAlign w:val="bottom"/>
          </w:tcPr>
          <w:p w14:paraId="1426EF9E" w14:textId="77777777" w:rsidR="00A74A1E" w:rsidRDefault="00807990">
            <w:pPr>
              <w:textAlignment w:val="bottom"/>
            </w:pPr>
            <w:r>
              <w:rPr>
                <w:rFonts w:ascii="Arial" w:eastAsia="宋体" w:hAnsi="Arial" w:cs="Arial"/>
                <w:color w:val="000000"/>
                <w:sz w:val="18"/>
                <w:szCs w:val="18"/>
              </w:rPr>
              <w:t>Collection of deferred proceeds on sale of receivables</w:t>
            </w:r>
          </w:p>
        </w:tc>
        <w:tc>
          <w:tcPr>
            <w:tcW w:w="0" w:type="auto"/>
            <w:gridSpan w:val="2"/>
            <w:shd w:val="clear" w:color="auto" w:fill="CCEEFF"/>
            <w:tcMar>
              <w:top w:w="40" w:type="dxa"/>
              <w:left w:w="20" w:type="dxa"/>
              <w:bottom w:w="40" w:type="dxa"/>
              <w:right w:w="0" w:type="dxa"/>
            </w:tcMar>
            <w:vAlign w:val="bottom"/>
          </w:tcPr>
          <w:p w14:paraId="1426EF9F"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426EFA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A1"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A2" w14:textId="77777777" w:rsidR="00A74A1E" w:rsidRDefault="00807990">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1426EFA3" w14:textId="77777777" w:rsidR="00A74A1E" w:rsidRDefault="00A74A1E">
            <w:pPr>
              <w:jc w:val="right"/>
              <w:rPr>
                <w:rFonts w:ascii="宋体"/>
              </w:rPr>
            </w:pPr>
          </w:p>
        </w:tc>
      </w:tr>
      <w:tr w:rsidR="00A74A1E" w14:paraId="1426EFAB" w14:textId="77777777">
        <w:trPr>
          <w:jc w:val="center"/>
        </w:trPr>
        <w:tc>
          <w:tcPr>
            <w:tcW w:w="0" w:type="auto"/>
            <w:gridSpan w:val="3"/>
            <w:shd w:val="clear" w:color="auto" w:fill="FFFFFF"/>
            <w:tcMar>
              <w:top w:w="40" w:type="dxa"/>
              <w:left w:w="360" w:type="dxa"/>
              <w:bottom w:w="40" w:type="dxa"/>
              <w:right w:w="20" w:type="dxa"/>
            </w:tcMar>
            <w:vAlign w:val="bottom"/>
          </w:tcPr>
          <w:p w14:paraId="1426EFA5" w14:textId="77777777" w:rsidR="00A74A1E" w:rsidRDefault="00807990">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426EFA6"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426EFA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A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A9" w14:textId="77777777" w:rsidR="00A74A1E" w:rsidRDefault="00807990">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426EFAA" w14:textId="77777777" w:rsidR="00A74A1E" w:rsidRDefault="00A74A1E">
            <w:pPr>
              <w:jc w:val="right"/>
              <w:rPr>
                <w:rFonts w:ascii="宋体"/>
              </w:rPr>
            </w:pPr>
          </w:p>
        </w:tc>
      </w:tr>
      <w:tr w:rsidR="00A74A1E" w14:paraId="1426EFB2" w14:textId="77777777">
        <w:trPr>
          <w:jc w:val="center"/>
        </w:trPr>
        <w:tc>
          <w:tcPr>
            <w:tcW w:w="0" w:type="auto"/>
            <w:gridSpan w:val="3"/>
            <w:shd w:val="clear" w:color="auto" w:fill="CCEEFF"/>
            <w:tcMar>
              <w:top w:w="40" w:type="dxa"/>
              <w:left w:w="20" w:type="dxa"/>
              <w:bottom w:w="40" w:type="dxa"/>
              <w:right w:w="20" w:type="dxa"/>
            </w:tcMar>
            <w:vAlign w:val="bottom"/>
          </w:tcPr>
          <w:p w14:paraId="1426EFAC" w14:textId="77777777" w:rsidR="00A74A1E" w:rsidRDefault="00807990">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FAD" w14:textId="77777777" w:rsidR="00A74A1E" w:rsidRDefault="00807990">
            <w:pPr>
              <w:jc w:val="right"/>
              <w:textAlignment w:val="bottom"/>
            </w:pPr>
            <w:r>
              <w:rPr>
                <w:rFonts w:ascii="Arial" w:eastAsia="宋体" w:hAnsi="Arial" w:cs="Arial"/>
                <w:color w:val="000000"/>
                <w:sz w:val="18"/>
                <w:szCs w:val="18"/>
              </w:rPr>
              <w:t>(658)</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FA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AF"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FB0" w14:textId="77777777" w:rsidR="00A74A1E" w:rsidRDefault="00807990">
            <w:pPr>
              <w:jc w:val="right"/>
              <w:textAlignment w:val="bottom"/>
            </w:pPr>
            <w:r>
              <w:rPr>
                <w:rFonts w:ascii="Arial" w:eastAsia="宋体" w:hAnsi="Arial" w:cs="Arial"/>
                <w:color w:val="000000"/>
                <w:sz w:val="18"/>
                <w:szCs w:val="18"/>
              </w:rPr>
              <w:t>(123)</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FB1" w14:textId="77777777" w:rsidR="00A74A1E" w:rsidRDefault="00A74A1E">
            <w:pPr>
              <w:jc w:val="right"/>
              <w:rPr>
                <w:rFonts w:ascii="宋体"/>
              </w:rPr>
            </w:pPr>
          </w:p>
        </w:tc>
      </w:tr>
      <w:tr w:rsidR="00A74A1E" w14:paraId="1426EFB7" w14:textId="77777777">
        <w:trPr>
          <w:jc w:val="center"/>
        </w:trPr>
        <w:tc>
          <w:tcPr>
            <w:tcW w:w="0" w:type="auto"/>
            <w:gridSpan w:val="3"/>
            <w:shd w:val="clear" w:color="auto" w:fill="FFFFFF"/>
            <w:tcMar>
              <w:top w:w="40" w:type="dxa"/>
              <w:left w:w="20" w:type="dxa"/>
              <w:bottom w:w="40" w:type="dxa"/>
              <w:right w:w="20" w:type="dxa"/>
            </w:tcMar>
            <w:vAlign w:val="bottom"/>
          </w:tcPr>
          <w:p w14:paraId="1426EFB3" w14:textId="77777777" w:rsidR="00A74A1E" w:rsidRDefault="00807990">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1426EFB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EFB5"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EFB6" w14:textId="77777777" w:rsidR="00A74A1E" w:rsidRDefault="00A74A1E">
            <w:pPr>
              <w:rPr>
                <w:rFonts w:ascii="宋体"/>
              </w:rPr>
            </w:pPr>
          </w:p>
        </w:tc>
      </w:tr>
      <w:tr w:rsidR="00A74A1E" w14:paraId="1426EFBE" w14:textId="77777777">
        <w:trPr>
          <w:jc w:val="center"/>
        </w:trPr>
        <w:tc>
          <w:tcPr>
            <w:tcW w:w="0" w:type="auto"/>
            <w:gridSpan w:val="3"/>
            <w:shd w:val="clear" w:color="auto" w:fill="CCEEFF"/>
            <w:tcMar>
              <w:top w:w="40" w:type="dxa"/>
              <w:left w:w="360" w:type="dxa"/>
              <w:bottom w:w="40" w:type="dxa"/>
              <w:right w:w="20" w:type="dxa"/>
            </w:tcMar>
            <w:vAlign w:val="bottom"/>
          </w:tcPr>
          <w:p w14:paraId="1426EFB8" w14:textId="77777777" w:rsidR="00A74A1E" w:rsidRDefault="00807990">
            <w:pPr>
              <w:textAlignment w:val="bottom"/>
            </w:pPr>
            <w:r>
              <w:rPr>
                <w:rFonts w:ascii="Arial" w:eastAsia="宋体" w:hAnsi="Arial" w:cs="Arial"/>
                <w:color w:val="000000"/>
                <w:sz w:val="18"/>
                <w:szCs w:val="18"/>
              </w:rPr>
              <w:t>Proceeds from short-term debt borrowings</w:t>
            </w:r>
          </w:p>
        </w:tc>
        <w:tc>
          <w:tcPr>
            <w:tcW w:w="0" w:type="auto"/>
            <w:gridSpan w:val="2"/>
            <w:shd w:val="clear" w:color="auto" w:fill="CCEEFF"/>
            <w:tcMar>
              <w:top w:w="40" w:type="dxa"/>
              <w:left w:w="20" w:type="dxa"/>
              <w:bottom w:w="40" w:type="dxa"/>
              <w:right w:w="0" w:type="dxa"/>
            </w:tcMar>
            <w:vAlign w:val="bottom"/>
          </w:tcPr>
          <w:p w14:paraId="1426EFB9" w14:textId="77777777" w:rsidR="00A74A1E" w:rsidRDefault="00807990">
            <w:pPr>
              <w:jc w:val="right"/>
              <w:textAlignment w:val="bottom"/>
            </w:pPr>
            <w:r>
              <w:rPr>
                <w:rFonts w:ascii="Arial" w:eastAsia="宋体" w:hAnsi="Arial" w:cs="Arial"/>
                <w:color w:val="000000"/>
                <w:sz w:val="18"/>
                <w:szCs w:val="18"/>
              </w:rPr>
              <w:t>200 </w:t>
            </w:r>
          </w:p>
        </w:tc>
        <w:tc>
          <w:tcPr>
            <w:tcW w:w="0" w:type="auto"/>
            <w:shd w:val="clear" w:color="auto" w:fill="CCEEFF"/>
            <w:tcMar>
              <w:top w:w="40" w:type="dxa"/>
              <w:left w:w="0" w:type="dxa"/>
              <w:bottom w:w="40" w:type="dxa"/>
              <w:right w:w="20" w:type="dxa"/>
            </w:tcMar>
            <w:vAlign w:val="bottom"/>
          </w:tcPr>
          <w:p w14:paraId="1426EFB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B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BC"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426EFBD" w14:textId="77777777" w:rsidR="00A74A1E" w:rsidRDefault="00A74A1E">
            <w:pPr>
              <w:jc w:val="right"/>
              <w:rPr>
                <w:rFonts w:ascii="宋体"/>
              </w:rPr>
            </w:pPr>
          </w:p>
        </w:tc>
      </w:tr>
      <w:tr w:rsidR="00A74A1E" w14:paraId="1426EFC5" w14:textId="77777777">
        <w:trPr>
          <w:jc w:val="center"/>
        </w:trPr>
        <w:tc>
          <w:tcPr>
            <w:tcW w:w="0" w:type="auto"/>
            <w:gridSpan w:val="3"/>
            <w:shd w:val="clear" w:color="auto" w:fill="FFFFFF"/>
            <w:tcMar>
              <w:top w:w="40" w:type="dxa"/>
              <w:left w:w="360" w:type="dxa"/>
              <w:bottom w:w="40" w:type="dxa"/>
              <w:right w:w="20" w:type="dxa"/>
            </w:tcMar>
            <w:vAlign w:val="bottom"/>
          </w:tcPr>
          <w:p w14:paraId="1426EFBF" w14:textId="77777777" w:rsidR="00A74A1E" w:rsidRDefault="00807990">
            <w:pPr>
              <w:textAlignment w:val="bottom"/>
            </w:pPr>
            <w:r>
              <w:rPr>
                <w:rFonts w:ascii="Arial" w:eastAsia="宋体" w:hAnsi="Arial" w:cs="Arial"/>
                <w:color w:val="000000"/>
                <w:sz w:val="18"/>
                <w:szCs w:val="18"/>
              </w:rPr>
              <w:t>Repayment and extinguishment of debt</w:t>
            </w:r>
          </w:p>
        </w:tc>
        <w:tc>
          <w:tcPr>
            <w:tcW w:w="0" w:type="auto"/>
            <w:gridSpan w:val="2"/>
            <w:shd w:val="clear" w:color="auto" w:fill="FFFFFF"/>
            <w:tcMar>
              <w:top w:w="40" w:type="dxa"/>
              <w:left w:w="20" w:type="dxa"/>
              <w:bottom w:w="40" w:type="dxa"/>
              <w:right w:w="0" w:type="dxa"/>
            </w:tcMar>
            <w:vAlign w:val="bottom"/>
          </w:tcPr>
          <w:p w14:paraId="1426EFC0" w14:textId="77777777" w:rsidR="00A74A1E" w:rsidRDefault="00807990">
            <w:pPr>
              <w:jc w:val="right"/>
              <w:textAlignment w:val="bottom"/>
            </w:pPr>
            <w:r>
              <w:rPr>
                <w:rFonts w:ascii="Arial" w:eastAsia="宋体" w:hAnsi="Arial" w:cs="Arial"/>
                <w:color w:val="000000"/>
                <w:sz w:val="18"/>
                <w:szCs w:val="18"/>
              </w:rPr>
              <w:t>(200)</w:t>
            </w:r>
          </w:p>
        </w:tc>
        <w:tc>
          <w:tcPr>
            <w:tcW w:w="0" w:type="auto"/>
            <w:shd w:val="clear" w:color="auto" w:fill="FFFFFF"/>
            <w:tcMar>
              <w:top w:w="40" w:type="dxa"/>
              <w:left w:w="0" w:type="dxa"/>
              <w:bottom w:w="40" w:type="dxa"/>
              <w:right w:w="20" w:type="dxa"/>
            </w:tcMar>
            <w:vAlign w:val="bottom"/>
          </w:tcPr>
          <w:p w14:paraId="1426EFC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C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C3" w14:textId="77777777" w:rsidR="00A74A1E" w:rsidRDefault="00807990">
            <w:pPr>
              <w:jc w:val="right"/>
              <w:textAlignment w:val="bottom"/>
            </w:pPr>
            <w:r>
              <w:rPr>
                <w:rFonts w:ascii="Arial" w:eastAsia="宋体" w:hAnsi="Arial" w:cs="Arial"/>
                <w:color w:val="000000"/>
                <w:sz w:val="18"/>
                <w:szCs w:val="18"/>
              </w:rPr>
              <w:t>(331)</w:t>
            </w:r>
          </w:p>
        </w:tc>
        <w:tc>
          <w:tcPr>
            <w:tcW w:w="0" w:type="auto"/>
            <w:shd w:val="clear" w:color="auto" w:fill="FFFFFF"/>
            <w:tcMar>
              <w:top w:w="40" w:type="dxa"/>
              <w:left w:w="0" w:type="dxa"/>
              <w:bottom w:w="40" w:type="dxa"/>
              <w:right w:w="20" w:type="dxa"/>
            </w:tcMar>
            <w:vAlign w:val="bottom"/>
          </w:tcPr>
          <w:p w14:paraId="1426EFC4" w14:textId="77777777" w:rsidR="00A74A1E" w:rsidRDefault="00A74A1E">
            <w:pPr>
              <w:jc w:val="right"/>
              <w:rPr>
                <w:rFonts w:ascii="宋体"/>
              </w:rPr>
            </w:pPr>
          </w:p>
        </w:tc>
      </w:tr>
      <w:tr w:rsidR="00A74A1E" w14:paraId="1426EFCC" w14:textId="77777777">
        <w:trPr>
          <w:jc w:val="center"/>
        </w:trPr>
        <w:tc>
          <w:tcPr>
            <w:tcW w:w="0" w:type="auto"/>
            <w:gridSpan w:val="3"/>
            <w:shd w:val="clear" w:color="auto" w:fill="CCEEFF"/>
            <w:tcMar>
              <w:top w:w="40" w:type="dxa"/>
              <w:left w:w="360" w:type="dxa"/>
              <w:bottom w:w="40" w:type="dxa"/>
              <w:right w:w="20" w:type="dxa"/>
            </w:tcMar>
            <w:vAlign w:val="bottom"/>
          </w:tcPr>
          <w:p w14:paraId="1426EFC6" w14:textId="77777777" w:rsidR="00A74A1E" w:rsidRDefault="00807990">
            <w:pPr>
              <w:textAlignment w:val="bottom"/>
            </w:pPr>
            <w:r>
              <w:rPr>
                <w:rFonts w:ascii="Arial" w:eastAsia="宋体" w:hAnsi="Arial" w:cs="Arial"/>
                <w:color w:val="000000"/>
                <w:sz w:val="18"/>
                <w:szCs w:val="18"/>
              </w:rPr>
              <w:t>Proceeds from warrant exercise</w:t>
            </w:r>
          </w:p>
        </w:tc>
        <w:tc>
          <w:tcPr>
            <w:tcW w:w="0" w:type="auto"/>
            <w:gridSpan w:val="2"/>
            <w:shd w:val="clear" w:color="auto" w:fill="CCEEFF"/>
            <w:tcMar>
              <w:top w:w="40" w:type="dxa"/>
              <w:left w:w="20" w:type="dxa"/>
              <w:bottom w:w="40" w:type="dxa"/>
              <w:right w:w="0" w:type="dxa"/>
            </w:tcMar>
            <w:vAlign w:val="bottom"/>
          </w:tcPr>
          <w:p w14:paraId="1426EFC7"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426EFC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C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CA" w14:textId="77777777" w:rsidR="00A74A1E" w:rsidRDefault="00807990">
            <w:pPr>
              <w:jc w:val="right"/>
              <w:textAlignment w:val="bottom"/>
            </w:pPr>
            <w:r>
              <w:rPr>
                <w:rFonts w:ascii="Arial" w:eastAsia="宋体" w:hAnsi="Arial" w:cs="Arial"/>
                <w:color w:val="000000"/>
                <w:sz w:val="18"/>
                <w:szCs w:val="18"/>
              </w:rPr>
              <w:t>449 </w:t>
            </w:r>
          </w:p>
        </w:tc>
        <w:tc>
          <w:tcPr>
            <w:tcW w:w="0" w:type="auto"/>
            <w:shd w:val="clear" w:color="auto" w:fill="CCEEFF"/>
            <w:tcMar>
              <w:top w:w="40" w:type="dxa"/>
              <w:left w:w="0" w:type="dxa"/>
              <w:bottom w:w="40" w:type="dxa"/>
              <w:right w:w="20" w:type="dxa"/>
            </w:tcMar>
            <w:vAlign w:val="bottom"/>
          </w:tcPr>
          <w:p w14:paraId="1426EFCB" w14:textId="77777777" w:rsidR="00A74A1E" w:rsidRDefault="00A74A1E">
            <w:pPr>
              <w:jc w:val="right"/>
              <w:rPr>
                <w:rFonts w:ascii="宋体"/>
              </w:rPr>
            </w:pPr>
          </w:p>
        </w:tc>
      </w:tr>
      <w:tr w:rsidR="00A74A1E" w14:paraId="1426EFD3" w14:textId="77777777">
        <w:trPr>
          <w:jc w:val="center"/>
        </w:trPr>
        <w:tc>
          <w:tcPr>
            <w:tcW w:w="0" w:type="auto"/>
            <w:gridSpan w:val="3"/>
            <w:shd w:val="clear" w:color="auto" w:fill="FFFFFF"/>
            <w:tcMar>
              <w:top w:w="40" w:type="dxa"/>
              <w:left w:w="360" w:type="dxa"/>
              <w:bottom w:w="40" w:type="dxa"/>
              <w:right w:w="20" w:type="dxa"/>
            </w:tcMar>
            <w:vAlign w:val="bottom"/>
          </w:tcPr>
          <w:p w14:paraId="1426EFCD" w14:textId="77777777" w:rsidR="00A74A1E" w:rsidRDefault="00807990">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FFFFFF"/>
            <w:tcMar>
              <w:top w:w="40" w:type="dxa"/>
              <w:left w:w="20" w:type="dxa"/>
              <w:bottom w:w="40" w:type="dxa"/>
              <w:right w:w="0" w:type="dxa"/>
            </w:tcMar>
            <w:vAlign w:val="bottom"/>
          </w:tcPr>
          <w:p w14:paraId="1426EFCE" w14:textId="77777777" w:rsidR="00A74A1E" w:rsidRDefault="00807990">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1426EFC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D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D1" w14:textId="77777777" w:rsidR="00A74A1E" w:rsidRDefault="00807990">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1426EFD2" w14:textId="77777777" w:rsidR="00A74A1E" w:rsidRDefault="00A74A1E">
            <w:pPr>
              <w:jc w:val="right"/>
              <w:rPr>
                <w:rFonts w:ascii="宋体"/>
              </w:rPr>
            </w:pPr>
          </w:p>
        </w:tc>
      </w:tr>
      <w:tr w:rsidR="00A74A1E" w14:paraId="1426EFDA" w14:textId="77777777">
        <w:trPr>
          <w:jc w:val="center"/>
        </w:trPr>
        <w:tc>
          <w:tcPr>
            <w:tcW w:w="0" w:type="auto"/>
            <w:gridSpan w:val="3"/>
            <w:shd w:val="clear" w:color="auto" w:fill="CCEEFF"/>
            <w:tcMar>
              <w:top w:w="40" w:type="dxa"/>
              <w:left w:w="20" w:type="dxa"/>
              <w:bottom w:w="40" w:type="dxa"/>
              <w:right w:w="20" w:type="dxa"/>
            </w:tcMar>
            <w:vAlign w:val="bottom"/>
          </w:tcPr>
          <w:p w14:paraId="1426EFD4" w14:textId="77777777" w:rsidR="00A74A1E" w:rsidRDefault="00807990">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1426EFD5" w14:textId="77777777" w:rsidR="00A74A1E" w:rsidRDefault="00807990">
            <w:pPr>
              <w:jc w:val="right"/>
              <w:textAlignment w:val="bottom"/>
            </w:pPr>
            <w:r>
              <w:rPr>
                <w:rFonts w:ascii="Arial" w:eastAsia="宋体" w:hAnsi="Arial" w:cs="Arial"/>
                <w:color w:val="000000"/>
                <w:sz w:val="18"/>
                <w:szCs w:val="18"/>
              </w:rPr>
              <w:t>(73)</w:t>
            </w:r>
          </w:p>
        </w:tc>
        <w:tc>
          <w:tcPr>
            <w:tcW w:w="0" w:type="auto"/>
            <w:shd w:val="clear" w:color="auto" w:fill="CCEEFF"/>
            <w:tcMar>
              <w:top w:w="40" w:type="dxa"/>
              <w:left w:w="0" w:type="dxa"/>
              <w:bottom w:w="40" w:type="dxa"/>
              <w:right w:w="20" w:type="dxa"/>
            </w:tcMar>
            <w:vAlign w:val="bottom"/>
          </w:tcPr>
          <w:p w14:paraId="1426EFD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D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D8" w14:textId="77777777" w:rsidR="00A74A1E" w:rsidRDefault="00807990">
            <w:pPr>
              <w:jc w:val="right"/>
              <w:textAlignment w:val="bottom"/>
            </w:pPr>
            <w:r>
              <w:rPr>
                <w:rFonts w:ascii="Arial" w:eastAsia="宋体" w:hAnsi="Arial" w:cs="Arial"/>
                <w:color w:val="000000"/>
                <w:sz w:val="18"/>
                <w:szCs w:val="18"/>
              </w:rPr>
              <w:t>(6)</w:t>
            </w:r>
          </w:p>
        </w:tc>
        <w:tc>
          <w:tcPr>
            <w:tcW w:w="0" w:type="auto"/>
            <w:shd w:val="clear" w:color="auto" w:fill="CCEEFF"/>
            <w:tcMar>
              <w:top w:w="40" w:type="dxa"/>
              <w:left w:w="0" w:type="dxa"/>
              <w:bottom w:w="40" w:type="dxa"/>
              <w:right w:w="20" w:type="dxa"/>
            </w:tcMar>
            <w:vAlign w:val="bottom"/>
          </w:tcPr>
          <w:p w14:paraId="1426EFD9" w14:textId="77777777" w:rsidR="00A74A1E" w:rsidRDefault="00A74A1E">
            <w:pPr>
              <w:jc w:val="right"/>
              <w:rPr>
                <w:rFonts w:ascii="宋体"/>
              </w:rPr>
            </w:pPr>
          </w:p>
        </w:tc>
      </w:tr>
      <w:tr w:rsidR="00A74A1E" w14:paraId="1426EFE1" w14:textId="77777777">
        <w:trPr>
          <w:jc w:val="center"/>
        </w:trPr>
        <w:tc>
          <w:tcPr>
            <w:tcW w:w="0" w:type="auto"/>
            <w:gridSpan w:val="3"/>
            <w:shd w:val="clear" w:color="auto" w:fill="FFFFFF"/>
            <w:tcMar>
              <w:top w:w="40" w:type="dxa"/>
              <w:left w:w="360" w:type="dxa"/>
              <w:bottom w:w="40" w:type="dxa"/>
              <w:right w:w="20" w:type="dxa"/>
            </w:tcMar>
            <w:vAlign w:val="bottom"/>
          </w:tcPr>
          <w:p w14:paraId="1426EFDB" w14:textId="77777777" w:rsidR="00A74A1E" w:rsidRDefault="00807990">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426EFDC" w14:textId="77777777" w:rsidR="00A74A1E" w:rsidRDefault="00807990">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426EFD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D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EFDF"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426EFE0" w14:textId="77777777" w:rsidR="00A74A1E" w:rsidRDefault="00A74A1E">
            <w:pPr>
              <w:jc w:val="right"/>
              <w:rPr>
                <w:rFonts w:ascii="宋体"/>
              </w:rPr>
            </w:pPr>
          </w:p>
        </w:tc>
      </w:tr>
      <w:tr w:rsidR="00A74A1E" w14:paraId="1426EFE8" w14:textId="77777777">
        <w:trPr>
          <w:jc w:val="center"/>
        </w:trPr>
        <w:tc>
          <w:tcPr>
            <w:tcW w:w="0" w:type="auto"/>
            <w:gridSpan w:val="3"/>
            <w:shd w:val="clear" w:color="auto" w:fill="CCEEFF"/>
            <w:tcMar>
              <w:top w:w="40" w:type="dxa"/>
              <w:left w:w="20" w:type="dxa"/>
              <w:bottom w:w="40" w:type="dxa"/>
              <w:right w:w="20" w:type="dxa"/>
            </w:tcMar>
            <w:vAlign w:val="bottom"/>
          </w:tcPr>
          <w:p w14:paraId="1426EFE2" w14:textId="77777777" w:rsidR="00A74A1E" w:rsidRDefault="00807990">
            <w:pPr>
              <w:textAlignment w:val="bottom"/>
            </w:pPr>
            <w:r>
              <w:rPr>
                <w:rFonts w:ascii="Arial" w:eastAsia="宋体" w:hAnsi="Arial" w:cs="Arial"/>
                <w:color w:val="000000"/>
                <w:sz w:val="18"/>
                <w:szCs w:val="18"/>
              </w:rPr>
              <w:t>Net cash provided by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FE3" w14:textId="77777777" w:rsidR="00A74A1E" w:rsidRDefault="00807990">
            <w:pPr>
              <w:jc w:val="right"/>
              <w:textAlignment w:val="bottom"/>
            </w:pPr>
            <w:r>
              <w:rPr>
                <w:rFonts w:ascii="Arial" w:eastAsia="宋体" w:hAnsi="Arial" w:cs="Arial"/>
                <w:color w:val="000000"/>
                <w:sz w:val="18"/>
                <w:szCs w:val="18"/>
              </w:rPr>
              <w:t>(29)</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FE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E5"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EFE6" w14:textId="77777777" w:rsidR="00A74A1E" w:rsidRDefault="00807990">
            <w:pPr>
              <w:jc w:val="right"/>
              <w:textAlignment w:val="bottom"/>
            </w:pPr>
            <w:r>
              <w:rPr>
                <w:rFonts w:ascii="Arial" w:eastAsia="宋体" w:hAnsi="Arial" w:cs="Arial"/>
                <w:color w:val="000000"/>
                <w:sz w:val="18"/>
                <w:szCs w:val="18"/>
              </w:rPr>
              <w:t>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EFE7" w14:textId="77777777" w:rsidR="00A74A1E" w:rsidRDefault="00A74A1E">
            <w:pPr>
              <w:jc w:val="right"/>
              <w:rPr>
                <w:rFonts w:ascii="宋体"/>
              </w:rPr>
            </w:pPr>
          </w:p>
        </w:tc>
      </w:tr>
      <w:tr w:rsidR="00A74A1E" w14:paraId="1426EFEF" w14:textId="77777777">
        <w:trPr>
          <w:jc w:val="center"/>
        </w:trPr>
        <w:tc>
          <w:tcPr>
            <w:tcW w:w="0" w:type="auto"/>
            <w:gridSpan w:val="3"/>
            <w:shd w:val="clear" w:color="auto" w:fill="FFFFFF"/>
            <w:tcMar>
              <w:top w:w="40" w:type="dxa"/>
              <w:left w:w="20" w:type="dxa"/>
              <w:bottom w:w="40" w:type="dxa"/>
              <w:right w:w="20" w:type="dxa"/>
            </w:tcMar>
            <w:vAlign w:val="bottom"/>
          </w:tcPr>
          <w:p w14:paraId="1426EFE9" w14:textId="77777777" w:rsidR="00A74A1E" w:rsidRDefault="00807990">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FEA" w14:textId="77777777" w:rsidR="00A74A1E" w:rsidRDefault="00807990">
            <w:pPr>
              <w:jc w:val="right"/>
              <w:textAlignment w:val="bottom"/>
            </w:pPr>
            <w:r>
              <w:rPr>
                <w:rFonts w:ascii="Arial" w:eastAsia="宋体" w:hAnsi="Arial" w:cs="Arial"/>
                <w:color w:val="000000"/>
                <w:sz w:val="18"/>
                <w:szCs w:val="18"/>
              </w:rPr>
              <w:t>(170)</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FE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EC"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EFED" w14:textId="77777777" w:rsidR="00A74A1E" w:rsidRDefault="00807990">
            <w:pPr>
              <w:jc w:val="right"/>
              <w:textAlignment w:val="bottom"/>
            </w:pPr>
            <w:r>
              <w:rPr>
                <w:rFonts w:ascii="Arial" w:eastAsia="宋体" w:hAnsi="Arial" w:cs="Arial"/>
                <w:color w:val="000000"/>
                <w:sz w:val="18"/>
                <w:szCs w:val="18"/>
              </w:rPr>
              <w:t>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EFEE" w14:textId="77777777" w:rsidR="00A74A1E" w:rsidRDefault="00A74A1E">
            <w:pPr>
              <w:jc w:val="right"/>
              <w:rPr>
                <w:rFonts w:ascii="宋体"/>
              </w:rPr>
            </w:pPr>
          </w:p>
        </w:tc>
      </w:tr>
      <w:tr w:rsidR="00A74A1E" w14:paraId="1426EFF6" w14:textId="77777777">
        <w:trPr>
          <w:jc w:val="center"/>
        </w:trPr>
        <w:tc>
          <w:tcPr>
            <w:tcW w:w="0" w:type="auto"/>
            <w:gridSpan w:val="3"/>
            <w:shd w:val="clear" w:color="auto" w:fill="CCEEFF"/>
            <w:tcMar>
              <w:top w:w="40" w:type="dxa"/>
              <w:left w:w="20" w:type="dxa"/>
              <w:bottom w:w="40" w:type="dxa"/>
              <w:right w:w="20" w:type="dxa"/>
            </w:tcMar>
            <w:vAlign w:val="bottom"/>
          </w:tcPr>
          <w:p w14:paraId="1426EFF0" w14:textId="77777777" w:rsidR="00A74A1E" w:rsidRDefault="00807990">
            <w:pPr>
              <w:textAlignment w:val="bottom"/>
            </w:pPr>
            <w:r>
              <w:rPr>
                <w:rFonts w:ascii="Arial" w:eastAsia="宋体" w:hAnsi="Arial" w:cs="Arial"/>
                <w:color w:val="000000"/>
                <w:sz w:val="18"/>
                <w:szCs w:val="18"/>
              </w:rPr>
              <w:t>Cash, cash equivalents, and restricted cash at beginning of period</w:t>
            </w:r>
          </w:p>
        </w:tc>
        <w:tc>
          <w:tcPr>
            <w:tcW w:w="0" w:type="auto"/>
            <w:gridSpan w:val="2"/>
            <w:shd w:val="clear" w:color="auto" w:fill="CCEEFF"/>
            <w:tcMar>
              <w:top w:w="40" w:type="dxa"/>
              <w:left w:w="20" w:type="dxa"/>
              <w:bottom w:w="40" w:type="dxa"/>
              <w:right w:w="0" w:type="dxa"/>
            </w:tcMar>
            <w:vAlign w:val="bottom"/>
          </w:tcPr>
          <w:p w14:paraId="1426EFF1" w14:textId="77777777" w:rsidR="00A74A1E" w:rsidRDefault="00807990">
            <w:pPr>
              <w:jc w:val="right"/>
              <w:textAlignment w:val="bottom"/>
            </w:pPr>
            <w:r>
              <w:rPr>
                <w:rFonts w:ascii="Arial" w:eastAsia="宋体" w:hAnsi="Arial" w:cs="Arial"/>
                <w:color w:val="000000"/>
                <w:sz w:val="18"/>
                <w:szCs w:val="18"/>
              </w:rPr>
              <w:t>1,470 </w:t>
            </w:r>
          </w:p>
        </w:tc>
        <w:tc>
          <w:tcPr>
            <w:tcW w:w="0" w:type="auto"/>
            <w:shd w:val="clear" w:color="auto" w:fill="CCEEFF"/>
            <w:tcMar>
              <w:top w:w="40" w:type="dxa"/>
              <w:left w:w="0" w:type="dxa"/>
              <w:bottom w:w="40" w:type="dxa"/>
              <w:right w:w="20" w:type="dxa"/>
            </w:tcMar>
            <w:vAlign w:val="bottom"/>
          </w:tcPr>
          <w:p w14:paraId="1426EFF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EFF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EFF4" w14:textId="77777777" w:rsidR="00A74A1E" w:rsidRDefault="00807990">
            <w:pPr>
              <w:jc w:val="right"/>
              <w:textAlignment w:val="bottom"/>
            </w:pPr>
            <w:r>
              <w:rPr>
                <w:rFonts w:ascii="Arial" w:eastAsia="宋体" w:hAnsi="Arial" w:cs="Arial"/>
                <w:color w:val="000000"/>
                <w:sz w:val="18"/>
                <w:szCs w:val="18"/>
              </w:rPr>
              <w:t>1,083 </w:t>
            </w:r>
          </w:p>
        </w:tc>
        <w:tc>
          <w:tcPr>
            <w:tcW w:w="0" w:type="auto"/>
            <w:shd w:val="clear" w:color="auto" w:fill="CCEEFF"/>
            <w:tcMar>
              <w:top w:w="40" w:type="dxa"/>
              <w:left w:w="0" w:type="dxa"/>
              <w:bottom w:w="40" w:type="dxa"/>
              <w:right w:w="20" w:type="dxa"/>
            </w:tcMar>
            <w:vAlign w:val="bottom"/>
          </w:tcPr>
          <w:p w14:paraId="1426EFF5" w14:textId="77777777" w:rsidR="00A74A1E" w:rsidRDefault="00A74A1E">
            <w:pPr>
              <w:jc w:val="right"/>
              <w:rPr>
                <w:rFonts w:ascii="宋体"/>
              </w:rPr>
            </w:pPr>
          </w:p>
        </w:tc>
      </w:tr>
      <w:tr w:rsidR="00A74A1E" w14:paraId="1426EFFF" w14:textId="77777777">
        <w:trPr>
          <w:jc w:val="center"/>
        </w:trPr>
        <w:tc>
          <w:tcPr>
            <w:tcW w:w="0" w:type="auto"/>
            <w:gridSpan w:val="3"/>
            <w:shd w:val="clear" w:color="auto" w:fill="FFFFFF"/>
            <w:tcMar>
              <w:top w:w="40" w:type="dxa"/>
              <w:left w:w="20" w:type="dxa"/>
              <w:bottom w:w="40" w:type="dxa"/>
              <w:right w:w="20" w:type="dxa"/>
            </w:tcMar>
            <w:vAlign w:val="bottom"/>
          </w:tcPr>
          <w:p w14:paraId="1426EFF7" w14:textId="77777777" w:rsidR="00A74A1E" w:rsidRDefault="00807990">
            <w:pPr>
              <w:textAlignment w:val="bottom"/>
            </w:pPr>
            <w:r>
              <w:rPr>
                <w:rFonts w:ascii="Arial" w:eastAsia="宋体" w:hAnsi="Arial" w:cs="Arial"/>
                <w:color w:val="000000"/>
                <w:sz w:val="18"/>
                <w:szCs w:val="18"/>
              </w:rPr>
              <w:t>Cash, cash equivalents, and restricted cash at end of period</w:t>
            </w:r>
          </w:p>
        </w:tc>
        <w:tc>
          <w:tcPr>
            <w:tcW w:w="0" w:type="auto"/>
            <w:shd w:val="clear" w:color="auto" w:fill="FFFFFF"/>
            <w:tcMar>
              <w:top w:w="40" w:type="dxa"/>
              <w:left w:w="20" w:type="dxa"/>
              <w:bottom w:w="40" w:type="dxa"/>
              <w:right w:w="0" w:type="dxa"/>
            </w:tcMar>
            <w:vAlign w:val="bottom"/>
          </w:tcPr>
          <w:p w14:paraId="1426EFF8"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EFF9" w14:textId="77777777" w:rsidR="00A74A1E" w:rsidRDefault="00807990">
            <w:pPr>
              <w:jc w:val="right"/>
              <w:textAlignment w:val="bottom"/>
            </w:pPr>
            <w:r>
              <w:rPr>
                <w:rFonts w:ascii="Arial" w:eastAsia="宋体" w:hAnsi="Arial" w:cs="Arial"/>
                <w:color w:val="000000"/>
                <w:sz w:val="18"/>
                <w:szCs w:val="18"/>
              </w:rPr>
              <w:t>1,300 </w:t>
            </w:r>
          </w:p>
        </w:tc>
        <w:tc>
          <w:tcPr>
            <w:tcW w:w="0" w:type="auto"/>
            <w:shd w:val="clear" w:color="auto" w:fill="FFFFFF"/>
            <w:tcMar>
              <w:top w:w="40" w:type="dxa"/>
              <w:left w:w="0" w:type="dxa"/>
              <w:bottom w:w="40" w:type="dxa"/>
              <w:right w:w="20" w:type="dxa"/>
            </w:tcMar>
            <w:vAlign w:val="bottom"/>
          </w:tcPr>
          <w:p w14:paraId="1426EFF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EFFB"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EFFC"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EFFD" w14:textId="77777777" w:rsidR="00A74A1E" w:rsidRDefault="00807990">
            <w:pPr>
              <w:jc w:val="right"/>
              <w:textAlignment w:val="bottom"/>
            </w:pPr>
            <w:r>
              <w:rPr>
                <w:rFonts w:ascii="Arial" w:eastAsia="宋体" w:hAnsi="Arial" w:cs="Arial"/>
                <w:color w:val="000000"/>
                <w:sz w:val="18"/>
                <w:szCs w:val="18"/>
              </w:rPr>
              <w:t>1,161 </w:t>
            </w:r>
          </w:p>
        </w:tc>
        <w:tc>
          <w:tcPr>
            <w:tcW w:w="0" w:type="auto"/>
            <w:shd w:val="clear" w:color="auto" w:fill="FFFFFF"/>
            <w:tcMar>
              <w:top w:w="40" w:type="dxa"/>
              <w:left w:w="0" w:type="dxa"/>
              <w:bottom w:w="40" w:type="dxa"/>
              <w:right w:w="20" w:type="dxa"/>
            </w:tcMar>
            <w:vAlign w:val="bottom"/>
          </w:tcPr>
          <w:p w14:paraId="1426EFFE" w14:textId="77777777" w:rsidR="00A74A1E" w:rsidRDefault="00A74A1E">
            <w:pPr>
              <w:jc w:val="right"/>
              <w:rPr>
                <w:rFonts w:ascii="宋体"/>
              </w:rPr>
            </w:pPr>
          </w:p>
        </w:tc>
      </w:tr>
      <w:tr w:rsidR="00A74A1E" w14:paraId="1426F004" w14:textId="77777777">
        <w:trPr>
          <w:jc w:val="center"/>
        </w:trPr>
        <w:tc>
          <w:tcPr>
            <w:tcW w:w="0" w:type="auto"/>
            <w:gridSpan w:val="3"/>
            <w:shd w:val="clear" w:color="auto" w:fill="CCEEFF"/>
            <w:tcMar>
              <w:top w:w="40" w:type="dxa"/>
              <w:left w:w="20" w:type="dxa"/>
              <w:bottom w:w="40" w:type="dxa"/>
              <w:right w:w="20" w:type="dxa"/>
            </w:tcMar>
            <w:vAlign w:val="bottom"/>
          </w:tcPr>
          <w:p w14:paraId="1426F000" w14:textId="77777777" w:rsidR="00A74A1E" w:rsidRDefault="00807990">
            <w:pPr>
              <w:textAlignment w:val="bottom"/>
            </w:pPr>
            <w:r>
              <w:rPr>
                <w:rFonts w:ascii="Arial" w:eastAsia="宋体" w:hAnsi="Arial" w:cs="Arial"/>
                <w:color w:val="000000"/>
                <w:sz w:val="18"/>
                <w:szCs w:val="18"/>
              </w:rPr>
              <w:t>Supplemental cash flow information:</w:t>
            </w:r>
          </w:p>
        </w:tc>
        <w:tc>
          <w:tcPr>
            <w:tcW w:w="0" w:type="auto"/>
            <w:gridSpan w:val="3"/>
            <w:tcBorders>
              <w:top w:val="double" w:sz="6" w:space="0" w:color="000000"/>
            </w:tcBorders>
            <w:shd w:val="clear" w:color="auto" w:fill="CCEEFF"/>
            <w:tcMar>
              <w:top w:w="0" w:type="dxa"/>
              <w:left w:w="20" w:type="dxa"/>
              <w:bottom w:w="0" w:type="dxa"/>
              <w:right w:w="20" w:type="dxa"/>
            </w:tcMar>
          </w:tcPr>
          <w:p w14:paraId="1426F00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02"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F003" w14:textId="77777777" w:rsidR="00A74A1E" w:rsidRDefault="00A74A1E">
            <w:pPr>
              <w:rPr>
                <w:rFonts w:ascii="宋体"/>
              </w:rPr>
            </w:pPr>
          </w:p>
        </w:tc>
      </w:tr>
      <w:tr w:rsidR="00A74A1E" w14:paraId="1426F009" w14:textId="77777777">
        <w:trPr>
          <w:jc w:val="center"/>
        </w:trPr>
        <w:tc>
          <w:tcPr>
            <w:tcW w:w="0" w:type="auto"/>
            <w:gridSpan w:val="3"/>
            <w:shd w:val="clear" w:color="auto" w:fill="FFFFFF"/>
            <w:tcMar>
              <w:top w:w="40" w:type="dxa"/>
              <w:left w:w="360" w:type="dxa"/>
              <w:bottom w:w="40" w:type="dxa"/>
              <w:right w:w="20" w:type="dxa"/>
            </w:tcMar>
            <w:vAlign w:val="bottom"/>
          </w:tcPr>
          <w:p w14:paraId="1426F005" w14:textId="77777777" w:rsidR="00A74A1E" w:rsidRDefault="00807990">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FFFFFF"/>
            <w:tcMar>
              <w:top w:w="0" w:type="dxa"/>
              <w:left w:w="20" w:type="dxa"/>
              <w:bottom w:w="0" w:type="dxa"/>
              <w:right w:w="20" w:type="dxa"/>
            </w:tcMar>
          </w:tcPr>
          <w:p w14:paraId="1426F006"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07"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08" w14:textId="77777777" w:rsidR="00A74A1E" w:rsidRDefault="00A74A1E">
            <w:pPr>
              <w:rPr>
                <w:rFonts w:ascii="宋体"/>
              </w:rPr>
            </w:pPr>
          </w:p>
        </w:tc>
      </w:tr>
      <w:tr w:rsidR="00A74A1E" w14:paraId="1426F012" w14:textId="77777777">
        <w:trPr>
          <w:jc w:val="center"/>
        </w:trPr>
        <w:tc>
          <w:tcPr>
            <w:tcW w:w="0" w:type="auto"/>
            <w:gridSpan w:val="3"/>
            <w:shd w:val="clear" w:color="auto" w:fill="CCEEFF"/>
            <w:tcMar>
              <w:top w:w="40" w:type="dxa"/>
              <w:left w:w="720" w:type="dxa"/>
              <w:bottom w:w="40" w:type="dxa"/>
              <w:right w:w="20" w:type="dxa"/>
            </w:tcMar>
            <w:vAlign w:val="bottom"/>
          </w:tcPr>
          <w:p w14:paraId="1426F00A" w14:textId="77777777" w:rsidR="00A74A1E" w:rsidRDefault="00807990">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CCEEFF"/>
            <w:tcMar>
              <w:top w:w="40" w:type="dxa"/>
              <w:left w:w="20" w:type="dxa"/>
              <w:bottom w:w="40" w:type="dxa"/>
              <w:right w:w="0" w:type="dxa"/>
            </w:tcMar>
            <w:vAlign w:val="bottom"/>
          </w:tcPr>
          <w:p w14:paraId="1426F00B" w14:textId="77777777" w:rsidR="00A74A1E" w:rsidRDefault="0080799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426F00C" w14:textId="77777777" w:rsidR="00A74A1E" w:rsidRDefault="00807990">
            <w:pPr>
              <w:jc w:val="right"/>
              <w:textAlignment w:val="bottom"/>
            </w:pPr>
            <w:r>
              <w:rPr>
                <w:rFonts w:ascii="Arial" w:eastAsia="宋体" w:hAnsi="Arial" w:cs="Arial"/>
                <w:color w:val="000000"/>
                <w:sz w:val="18"/>
                <w:szCs w:val="18"/>
              </w:rPr>
              <w:t>36 </w:t>
            </w:r>
          </w:p>
        </w:tc>
        <w:tc>
          <w:tcPr>
            <w:tcW w:w="0" w:type="auto"/>
            <w:shd w:val="clear" w:color="auto" w:fill="CCEEFF"/>
            <w:tcMar>
              <w:top w:w="40" w:type="dxa"/>
              <w:left w:w="0" w:type="dxa"/>
              <w:bottom w:w="40" w:type="dxa"/>
              <w:right w:w="20" w:type="dxa"/>
            </w:tcMar>
            <w:vAlign w:val="bottom"/>
          </w:tcPr>
          <w:p w14:paraId="1426F00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0E"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0F" w14:textId="77777777" w:rsidR="00A74A1E" w:rsidRDefault="0080799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426F010" w14:textId="77777777" w:rsidR="00A74A1E" w:rsidRDefault="00807990">
            <w:pPr>
              <w:jc w:val="right"/>
              <w:textAlignment w:val="bottom"/>
            </w:pPr>
            <w:r>
              <w:rPr>
                <w:rFonts w:ascii="Arial" w:eastAsia="宋体" w:hAnsi="Arial" w:cs="Arial"/>
                <w:color w:val="000000"/>
                <w:sz w:val="18"/>
                <w:szCs w:val="18"/>
              </w:rPr>
              <w:t>120 </w:t>
            </w:r>
          </w:p>
        </w:tc>
        <w:tc>
          <w:tcPr>
            <w:tcW w:w="0" w:type="auto"/>
            <w:shd w:val="clear" w:color="auto" w:fill="CCEEFF"/>
            <w:tcMar>
              <w:top w:w="40" w:type="dxa"/>
              <w:left w:w="0" w:type="dxa"/>
              <w:bottom w:w="40" w:type="dxa"/>
              <w:right w:w="20" w:type="dxa"/>
            </w:tcMar>
            <w:vAlign w:val="bottom"/>
          </w:tcPr>
          <w:p w14:paraId="1426F011" w14:textId="77777777" w:rsidR="00A74A1E" w:rsidRDefault="00A74A1E">
            <w:pPr>
              <w:jc w:val="right"/>
              <w:rPr>
                <w:rFonts w:ascii="宋体"/>
              </w:rPr>
            </w:pPr>
          </w:p>
        </w:tc>
      </w:tr>
      <w:tr w:rsidR="00A74A1E" w14:paraId="1426F01B" w14:textId="77777777">
        <w:trPr>
          <w:jc w:val="center"/>
        </w:trPr>
        <w:tc>
          <w:tcPr>
            <w:tcW w:w="0" w:type="auto"/>
            <w:gridSpan w:val="3"/>
            <w:shd w:val="clear" w:color="auto" w:fill="FFFFFF"/>
            <w:tcMar>
              <w:top w:w="40" w:type="dxa"/>
              <w:left w:w="720" w:type="dxa"/>
              <w:bottom w:w="40" w:type="dxa"/>
              <w:right w:w="20" w:type="dxa"/>
            </w:tcMar>
            <w:vAlign w:val="bottom"/>
          </w:tcPr>
          <w:p w14:paraId="1426F013" w14:textId="77777777" w:rsidR="00A74A1E" w:rsidRDefault="00807990">
            <w:pPr>
              <w:textAlignment w:val="bottom"/>
            </w:pPr>
            <w:r>
              <w:rPr>
                <w:rFonts w:ascii="Arial" w:eastAsia="宋体" w:hAnsi="Arial" w:cs="Arial"/>
                <w:color w:val="000000"/>
                <w:sz w:val="18"/>
                <w:szCs w:val="18"/>
              </w:rPr>
              <w:t>Issuance of common stock to settle convertible debt</w:t>
            </w:r>
          </w:p>
        </w:tc>
        <w:tc>
          <w:tcPr>
            <w:tcW w:w="0" w:type="auto"/>
            <w:shd w:val="clear" w:color="auto" w:fill="FFFFFF"/>
            <w:tcMar>
              <w:top w:w="40" w:type="dxa"/>
              <w:left w:w="20" w:type="dxa"/>
              <w:bottom w:w="40" w:type="dxa"/>
              <w:right w:w="0" w:type="dxa"/>
            </w:tcMar>
            <w:vAlign w:val="bottom"/>
          </w:tcPr>
          <w:p w14:paraId="1426F014"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15" w14:textId="77777777" w:rsidR="00A74A1E" w:rsidRDefault="00807990">
            <w:pPr>
              <w:jc w:val="right"/>
              <w:textAlignment w:val="bottom"/>
            </w:pPr>
            <w:r>
              <w:rPr>
                <w:rFonts w:ascii="Arial" w:eastAsia="宋体" w:hAnsi="Arial" w:cs="Arial"/>
                <w:color w:val="000000"/>
                <w:sz w:val="18"/>
                <w:szCs w:val="18"/>
              </w:rPr>
              <w:t>156 </w:t>
            </w:r>
          </w:p>
        </w:tc>
        <w:tc>
          <w:tcPr>
            <w:tcW w:w="0" w:type="auto"/>
            <w:shd w:val="clear" w:color="auto" w:fill="FFFFFF"/>
            <w:tcMar>
              <w:top w:w="40" w:type="dxa"/>
              <w:left w:w="0" w:type="dxa"/>
              <w:bottom w:w="40" w:type="dxa"/>
              <w:right w:w="20" w:type="dxa"/>
            </w:tcMar>
            <w:vAlign w:val="bottom"/>
          </w:tcPr>
          <w:p w14:paraId="1426F01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17"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018"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19" w14:textId="77777777" w:rsidR="00A74A1E" w:rsidRDefault="00807990">
            <w:pPr>
              <w:jc w:val="right"/>
              <w:textAlignment w:val="bottom"/>
            </w:pPr>
            <w:r>
              <w:rPr>
                <w:rFonts w:ascii="Arial" w:eastAsia="宋体" w:hAnsi="Arial" w:cs="Arial"/>
                <w:color w:val="000000"/>
                <w:sz w:val="18"/>
                <w:szCs w:val="18"/>
              </w:rPr>
              <w:t>108 </w:t>
            </w:r>
          </w:p>
        </w:tc>
        <w:tc>
          <w:tcPr>
            <w:tcW w:w="0" w:type="auto"/>
            <w:shd w:val="clear" w:color="auto" w:fill="FFFFFF"/>
            <w:tcMar>
              <w:top w:w="40" w:type="dxa"/>
              <w:left w:w="0" w:type="dxa"/>
              <w:bottom w:w="40" w:type="dxa"/>
              <w:right w:w="20" w:type="dxa"/>
            </w:tcMar>
            <w:vAlign w:val="bottom"/>
          </w:tcPr>
          <w:p w14:paraId="1426F01A" w14:textId="77777777" w:rsidR="00A74A1E" w:rsidRDefault="00A74A1E">
            <w:pPr>
              <w:jc w:val="right"/>
              <w:rPr>
                <w:rFonts w:ascii="宋体"/>
              </w:rPr>
            </w:pPr>
          </w:p>
        </w:tc>
      </w:tr>
      <w:tr w:rsidR="00A74A1E" w14:paraId="1426F024" w14:textId="77777777">
        <w:trPr>
          <w:jc w:val="center"/>
        </w:trPr>
        <w:tc>
          <w:tcPr>
            <w:tcW w:w="0" w:type="auto"/>
            <w:gridSpan w:val="3"/>
            <w:shd w:val="clear" w:color="auto" w:fill="CCEEFF"/>
            <w:tcMar>
              <w:top w:w="40" w:type="dxa"/>
              <w:left w:w="720" w:type="dxa"/>
              <w:bottom w:w="40" w:type="dxa"/>
              <w:right w:w="20" w:type="dxa"/>
            </w:tcMar>
            <w:vAlign w:val="bottom"/>
          </w:tcPr>
          <w:p w14:paraId="1426F01C" w14:textId="77777777" w:rsidR="00A74A1E" w:rsidRDefault="00807990">
            <w:pPr>
              <w:textAlignment w:val="bottom"/>
            </w:pPr>
            <w:r>
              <w:rPr>
                <w:rFonts w:ascii="Arial" w:eastAsia="宋体" w:hAnsi="Arial" w:cs="Arial"/>
                <w:color w:val="000000"/>
                <w:sz w:val="18"/>
                <w:szCs w:val="18"/>
              </w:rPr>
              <w:t xml:space="preserve">Transfer of </w:t>
            </w:r>
            <w:r>
              <w:rPr>
                <w:rFonts w:ascii="Arial" w:eastAsia="宋体" w:hAnsi="Arial" w:cs="Arial"/>
                <w:color w:val="000000"/>
                <w:sz w:val="18"/>
                <w:szCs w:val="18"/>
              </w:rPr>
              <w:t>assets for acquisition of property and equipment</w:t>
            </w:r>
          </w:p>
        </w:tc>
        <w:tc>
          <w:tcPr>
            <w:tcW w:w="0" w:type="auto"/>
            <w:shd w:val="clear" w:color="auto" w:fill="CCEEFF"/>
            <w:tcMar>
              <w:top w:w="40" w:type="dxa"/>
              <w:left w:w="20" w:type="dxa"/>
              <w:bottom w:w="40" w:type="dxa"/>
              <w:right w:w="0" w:type="dxa"/>
            </w:tcMar>
            <w:vAlign w:val="bottom"/>
          </w:tcPr>
          <w:p w14:paraId="1426F01D" w14:textId="77777777" w:rsidR="00A74A1E" w:rsidRDefault="0080799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426F01E" w14:textId="77777777" w:rsidR="00A74A1E" w:rsidRDefault="00807990">
            <w:pPr>
              <w:jc w:val="right"/>
              <w:textAlignment w:val="bottom"/>
            </w:pPr>
            <w:r>
              <w:rPr>
                <w:rFonts w:ascii="Arial" w:eastAsia="宋体" w:hAnsi="Arial" w:cs="Arial"/>
                <w:color w:val="000000"/>
                <w:sz w:val="18"/>
                <w:szCs w:val="18"/>
              </w:rPr>
              <w:t>57 </w:t>
            </w:r>
          </w:p>
        </w:tc>
        <w:tc>
          <w:tcPr>
            <w:tcW w:w="0" w:type="auto"/>
            <w:shd w:val="clear" w:color="auto" w:fill="CCEEFF"/>
            <w:tcMar>
              <w:top w:w="40" w:type="dxa"/>
              <w:left w:w="0" w:type="dxa"/>
              <w:bottom w:w="40" w:type="dxa"/>
              <w:right w:w="20" w:type="dxa"/>
            </w:tcMar>
            <w:vAlign w:val="bottom"/>
          </w:tcPr>
          <w:p w14:paraId="1426F01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20"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21" w14:textId="77777777" w:rsidR="00A74A1E" w:rsidRDefault="00807990">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426F022"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426F023" w14:textId="77777777" w:rsidR="00A74A1E" w:rsidRDefault="00A74A1E">
            <w:pPr>
              <w:jc w:val="right"/>
              <w:rPr>
                <w:rFonts w:ascii="宋体"/>
              </w:rPr>
            </w:pPr>
          </w:p>
        </w:tc>
      </w:tr>
      <w:tr w:rsidR="00A74A1E" w14:paraId="1426F02D" w14:textId="77777777">
        <w:trPr>
          <w:jc w:val="center"/>
        </w:trPr>
        <w:tc>
          <w:tcPr>
            <w:tcW w:w="0" w:type="auto"/>
            <w:gridSpan w:val="3"/>
            <w:shd w:val="clear" w:color="auto" w:fill="FFFFFF"/>
            <w:tcMar>
              <w:top w:w="40" w:type="dxa"/>
              <w:left w:w="720" w:type="dxa"/>
              <w:bottom w:w="40" w:type="dxa"/>
              <w:right w:w="20" w:type="dxa"/>
            </w:tcMar>
            <w:vAlign w:val="bottom"/>
          </w:tcPr>
          <w:p w14:paraId="1426F025" w14:textId="77777777" w:rsidR="00A74A1E" w:rsidRDefault="00807990">
            <w:pPr>
              <w:textAlignment w:val="bottom"/>
            </w:pPr>
            <w:r>
              <w:rPr>
                <w:rFonts w:ascii="Arial" w:eastAsia="宋体" w:hAnsi="Arial" w:cs="Arial"/>
                <w:color w:val="000000"/>
                <w:sz w:val="18"/>
                <w:szCs w:val="18"/>
              </w:rPr>
              <w:t>Issuance of treasury stock to partially settle debt</w:t>
            </w:r>
          </w:p>
        </w:tc>
        <w:tc>
          <w:tcPr>
            <w:tcW w:w="0" w:type="auto"/>
            <w:shd w:val="clear" w:color="auto" w:fill="FFFFFF"/>
            <w:tcMar>
              <w:top w:w="40" w:type="dxa"/>
              <w:left w:w="20" w:type="dxa"/>
              <w:bottom w:w="40" w:type="dxa"/>
              <w:right w:w="0" w:type="dxa"/>
            </w:tcMar>
            <w:vAlign w:val="bottom"/>
          </w:tcPr>
          <w:p w14:paraId="1426F026"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27" w14:textId="77777777" w:rsidR="00A74A1E" w:rsidRDefault="00807990">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426F02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29"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02A"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2B" w14:textId="77777777" w:rsidR="00A74A1E" w:rsidRDefault="00807990">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426F02C" w14:textId="77777777" w:rsidR="00A74A1E" w:rsidRDefault="00A74A1E">
            <w:pPr>
              <w:jc w:val="right"/>
              <w:rPr>
                <w:rFonts w:ascii="宋体"/>
              </w:rPr>
            </w:pPr>
          </w:p>
        </w:tc>
      </w:tr>
      <w:tr w:rsidR="00A74A1E" w14:paraId="1426F032" w14:textId="77777777">
        <w:trPr>
          <w:jc w:val="center"/>
        </w:trPr>
        <w:tc>
          <w:tcPr>
            <w:tcW w:w="0" w:type="auto"/>
            <w:gridSpan w:val="3"/>
            <w:shd w:val="clear" w:color="auto" w:fill="CCEEFF"/>
            <w:tcMar>
              <w:top w:w="40" w:type="dxa"/>
              <w:left w:w="360" w:type="dxa"/>
              <w:bottom w:w="40" w:type="dxa"/>
              <w:right w:w="20" w:type="dxa"/>
            </w:tcMar>
            <w:vAlign w:val="bottom"/>
          </w:tcPr>
          <w:p w14:paraId="1426F02E" w14:textId="77777777" w:rsidR="00A74A1E" w:rsidRDefault="00807990">
            <w:pPr>
              <w:textAlignment w:val="bottom"/>
            </w:pPr>
            <w:r>
              <w:rPr>
                <w:rFonts w:ascii="Arial" w:eastAsia="宋体" w:hAnsi="Arial" w:cs="Arial"/>
                <w:color w:val="000000"/>
                <w:sz w:val="18"/>
                <w:szCs w:val="18"/>
              </w:rPr>
              <w:t>Non-cash activities for leases:</w:t>
            </w:r>
          </w:p>
        </w:tc>
        <w:tc>
          <w:tcPr>
            <w:tcW w:w="0" w:type="auto"/>
            <w:gridSpan w:val="3"/>
            <w:shd w:val="clear" w:color="auto" w:fill="CCEEFF"/>
            <w:tcMar>
              <w:top w:w="0" w:type="dxa"/>
              <w:left w:w="20" w:type="dxa"/>
              <w:bottom w:w="0" w:type="dxa"/>
              <w:right w:w="20" w:type="dxa"/>
            </w:tcMar>
          </w:tcPr>
          <w:p w14:paraId="1426F02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3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31" w14:textId="77777777" w:rsidR="00A74A1E" w:rsidRDefault="00A74A1E">
            <w:pPr>
              <w:rPr>
                <w:rFonts w:ascii="宋体"/>
              </w:rPr>
            </w:pPr>
          </w:p>
        </w:tc>
      </w:tr>
      <w:tr w:rsidR="00A74A1E" w14:paraId="1426F03B" w14:textId="77777777">
        <w:trPr>
          <w:jc w:val="center"/>
        </w:trPr>
        <w:tc>
          <w:tcPr>
            <w:tcW w:w="0" w:type="auto"/>
            <w:gridSpan w:val="3"/>
            <w:shd w:val="clear" w:color="auto" w:fill="FFFFFF"/>
            <w:tcMar>
              <w:top w:w="40" w:type="dxa"/>
              <w:left w:w="720" w:type="dxa"/>
              <w:bottom w:w="40" w:type="dxa"/>
              <w:right w:w="20" w:type="dxa"/>
            </w:tcMar>
            <w:vAlign w:val="bottom"/>
          </w:tcPr>
          <w:p w14:paraId="1426F033" w14:textId="77777777" w:rsidR="00A74A1E" w:rsidRDefault="00807990">
            <w:pPr>
              <w:textAlignment w:val="bottom"/>
            </w:pPr>
            <w:r>
              <w:rPr>
                <w:rFonts w:ascii="Arial" w:eastAsia="宋体" w:hAnsi="Arial" w:cs="Arial"/>
                <w:color w:val="000000"/>
                <w:sz w:val="18"/>
                <w:szCs w:val="18"/>
              </w:rPr>
              <w:t>Operating lease right-of-use assets acquired by assuming related liabilities</w:t>
            </w:r>
          </w:p>
        </w:tc>
        <w:tc>
          <w:tcPr>
            <w:tcW w:w="0" w:type="auto"/>
            <w:shd w:val="clear" w:color="auto" w:fill="FFFFFF"/>
            <w:tcMar>
              <w:top w:w="40" w:type="dxa"/>
              <w:left w:w="20" w:type="dxa"/>
              <w:bottom w:w="40" w:type="dxa"/>
              <w:right w:w="0" w:type="dxa"/>
            </w:tcMar>
            <w:vAlign w:val="bottom"/>
          </w:tcPr>
          <w:p w14:paraId="1426F034"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35" w14:textId="77777777" w:rsidR="00A74A1E" w:rsidRDefault="00807990">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426F03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37"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038"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39" w14:textId="77777777" w:rsidR="00A74A1E" w:rsidRDefault="00807990">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426F03A" w14:textId="77777777" w:rsidR="00A74A1E" w:rsidRDefault="00A74A1E">
            <w:pPr>
              <w:jc w:val="right"/>
              <w:rPr>
                <w:rFonts w:ascii="宋体"/>
              </w:rPr>
            </w:pPr>
          </w:p>
        </w:tc>
      </w:tr>
      <w:tr w:rsidR="00A74A1E" w14:paraId="1426F040" w14:textId="77777777">
        <w:trPr>
          <w:jc w:val="center"/>
        </w:trPr>
        <w:tc>
          <w:tcPr>
            <w:tcW w:w="0" w:type="auto"/>
            <w:gridSpan w:val="3"/>
            <w:shd w:val="clear" w:color="auto" w:fill="CCEEFF"/>
            <w:tcMar>
              <w:top w:w="40" w:type="dxa"/>
              <w:left w:w="20" w:type="dxa"/>
              <w:bottom w:w="40" w:type="dxa"/>
              <w:right w:w="20" w:type="dxa"/>
            </w:tcMar>
            <w:vAlign w:val="bottom"/>
          </w:tcPr>
          <w:p w14:paraId="1426F03C" w14:textId="77777777" w:rsidR="00A74A1E" w:rsidRDefault="00807990">
            <w:pPr>
              <w:textAlignment w:val="bottom"/>
            </w:pPr>
            <w:r>
              <w:rPr>
                <w:rFonts w:ascii="Arial" w:eastAsia="宋体" w:hAnsi="Arial" w:cs="Arial"/>
                <w:color w:val="000000"/>
                <w:sz w:val="18"/>
                <w:szCs w:val="18"/>
              </w:rPr>
              <w:t>Reconciliation of cash, cash equivalents, and restricted cash</w:t>
            </w:r>
          </w:p>
        </w:tc>
        <w:tc>
          <w:tcPr>
            <w:tcW w:w="0" w:type="auto"/>
            <w:gridSpan w:val="3"/>
            <w:shd w:val="clear" w:color="auto" w:fill="CCEEFF"/>
            <w:tcMar>
              <w:top w:w="0" w:type="dxa"/>
              <w:left w:w="20" w:type="dxa"/>
              <w:bottom w:w="0" w:type="dxa"/>
              <w:right w:w="20" w:type="dxa"/>
            </w:tcMar>
          </w:tcPr>
          <w:p w14:paraId="1426F03D"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3E"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3F" w14:textId="77777777" w:rsidR="00A74A1E" w:rsidRDefault="00A74A1E">
            <w:pPr>
              <w:rPr>
                <w:rFonts w:ascii="宋体"/>
              </w:rPr>
            </w:pPr>
          </w:p>
        </w:tc>
      </w:tr>
      <w:tr w:rsidR="00A74A1E" w14:paraId="1426F049" w14:textId="77777777">
        <w:trPr>
          <w:jc w:val="center"/>
        </w:trPr>
        <w:tc>
          <w:tcPr>
            <w:tcW w:w="0" w:type="auto"/>
            <w:gridSpan w:val="3"/>
            <w:shd w:val="clear" w:color="auto" w:fill="FFFFFF"/>
            <w:tcMar>
              <w:top w:w="40" w:type="dxa"/>
              <w:left w:w="720" w:type="dxa"/>
              <w:bottom w:w="40" w:type="dxa"/>
              <w:right w:w="20" w:type="dxa"/>
            </w:tcMar>
            <w:vAlign w:val="bottom"/>
          </w:tcPr>
          <w:p w14:paraId="1426F041" w14:textId="77777777" w:rsidR="00A74A1E" w:rsidRDefault="00807990">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1426F042"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43" w14:textId="77777777" w:rsidR="00A74A1E" w:rsidRDefault="00807990">
            <w:pPr>
              <w:jc w:val="right"/>
              <w:textAlignment w:val="bottom"/>
            </w:pPr>
            <w:r>
              <w:rPr>
                <w:rFonts w:ascii="Arial" w:eastAsia="宋体" w:hAnsi="Arial" w:cs="Arial"/>
                <w:color w:val="000000"/>
                <w:sz w:val="18"/>
                <w:szCs w:val="18"/>
              </w:rPr>
              <w:t>1,296 </w:t>
            </w:r>
          </w:p>
        </w:tc>
        <w:tc>
          <w:tcPr>
            <w:tcW w:w="0" w:type="auto"/>
            <w:shd w:val="clear" w:color="auto" w:fill="FFFFFF"/>
            <w:tcMar>
              <w:top w:w="40" w:type="dxa"/>
              <w:left w:w="0" w:type="dxa"/>
              <w:bottom w:w="40" w:type="dxa"/>
              <w:right w:w="20" w:type="dxa"/>
            </w:tcMar>
            <w:vAlign w:val="bottom"/>
          </w:tcPr>
          <w:p w14:paraId="1426F04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45"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046" w14:textId="77777777" w:rsidR="00A74A1E" w:rsidRDefault="00807990">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426F047" w14:textId="77777777" w:rsidR="00A74A1E" w:rsidRDefault="00807990">
            <w:pPr>
              <w:jc w:val="right"/>
              <w:textAlignment w:val="bottom"/>
            </w:pPr>
            <w:r>
              <w:rPr>
                <w:rFonts w:ascii="Arial" w:eastAsia="宋体" w:hAnsi="Arial" w:cs="Arial"/>
                <w:color w:val="000000"/>
                <w:sz w:val="18"/>
                <w:szCs w:val="18"/>
              </w:rPr>
              <w:t>1,156 </w:t>
            </w:r>
          </w:p>
        </w:tc>
        <w:tc>
          <w:tcPr>
            <w:tcW w:w="0" w:type="auto"/>
            <w:shd w:val="clear" w:color="auto" w:fill="FFFFFF"/>
            <w:tcMar>
              <w:top w:w="40" w:type="dxa"/>
              <w:left w:w="0" w:type="dxa"/>
              <w:bottom w:w="40" w:type="dxa"/>
              <w:right w:w="20" w:type="dxa"/>
            </w:tcMar>
            <w:vAlign w:val="bottom"/>
          </w:tcPr>
          <w:p w14:paraId="1426F048" w14:textId="77777777" w:rsidR="00A74A1E" w:rsidRDefault="00A74A1E">
            <w:pPr>
              <w:jc w:val="right"/>
              <w:rPr>
                <w:rFonts w:ascii="宋体"/>
              </w:rPr>
            </w:pPr>
          </w:p>
        </w:tc>
      </w:tr>
      <w:tr w:rsidR="00A74A1E" w14:paraId="1426F050" w14:textId="77777777">
        <w:trPr>
          <w:jc w:val="center"/>
        </w:trPr>
        <w:tc>
          <w:tcPr>
            <w:tcW w:w="0" w:type="auto"/>
            <w:gridSpan w:val="3"/>
            <w:shd w:val="clear" w:color="auto" w:fill="CCEEFF"/>
            <w:tcMar>
              <w:top w:w="40" w:type="dxa"/>
              <w:left w:w="720" w:type="dxa"/>
              <w:bottom w:w="40" w:type="dxa"/>
              <w:right w:w="20" w:type="dxa"/>
            </w:tcMar>
            <w:vAlign w:val="bottom"/>
          </w:tcPr>
          <w:p w14:paraId="1426F04A" w14:textId="77777777" w:rsidR="00A74A1E" w:rsidRDefault="00807990">
            <w:pPr>
              <w:textAlignment w:val="bottom"/>
            </w:pPr>
            <w:r>
              <w:rPr>
                <w:rFonts w:ascii="Arial" w:eastAsia="宋体" w:hAnsi="Arial" w:cs="Arial"/>
                <w:color w:val="000000"/>
                <w:sz w:val="18"/>
                <w:szCs w:val="18"/>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1426F04B" w14:textId="77777777" w:rsidR="00A74A1E" w:rsidRDefault="00807990">
            <w:pPr>
              <w:jc w:val="right"/>
              <w:textAlignment w:val="bottom"/>
            </w:pPr>
            <w:r>
              <w:rPr>
                <w:rFonts w:ascii="Arial" w:eastAsia="宋体" w:hAnsi="Arial" w:cs="Arial"/>
                <w:color w:val="000000"/>
                <w:sz w:val="18"/>
                <w:szCs w:val="18"/>
              </w:rPr>
              <w:t>4 </w:t>
            </w:r>
          </w:p>
        </w:tc>
        <w:tc>
          <w:tcPr>
            <w:tcW w:w="0" w:type="auto"/>
            <w:shd w:val="clear" w:color="auto" w:fill="CCEEFF"/>
            <w:tcMar>
              <w:top w:w="40" w:type="dxa"/>
              <w:left w:w="0" w:type="dxa"/>
              <w:bottom w:w="40" w:type="dxa"/>
              <w:right w:w="20" w:type="dxa"/>
            </w:tcMar>
            <w:vAlign w:val="bottom"/>
          </w:tcPr>
          <w:p w14:paraId="1426F04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4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04E" w14:textId="77777777" w:rsidR="00A74A1E" w:rsidRDefault="00807990">
            <w:pPr>
              <w:jc w:val="right"/>
              <w:textAlignment w:val="bottom"/>
            </w:pPr>
            <w:r>
              <w:rPr>
                <w:rFonts w:ascii="Arial" w:eastAsia="宋体" w:hAnsi="Arial" w:cs="Arial"/>
                <w:color w:val="000000"/>
                <w:sz w:val="18"/>
                <w:szCs w:val="18"/>
              </w:rPr>
              <w:t>5 </w:t>
            </w:r>
          </w:p>
        </w:tc>
        <w:tc>
          <w:tcPr>
            <w:tcW w:w="0" w:type="auto"/>
            <w:shd w:val="clear" w:color="auto" w:fill="CCEEFF"/>
            <w:tcMar>
              <w:top w:w="40" w:type="dxa"/>
              <w:left w:w="0" w:type="dxa"/>
              <w:bottom w:w="40" w:type="dxa"/>
              <w:right w:w="20" w:type="dxa"/>
            </w:tcMar>
            <w:vAlign w:val="bottom"/>
          </w:tcPr>
          <w:p w14:paraId="1426F04F" w14:textId="77777777" w:rsidR="00A74A1E" w:rsidRDefault="00A74A1E">
            <w:pPr>
              <w:jc w:val="right"/>
              <w:rPr>
                <w:rFonts w:ascii="宋体"/>
              </w:rPr>
            </w:pPr>
          </w:p>
        </w:tc>
      </w:tr>
      <w:tr w:rsidR="00A74A1E" w14:paraId="1426F059" w14:textId="77777777">
        <w:trPr>
          <w:jc w:val="center"/>
        </w:trPr>
        <w:tc>
          <w:tcPr>
            <w:tcW w:w="0" w:type="auto"/>
            <w:gridSpan w:val="3"/>
            <w:shd w:val="clear" w:color="auto" w:fill="FFFFFF"/>
            <w:tcMar>
              <w:top w:w="40" w:type="dxa"/>
              <w:left w:w="20" w:type="dxa"/>
              <w:bottom w:w="40" w:type="dxa"/>
              <w:right w:w="20" w:type="dxa"/>
            </w:tcMar>
            <w:vAlign w:val="bottom"/>
          </w:tcPr>
          <w:p w14:paraId="1426F051" w14:textId="77777777" w:rsidR="00A74A1E" w:rsidRDefault="00807990">
            <w:pPr>
              <w:textAlignment w:val="bottom"/>
            </w:pPr>
            <w:r>
              <w:rPr>
                <w:rFonts w:ascii="Arial" w:eastAsia="宋体" w:hAnsi="Arial" w:cs="Arial"/>
                <w:color w:val="000000"/>
                <w:sz w:val="18"/>
                <w:szCs w:val="18"/>
              </w:rPr>
              <w:t>Total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052" w14:textId="77777777" w:rsidR="00A74A1E" w:rsidRDefault="0080799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053" w14:textId="77777777" w:rsidR="00A74A1E" w:rsidRDefault="00807990">
            <w:pPr>
              <w:jc w:val="right"/>
              <w:textAlignment w:val="bottom"/>
            </w:pPr>
            <w:r>
              <w:rPr>
                <w:rFonts w:ascii="Arial" w:eastAsia="宋体" w:hAnsi="Arial" w:cs="Arial"/>
                <w:color w:val="000000"/>
                <w:sz w:val="18"/>
                <w:szCs w:val="18"/>
              </w:rPr>
              <w:t>1,300 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05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55"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056" w14:textId="77777777" w:rsidR="00A74A1E" w:rsidRDefault="00807990">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057" w14:textId="77777777" w:rsidR="00A74A1E" w:rsidRDefault="00807990">
            <w:pPr>
              <w:jc w:val="right"/>
              <w:textAlignment w:val="bottom"/>
            </w:pPr>
            <w:r>
              <w:rPr>
                <w:rFonts w:ascii="Arial" w:eastAsia="宋体" w:hAnsi="Arial" w:cs="Arial"/>
                <w:color w:val="000000"/>
                <w:sz w:val="18"/>
                <w:szCs w:val="18"/>
              </w:rPr>
              <w:t>1,161 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058" w14:textId="77777777" w:rsidR="00A74A1E" w:rsidRDefault="00A74A1E">
            <w:pPr>
              <w:jc w:val="right"/>
              <w:rPr>
                <w:rFonts w:ascii="宋体"/>
              </w:rPr>
            </w:pPr>
          </w:p>
        </w:tc>
      </w:tr>
    </w:tbl>
    <w:p w14:paraId="1426F05A" w14:textId="77777777" w:rsidR="00A74A1E" w:rsidRDefault="00807990">
      <w:pPr>
        <w:spacing w:before="180"/>
        <w:jc w:val="center"/>
      </w:pPr>
      <w:r>
        <w:rPr>
          <w:rFonts w:ascii="Arial" w:eastAsia="宋体" w:hAnsi="Arial" w:cs="Arial"/>
          <w:color w:val="000000"/>
          <w:sz w:val="20"/>
          <w:szCs w:val="20"/>
        </w:rPr>
        <w:t xml:space="preserve">See accompanying notes. </w:t>
      </w:r>
    </w:p>
    <w:p w14:paraId="1426F05B" w14:textId="77777777" w:rsidR="00A74A1E" w:rsidRDefault="00807990">
      <w:pPr>
        <w:jc w:val="center"/>
      </w:pPr>
      <w:r>
        <w:rPr>
          <w:rFonts w:ascii="Arial" w:eastAsia="宋体" w:hAnsi="Arial" w:cs="Arial"/>
          <w:color w:val="000000"/>
          <w:sz w:val="20"/>
          <w:szCs w:val="20"/>
        </w:rPr>
        <w:t>6</w:t>
      </w:r>
    </w:p>
    <w:p w14:paraId="1426F05C" w14:textId="77777777" w:rsidR="00A74A1E" w:rsidRDefault="00807990">
      <w:r>
        <w:pict w14:anchorId="1426FC11">
          <v:rect id="_x0000_i1030" style="width:415.3pt;height:1.5pt" o:hralign="center" o:hrstd="t" o:hr="t" fillcolor="#a0a0a0" stroked="f"/>
        </w:pict>
      </w:r>
    </w:p>
    <w:p w14:paraId="1426F05D" w14:textId="77777777" w:rsidR="00A74A1E" w:rsidRDefault="00A74A1E">
      <w:pPr>
        <w:spacing w:before="60"/>
      </w:pPr>
    </w:p>
    <w:p w14:paraId="1426F05E" w14:textId="77777777" w:rsidR="00A74A1E" w:rsidRDefault="00807990">
      <w:pPr>
        <w:jc w:val="center"/>
      </w:pPr>
      <w:r>
        <w:rPr>
          <w:rFonts w:ascii="Arial" w:eastAsia="宋体" w:hAnsi="Arial" w:cs="Arial"/>
          <w:b/>
          <w:bCs/>
          <w:color w:val="000000"/>
          <w:sz w:val="20"/>
          <w:szCs w:val="20"/>
        </w:rPr>
        <w:t>Advanced Micro Devices</w:t>
      </w:r>
    </w:p>
    <w:p w14:paraId="1426F05F" w14:textId="77777777" w:rsidR="00A74A1E" w:rsidRDefault="00807990">
      <w:pPr>
        <w:jc w:val="center"/>
      </w:pPr>
      <w:r>
        <w:rPr>
          <w:rFonts w:ascii="Arial" w:eastAsia="宋体" w:hAnsi="Arial" w:cs="Arial"/>
          <w:b/>
          <w:bCs/>
          <w:color w:val="000000"/>
          <w:sz w:val="20"/>
          <w:szCs w:val="20"/>
        </w:rPr>
        <w:t>Condensed Consolidated Statements of Stockholders’ Equity</w:t>
      </w:r>
    </w:p>
    <w:p w14:paraId="1426F060" w14:textId="77777777" w:rsidR="00A74A1E" w:rsidRDefault="00807990">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84"/>
        <w:gridCol w:w="39"/>
        <w:gridCol w:w="133"/>
        <w:gridCol w:w="812"/>
        <w:gridCol w:w="36"/>
        <w:gridCol w:w="36"/>
        <w:gridCol w:w="36"/>
        <w:gridCol w:w="36"/>
        <w:gridCol w:w="133"/>
        <w:gridCol w:w="785"/>
        <w:gridCol w:w="36"/>
        <w:gridCol w:w="36"/>
        <w:gridCol w:w="36"/>
        <w:gridCol w:w="36"/>
        <w:gridCol w:w="133"/>
        <w:gridCol w:w="791"/>
        <w:gridCol w:w="36"/>
        <w:gridCol w:w="36"/>
        <w:gridCol w:w="36"/>
        <w:gridCol w:w="36"/>
        <w:gridCol w:w="133"/>
        <w:gridCol w:w="785"/>
        <w:gridCol w:w="36"/>
      </w:tblGrid>
      <w:tr w:rsidR="00A74A1E" w14:paraId="1426F079" w14:textId="77777777">
        <w:trPr>
          <w:jc w:val="center"/>
        </w:trPr>
        <w:tc>
          <w:tcPr>
            <w:tcW w:w="50" w:type="pct"/>
            <w:shd w:val="clear" w:color="auto" w:fill="auto"/>
          </w:tcPr>
          <w:p w14:paraId="1426F061" w14:textId="77777777" w:rsidR="00A74A1E" w:rsidRDefault="00A74A1E">
            <w:pPr>
              <w:rPr>
                <w:rFonts w:ascii="宋体"/>
              </w:rPr>
            </w:pPr>
          </w:p>
        </w:tc>
        <w:tc>
          <w:tcPr>
            <w:tcW w:w="2503" w:type="pct"/>
            <w:shd w:val="clear" w:color="auto" w:fill="auto"/>
          </w:tcPr>
          <w:p w14:paraId="1426F062" w14:textId="77777777" w:rsidR="00A74A1E" w:rsidRDefault="00A74A1E">
            <w:pPr>
              <w:rPr>
                <w:rFonts w:ascii="宋体"/>
              </w:rPr>
            </w:pPr>
          </w:p>
        </w:tc>
        <w:tc>
          <w:tcPr>
            <w:tcW w:w="5" w:type="pct"/>
            <w:shd w:val="clear" w:color="auto" w:fill="auto"/>
          </w:tcPr>
          <w:p w14:paraId="1426F063" w14:textId="77777777" w:rsidR="00A74A1E" w:rsidRDefault="00A74A1E">
            <w:pPr>
              <w:rPr>
                <w:rFonts w:ascii="宋体"/>
              </w:rPr>
            </w:pPr>
          </w:p>
        </w:tc>
        <w:tc>
          <w:tcPr>
            <w:tcW w:w="50" w:type="pct"/>
            <w:shd w:val="clear" w:color="auto" w:fill="auto"/>
          </w:tcPr>
          <w:p w14:paraId="1426F064" w14:textId="77777777" w:rsidR="00A74A1E" w:rsidRDefault="00A74A1E">
            <w:pPr>
              <w:rPr>
                <w:rFonts w:ascii="宋体"/>
              </w:rPr>
            </w:pPr>
          </w:p>
        </w:tc>
        <w:tc>
          <w:tcPr>
            <w:tcW w:w="529" w:type="pct"/>
            <w:shd w:val="clear" w:color="auto" w:fill="auto"/>
          </w:tcPr>
          <w:p w14:paraId="1426F065" w14:textId="77777777" w:rsidR="00A74A1E" w:rsidRDefault="00A74A1E">
            <w:pPr>
              <w:rPr>
                <w:rFonts w:ascii="宋体"/>
              </w:rPr>
            </w:pPr>
          </w:p>
        </w:tc>
        <w:tc>
          <w:tcPr>
            <w:tcW w:w="5" w:type="pct"/>
            <w:shd w:val="clear" w:color="auto" w:fill="auto"/>
          </w:tcPr>
          <w:p w14:paraId="1426F066" w14:textId="77777777" w:rsidR="00A74A1E" w:rsidRDefault="00A74A1E">
            <w:pPr>
              <w:rPr>
                <w:rFonts w:ascii="宋体"/>
              </w:rPr>
            </w:pPr>
          </w:p>
        </w:tc>
        <w:tc>
          <w:tcPr>
            <w:tcW w:w="5" w:type="pct"/>
            <w:shd w:val="clear" w:color="auto" w:fill="auto"/>
          </w:tcPr>
          <w:p w14:paraId="1426F067" w14:textId="77777777" w:rsidR="00A74A1E" w:rsidRDefault="00A74A1E">
            <w:pPr>
              <w:rPr>
                <w:rFonts w:ascii="宋体"/>
              </w:rPr>
            </w:pPr>
          </w:p>
        </w:tc>
        <w:tc>
          <w:tcPr>
            <w:tcW w:w="26" w:type="pct"/>
            <w:shd w:val="clear" w:color="auto" w:fill="auto"/>
          </w:tcPr>
          <w:p w14:paraId="1426F068" w14:textId="77777777" w:rsidR="00A74A1E" w:rsidRDefault="00A74A1E">
            <w:pPr>
              <w:rPr>
                <w:rFonts w:ascii="宋体"/>
              </w:rPr>
            </w:pPr>
          </w:p>
        </w:tc>
        <w:tc>
          <w:tcPr>
            <w:tcW w:w="5" w:type="pct"/>
            <w:shd w:val="clear" w:color="auto" w:fill="auto"/>
          </w:tcPr>
          <w:p w14:paraId="1426F069" w14:textId="77777777" w:rsidR="00A74A1E" w:rsidRDefault="00A74A1E">
            <w:pPr>
              <w:rPr>
                <w:rFonts w:ascii="宋体"/>
              </w:rPr>
            </w:pPr>
          </w:p>
        </w:tc>
        <w:tc>
          <w:tcPr>
            <w:tcW w:w="50" w:type="pct"/>
            <w:shd w:val="clear" w:color="auto" w:fill="auto"/>
          </w:tcPr>
          <w:p w14:paraId="1426F06A" w14:textId="77777777" w:rsidR="00A74A1E" w:rsidRDefault="00A74A1E">
            <w:pPr>
              <w:rPr>
                <w:rFonts w:ascii="宋体"/>
              </w:rPr>
            </w:pPr>
          </w:p>
        </w:tc>
        <w:tc>
          <w:tcPr>
            <w:tcW w:w="529" w:type="pct"/>
            <w:shd w:val="clear" w:color="auto" w:fill="auto"/>
          </w:tcPr>
          <w:p w14:paraId="1426F06B" w14:textId="77777777" w:rsidR="00A74A1E" w:rsidRDefault="00A74A1E">
            <w:pPr>
              <w:rPr>
                <w:rFonts w:ascii="宋体"/>
              </w:rPr>
            </w:pPr>
          </w:p>
        </w:tc>
        <w:tc>
          <w:tcPr>
            <w:tcW w:w="5" w:type="pct"/>
            <w:shd w:val="clear" w:color="auto" w:fill="auto"/>
          </w:tcPr>
          <w:p w14:paraId="1426F06C" w14:textId="77777777" w:rsidR="00A74A1E" w:rsidRDefault="00A74A1E">
            <w:pPr>
              <w:rPr>
                <w:rFonts w:ascii="宋体"/>
              </w:rPr>
            </w:pPr>
          </w:p>
        </w:tc>
        <w:tc>
          <w:tcPr>
            <w:tcW w:w="5" w:type="pct"/>
            <w:shd w:val="clear" w:color="auto" w:fill="auto"/>
          </w:tcPr>
          <w:p w14:paraId="1426F06D" w14:textId="77777777" w:rsidR="00A74A1E" w:rsidRDefault="00A74A1E">
            <w:pPr>
              <w:rPr>
                <w:rFonts w:ascii="宋体"/>
              </w:rPr>
            </w:pPr>
          </w:p>
        </w:tc>
        <w:tc>
          <w:tcPr>
            <w:tcW w:w="19" w:type="pct"/>
            <w:shd w:val="clear" w:color="auto" w:fill="auto"/>
          </w:tcPr>
          <w:p w14:paraId="1426F06E" w14:textId="77777777" w:rsidR="00A74A1E" w:rsidRDefault="00A74A1E">
            <w:pPr>
              <w:rPr>
                <w:rFonts w:ascii="宋体"/>
              </w:rPr>
            </w:pPr>
          </w:p>
        </w:tc>
        <w:tc>
          <w:tcPr>
            <w:tcW w:w="5" w:type="pct"/>
            <w:shd w:val="clear" w:color="auto" w:fill="auto"/>
          </w:tcPr>
          <w:p w14:paraId="1426F06F" w14:textId="77777777" w:rsidR="00A74A1E" w:rsidRDefault="00A74A1E">
            <w:pPr>
              <w:rPr>
                <w:rFonts w:ascii="宋体"/>
              </w:rPr>
            </w:pPr>
          </w:p>
        </w:tc>
        <w:tc>
          <w:tcPr>
            <w:tcW w:w="50" w:type="pct"/>
            <w:shd w:val="clear" w:color="auto" w:fill="auto"/>
          </w:tcPr>
          <w:p w14:paraId="1426F070" w14:textId="77777777" w:rsidR="00A74A1E" w:rsidRDefault="00A74A1E">
            <w:pPr>
              <w:rPr>
                <w:rFonts w:ascii="宋体"/>
              </w:rPr>
            </w:pPr>
          </w:p>
        </w:tc>
        <w:tc>
          <w:tcPr>
            <w:tcW w:w="529" w:type="pct"/>
            <w:shd w:val="clear" w:color="auto" w:fill="auto"/>
          </w:tcPr>
          <w:p w14:paraId="1426F071" w14:textId="77777777" w:rsidR="00A74A1E" w:rsidRDefault="00A74A1E">
            <w:pPr>
              <w:rPr>
                <w:rFonts w:ascii="宋体"/>
              </w:rPr>
            </w:pPr>
          </w:p>
        </w:tc>
        <w:tc>
          <w:tcPr>
            <w:tcW w:w="5" w:type="pct"/>
            <w:shd w:val="clear" w:color="auto" w:fill="auto"/>
          </w:tcPr>
          <w:p w14:paraId="1426F072" w14:textId="77777777" w:rsidR="00A74A1E" w:rsidRDefault="00A74A1E">
            <w:pPr>
              <w:rPr>
                <w:rFonts w:ascii="宋体"/>
              </w:rPr>
            </w:pPr>
          </w:p>
        </w:tc>
        <w:tc>
          <w:tcPr>
            <w:tcW w:w="5" w:type="pct"/>
            <w:shd w:val="clear" w:color="auto" w:fill="auto"/>
          </w:tcPr>
          <w:p w14:paraId="1426F073" w14:textId="77777777" w:rsidR="00A74A1E" w:rsidRDefault="00A74A1E">
            <w:pPr>
              <w:rPr>
                <w:rFonts w:ascii="宋体"/>
              </w:rPr>
            </w:pPr>
          </w:p>
        </w:tc>
        <w:tc>
          <w:tcPr>
            <w:tcW w:w="26" w:type="pct"/>
            <w:shd w:val="clear" w:color="auto" w:fill="auto"/>
          </w:tcPr>
          <w:p w14:paraId="1426F074" w14:textId="77777777" w:rsidR="00A74A1E" w:rsidRDefault="00A74A1E">
            <w:pPr>
              <w:rPr>
                <w:rFonts w:ascii="宋体"/>
              </w:rPr>
            </w:pPr>
          </w:p>
        </w:tc>
        <w:tc>
          <w:tcPr>
            <w:tcW w:w="5" w:type="pct"/>
            <w:shd w:val="clear" w:color="auto" w:fill="auto"/>
          </w:tcPr>
          <w:p w14:paraId="1426F075" w14:textId="77777777" w:rsidR="00A74A1E" w:rsidRDefault="00A74A1E">
            <w:pPr>
              <w:rPr>
                <w:rFonts w:ascii="宋体"/>
              </w:rPr>
            </w:pPr>
          </w:p>
        </w:tc>
        <w:tc>
          <w:tcPr>
            <w:tcW w:w="50" w:type="pct"/>
            <w:shd w:val="clear" w:color="auto" w:fill="auto"/>
          </w:tcPr>
          <w:p w14:paraId="1426F076" w14:textId="77777777" w:rsidR="00A74A1E" w:rsidRDefault="00A74A1E">
            <w:pPr>
              <w:rPr>
                <w:rFonts w:ascii="宋体"/>
              </w:rPr>
            </w:pPr>
          </w:p>
        </w:tc>
        <w:tc>
          <w:tcPr>
            <w:tcW w:w="530" w:type="pct"/>
            <w:shd w:val="clear" w:color="auto" w:fill="auto"/>
          </w:tcPr>
          <w:p w14:paraId="1426F077" w14:textId="77777777" w:rsidR="00A74A1E" w:rsidRDefault="00A74A1E">
            <w:pPr>
              <w:rPr>
                <w:rFonts w:ascii="宋体"/>
              </w:rPr>
            </w:pPr>
          </w:p>
        </w:tc>
        <w:tc>
          <w:tcPr>
            <w:tcW w:w="5" w:type="pct"/>
            <w:shd w:val="clear" w:color="auto" w:fill="auto"/>
          </w:tcPr>
          <w:p w14:paraId="1426F078" w14:textId="77777777" w:rsidR="00A74A1E" w:rsidRDefault="00A74A1E">
            <w:pPr>
              <w:rPr>
                <w:rFonts w:ascii="宋体"/>
              </w:rPr>
            </w:pPr>
          </w:p>
        </w:tc>
      </w:tr>
      <w:tr w:rsidR="00A74A1E" w14:paraId="1426F07E" w14:textId="77777777">
        <w:trPr>
          <w:jc w:val="center"/>
        </w:trPr>
        <w:tc>
          <w:tcPr>
            <w:tcW w:w="0" w:type="auto"/>
            <w:gridSpan w:val="3"/>
            <w:shd w:val="clear" w:color="auto" w:fill="auto"/>
            <w:tcMar>
              <w:top w:w="0" w:type="dxa"/>
              <w:left w:w="20" w:type="dxa"/>
              <w:bottom w:w="0" w:type="dxa"/>
              <w:right w:w="20" w:type="dxa"/>
            </w:tcMar>
          </w:tcPr>
          <w:p w14:paraId="1426F07A"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07B"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07C"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07D"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087" w14:textId="77777777">
        <w:trPr>
          <w:jc w:val="center"/>
        </w:trPr>
        <w:tc>
          <w:tcPr>
            <w:tcW w:w="0" w:type="auto"/>
            <w:gridSpan w:val="3"/>
            <w:shd w:val="clear" w:color="auto" w:fill="auto"/>
            <w:tcMar>
              <w:top w:w="0" w:type="dxa"/>
              <w:left w:w="20" w:type="dxa"/>
              <w:bottom w:w="0" w:type="dxa"/>
              <w:right w:w="20" w:type="dxa"/>
            </w:tcMar>
          </w:tcPr>
          <w:p w14:paraId="1426F07F"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080"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081"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082"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083"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084"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085"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086"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08A" w14:textId="77777777">
        <w:trPr>
          <w:jc w:val="center"/>
        </w:trPr>
        <w:tc>
          <w:tcPr>
            <w:tcW w:w="0" w:type="auto"/>
            <w:gridSpan w:val="3"/>
            <w:shd w:val="clear" w:color="auto" w:fill="auto"/>
            <w:tcMar>
              <w:top w:w="0" w:type="dxa"/>
              <w:left w:w="20" w:type="dxa"/>
              <w:bottom w:w="0" w:type="dxa"/>
              <w:right w:w="20" w:type="dxa"/>
            </w:tcMar>
          </w:tcPr>
          <w:p w14:paraId="1426F088" w14:textId="77777777" w:rsidR="00A74A1E" w:rsidRDefault="00A74A1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F089"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093" w14:textId="77777777">
        <w:trPr>
          <w:jc w:val="center"/>
        </w:trPr>
        <w:tc>
          <w:tcPr>
            <w:tcW w:w="0" w:type="auto"/>
            <w:gridSpan w:val="3"/>
            <w:shd w:val="clear" w:color="auto" w:fill="CCEEFF"/>
            <w:tcMar>
              <w:top w:w="40" w:type="dxa"/>
              <w:left w:w="20" w:type="dxa"/>
              <w:bottom w:w="40" w:type="dxa"/>
              <w:right w:w="20" w:type="dxa"/>
            </w:tcMar>
            <w:vAlign w:val="bottom"/>
          </w:tcPr>
          <w:p w14:paraId="1426F08B" w14:textId="77777777" w:rsidR="00A74A1E" w:rsidRDefault="00807990">
            <w:pPr>
              <w:textAlignment w:val="bottom"/>
            </w:pPr>
            <w:r>
              <w:rPr>
                <w:rFonts w:ascii="Arial" w:eastAsia="宋体"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tcPr>
          <w:p w14:paraId="1426F08C"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8D"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8E"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8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9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9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092" w14:textId="77777777" w:rsidR="00A74A1E" w:rsidRDefault="00A74A1E">
            <w:pPr>
              <w:rPr>
                <w:rFonts w:ascii="宋体"/>
              </w:rPr>
            </w:pPr>
          </w:p>
        </w:tc>
      </w:tr>
      <w:tr w:rsidR="00A74A1E" w14:paraId="1426F09C" w14:textId="77777777">
        <w:trPr>
          <w:jc w:val="center"/>
        </w:trPr>
        <w:tc>
          <w:tcPr>
            <w:tcW w:w="0" w:type="auto"/>
            <w:gridSpan w:val="3"/>
            <w:shd w:val="clear" w:color="auto" w:fill="FFFFFF"/>
            <w:tcMar>
              <w:top w:w="40" w:type="dxa"/>
              <w:left w:w="20" w:type="dxa"/>
              <w:bottom w:w="40" w:type="dxa"/>
              <w:right w:w="20" w:type="dxa"/>
            </w:tcMar>
            <w:vAlign w:val="bottom"/>
          </w:tcPr>
          <w:p w14:paraId="1426F094" w14:textId="77777777" w:rsidR="00A74A1E" w:rsidRDefault="00807990">
            <w:pPr>
              <w:textAlignment w:val="bottom"/>
            </w:pPr>
            <w:r>
              <w:rPr>
                <w:rFonts w:ascii="Arial" w:eastAsia="宋体" w:hAnsi="Arial" w:cs="Arial"/>
                <w:color w:val="000000"/>
                <w:sz w:val="20"/>
                <w:szCs w:val="20"/>
              </w:rPr>
              <w:t>Common stock</w:t>
            </w:r>
          </w:p>
        </w:tc>
        <w:tc>
          <w:tcPr>
            <w:tcW w:w="0" w:type="auto"/>
            <w:gridSpan w:val="3"/>
            <w:shd w:val="clear" w:color="auto" w:fill="FFFFFF"/>
            <w:tcMar>
              <w:top w:w="0" w:type="dxa"/>
              <w:left w:w="20" w:type="dxa"/>
              <w:bottom w:w="0" w:type="dxa"/>
              <w:right w:w="20" w:type="dxa"/>
            </w:tcMar>
          </w:tcPr>
          <w:p w14:paraId="1426F095"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6"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7"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8"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9"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A"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9B" w14:textId="77777777" w:rsidR="00A74A1E" w:rsidRDefault="00A74A1E">
            <w:pPr>
              <w:rPr>
                <w:rFonts w:ascii="宋体"/>
              </w:rPr>
            </w:pPr>
          </w:p>
        </w:tc>
      </w:tr>
      <w:tr w:rsidR="00A74A1E" w14:paraId="1426F0AD" w14:textId="77777777">
        <w:trPr>
          <w:jc w:val="center"/>
        </w:trPr>
        <w:tc>
          <w:tcPr>
            <w:tcW w:w="0" w:type="auto"/>
            <w:gridSpan w:val="3"/>
            <w:shd w:val="clear" w:color="auto" w:fill="CCEEFF"/>
            <w:tcMar>
              <w:top w:w="40" w:type="dxa"/>
              <w:left w:w="240" w:type="dxa"/>
              <w:bottom w:w="40" w:type="dxa"/>
              <w:right w:w="20" w:type="dxa"/>
            </w:tcMar>
            <w:vAlign w:val="bottom"/>
          </w:tcPr>
          <w:p w14:paraId="1426F09D" w14:textId="77777777" w:rsidR="00A74A1E" w:rsidRDefault="00807990">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1426F09E"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9F"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426F0A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A1"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A2"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A3" w14:textId="77777777" w:rsidR="00A74A1E" w:rsidRDefault="00807990">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1426F0A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A5"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A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A7"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426F0A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A9"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A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AB" w14:textId="77777777" w:rsidR="00A74A1E" w:rsidRDefault="00807990">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1426F0AC" w14:textId="77777777" w:rsidR="00A74A1E" w:rsidRDefault="00A74A1E">
            <w:pPr>
              <w:jc w:val="right"/>
              <w:rPr>
                <w:rFonts w:ascii="宋体"/>
              </w:rPr>
            </w:pPr>
          </w:p>
        </w:tc>
      </w:tr>
      <w:tr w:rsidR="00A74A1E" w14:paraId="1426F0B6" w14:textId="77777777">
        <w:trPr>
          <w:jc w:val="center"/>
          <w:hidden/>
        </w:trPr>
        <w:tc>
          <w:tcPr>
            <w:tcW w:w="0" w:type="auto"/>
            <w:gridSpan w:val="3"/>
            <w:shd w:val="clear" w:color="auto" w:fill="auto"/>
          </w:tcPr>
          <w:p w14:paraId="1426F0AE" w14:textId="77777777" w:rsidR="00A74A1E" w:rsidRDefault="00A74A1E">
            <w:pPr>
              <w:rPr>
                <w:rFonts w:ascii="宋体"/>
                <w:vanish/>
              </w:rPr>
            </w:pPr>
          </w:p>
        </w:tc>
        <w:tc>
          <w:tcPr>
            <w:tcW w:w="0" w:type="auto"/>
            <w:gridSpan w:val="3"/>
            <w:shd w:val="clear" w:color="auto" w:fill="auto"/>
          </w:tcPr>
          <w:p w14:paraId="1426F0AF" w14:textId="77777777" w:rsidR="00A74A1E" w:rsidRDefault="00A74A1E">
            <w:pPr>
              <w:rPr>
                <w:rFonts w:ascii="宋体"/>
                <w:vanish/>
              </w:rPr>
            </w:pPr>
          </w:p>
        </w:tc>
        <w:tc>
          <w:tcPr>
            <w:tcW w:w="0" w:type="auto"/>
            <w:gridSpan w:val="3"/>
            <w:shd w:val="clear" w:color="auto" w:fill="auto"/>
          </w:tcPr>
          <w:p w14:paraId="1426F0B0" w14:textId="77777777" w:rsidR="00A74A1E" w:rsidRDefault="00A74A1E">
            <w:pPr>
              <w:rPr>
                <w:rFonts w:ascii="宋体"/>
                <w:vanish/>
              </w:rPr>
            </w:pPr>
          </w:p>
        </w:tc>
        <w:tc>
          <w:tcPr>
            <w:tcW w:w="0" w:type="auto"/>
            <w:gridSpan w:val="3"/>
            <w:shd w:val="clear" w:color="auto" w:fill="auto"/>
          </w:tcPr>
          <w:p w14:paraId="1426F0B1" w14:textId="77777777" w:rsidR="00A74A1E" w:rsidRDefault="00A74A1E">
            <w:pPr>
              <w:rPr>
                <w:rFonts w:ascii="宋体"/>
                <w:vanish/>
              </w:rPr>
            </w:pPr>
          </w:p>
        </w:tc>
        <w:tc>
          <w:tcPr>
            <w:tcW w:w="0" w:type="auto"/>
            <w:gridSpan w:val="3"/>
            <w:shd w:val="clear" w:color="auto" w:fill="auto"/>
          </w:tcPr>
          <w:p w14:paraId="1426F0B2" w14:textId="77777777" w:rsidR="00A74A1E" w:rsidRDefault="00A74A1E">
            <w:pPr>
              <w:rPr>
                <w:rFonts w:ascii="宋体"/>
                <w:vanish/>
              </w:rPr>
            </w:pPr>
          </w:p>
        </w:tc>
        <w:tc>
          <w:tcPr>
            <w:tcW w:w="0" w:type="auto"/>
            <w:gridSpan w:val="3"/>
            <w:shd w:val="clear" w:color="auto" w:fill="auto"/>
          </w:tcPr>
          <w:p w14:paraId="1426F0B3" w14:textId="77777777" w:rsidR="00A74A1E" w:rsidRDefault="00A74A1E">
            <w:pPr>
              <w:rPr>
                <w:rFonts w:ascii="宋体"/>
                <w:vanish/>
              </w:rPr>
            </w:pPr>
          </w:p>
        </w:tc>
        <w:tc>
          <w:tcPr>
            <w:tcW w:w="0" w:type="auto"/>
            <w:gridSpan w:val="3"/>
            <w:shd w:val="clear" w:color="auto" w:fill="auto"/>
          </w:tcPr>
          <w:p w14:paraId="1426F0B4" w14:textId="77777777" w:rsidR="00A74A1E" w:rsidRDefault="00A74A1E">
            <w:pPr>
              <w:rPr>
                <w:rFonts w:ascii="宋体"/>
                <w:vanish/>
              </w:rPr>
            </w:pPr>
          </w:p>
        </w:tc>
        <w:tc>
          <w:tcPr>
            <w:tcW w:w="0" w:type="auto"/>
            <w:gridSpan w:val="3"/>
            <w:shd w:val="clear" w:color="auto" w:fill="auto"/>
          </w:tcPr>
          <w:p w14:paraId="1426F0B5" w14:textId="77777777" w:rsidR="00A74A1E" w:rsidRDefault="00A74A1E">
            <w:pPr>
              <w:rPr>
                <w:rFonts w:ascii="宋体"/>
                <w:vanish/>
              </w:rPr>
            </w:pPr>
          </w:p>
        </w:tc>
      </w:tr>
      <w:tr w:rsidR="00A74A1E" w14:paraId="1426F0C3" w14:textId="77777777">
        <w:trPr>
          <w:jc w:val="center"/>
        </w:trPr>
        <w:tc>
          <w:tcPr>
            <w:tcW w:w="0" w:type="auto"/>
            <w:gridSpan w:val="3"/>
            <w:shd w:val="clear" w:color="auto" w:fill="FFFFFF"/>
            <w:tcMar>
              <w:top w:w="40" w:type="dxa"/>
              <w:left w:w="240" w:type="dxa"/>
              <w:bottom w:w="40" w:type="dxa"/>
              <w:right w:w="20" w:type="dxa"/>
            </w:tcMar>
            <w:vAlign w:val="bottom"/>
          </w:tcPr>
          <w:p w14:paraId="1426F0B7" w14:textId="77777777" w:rsidR="00A74A1E" w:rsidRDefault="00807990">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1426F0B8"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0B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B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0BB"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0B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B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0BE"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0B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C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0C1"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426F0C2" w14:textId="77777777" w:rsidR="00A74A1E" w:rsidRDefault="00A74A1E">
            <w:pPr>
              <w:jc w:val="right"/>
              <w:rPr>
                <w:rFonts w:ascii="宋体"/>
              </w:rPr>
            </w:pPr>
          </w:p>
        </w:tc>
      </w:tr>
      <w:tr w:rsidR="00A74A1E" w14:paraId="1426F0CC" w14:textId="77777777">
        <w:trPr>
          <w:jc w:val="center"/>
          <w:hidden/>
        </w:trPr>
        <w:tc>
          <w:tcPr>
            <w:tcW w:w="0" w:type="auto"/>
            <w:gridSpan w:val="3"/>
            <w:shd w:val="clear" w:color="auto" w:fill="auto"/>
          </w:tcPr>
          <w:p w14:paraId="1426F0C4" w14:textId="77777777" w:rsidR="00A74A1E" w:rsidRDefault="00A74A1E">
            <w:pPr>
              <w:rPr>
                <w:rFonts w:ascii="宋体"/>
                <w:vanish/>
              </w:rPr>
            </w:pPr>
          </w:p>
        </w:tc>
        <w:tc>
          <w:tcPr>
            <w:tcW w:w="0" w:type="auto"/>
            <w:gridSpan w:val="3"/>
            <w:shd w:val="clear" w:color="auto" w:fill="auto"/>
          </w:tcPr>
          <w:p w14:paraId="1426F0C5" w14:textId="77777777" w:rsidR="00A74A1E" w:rsidRDefault="00A74A1E">
            <w:pPr>
              <w:rPr>
                <w:rFonts w:ascii="宋体"/>
                <w:vanish/>
              </w:rPr>
            </w:pPr>
          </w:p>
        </w:tc>
        <w:tc>
          <w:tcPr>
            <w:tcW w:w="0" w:type="auto"/>
            <w:gridSpan w:val="3"/>
            <w:shd w:val="clear" w:color="auto" w:fill="auto"/>
          </w:tcPr>
          <w:p w14:paraId="1426F0C6" w14:textId="77777777" w:rsidR="00A74A1E" w:rsidRDefault="00A74A1E">
            <w:pPr>
              <w:rPr>
                <w:rFonts w:ascii="宋体"/>
                <w:vanish/>
              </w:rPr>
            </w:pPr>
          </w:p>
        </w:tc>
        <w:tc>
          <w:tcPr>
            <w:tcW w:w="0" w:type="auto"/>
            <w:gridSpan w:val="3"/>
            <w:shd w:val="clear" w:color="auto" w:fill="auto"/>
          </w:tcPr>
          <w:p w14:paraId="1426F0C7" w14:textId="77777777" w:rsidR="00A74A1E" w:rsidRDefault="00A74A1E">
            <w:pPr>
              <w:rPr>
                <w:rFonts w:ascii="宋体"/>
                <w:vanish/>
              </w:rPr>
            </w:pPr>
          </w:p>
        </w:tc>
        <w:tc>
          <w:tcPr>
            <w:tcW w:w="0" w:type="auto"/>
            <w:gridSpan w:val="3"/>
            <w:shd w:val="clear" w:color="auto" w:fill="auto"/>
          </w:tcPr>
          <w:p w14:paraId="1426F0C8" w14:textId="77777777" w:rsidR="00A74A1E" w:rsidRDefault="00A74A1E">
            <w:pPr>
              <w:rPr>
                <w:rFonts w:ascii="宋体"/>
                <w:vanish/>
              </w:rPr>
            </w:pPr>
          </w:p>
        </w:tc>
        <w:tc>
          <w:tcPr>
            <w:tcW w:w="0" w:type="auto"/>
            <w:gridSpan w:val="3"/>
            <w:shd w:val="clear" w:color="auto" w:fill="auto"/>
          </w:tcPr>
          <w:p w14:paraId="1426F0C9" w14:textId="77777777" w:rsidR="00A74A1E" w:rsidRDefault="00A74A1E">
            <w:pPr>
              <w:rPr>
                <w:rFonts w:ascii="宋体"/>
                <w:vanish/>
              </w:rPr>
            </w:pPr>
          </w:p>
        </w:tc>
        <w:tc>
          <w:tcPr>
            <w:tcW w:w="0" w:type="auto"/>
            <w:gridSpan w:val="3"/>
            <w:shd w:val="clear" w:color="auto" w:fill="auto"/>
          </w:tcPr>
          <w:p w14:paraId="1426F0CA" w14:textId="77777777" w:rsidR="00A74A1E" w:rsidRDefault="00A74A1E">
            <w:pPr>
              <w:rPr>
                <w:rFonts w:ascii="宋体"/>
                <w:vanish/>
              </w:rPr>
            </w:pPr>
          </w:p>
        </w:tc>
        <w:tc>
          <w:tcPr>
            <w:tcW w:w="0" w:type="auto"/>
            <w:gridSpan w:val="3"/>
            <w:shd w:val="clear" w:color="auto" w:fill="auto"/>
          </w:tcPr>
          <w:p w14:paraId="1426F0CB" w14:textId="77777777" w:rsidR="00A74A1E" w:rsidRDefault="00A74A1E">
            <w:pPr>
              <w:rPr>
                <w:rFonts w:ascii="宋体"/>
                <w:vanish/>
              </w:rPr>
            </w:pPr>
          </w:p>
        </w:tc>
      </w:tr>
      <w:tr w:rsidR="00A74A1E" w14:paraId="1426F0DD" w14:textId="77777777">
        <w:trPr>
          <w:jc w:val="center"/>
        </w:trPr>
        <w:tc>
          <w:tcPr>
            <w:tcW w:w="0" w:type="auto"/>
            <w:gridSpan w:val="3"/>
            <w:shd w:val="clear" w:color="auto" w:fill="CCEEFF"/>
            <w:tcMar>
              <w:top w:w="40" w:type="dxa"/>
              <w:left w:w="240" w:type="dxa"/>
              <w:bottom w:w="40" w:type="dxa"/>
              <w:right w:w="20" w:type="dxa"/>
            </w:tcMar>
            <w:vAlign w:val="bottom"/>
          </w:tcPr>
          <w:p w14:paraId="1426F0CD" w14:textId="77777777" w:rsidR="00A74A1E" w:rsidRDefault="00807990">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1426F0CE"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0CF" w14:textId="77777777" w:rsidR="00A74A1E" w:rsidRDefault="00807990">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0D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D1"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0D2"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0D3" w14:textId="77777777" w:rsidR="00A74A1E" w:rsidRDefault="00807990">
            <w:pPr>
              <w:jc w:val="right"/>
              <w:textAlignment w:val="bottom"/>
            </w:pPr>
            <w:r>
              <w:rPr>
                <w:rFonts w:ascii="Arial" w:eastAsia="宋体" w:hAnsi="Arial" w:cs="Arial"/>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0D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D5"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0D6"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0D7" w14:textId="77777777" w:rsidR="00A74A1E" w:rsidRDefault="00807990">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0D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D9"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0DA"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0DB" w14:textId="77777777" w:rsidR="00A74A1E" w:rsidRDefault="00807990">
            <w:pPr>
              <w:jc w:val="right"/>
              <w:textAlignment w:val="bottom"/>
            </w:pPr>
            <w:r>
              <w:rPr>
                <w:rFonts w:ascii="Arial" w:eastAsia="宋体" w:hAnsi="Arial" w:cs="Arial"/>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0DC" w14:textId="77777777" w:rsidR="00A74A1E" w:rsidRDefault="00A74A1E">
            <w:pPr>
              <w:jc w:val="right"/>
              <w:rPr>
                <w:rFonts w:ascii="宋体"/>
              </w:rPr>
            </w:pPr>
          </w:p>
        </w:tc>
      </w:tr>
      <w:tr w:rsidR="00A74A1E" w14:paraId="1426F0E6" w14:textId="77777777">
        <w:trPr>
          <w:jc w:val="center"/>
        </w:trPr>
        <w:tc>
          <w:tcPr>
            <w:tcW w:w="0" w:type="auto"/>
            <w:gridSpan w:val="3"/>
            <w:shd w:val="clear" w:color="auto" w:fill="FFFFFF"/>
            <w:tcMar>
              <w:top w:w="40" w:type="dxa"/>
              <w:left w:w="20" w:type="dxa"/>
              <w:bottom w:w="40" w:type="dxa"/>
              <w:right w:w="20" w:type="dxa"/>
            </w:tcMar>
            <w:vAlign w:val="bottom"/>
          </w:tcPr>
          <w:p w14:paraId="1426F0DE" w14:textId="77777777" w:rsidR="00A74A1E" w:rsidRDefault="00807990">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FFFFFF"/>
            <w:tcMar>
              <w:top w:w="0" w:type="dxa"/>
              <w:left w:w="20" w:type="dxa"/>
              <w:bottom w:w="0" w:type="dxa"/>
              <w:right w:w="20" w:type="dxa"/>
            </w:tcMar>
          </w:tcPr>
          <w:p w14:paraId="1426F0DF"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E0"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0E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E2"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0E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0E4"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0E5" w14:textId="77777777" w:rsidR="00A74A1E" w:rsidRDefault="00A74A1E">
            <w:pPr>
              <w:rPr>
                <w:rFonts w:ascii="宋体"/>
              </w:rPr>
            </w:pPr>
          </w:p>
        </w:tc>
      </w:tr>
      <w:tr w:rsidR="00A74A1E" w14:paraId="1426F0F7" w14:textId="77777777">
        <w:trPr>
          <w:jc w:val="center"/>
        </w:trPr>
        <w:tc>
          <w:tcPr>
            <w:tcW w:w="0" w:type="auto"/>
            <w:gridSpan w:val="3"/>
            <w:shd w:val="clear" w:color="auto" w:fill="CCEEFF"/>
            <w:tcMar>
              <w:top w:w="40" w:type="dxa"/>
              <w:left w:w="240" w:type="dxa"/>
              <w:bottom w:w="40" w:type="dxa"/>
              <w:right w:w="20" w:type="dxa"/>
            </w:tcMar>
            <w:vAlign w:val="bottom"/>
          </w:tcPr>
          <w:p w14:paraId="1426F0E7" w14:textId="77777777" w:rsidR="00A74A1E" w:rsidRDefault="00807990">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1426F0E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E9" w14:textId="77777777" w:rsidR="00A74A1E" w:rsidRDefault="00807990">
            <w:pPr>
              <w:jc w:val="right"/>
              <w:textAlignment w:val="bottom"/>
            </w:pPr>
            <w:r>
              <w:rPr>
                <w:rFonts w:ascii="Arial" w:eastAsia="宋体" w:hAnsi="Arial" w:cs="Arial"/>
                <w:color w:val="000000"/>
                <w:sz w:val="20"/>
                <w:szCs w:val="20"/>
              </w:rPr>
              <w:t>10,127 </w:t>
            </w:r>
          </w:p>
        </w:tc>
        <w:tc>
          <w:tcPr>
            <w:tcW w:w="0" w:type="auto"/>
            <w:shd w:val="clear" w:color="auto" w:fill="CCEEFF"/>
            <w:tcMar>
              <w:top w:w="40" w:type="dxa"/>
              <w:left w:w="0" w:type="dxa"/>
              <w:bottom w:w="40" w:type="dxa"/>
              <w:right w:w="20" w:type="dxa"/>
            </w:tcMar>
            <w:vAlign w:val="bottom"/>
          </w:tcPr>
          <w:p w14:paraId="1426F0E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EB"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E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ED" w14:textId="77777777" w:rsidR="00A74A1E" w:rsidRDefault="00807990">
            <w:pPr>
              <w:jc w:val="right"/>
              <w:textAlignment w:val="bottom"/>
            </w:pPr>
            <w:r>
              <w:rPr>
                <w:rFonts w:ascii="Arial" w:eastAsia="宋体" w:hAnsi="Arial" w:cs="Arial"/>
                <w:color w:val="000000"/>
                <w:sz w:val="20"/>
                <w:szCs w:val="20"/>
              </w:rPr>
              <w:t>9,325 </w:t>
            </w:r>
          </w:p>
        </w:tc>
        <w:tc>
          <w:tcPr>
            <w:tcW w:w="0" w:type="auto"/>
            <w:shd w:val="clear" w:color="auto" w:fill="CCEEFF"/>
            <w:tcMar>
              <w:top w:w="40" w:type="dxa"/>
              <w:left w:w="0" w:type="dxa"/>
              <w:bottom w:w="40" w:type="dxa"/>
              <w:right w:w="20" w:type="dxa"/>
            </w:tcMar>
            <w:vAlign w:val="bottom"/>
          </w:tcPr>
          <w:p w14:paraId="1426F0E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EF"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F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F1" w14:textId="77777777" w:rsidR="00A74A1E" w:rsidRDefault="00807990">
            <w:pPr>
              <w:jc w:val="right"/>
              <w:textAlignment w:val="bottom"/>
            </w:pPr>
            <w:r>
              <w:rPr>
                <w:rFonts w:ascii="Arial" w:eastAsia="宋体" w:hAnsi="Arial" w:cs="Arial"/>
                <w:color w:val="000000"/>
                <w:sz w:val="20"/>
                <w:szCs w:val="20"/>
              </w:rPr>
              <w:t>9,963 </w:t>
            </w:r>
          </w:p>
        </w:tc>
        <w:tc>
          <w:tcPr>
            <w:tcW w:w="0" w:type="auto"/>
            <w:shd w:val="clear" w:color="auto" w:fill="CCEEFF"/>
            <w:tcMar>
              <w:top w:w="40" w:type="dxa"/>
              <w:left w:w="0" w:type="dxa"/>
              <w:bottom w:w="40" w:type="dxa"/>
              <w:right w:w="20" w:type="dxa"/>
            </w:tcMar>
            <w:vAlign w:val="bottom"/>
          </w:tcPr>
          <w:p w14:paraId="1426F0F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0F3"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0F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0F5" w14:textId="77777777" w:rsidR="00A74A1E" w:rsidRDefault="00807990">
            <w:pPr>
              <w:jc w:val="right"/>
              <w:textAlignment w:val="bottom"/>
            </w:pPr>
            <w:r>
              <w:rPr>
                <w:rFonts w:ascii="Arial" w:eastAsia="宋体" w:hAnsi="Arial" w:cs="Arial"/>
                <w:color w:val="000000"/>
                <w:sz w:val="20"/>
                <w:szCs w:val="20"/>
              </w:rPr>
              <w:t>8,750 </w:t>
            </w:r>
          </w:p>
        </w:tc>
        <w:tc>
          <w:tcPr>
            <w:tcW w:w="0" w:type="auto"/>
            <w:shd w:val="clear" w:color="auto" w:fill="CCEEFF"/>
            <w:tcMar>
              <w:top w:w="40" w:type="dxa"/>
              <w:left w:w="0" w:type="dxa"/>
              <w:bottom w:w="40" w:type="dxa"/>
              <w:right w:w="20" w:type="dxa"/>
            </w:tcMar>
            <w:vAlign w:val="bottom"/>
          </w:tcPr>
          <w:p w14:paraId="1426F0F6" w14:textId="77777777" w:rsidR="00A74A1E" w:rsidRDefault="00A74A1E">
            <w:pPr>
              <w:jc w:val="right"/>
              <w:rPr>
                <w:rFonts w:ascii="宋体"/>
              </w:rPr>
            </w:pPr>
          </w:p>
        </w:tc>
      </w:tr>
      <w:tr w:rsidR="00A74A1E" w14:paraId="1426F104" w14:textId="77777777">
        <w:trPr>
          <w:jc w:val="center"/>
        </w:trPr>
        <w:tc>
          <w:tcPr>
            <w:tcW w:w="0" w:type="auto"/>
            <w:gridSpan w:val="3"/>
            <w:shd w:val="clear" w:color="auto" w:fill="FFFFFF"/>
            <w:tcMar>
              <w:top w:w="40" w:type="dxa"/>
              <w:left w:w="240" w:type="dxa"/>
              <w:bottom w:w="40" w:type="dxa"/>
              <w:right w:w="20" w:type="dxa"/>
            </w:tcMar>
            <w:vAlign w:val="bottom"/>
          </w:tcPr>
          <w:p w14:paraId="1426F0F8" w14:textId="77777777" w:rsidR="00A74A1E" w:rsidRDefault="00807990">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1426F0F9" w14:textId="77777777" w:rsidR="00A74A1E" w:rsidRDefault="00807990">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1426F0F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F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0FC" w14:textId="77777777" w:rsidR="00A74A1E" w:rsidRDefault="00807990">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1426F0F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0F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0FF" w14:textId="77777777" w:rsidR="00A74A1E" w:rsidRDefault="00807990">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1426F10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0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02" w14:textId="77777777" w:rsidR="00A74A1E" w:rsidRDefault="00807990">
            <w:pPr>
              <w:jc w:val="right"/>
              <w:textAlignment w:val="bottom"/>
            </w:pPr>
            <w:r>
              <w:rPr>
                <w:rFonts w:ascii="Arial" w:eastAsia="宋体" w:hAnsi="Arial" w:cs="Arial"/>
                <w:color w:val="000000"/>
                <w:sz w:val="20"/>
                <w:szCs w:val="20"/>
              </w:rPr>
              <w:t>38 </w:t>
            </w:r>
          </w:p>
        </w:tc>
        <w:tc>
          <w:tcPr>
            <w:tcW w:w="0" w:type="auto"/>
            <w:shd w:val="clear" w:color="auto" w:fill="FFFFFF"/>
            <w:tcMar>
              <w:top w:w="40" w:type="dxa"/>
              <w:left w:w="0" w:type="dxa"/>
              <w:bottom w:w="40" w:type="dxa"/>
              <w:right w:w="20" w:type="dxa"/>
            </w:tcMar>
            <w:vAlign w:val="bottom"/>
          </w:tcPr>
          <w:p w14:paraId="1426F103" w14:textId="77777777" w:rsidR="00A74A1E" w:rsidRDefault="00A74A1E">
            <w:pPr>
              <w:jc w:val="right"/>
              <w:rPr>
                <w:rFonts w:ascii="宋体"/>
              </w:rPr>
            </w:pPr>
          </w:p>
        </w:tc>
      </w:tr>
      <w:tr w:rsidR="00A74A1E" w14:paraId="1426F111" w14:textId="77777777">
        <w:trPr>
          <w:jc w:val="center"/>
        </w:trPr>
        <w:tc>
          <w:tcPr>
            <w:tcW w:w="0" w:type="auto"/>
            <w:gridSpan w:val="3"/>
            <w:shd w:val="clear" w:color="auto" w:fill="CCEEFF"/>
            <w:tcMar>
              <w:top w:w="40" w:type="dxa"/>
              <w:left w:w="240" w:type="dxa"/>
              <w:bottom w:w="40" w:type="dxa"/>
              <w:right w:w="20" w:type="dxa"/>
            </w:tcMar>
            <w:vAlign w:val="bottom"/>
          </w:tcPr>
          <w:p w14:paraId="1426F105" w14:textId="77777777" w:rsidR="00A74A1E" w:rsidRDefault="00807990">
            <w:pPr>
              <w:textAlignment w:val="bottom"/>
            </w:pPr>
            <w:r>
              <w:rPr>
                <w:rFonts w:ascii="Arial" w:eastAsia="宋体" w:hAnsi="Arial" w:cs="Arial"/>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14:paraId="1426F106" w14:textId="77777777" w:rsidR="00A74A1E" w:rsidRDefault="00807990">
            <w:pPr>
              <w:jc w:val="right"/>
              <w:textAlignment w:val="bottom"/>
            </w:pPr>
            <w:r>
              <w:rPr>
                <w:rFonts w:ascii="Arial" w:eastAsia="宋体" w:hAnsi="Arial" w:cs="Arial"/>
                <w:color w:val="000000"/>
                <w:sz w:val="20"/>
                <w:szCs w:val="20"/>
              </w:rPr>
              <w:t>76 </w:t>
            </w:r>
          </w:p>
        </w:tc>
        <w:tc>
          <w:tcPr>
            <w:tcW w:w="0" w:type="auto"/>
            <w:shd w:val="clear" w:color="auto" w:fill="CCEEFF"/>
            <w:tcMar>
              <w:top w:w="40" w:type="dxa"/>
              <w:left w:w="0" w:type="dxa"/>
              <w:bottom w:w="40" w:type="dxa"/>
              <w:right w:w="20" w:type="dxa"/>
            </w:tcMar>
            <w:vAlign w:val="bottom"/>
          </w:tcPr>
          <w:p w14:paraId="1426F10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0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09" w14:textId="77777777" w:rsidR="00A74A1E" w:rsidRDefault="00807990">
            <w:pPr>
              <w:jc w:val="right"/>
              <w:textAlignment w:val="bottom"/>
            </w:pPr>
            <w:r>
              <w:rPr>
                <w:rFonts w:ascii="Arial" w:eastAsia="宋体" w:hAnsi="Arial" w:cs="Arial"/>
                <w:color w:val="000000"/>
                <w:sz w:val="20"/>
                <w:szCs w:val="20"/>
              </w:rPr>
              <w:t>54 </w:t>
            </w:r>
          </w:p>
        </w:tc>
        <w:tc>
          <w:tcPr>
            <w:tcW w:w="0" w:type="auto"/>
            <w:shd w:val="clear" w:color="auto" w:fill="CCEEFF"/>
            <w:tcMar>
              <w:top w:w="40" w:type="dxa"/>
              <w:left w:w="0" w:type="dxa"/>
              <w:bottom w:w="40" w:type="dxa"/>
              <w:right w:w="20" w:type="dxa"/>
            </w:tcMar>
            <w:vAlign w:val="bottom"/>
          </w:tcPr>
          <w:p w14:paraId="1426F10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0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0C" w14:textId="77777777" w:rsidR="00A74A1E" w:rsidRDefault="00807990">
            <w:pPr>
              <w:jc w:val="right"/>
              <w:textAlignment w:val="bottom"/>
            </w:pPr>
            <w:r>
              <w:rPr>
                <w:rFonts w:ascii="Arial" w:eastAsia="宋体" w:hAnsi="Arial" w:cs="Arial"/>
                <w:color w:val="000000"/>
                <w:sz w:val="20"/>
                <w:szCs w:val="20"/>
              </w:rPr>
              <w:t>195 </w:t>
            </w:r>
          </w:p>
        </w:tc>
        <w:tc>
          <w:tcPr>
            <w:tcW w:w="0" w:type="auto"/>
            <w:shd w:val="clear" w:color="auto" w:fill="CCEEFF"/>
            <w:tcMar>
              <w:top w:w="40" w:type="dxa"/>
              <w:left w:w="0" w:type="dxa"/>
              <w:bottom w:w="40" w:type="dxa"/>
              <w:right w:w="20" w:type="dxa"/>
            </w:tcMar>
            <w:vAlign w:val="bottom"/>
          </w:tcPr>
          <w:p w14:paraId="1426F10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0E"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0F" w14:textId="77777777" w:rsidR="00A74A1E" w:rsidRDefault="00807990">
            <w:pPr>
              <w:jc w:val="right"/>
              <w:textAlignment w:val="bottom"/>
            </w:pPr>
            <w:r>
              <w:rPr>
                <w:rFonts w:ascii="Arial" w:eastAsia="宋体" w:hAnsi="Arial" w:cs="Arial"/>
                <w:color w:val="000000"/>
                <w:sz w:val="20"/>
                <w:szCs w:val="20"/>
              </w:rPr>
              <w:t>140 </w:t>
            </w:r>
          </w:p>
        </w:tc>
        <w:tc>
          <w:tcPr>
            <w:tcW w:w="0" w:type="auto"/>
            <w:shd w:val="clear" w:color="auto" w:fill="CCEEFF"/>
            <w:tcMar>
              <w:top w:w="40" w:type="dxa"/>
              <w:left w:w="0" w:type="dxa"/>
              <w:bottom w:w="40" w:type="dxa"/>
              <w:right w:w="20" w:type="dxa"/>
            </w:tcMar>
            <w:vAlign w:val="bottom"/>
          </w:tcPr>
          <w:p w14:paraId="1426F110" w14:textId="77777777" w:rsidR="00A74A1E" w:rsidRDefault="00A74A1E">
            <w:pPr>
              <w:jc w:val="right"/>
              <w:rPr>
                <w:rFonts w:ascii="宋体"/>
              </w:rPr>
            </w:pPr>
          </w:p>
        </w:tc>
      </w:tr>
      <w:tr w:rsidR="00A74A1E" w14:paraId="1426F11E" w14:textId="77777777">
        <w:trPr>
          <w:jc w:val="center"/>
        </w:trPr>
        <w:tc>
          <w:tcPr>
            <w:tcW w:w="0" w:type="auto"/>
            <w:gridSpan w:val="3"/>
            <w:shd w:val="clear" w:color="auto" w:fill="FFFFFF"/>
            <w:tcMar>
              <w:top w:w="40" w:type="dxa"/>
              <w:left w:w="240" w:type="dxa"/>
              <w:bottom w:w="40" w:type="dxa"/>
              <w:right w:w="20" w:type="dxa"/>
            </w:tcMar>
            <w:vAlign w:val="bottom"/>
          </w:tcPr>
          <w:p w14:paraId="1426F112" w14:textId="77777777" w:rsidR="00A74A1E" w:rsidRDefault="00807990">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FFFFFF"/>
            <w:tcMar>
              <w:top w:w="40" w:type="dxa"/>
              <w:left w:w="20" w:type="dxa"/>
              <w:bottom w:w="40" w:type="dxa"/>
              <w:right w:w="0" w:type="dxa"/>
            </w:tcMar>
            <w:vAlign w:val="bottom"/>
          </w:tcPr>
          <w:p w14:paraId="1426F113"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1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1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16"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1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1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19"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1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1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1C" w14:textId="77777777" w:rsidR="00A74A1E" w:rsidRDefault="00807990">
            <w:pPr>
              <w:jc w:val="right"/>
              <w:textAlignment w:val="bottom"/>
            </w:pPr>
            <w:r>
              <w:rPr>
                <w:rFonts w:ascii="Arial" w:eastAsia="宋体" w:hAnsi="Arial" w:cs="Arial"/>
                <w:color w:val="000000"/>
                <w:sz w:val="20"/>
                <w:szCs w:val="20"/>
              </w:rPr>
              <w:t>449 </w:t>
            </w:r>
          </w:p>
        </w:tc>
        <w:tc>
          <w:tcPr>
            <w:tcW w:w="0" w:type="auto"/>
            <w:shd w:val="clear" w:color="auto" w:fill="FFFFFF"/>
            <w:tcMar>
              <w:top w:w="40" w:type="dxa"/>
              <w:left w:w="0" w:type="dxa"/>
              <w:bottom w:w="40" w:type="dxa"/>
              <w:right w:w="20" w:type="dxa"/>
            </w:tcMar>
            <w:vAlign w:val="bottom"/>
          </w:tcPr>
          <w:p w14:paraId="1426F11D" w14:textId="77777777" w:rsidR="00A74A1E" w:rsidRDefault="00A74A1E">
            <w:pPr>
              <w:jc w:val="right"/>
              <w:rPr>
                <w:rFonts w:ascii="宋体"/>
              </w:rPr>
            </w:pPr>
          </w:p>
        </w:tc>
      </w:tr>
      <w:tr w:rsidR="00A74A1E" w14:paraId="1426F12B" w14:textId="77777777">
        <w:trPr>
          <w:jc w:val="center"/>
        </w:trPr>
        <w:tc>
          <w:tcPr>
            <w:tcW w:w="0" w:type="auto"/>
            <w:gridSpan w:val="3"/>
            <w:shd w:val="clear" w:color="auto" w:fill="CCEEFF"/>
            <w:tcMar>
              <w:top w:w="40" w:type="dxa"/>
              <w:left w:w="240" w:type="dxa"/>
              <w:bottom w:w="40" w:type="dxa"/>
              <w:right w:w="20" w:type="dxa"/>
            </w:tcMar>
            <w:vAlign w:val="bottom"/>
          </w:tcPr>
          <w:p w14:paraId="1426F11F" w14:textId="77777777" w:rsidR="00A74A1E" w:rsidRDefault="00807990">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1426F120" w14:textId="77777777" w:rsidR="00A74A1E" w:rsidRDefault="00807990">
            <w:pPr>
              <w:jc w:val="right"/>
              <w:textAlignment w:val="bottom"/>
            </w:pPr>
            <w:r>
              <w:rPr>
                <w:rFonts w:ascii="Arial" w:eastAsia="宋体" w:hAnsi="Arial" w:cs="Arial"/>
                <w:color w:val="000000"/>
                <w:sz w:val="20"/>
                <w:szCs w:val="20"/>
              </w:rPr>
              <w:t>156 </w:t>
            </w:r>
          </w:p>
        </w:tc>
        <w:tc>
          <w:tcPr>
            <w:tcW w:w="0" w:type="auto"/>
            <w:shd w:val="clear" w:color="auto" w:fill="CCEEFF"/>
            <w:tcMar>
              <w:top w:w="40" w:type="dxa"/>
              <w:left w:w="0" w:type="dxa"/>
              <w:bottom w:w="40" w:type="dxa"/>
              <w:right w:w="20" w:type="dxa"/>
            </w:tcMar>
            <w:vAlign w:val="bottom"/>
          </w:tcPr>
          <w:p w14:paraId="1426F12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2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23" w14:textId="77777777" w:rsidR="00A74A1E" w:rsidRDefault="00807990">
            <w:pPr>
              <w:jc w:val="right"/>
              <w:textAlignment w:val="bottom"/>
            </w:pPr>
            <w:r>
              <w:rPr>
                <w:rFonts w:ascii="Arial" w:eastAsia="宋体" w:hAnsi="Arial" w:cs="Arial"/>
                <w:color w:val="000000"/>
                <w:sz w:val="20"/>
                <w:szCs w:val="20"/>
              </w:rPr>
              <w:t>108 </w:t>
            </w:r>
          </w:p>
        </w:tc>
        <w:tc>
          <w:tcPr>
            <w:tcW w:w="0" w:type="auto"/>
            <w:shd w:val="clear" w:color="auto" w:fill="CCEEFF"/>
            <w:tcMar>
              <w:top w:w="40" w:type="dxa"/>
              <w:left w:w="0" w:type="dxa"/>
              <w:bottom w:w="40" w:type="dxa"/>
              <w:right w:w="20" w:type="dxa"/>
            </w:tcMar>
            <w:vAlign w:val="bottom"/>
          </w:tcPr>
          <w:p w14:paraId="1426F12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2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26" w14:textId="77777777" w:rsidR="00A74A1E" w:rsidRDefault="00807990">
            <w:pPr>
              <w:jc w:val="right"/>
              <w:textAlignment w:val="bottom"/>
            </w:pPr>
            <w:r>
              <w:rPr>
                <w:rFonts w:ascii="Arial" w:eastAsia="宋体" w:hAnsi="Arial" w:cs="Arial"/>
                <w:color w:val="000000"/>
                <w:sz w:val="20"/>
                <w:szCs w:val="20"/>
              </w:rPr>
              <w:t>156 </w:t>
            </w:r>
          </w:p>
        </w:tc>
        <w:tc>
          <w:tcPr>
            <w:tcW w:w="0" w:type="auto"/>
            <w:shd w:val="clear" w:color="auto" w:fill="CCEEFF"/>
            <w:tcMar>
              <w:top w:w="40" w:type="dxa"/>
              <w:left w:w="0" w:type="dxa"/>
              <w:bottom w:w="40" w:type="dxa"/>
              <w:right w:w="20" w:type="dxa"/>
            </w:tcMar>
            <w:vAlign w:val="bottom"/>
          </w:tcPr>
          <w:p w14:paraId="1426F12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2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29" w14:textId="77777777" w:rsidR="00A74A1E" w:rsidRDefault="00807990">
            <w:pPr>
              <w:jc w:val="right"/>
              <w:textAlignment w:val="bottom"/>
            </w:pPr>
            <w:r>
              <w:rPr>
                <w:rFonts w:ascii="Arial" w:eastAsia="宋体" w:hAnsi="Arial" w:cs="Arial"/>
                <w:color w:val="000000"/>
                <w:sz w:val="20"/>
                <w:szCs w:val="20"/>
              </w:rPr>
              <w:t>108 </w:t>
            </w:r>
          </w:p>
        </w:tc>
        <w:tc>
          <w:tcPr>
            <w:tcW w:w="0" w:type="auto"/>
            <w:shd w:val="clear" w:color="auto" w:fill="CCEEFF"/>
            <w:tcMar>
              <w:top w:w="40" w:type="dxa"/>
              <w:left w:w="0" w:type="dxa"/>
              <w:bottom w:w="40" w:type="dxa"/>
              <w:right w:w="20" w:type="dxa"/>
            </w:tcMar>
            <w:vAlign w:val="bottom"/>
          </w:tcPr>
          <w:p w14:paraId="1426F12A" w14:textId="77777777" w:rsidR="00A74A1E" w:rsidRDefault="00A74A1E">
            <w:pPr>
              <w:jc w:val="right"/>
              <w:rPr>
                <w:rFonts w:ascii="宋体"/>
              </w:rPr>
            </w:pPr>
          </w:p>
        </w:tc>
      </w:tr>
      <w:tr w:rsidR="00A74A1E" w14:paraId="1426F138" w14:textId="77777777">
        <w:trPr>
          <w:jc w:val="center"/>
        </w:trPr>
        <w:tc>
          <w:tcPr>
            <w:tcW w:w="0" w:type="auto"/>
            <w:gridSpan w:val="3"/>
            <w:shd w:val="clear" w:color="auto" w:fill="FFFFFF"/>
            <w:tcMar>
              <w:top w:w="40" w:type="dxa"/>
              <w:left w:w="240" w:type="dxa"/>
              <w:bottom w:w="40" w:type="dxa"/>
              <w:right w:w="20" w:type="dxa"/>
            </w:tcMar>
            <w:vAlign w:val="bottom"/>
          </w:tcPr>
          <w:p w14:paraId="1426F12C" w14:textId="77777777" w:rsidR="00A74A1E" w:rsidRDefault="00807990">
            <w:pPr>
              <w:textAlignment w:val="bottom"/>
            </w:pPr>
            <w:r>
              <w:rPr>
                <w:rFonts w:ascii="Arial" w:eastAsia="宋体" w:hAnsi="Arial" w:cs="Arial"/>
                <w:color w:val="000000"/>
                <w:sz w:val="20"/>
                <w:szCs w:val="20"/>
              </w:rPr>
              <w:t xml:space="preserve">Issuance of treasury stock to partially settle debt </w:t>
            </w:r>
          </w:p>
        </w:tc>
        <w:tc>
          <w:tcPr>
            <w:tcW w:w="0" w:type="auto"/>
            <w:gridSpan w:val="2"/>
            <w:shd w:val="clear" w:color="auto" w:fill="FFFFFF"/>
            <w:tcMar>
              <w:top w:w="40" w:type="dxa"/>
              <w:left w:w="20" w:type="dxa"/>
              <w:bottom w:w="40" w:type="dxa"/>
              <w:right w:w="0" w:type="dxa"/>
            </w:tcMar>
            <w:vAlign w:val="bottom"/>
          </w:tcPr>
          <w:p w14:paraId="1426F12D"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2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2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30"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3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3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33"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13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3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36" w14:textId="77777777" w:rsidR="00A74A1E" w:rsidRDefault="00807990">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1426F137" w14:textId="77777777" w:rsidR="00A74A1E" w:rsidRDefault="00A74A1E">
            <w:pPr>
              <w:jc w:val="right"/>
              <w:rPr>
                <w:rFonts w:ascii="宋体"/>
              </w:rPr>
            </w:pPr>
          </w:p>
        </w:tc>
      </w:tr>
      <w:tr w:rsidR="00A74A1E" w14:paraId="1426F145" w14:textId="77777777">
        <w:trPr>
          <w:jc w:val="center"/>
        </w:trPr>
        <w:tc>
          <w:tcPr>
            <w:tcW w:w="0" w:type="auto"/>
            <w:gridSpan w:val="3"/>
            <w:shd w:val="clear" w:color="auto" w:fill="CCEEFF"/>
            <w:tcMar>
              <w:top w:w="40" w:type="dxa"/>
              <w:left w:w="240" w:type="dxa"/>
              <w:bottom w:w="40" w:type="dxa"/>
              <w:right w:w="20" w:type="dxa"/>
            </w:tcMar>
            <w:vAlign w:val="bottom"/>
          </w:tcPr>
          <w:p w14:paraId="1426F139" w14:textId="77777777" w:rsidR="00A74A1E" w:rsidRDefault="00807990">
            <w:pPr>
              <w:textAlignment w:val="bottom"/>
            </w:pPr>
            <w:r>
              <w:rPr>
                <w:rFonts w:ascii="Arial" w:eastAsia="宋体" w:hAnsi="Arial" w:cs="Arial"/>
                <w:color w:val="000000"/>
                <w:sz w:val="20"/>
                <w:szCs w:val="20"/>
              </w:rPr>
              <w:t>Issuance of common stock warrant</w:t>
            </w:r>
          </w:p>
        </w:tc>
        <w:tc>
          <w:tcPr>
            <w:tcW w:w="0" w:type="auto"/>
            <w:gridSpan w:val="2"/>
            <w:shd w:val="clear" w:color="auto" w:fill="CCEEFF"/>
            <w:tcMar>
              <w:top w:w="40" w:type="dxa"/>
              <w:left w:w="20" w:type="dxa"/>
              <w:bottom w:w="40" w:type="dxa"/>
              <w:right w:w="0" w:type="dxa"/>
            </w:tcMar>
            <w:vAlign w:val="bottom"/>
          </w:tcPr>
          <w:p w14:paraId="1426F13A"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13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3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3D"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13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3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40" w14:textId="77777777" w:rsidR="00A74A1E" w:rsidRDefault="00807990">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1426F14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4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43"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F144" w14:textId="77777777" w:rsidR="00A74A1E" w:rsidRDefault="00A74A1E">
            <w:pPr>
              <w:jc w:val="right"/>
              <w:rPr>
                <w:rFonts w:ascii="宋体"/>
              </w:rPr>
            </w:pPr>
          </w:p>
        </w:tc>
      </w:tr>
      <w:tr w:rsidR="00A74A1E" w14:paraId="1426F14E" w14:textId="77777777">
        <w:trPr>
          <w:jc w:val="center"/>
          <w:hidden/>
        </w:trPr>
        <w:tc>
          <w:tcPr>
            <w:tcW w:w="0" w:type="auto"/>
            <w:gridSpan w:val="3"/>
            <w:shd w:val="clear" w:color="auto" w:fill="auto"/>
          </w:tcPr>
          <w:p w14:paraId="1426F146" w14:textId="77777777" w:rsidR="00A74A1E" w:rsidRDefault="00A74A1E">
            <w:pPr>
              <w:rPr>
                <w:rFonts w:ascii="宋体"/>
                <w:vanish/>
              </w:rPr>
            </w:pPr>
          </w:p>
        </w:tc>
        <w:tc>
          <w:tcPr>
            <w:tcW w:w="0" w:type="auto"/>
            <w:gridSpan w:val="3"/>
            <w:shd w:val="clear" w:color="auto" w:fill="auto"/>
          </w:tcPr>
          <w:p w14:paraId="1426F147" w14:textId="77777777" w:rsidR="00A74A1E" w:rsidRDefault="00A74A1E">
            <w:pPr>
              <w:rPr>
                <w:rFonts w:ascii="宋体"/>
                <w:vanish/>
              </w:rPr>
            </w:pPr>
          </w:p>
        </w:tc>
        <w:tc>
          <w:tcPr>
            <w:tcW w:w="0" w:type="auto"/>
            <w:gridSpan w:val="3"/>
            <w:shd w:val="clear" w:color="auto" w:fill="auto"/>
          </w:tcPr>
          <w:p w14:paraId="1426F148" w14:textId="77777777" w:rsidR="00A74A1E" w:rsidRDefault="00A74A1E">
            <w:pPr>
              <w:rPr>
                <w:rFonts w:ascii="宋体"/>
                <w:vanish/>
              </w:rPr>
            </w:pPr>
          </w:p>
        </w:tc>
        <w:tc>
          <w:tcPr>
            <w:tcW w:w="0" w:type="auto"/>
            <w:gridSpan w:val="3"/>
            <w:shd w:val="clear" w:color="auto" w:fill="auto"/>
          </w:tcPr>
          <w:p w14:paraId="1426F149" w14:textId="77777777" w:rsidR="00A74A1E" w:rsidRDefault="00A74A1E">
            <w:pPr>
              <w:rPr>
                <w:rFonts w:ascii="宋体"/>
                <w:vanish/>
              </w:rPr>
            </w:pPr>
          </w:p>
        </w:tc>
        <w:tc>
          <w:tcPr>
            <w:tcW w:w="0" w:type="auto"/>
            <w:gridSpan w:val="3"/>
            <w:shd w:val="clear" w:color="auto" w:fill="auto"/>
          </w:tcPr>
          <w:p w14:paraId="1426F14A" w14:textId="77777777" w:rsidR="00A74A1E" w:rsidRDefault="00A74A1E">
            <w:pPr>
              <w:rPr>
                <w:rFonts w:ascii="宋体"/>
                <w:vanish/>
              </w:rPr>
            </w:pPr>
          </w:p>
        </w:tc>
        <w:tc>
          <w:tcPr>
            <w:tcW w:w="0" w:type="auto"/>
            <w:gridSpan w:val="3"/>
            <w:shd w:val="clear" w:color="auto" w:fill="auto"/>
          </w:tcPr>
          <w:p w14:paraId="1426F14B" w14:textId="77777777" w:rsidR="00A74A1E" w:rsidRDefault="00A74A1E">
            <w:pPr>
              <w:rPr>
                <w:rFonts w:ascii="宋体"/>
                <w:vanish/>
              </w:rPr>
            </w:pPr>
          </w:p>
        </w:tc>
        <w:tc>
          <w:tcPr>
            <w:tcW w:w="0" w:type="auto"/>
            <w:gridSpan w:val="3"/>
            <w:shd w:val="clear" w:color="auto" w:fill="auto"/>
          </w:tcPr>
          <w:p w14:paraId="1426F14C" w14:textId="77777777" w:rsidR="00A74A1E" w:rsidRDefault="00A74A1E">
            <w:pPr>
              <w:rPr>
                <w:rFonts w:ascii="宋体"/>
                <w:vanish/>
              </w:rPr>
            </w:pPr>
          </w:p>
        </w:tc>
        <w:tc>
          <w:tcPr>
            <w:tcW w:w="0" w:type="auto"/>
            <w:gridSpan w:val="3"/>
            <w:shd w:val="clear" w:color="auto" w:fill="auto"/>
          </w:tcPr>
          <w:p w14:paraId="1426F14D" w14:textId="77777777" w:rsidR="00A74A1E" w:rsidRDefault="00A74A1E">
            <w:pPr>
              <w:rPr>
                <w:rFonts w:ascii="宋体"/>
                <w:vanish/>
              </w:rPr>
            </w:pPr>
          </w:p>
        </w:tc>
      </w:tr>
      <w:tr w:rsidR="00A74A1E" w14:paraId="1426F15F" w14:textId="77777777">
        <w:trPr>
          <w:jc w:val="center"/>
        </w:trPr>
        <w:tc>
          <w:tcPr>
            <w:tcW w:w="0" w:type="auto"/>
            <w:gridSpan w:val="3"/>
            <w:shd w:val="clear" w:color="auto" w:fill="FFFFFF"/>
            <w:tcMar>
              <w:top w:w="40" w:type="dxa"/>
              <w:left w:w="240" w:type="dxa"/>
              <w:bottom w:w="40" w:type="dxa"/>
              <w:right w:w="20" w:type="dxa"/>
            </w:tcMar>
            <w:vAlign w:val="bottom"/>
          </w:tcPr>
          <w:p w14:paraId="1426F14F" w14:textId="77777777" w:rsidR="00A74A1E" w:rsidRDefault="00807990">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426F15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51" w14:textId="77777777" w:rsidR="00A74A1E" w:rsidRDefault="00807990">
            <w:pPr>
              <w:jc w:val="right"/>
              <w:textAlignment w:val="bottom"/>
            </w:pPr>
            <w:r>
              <w:rPr>
                <w:rFonts w:ascii="Arial" w:eastAsia="宋体" w:hAnsi="Arial" w:cs="Arial"/>
                <w:color w:val="000000"/>
                <w:sz w:val="20"/>
                <w:szCs w:val="20"/>
              </w:rPr>
              <w:t>10,362 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5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53"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5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55" w14:textId="77777777" w:rsidR="00A74A1E" w:rsidRDefault="00807990">
            <w:pPr>
              <w:jc w:val="right"/>
              <w:textAlignment w:val="bottom"/>
            </w:pPr>
            <w:r>
              <w:rPr>
                <w:rFonts w:ascii="Arial" w:eastAsia="宋体" w:hAnsi="Arial" w:cs="Arial"/>
                <w:color w:val="000000"/>
                <w:sz w:val="20"/>
                <w:szCs w:val="20"/>
              </w:rPr>
              <w:t>9,490 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5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57"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5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59" w14:textId="77777777" w:rsidR="00A74A1E" w:rsidRDefault="00807990">
            <w:pPr>
              <w:jc w:val="right"/>
              <w:textAlignment w:val="bottom"/>
            </w:pPr>
            <w:r>
              <w:rPr>
                <w:rFonts w:ascii="Arial" w:eastAsia="宋体" w:hAnsi="Arial" w:cs="Arial"/>
                <w:color w:val="000000"/>
                <w:sz w:val="20"/>
                <w:szCs w:val="20"/>
              </w:rPr>
              <w:t>10,362 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5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5B"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5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5D" w14:textId="77777777" w:rsidR="00A74A1E" w:rsidRDefault="00807990">
            <w:pPr>
              <w:jc w:val="right"/>
              <w:textAlignment w:val="bottom"/>
            </w:pPr>
            <w:r>
              <w:rPr>
                <w:rFonts w:ascii="Arial" w:eastAsia="宋体" w:hAnsi="Arial" w:cs="Arial"/>
                <w:color w:val="000000"/>
                <w:sz w:val="20"/>
                <w:szCs w:val="20"/>
              </w:rPr>
              <w:t>9,490 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5E" w14:textId="77777777" w:rsidR="00A74A1E" w:rsidRDefault="00A74A1E">
            <w:pPr>
              <w:jc w:val="right"/>
              <w:rPr>
                <w:rFonts w:ascii="宋体"/>
              </w:rPr>
            </w:pPr>
          </w:p>
        </w:tc>
      </w:tr>
      <w:tr w:rsidR="00A74A1E" w14:paraId="1426F168" w14:textId="77777777">
        <w:trPr>
          <w:jc w:val="center"/>
        </w:trPr>
        <w:tc>
          <w:tcPr>
            <w:tcW w:w="0" w:type="auto"/>
            <w:gridSpan w:val="3"/>
            <w:shd w:val="clear" w:color="auto" w:fill="CCEEFF"/>
            <w:tcMar>
              <w:top w:w="40" w:type="dxa"/>
              <w:left w:w="20" w:type="dxa"/>
              <w:bottom w:w="40" w:type="dxa"/>
              <w:right w:w="20" w:type="dxa"/>
            </w:tcMar>
            <w:vAlign w:val="bottom"/>
          </w:tcPr>
          <w:p w14:paraId="1426F160" w14:textId="77777777" w:rsidR="00A74A1E" w:rsidRDefault="00807990">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tcPr>
          <w:p w14:paraId="1426F16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62"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6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64"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65"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66"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67" w14:textId="77777777" w:rsidR="00A74A1E" w:rsidRDefault="00A74A1E">
            <w:pPr>
              <w:rPr>
                <w:rFonts w:ascii="宋体"/>
              </w:rPr>
            </w:pPr>
          </w:p>
        </w:tc>
      </w:tr>
      <w:tr w:rsidR="00A74A1E" w14:paraId="1426F179" w14:textId="77777777">
        <w:trPr>
          <w:jc w:val="center"/>
        </w:trPr>
        <w:tc>
          <w:tcPr>
            <w:tcW w:w="0" w:type="auto"/>
            <w:gridSpan w:val="3"/>
            <w:shd w:val="clear" w:color="auto" w:fill="FFFFFF"/>
            <w:tcMar>
              <w:top w:w="40" w:type="dxa"/>
              <w:left w:w="240" w:type="dxa"/>
              <w:bottom w:w="40" w:type="dxa"/>
              <w:right w:w="20" w:type="dxa"/>
            </w:tcMar>
            <w:vAlign w:val="bottom"/>
          </w:tcPr>
          <w:p w14:paraId="1426F169" w14:textId="77777777" w:rsidR="00A74A1E" w:rsidRDefault="00807990">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1426F16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6B" w14:textId="77777777" w:rsidR="00A74A1E" w:rsidRDefault="00807990">
            <w:pPr>
              <w:jc w:val="right"/>
              <w:textAlignment w:val="bottom"/>
            </w:pPr>
            <w:r>
              <w:rPr>
                <w:rFonts w:ascii="Arial" w:eastAsia="宋体" w:hAnsi="Arial" w:cs="Arial"/>
                <w:color w:val="000000"/>
                <w:sz w:val="20"/>
                <w:szCs w:val="20"/>
              </w:rPr>
              <w:t>(54)</w:t>
            </w:r>
          </w:p>
        </w:tc>
        <w:tc>
          <w:tcPr>
            <w:tcW w:w="0" w:type="auto"/>
            <w:shd w:val="clear" w:color="auto" w:fill="FFFFFF"/>
            <w:tcMar>
              <w:top w:w="40" w:type="dxa"/>
              <w:left w:w="0" w:type="dxa"/>
              <w:bottom w:w="40" w:type="dxa"/>
              <w:right w:w="20" w:type="dxa"/>
            </w:tcMar>
            <w:vAlign w:val="bottom"/>
          </w:tcPr>
          <w:p w14:paraId="1426F16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6D"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6E"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6F" w14:textId="77777777" w:rsidR="00A74A1E" w:rsidRDefault="00807990">
            <w:pPr>
              <w:jc w:val="right"/>
              <w:textAlignment w:val="bottom"/>
            </w:pPr>
            <w:r>
              <w:rPr>
                <w:rFonts w:ascii="Arial" w:eastAsia="宋体" w:hAnsi="Arial" w:cs="Arial"/>
                <w:color w:val="000000"/>
                <w:sz w:val="20"/>
                <w:szCs w:val="20"/>
              </w:rPr>
              <w:t>(50)</w:t>
            </w:r>
          </w:p>
        </w:tc>
        <w:tc>
          <w:tcPr>
            <w:tcW w:w="0" w:type="auto"/>
            <w:shd w:val="clear" w:color="auto" w:fill="FFFFFF"/>
            <w:tcMar>
              <w:top w:w="40" w:type="dxa"/>
              <w:left w:w="0" w:type="dxa"/>
              <w:bottom w:w="40" w:type="dxa"/>
              <w:right w:w="20" w:type="dxa"/>
            </w:tcMar>
            <w:vAlign w:val="bottom"/>
          </w:tcPr>
          <w:p w14:paraId="1426F17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71"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72"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73" w14:textId="77777777" w:rsidR="00A74A1E" w:rsidRDefault="00807990">
            <w:pPr>
              <w:jc w:val="right"/>
              <w:textAlignment w:val="bottom"/>
            </w:pPr>
            <w:r>
              <w:rPr>
                <w:rFonts w:ascii="Arial" w:eastAsia="宋体" w:hAnsi="Arial" w:cs="Arial"/>
                <w:color w:val="000000"/>
                <w:sz w:val="20"/>
                <w:szCs w:val="20"/>
              </w:rPr>
              <w:t>(53)</w:t>
            </w:r>
          </w:p>
        </w:tc>
        <w:tc>
          <w:tcPr>
            <w:tcW w:w="0" w:type="auto"/>
            <w:shd w:val="clear" w:color="auto" w:fill="FFFFFF"/>
            <w:tcMar>
              <w:top w:w="40" w:type="dxa"/>
              <w:left w:w="0" w:type="dxa"/>
              <w:bottom w:w="40" w:type="dxa"/>
              <w:right w:w="20" w:type="dxa"/>
            </w:tcMar>
            <w:vAlign w:val="bottom"/>
          </w:tcPr>
          <w:p w14:paraId="1426F17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75"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7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77" w14:textId="77777777" w:rsidR="00A74A1E" w:rsidRDefault="00807990">
            <w:pPr>
              <w:jc w:val="right"/>
              <w:textAlignment w:val="bottom"/>
            </w:pPr>
            <w:r>
              <w:rPr>
                <w:rFonts w:ascii="Arial" w:eastAsia="宋体" w:hAnsi="Arial" w:cs="Arial"/>
                <w:color w:val="000000"/>
                <w:sz w:val="20"/>
                <w:szCs w:val="20"/>
              </w:rPr>
              <w:t>(50)</w:t>
            </w:r>
          </w:p>
        </w:tc>
        <w:tc>
          <w:tcPr>
            <w:tcW w:w="0" w:type="auto"/>
            <w:shd w:val="clear" w:color="auto" w:fill="FFFFFF"/>
            <w:tcMar>
              <w:top w:w="40" w:type="dxa"/>
              <w:left w:w="0" w:type="dxa"/>
              <w:bottom w:w="40" w:type="dxa"/>
              <w:right w:w="20" w:type="dxa"/>
            </w:tcMar>
            <w:vAlign w:val="bottom"/>
          </w:tcPr>
          <w:p w14:paraId="1426F178" w14:textId="77777777" w:rsidR="00A74A1E" w:rsidRDefault="00A74A1E">
            <w:pPr>
              <w:jc w:val="right"/>
              <w:rPr>
                <w:rFonts w:ascii="宋体"/>
              </w:rPr>
            </w:pPr>
          </w:p>
        </w:tc>
      </w:tr>
      <w:tr w:rsidR="00A74A1E" w14:paraId="1426F182" w14:textId="77777777">
        <w:trPr>
          <w:jc w:val="center"/>
          <w:hidden/>
        </w:trPr>
        <w:tc>
          <w:tcPr>
            <w:tcW w:w="0" w:type="auto"/>
            <w:gridSpan w:val="3"/>
            <w:shd w:val="clear" w:color="auto" w:fill="auto"/>
          </w:tcPr>
          <w:p w14:paraId="1426F17A" w14:textId="77777777" w:rsidR="00A74A1E" w:rsidRDefault="00A74A1E">
            <w:pPr>
              <w:rPr>
                <w:rFonts w:ascii="宋体"/>
                <w:vanish/>
              </w:rPr>
            </w:pPr>
          </w:p>
        </w:tc>
        <w:tc>
          <w:tcPr>
            <w:tcW w:w="0" w:type="auto"/>
            <w:gridSpan w:val="3"/>
            <w:shd w:val="clear" w:color="auto" w:fill="auto"/>
          </w:tcPr>
          <w:p w14:paraId="1426F17B" w14:textId="77777777" w:rsidR="00A74A1E" w:rsidRDefault="00A74A1E">
            <w:pPr>
              <w:rPr>
                <w:rFonts w:ascii="宋体"/>
                <w:vanish/>
              </w:rPr>
            </w:pPr>
          </w:p>
        </w:tc>
        <w:tc>
          <w:tcPr>
            <w:tcW w:w="0" w:type="auto"/>
            <w:gridSpan w:val="3"/>
            <w:shd w:val="clear" w:color="auto" w:fill="auto"/>
          </w:tcPr>
          <w:p w14:paraId="1426F17C" w14:textId="77777777" w:rsidR="00A74A1E" w:rsidRDefault="00A74A1E">
            <w:pPr>
              <w:rPr>
                <w:rFonts w:ascii="宋体"/>
                <w:vanish/>
              </w:rPr>
            </w:pPr>
          </w:p>
        </w:tc>
        <w:tc>
          <w:tcPr>
            <w:tcW w:w="0" w:type="auto"/>
            <w:gridSpan w:val="3"/>
            <w:shd w:val="clear" w:color="auto" w:fill="auto"/>
          </w:tcPr>
          <w:p w14:paraId="1426F17D" w14:textId="77777777" w:rsidR="00A74A1E" w:rsidRDefault="00A74A1E">
            <w:pPr>
              <w:rPr>
                <w:rFonts w:ascii="宋体"/>
                <w:vanish/>
              </w:rPr>
            </w:pPr>
          </w:p>
        </w:tc>
        <w:tc>
          <w:tcPr>
            <w:tcW w:w="0" w:type="auto"/>
            <w:gridSpan w:val="3"/>
            <w:shd w:val="clear" w:color="auto" w:fill="auto"/>
          </w:tcPr>
          <w:p w14:paraId="1426F17E" w14:textId="77777777" w:rsidR="00A74A1E" w:rsidRDefault="00A74A1E">
            <w:pPr>
              <w:rPr>
                <w:rFonts w:ascii="宋体"/>
                <w:vanish/>
              </w:rPr>
            </w:pPr>
          </w:p>
        </w:tc>
        <w:tc>
          <w:tcPr>
            <w:tcW w:w="0" w:type="auto"/>
            <w:gridSpan w:val="3"/>
            <w:shd w:val="clear" w:color="auto" w:fill="auto"/>
          </w:tcPr>
          <w:p w14:paraId="1426F17F" w14:textId="77777777" w:rsidR="00A74A1E" w:rsidRDefault="00A74A1E">
            <w:pPr>
              <w:rPr>
                <w:rFonts w:ascii="宋体"/>
                <w:vanish/>
              </w:rPr>
            </w:pPr>
          </w:p>
        </w:tc>
        <w:tc>
          <w:tcPr>
            <w:tcW w:w="0" w:type="auto"/>
            <w:gridSpan w:val="3"/>
            <w:shd w:val="clear" w:color="auto" w:fill="auto"/>
          </w:tcPr>
          <w:p w14:paraId="1426F180" w14:textId="77777777" w:rsidR="00A74A1E" w:rsidRDefault="00A74A1E">
            <w:pPr>
              <w:rPr>
                <w:rFonts w:ascii="宋体"/>
                <w:vanish/>
              </w:rPr>
            </w:pPr>
          </w:p>
        </w:tc>
        <w:tc>
          <w:tcPr>
            <w:tcW w:w="0" w:type="auto"/>
            <w:gridSpan w:val="3"/>
            <w:shd w:val="clear" w:color="auto" w:fill="auto"/>
          </w:tcPr>
          <w:p w14:paraId="1426F181" w14:textId="77777777" w:rsidR="00A74A1E" w:rsidRDefault="00A74A1E">
            <w:pPr>
              <w:rPr>
                <w:rFonts w:ascii="宋体"/>
                <w:vanish/>
              </w:rPr>
            </w:pPr>
          </w:p>
        </w:tc>
      </w:tr>
      <w:tr w:rsidR="00A74A1E" w14:paraId="1426F18F" w14:textId="77777777">
        <w:trPr>
          <w:jc w:val="center"/>
        </w:trPr>
        <w:tc>
          <w:tcPr>
            <w:tcW w:w="0" w:type="auto"/>
            <w:gridSpan w:val="3"/>
            <w:shd w:val="clear" w:color="auto" w:fill="CCEEFF"/>
            <w:tcMar>
              <w:top w:w="40" w:type="dxa"/>
              <w:left w:w="240" w:type="dxa"/>
              <w:bottom w:w="40" w:type="dxa"/>
              <w:right w:w="20" w:type="dxa"/>
            </w:tcMar>
            <w:vAlign w:val="bottom"/>
          </w:tcPr>
          <w:p w14:paraId="1426F183" w14:textId="77777777" w:rsidR="00A74A1E" w:rsidRDefault="00807990">
            <w:pPr>
              <w:textAlignment w:val="bottom"/>
            </w:pPr>
            <w:r>
              <w:rPr>
                <w:rFonts w:ascii="Arial" w:eastAsia="宋体" w:hAnsi="Arial" w:cs="Arial"/>
                <w:color w:val="000000"/>
                <w:sz w:val="20"/>
                <w:szCs w:val="20"/>
              </w:rPr>
              <w:t xml:space="preserve">Issuance of treasury stock to partially settle debt </w:t>
            </w:r>
          </w:p>
        </w:tc>
        <w:tc>
          <w:tcPr>
            <w:tcW w:w="0" w:type="auto"/>
            <w:gridSpan w:val="2"/>
            <w:shd w:val="clear" w:color="auto" w:fill="CCEEFF"/>
            <w:tcMar>
              <w:top w:w="40" w:type="dxa"/>
              <w:left w:w="20" w:type="dxa"/>
              <w:bottom w:w="40" w:type="dxa"/>
              <w:right w:w="0" w:type="dxa"/>
            </w:tcMar>
            <w:vAlign w:val="bottom"/>
          </w:tcPr>
          <w:p w14:paraId="1426F184"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185"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86"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87"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18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8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8A"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18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8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8D" w14:textId="77777777" w:rsidR="00A74A1E" w:rsidRDefault="00807990">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1426F18E" w14:textId="77777777" w:rsidR="00A74A1E" w:rsidRDefault="00A74A1E">
            <w:pPr>
              <w:jc w:val="right"/>
              <w:rPr>
                <w:rFonts w:ascii="宋体"/>
              </w:rPr>
            </w:pPr>
          </w:p>
        </w:tc>
      </w:tr>
      <w:tr w:rsidR="00A74A1E" w14:paraId="1426F19C" w14:textId="77777777">
        <w:trPr>
          <w:jc w:val="center"/>
        </w:trPr>
        <w:tc>
          <w:tcPr>
            <w:tcW w:w="0" w:type="auto"/>
            <w:gridSpan w:val="3"/>
            <w:shd w:val="clear" w:color="auto" w:fill="FFFFFF"/>
            <w:tcMar>
              <w:top w:w="40" w:type="dxa"/>
              <w:left w:w="20" w:type="dxa"/>
              <w:bottom w:w="40" w:type="dxa"/>
              <w:right w:w="20" w:type="dxa"/>
            </w:tcMar>
            <w:vAlign w:val="bottom"/>
          </w:tcPr>
          <w:p w14:paraId="1426F190" w14:textId="77777777" w:rsidR="00A74A1E" w:rsidRDefault="00807990">
            <w:pPr>
              <w:textAlignment w:val="bottom"/>
            </w:pPr>
            <w:r>
              <w:rPr>
                <w:rFonts w:ascii="Arial" w:eastAsia="宋体" w:hAnsi="Arial" w:cs="Arial"/>
                <w:color w:val="000000"/>
                <w:sz w:val="20"/>
                <w:szCs w:val="20"/>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1426F191" w14:textId="77777777" w:rsidR="00A74A1E" w:rsidRDefault="00807990">
            <w:pPr>
              <w:jc w:val="right"/>
              <w:textAlignment w:val="bottom"/>
            </w:pPr>
            <w:r>
              <w:rPr>
                <w:rFonts w:ascii="Arial" w:eastAsia="宋体" w:hAnsi="Arial" w:cs="Arial"/>
                <w:color w:val="000000"/>
                <w:sz w:val="20"/>
                <w:szCs w:val="20"/>
              </w:rPr>
              <w:t>(72)</w:t>
            </w:r>
          </w:p>
        </w:tc>
        <w:tc>
          <w:tcPr>
            <w:tcW w:w="0" w:type="auto"/>
            <w:shd w:val="clear" w:color="auto" w:fill="FFFFFF"/>
            <w:tcMar>
              <w:top w:w="40" w:type="dxa"/>
              <w:left w:w="0" w:type="dxa"/>
              <w:bottom w:w="40" w:type="dxa"/>
              <w:right w:w="20" w:type="dxa"/>
            </w:tcMar>
            <w:vAlign w:val="bottom"/>
          </w:tcPr>
          <w:p w14:paraId="1426F19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93"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94" w14:textId="77777777" w:rsidR="00A74A1E" w:rsidRDefault="00807990">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1426F19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96"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97" w14:textId="77777777" w:rsidR="00A74A1E" w:rsidRDefault="00807990">
            <w:pPr>
              <w:jc w:val="right"/>
              <w:textAlignment w:val="bottom"/>
            </w:pPr>
            <w:r>
              <w:rPr>
                <w:rFonts w:ascii="Arial" w:eastAsia="宋体" w:hAnsi="Arial" w:cs="Arial"/>
                <w:color w:val="000000"/>
                <w:sz w:val="20"/>
                <w:szCs w:val="20"/>
              </w:rPr>
              <w:t>(73)</w:t>
            </w:r>
          </w:p>
        </w:tc>
        <w:tc>
          <w:tcPr>
            <w:tcW w:w="0" w:type="auto"/>
            <w:shd w:val="clear" w:color="auto" w:fill="FFFFFF"/>
            <w:tcMar>
              <w:top w:w="40" w:type="dxa"/>
              <w:left w:w="0" w:type="dxa"/>
              <w:bottom w:w="40" w:type="dxa"/>
              <w:right w:w="20" w:type="dxa"/>
            </w:tcMar>
            <w:vAlign w:val="bottom"/>
          </w:tcPr>
          <w:p w14:paraId="1426F19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99"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19A" w14:textId="77777777" w:rsidR="00A74A1E" w:rsidRDefault="00807990">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1426F19B" w14:textId="77777777" w:rsidR="00A74A1E" w:rsidRDefault="00A74A1E">
            <w:pPr>
              <w:jc w:val="right"/>
              <w:rPr>
                <w:rFonts w:ascii="宋体"/>
              </w:rPr>
            </w:pPr>
          </w:p>
        </w:tc>
      </w:tr>
      <w:tr w:rsidR="00A74A1E" w14:paraId="1426F1AD" w14:textId="77777777">
        <w:trPr>
          <w:jc w:val="center"/>
        </w:trPr>
        <w:tc>
          <w:tcPr>
            <w:tcW w:w="0" w:type="auto"/>
            <w:gridSpan w:val="3"/>
            <w:shd w:val="clear" w:color="auto" w:fill="CCEEFF"/>
            <w:tcMar>
              <w:top w:w="40" w:type="dxa"/>
              <w:left w:w="240" w:type="dxa"/>
              <w:bottom w:w="40" w:type="dxa"/>
              <w:right w:w="20" w:type="dxa"/>
            </w:tcMar>
            <w:vAlign w:val="bottom"/>
          </w:tcPr>
          <w:p w14:paraId="1426F19D" w14:textId="77777777" w:rsidR="00A74A1E" w:rsidRDefault="00807990">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1426F19E"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19F" w14:textId="77777777" w:rsidR="00A74A1E" w:rsidRDefault="00807990">
            <w:pPr>
              <w:jc w:val="right"/>
              <w:textAlignment w:val="bottom"/>
            </w:pPr>
            <w:r>
              <w:rPr>
                <w:rFonts w:ascii="Arial" w:eastAsia="宋体" w:hAnsi="Arial" w:cs="Arial"/>
                <w:color w:val="000000"/>
                <w:sz w:val="20"/>
                <w:szCs w:val="20"/>
              </w:rPr>
              <w:t>(126)</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1A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A1"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1A2"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1A3" w14:textId="77777777" w:rsidR="00A74A1E" w:rsidRDefault="00807990">
            <w:pPr>
              <w:jc w:val="right"/>
              <w:textAlignment w:val="bottom"/>
            </w:pPr>
            <w:r>
              <w:rPr>
                <w:rFonts w:ascii="Arial" w:eastAsia="宋体" w:hAnsi="Arial" w:cs="Arial"/>
                <w:color w:val="000000"/>
                <w:sz w:val="20"/>
                <w:szCs w:val="20"/>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1A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A5"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1A6"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1A7" w14:textId="77777777" w:rsidR="00A74A1E" w:rsidRDefault="00807990">
            <w:pPr>
              <w:jc w:val="right"/>
              <w:textAlignment w:val="bottom"/>
            </w:pPr>
            <w:r>
              <w:rPr>
                <w:rFonts w:ascii="Arial" w:eastAsia="宋体" w:hAnsi="Arial" w:cs="Arial"/>
                <w:color w:val="000000"/>
                <w:sz w:val="20"/>
                <w:szCs w:val="20"/>
              </w:rPr>
              <w:t>(126)</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1A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A9"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1AA"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1AB" w14:textId="77777777" w:rsidR="00A74A1E" w:rsidRDefault="00807990">
            <w:pPr>
              <w:jc w:val="right"/>
              <w:textAlignment w:val="bottom"/>
            </w:pPr>
            <w:r>
              <w:rPr>
                <w:rFonts w:ascii="Arial" w:eastAsia="宋体" w:hAnsi="Arial" w:cs="Arial"/>
                <w:color w:val="000000"/>
                <w:sz w:val="20"/>
                <w:szCs w:val="20"/>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1AC" w14:textId="77777777" w:rsidR="00A74A1E" w:rsidRDefault="00A74A1E">
            <w:pPr>
              <w:jc w:val="right"/>
              <w:rPr>
                <w:rFonts w:ascii="宋体"/>
              </w:rPr>
            </w:pPr>
          </w:p>
        </w:tc>
      </w:tr>
      <w:tr w:rsidR="00A74A1E" w14:paraId="1426F1B6" w14:textId="77777777">
        <w:trPr>
          <w:trHeight w:val="280"/>
          <w:jc w:val="center"/>
        </w:trPr>
        <w:tc>
          <w:tcPr>
            <w:tcW w:w="0" w:type="auto"/>
            <w:gridSpan w:val="3"/>
            <w:shd w:val="clear" w:color="auto" w:fill="FFFFFF"/>
            <w:tcMar>
              <w:top w:w="0" w:type="dxa"/>
              <w:left w:w="20" w:type="dxa"/>
              <w:bottom w:w="0" w:type="dxa"/>
              <w:right w:w="20" w:type="dxa"/>
            </w:tcMar>
          </w:tcPr>
          <w:p w14:paraId="1426F1AE"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1AF"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B0"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1B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B2"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1B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B4"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1B5" w14:textId="77777777" w:rsidR="00A74A1E" w:rsidRDefault="00A74A1E">
            <w:pPr>
              <w:rPr>
                <w:rFonts w:ascii="宋体"/>
              </w:rPr>
            </w:pPr>
          </w:p>
        </w:tc>
      </w:tr>
      <w:tr w:rsidR="00A74A1E" w14:paraId="1426F1BF" w14:textId="77777777">
        <w:trPr>
          <w:jc w:val="center"/>
        </w:trPr>
        <w:tc>
          <w:tcPr>
            <w:tcW w:w="0" w:type="auto"/>
            <w:gridSpan w:val="3"/>
            <w:shd w:val="clear" w:color="auto" w:fill="CCEEFF"/>
            <w:tcMar>
              <w:top w:w="40" w:type="dxa"/>
              <w:left w:w="20" w:type="dxa"/>
              <w:bottom w:w="40" w:type="dxa"/>
              <w:right w:w="20" w:type="dxa"/>
            </w:tcMar>
            <w:vAlign w:val="bottom"/>
          </w:tcPr>
          <w:p w14:paraId="1426F1B7" w14:textId="77777777" w:rsidR="00A74A1E" w:rsidRDefault="00807990">
            <w:pPr>
              <w:textAlignment w:val="bottom"/>
            </w:pPr>
            <w:r>
              <w:rPr>
                <w:rFonts w:ascii="Arial" w:eastAsia="宋体" w:hAnsi="Arial" w:cs="Arial"/>
                <w:b/>
                <w:bCs/>
                <w:color w:val="000000"/>
                <w:sz w:val="20"/>
                <w:szCs w:val="20"/>
              </w:rPr>
              <w:t>Accumulated deficit:</w:t>
            </w:r>
          </w:p>
        </w:tc>
        <w:tc>
          <w:tcPr>
            <w:tcW w:w="0" w:type="auto"/>
            <w:gridSpan w:val="3"/>
            <w:shd w:val="clear" w:color="auto" w:fill="CCEEFF"/>
            <w:tcMar>
              <w:top w:w="0" w:type="dxa"/>
              <w:left w:w="20" w:type="dxa"/>
              <w:bottom w:w="0" w:type="dxa"/>
              <w:right w:w="20" w:type="dxa"/>
            </w:tcMar>
          </w:tcPr>
          <w:p w14:paraId="1426F1B8"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9"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B"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C"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D"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BE" w14:textId="77777777" w:rsidR="00A74A1E" w:rsidRDefault="00A74A1E">
            <w:pPr>
              <w:rPr>
                <w:rFonts w:ascii="宋体"/>
              </w:rPr>
            </w:pPr>
          </w:p>
        </w:tc>
      </w:tr>
      <w:tr w:rsidR="00A74A1E" w14:paraId="1426F1D0" w14:textId="77777777">
        <w:trPr>
          <w:jc w:val="center"/>
        </w:trPr>
        <w:tc>
          <w:tcPr>
            <w:tcW w:w="0" w:type="auto"/>
            <w:gridSpan w:val="3"/>
            <w:shd w:val="clear" w:color="auto" w:fill="FFFFFF"/>
            <w:tcMar>
              <w:top w:w="40" w:type="dxa"/>
              <w:left w:w="240" w:type="dxa"/>
              <w:bottom w:w="40" w:type="dxa"/>
              <w:right w:w="20" w:type="dxa"/>
            </w:tcMar>
            <w:vAlign w:val="bottom"/>
          </w:tcPr>
          <w:p w14:paraId="1426F1C0" w14:textId="77777777" w:rsidR="00A74A1E" w:rsidRDefault="00807990">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1426F1C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C2" w14:textId="77777777" w:rsidR="00A74A1E" w:rsidRDefault="00807990">
            <w:pPr>
              <w:jc w:val="right"/>
              <w:textAlignment w:val="bottom"/>
            </w:pPr>
            <w:r>
              <w:rPr>
                <w:rFonts w:ascii="Arial" w:eastAsia="宋体" w:hAnsi="Arial" w:cs="Arial"/>
                <w:color w:val="000000"/>
                <w:sz w:val="20"/>
                <w:szCs w:val="20"/>
              </w:rPr>
              <w:t>(6,776)</w:t>
            </w:r>
          </w:p>
        </w:tc>
        <w:tc>
          <w:tcPr>
            <w:tcW w:w="0" w:type="auto"/>
            <w:shd w:val="clear" w:color="auto" w:fill="FFFFFF"/>
            <w:tcMar>
              <w:top w:w="40" w:type="dxa"/>
              <w:left w:w="0" w:type="dxa"/>
              <w:bottom w:w="40" w:type="dxa"/>
              <w:right w:w="20" w:type="dxa"/>
            </w:tcMar>
            <w:vAlign w:val="bottom"/>
          </w:tcPr>
          <w:p w14:paraId="1426F1C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C4"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C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C6" w14:textId="77777777" w:rsidR="00A74A1E" w:rsidRDefault="00807990">
            <w:pPr>
              <w:jc w:val="right"/>
              <w:textAlignment w:val="bottom"/>
            </w:pPr>
            <w:r>
              <w:rPr>
                <w:rFonts w:ascii="Arial" w:eastAsia="宋体" w:hAnsi="Arial" w:cs="Arial"/>
                <w:color w:val="000000"/>
                <w:sz w:val="20"/>
                <w:szCs w:val="20"/>
              </w:rPr>
              <w:t>(7,385)</w:t>
            </w:r>
          </w:p>
        </w:tc>
        <w:tc>
          <w:tcPr>
            <w:tcW w:w="0" w:type="auto"/>
            <w:shd w:val="clear" w:color="auto" w:fill="FFFFFF"/>
            <w:tcMar>
              <w:top w:w="40" w:type="dxa"/>
              <w:left w:w="0" w:type="dxa"/>
              <w:bottom w:w="40" w:type="dxa"/>
              <w:right w:w="20" w:type="dxa"/>
            </w:tcMar>
            <w:vAlign w:val="bottom"/>
          </w:tcPr>
          <w:p w14:paraId="1426F1C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C8"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C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CA" w14:textId="77777777" w:rsidR="00A74A1E" w:rsidRDefault="00807990">
            <w:pPr>
              <w:jc w:val="right"/>
              <w:textAlignment w:val="bottom"/>
            </w:pPr>
            <w:r>
              <w:rPr>
                <w:rFonts w:ascii="Arial" w:eastAsia="宋体" w:hAnsi="Arial" w:cs="Arial"/>
                <w:color w:val="000000"/>
                <w:sz w:val="20"/>
                <w:szCs w:val="20"/>
              </w:rPr>
              <w:t>(7,095)</w:t>
            </w:r>
          </w:p>
        </w:tc>
        <w:tc>
          <w:tcPr>
            <w:tcW w:w="0" w:type="auto"/>
            <w:shd w:val="clear" w:color="auto" w:fill="FFFFFF"/>
            <w:tcMar>
              <w:top w:w="40" w:type="dxa"/>
              <w:left w:w="0" w:type="dxa"/>
              <w:bottom w:w="40" w:type="dxa"/>
              <w:right w:w="20" w:type="dxa"/>
            </w:tcMar>
            <w:vAlign w:val="bottom"/>
          </w:tcPr>
          <w:p w14:paraId="1426F1C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CC"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1C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1CE" w14:textId="77777777" w:rsidR="00A74A1E" w:rsidRDefault="00807990">
            <w:pPr>
              <w:jc w:val="right"/>
              <w:textAlignment w:val="bottom"/>
            </w:pPr>
            <w:r>
              <w:rPr>
                <w:rFonts w:ascii="Arial" w:eastAsia="宋体" w:hAnsi="Arial" w:cs="Arial"/>
                <w:color w:val="000000"/>
                <w:sz w:val="20"/>
                <w:szCs w:val="20"/>
              </w:rPr>
              <w:t>(7,436)</w:t>
            </w:r>
          </w:p>
        </w:tc>
        <w:tc>
          <w:tcPr>
            <w:tcW w:w="0" w:type="auto"/>
            <w:shd w:val="clear" w:color="auto" w:fill="FFFFFF"/>
            <w:tcMar>
              <w:top w:w="40" w:type="dxa"/>
              <w:left w:w="0" w:type="dxa"/>
              <w:bottom w:w="40" w:type="dxa"/>
              <w:right w:w="20" w:type="dxa"/>
            </w:tcMar>
            <w:vAlign w:val="bottom"/>
          </w:tcPr>
          <w:p w14:paraId="1426F1CF" w14:textId="77777777" w:rsidR="00A74A1E" w:rsidRDefault="00A74A1E">
            <w:pPr>
              <w:jc w:val="right"/>
              <w:rPr>
                <w:rFonts w:ascii="宋体"/>
              </w:rPr>
            </w:pPr>
          </w:p>
        </w:tc>
      </w:tr>
      <w:tr w:rsidR="00A74A1E" w14:paraId="1426F1DD" w14:textId="77777777">
        <w:trPr>
          <w:jc w:val="center"/>
        </w:trPr>
        <w:tc>
          <w:tcPr>
            <w:tcW w:w="0" w:type="auto"/>
            <w:gridSpan w:val="3"/>
            <w:shd w:val="clear" w:color="auto" w:fill="CCEEFF"/>
            <w:tcMar>
              <w:top w:w="40" w:type="dxa"/>
              <w:left w:w="240" w:type="dxa"/>
              <w:bottom w:w="40" w:type="dxa"/>
              <w:right w:w="20" w:type="dxa"/>
            </w:tcMar>
            <w:vAlign w:val="bottom"/>
          </w:tcPr>
          <w:p w14:paraId="1426F1D1" w14:textId="77777777" w:rsidR="00A74A1E" w:rsidRDefault="00807990">
            <w:pPr>
              <w:textAlignment w:val="bottom"/>
            </w:pPr>
            <w:r>
              <w:rPr>
                <w:rFonts w:ascii="Arial" w:eastAsia="宋体" w:hAnsi="Arial" w:cs="Arial"/>
                <w:color w:val="000000"/>
                <w:sz w:val="20"/>
                <w:szCs w:val="20"/>
              </w:rPr>
              <w:t xml:space="preserve">Net income </w:t>
            </w:r>
          </w:p>
        </w:tc>
        <w:tc>
          <w:tcPr>
            <w:tcW w:w="0" w:type="auto"/>
            <w:gridSpan w:val="2"/>
            <w:shd w:val="clear" w:color="auto" w:fill="CCEEFF"/>
            <w:tcMar>
              <w:top w:w="40" w:type="dxa"/>
              <w:left w:w="20" w:type="dxa"/>
              <w:bottom w:w="40" w:type="dxa"/>
              <w:right w:w="0" w:type="dxa"/>
            </w:tcMar>
            <w:vAlign w:val="bottom"/>
          </w:tcPr>
          <w:p w14:paraId="1426F1D2" w14:textId="77777777" w:rsidR="00A74A1E" w:rsidRDefault="00807990">
            <w:pPr>
              <w:jc w:val="right"/>
              <w:textAlignment w:val="bottom"/>
            </w:pPr>
            <w:r>
              <w:rPr>
                <w:rFonts w:ascii="Arial" w:eastAsia="宋体" w:hAnsi="Arial" w:cs="Arial"/>
                <w:color w:val="000000"/>
                <w:sz w:val="20"/>
                <w:szCs w:val="20"/>
              </w:rPr>
              <w:t>390 </w:t>
            </w:r>
          </w:p>
        </w:tc>
        <w:tc>
          <w:tcPr>
            <w:tcW w:w="0" w:type="auto"/>
            <w:shd w:val="clear" w:color="auto" w:fill="CCEEFF"/>
            <w:tcMar>
              <w:top w:w="40" w:type="dxa"/>
              <w:left w:w="0" w:type="dxa"/>
              <w:bottom w:w="40" w:type="dxa"/>
              <w:right w:w="20" w:type="dxa"/>
            </w:tcMar>
            <w:vAlign w:val="bottom"/>
          </w:tcPr>
          <w:p w14:paraId="1426F1D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D4"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D5" w14:textId="77777777" w:rsidR="00A74A1E" w:rsidRDefault="00807990">
            <w:pPr>
              <w:jc w:val="right"/>
              <w:textAlignment w:val="bottom"/>
            </w:pPr>
            <w:r>
              <w:rPr>
                <w:rFonts w:ascii="Arial" w:eastAsia="宋体"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1426F1D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D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D8" w14:textId="77777777" w:rsidR="00A74A1E" w:rsidRDefault="00807990">
            <w:pPr>
              <w:jc w:val="right"/>
              <w:textAlignment w:val="bottom"/>
            </w:pPr>
            <w:r>
              <w:rPr>
                <w:rFonts w:ascii="Arial" w:eastAsia="宋体" w:hAnsi="Arial" w:cs="Arial"/>
                <w:color w:val="000000"/>
                <w:sz w:val="20"/>
                <w:szCs w:val="20"/>
              </w:rPr>
              <w:t>709 </w:t>
            </w:r>
          </w:p>
        </w:tc>
        <w:tc>
          <w:tcPr>
            <w:tcW w:w="0" w:type="auto"/>
            <w:shd w:val="clear" w:color="auto" w:fill="CCEEFF"/>
            <w:tcMar>
              <w:top w:w="40" w:type="dxa"/>
              <w:left w:w="0" w:type="dxa"/>
              <w:bottom w:w="40" w:type="dxa"/>
              <w:right w:w="20" w:type="dxa"/>
            </w:tcMar>
            <w:vAlign w:val="bottom"/>
          </w:tcPr>
          <w:p w14:paraId="1426F1D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1D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1DB" w14:textId="77777777" w:rsidR="00A74A1E" w:rsidRDefault="00807990">
            <w:pPr>
              <w:jc w:val="right"/>
              <w:textAlignment w:val="bottom"/>
            </w:pPr>
            <w:r>
              <w:rPr>
                <w:rFonts w:ascii="Arial" w:eastAsia="宋体" w:hAnsi="Arial" w:cs="Arial"/>
                <w:color w:val="000000"/>
                <w:sz w:val="20"/>
                <w:szCs w:val="20"/>
              </w:rPr>
              <w:t>171 </w:t>
            </w:r>
          </w:p>
        </w:tc>
        <w:tc>
          <w:tcPr>
            <w:tcW w:w="0" w:type="auto"/>
            <w:shd w:val="clear" w:color="auto" w:fill="CCEEFF"/>
            <w:tcMar>
              <w:top w:w="40" w:type="dxa"/>
              <w:left w:w="0" w:type="dxa"/>
              <w:bottom w:w="40" w:type="dxa"/>
              <w:right w:w="20" w:type="dxa"/>
            </w:tcMar>
            <w:vAlign w:val="bottom"/>
          </w:tcPr>
          <w:p w14:paraId="1426F1DC" w14:textId="77777777" w:rsidR="00A74A1E" w:rsidRDefault="00A74A1E">
            <w:pPr>
              <w:jc w:val="right"/>
              <w:rPr>
                <w:rFonts w:ascii="宋体"/>
              </w:rPr>
            </w:pPr>
          </w:p>
        </w:tc>
      </w:tr>
      <w:tr w:rsidR="00A74A1E" w14:paraId="1426F1EE" w14:textId="77777777">
        <w:trPr>
          <w:jc w:val="center"/>
        </w:trPr>
        <w:tc>
          <w:tcPr>
            <w:tcW w:w="0" w:type="auto"/>
            <w:gridSpan w:val="3"/>
            <w:shd w:val="clear" w:color="auto" w:fill="FFFFFF"/>
            <w:tcMar>
              <w:top w:w="40" w:type="dxa"/>
              <w:left w:w="240" w:type="dxa"/>
              <w:bottom w:w="40" w:type="dxa"/>
              <w:right w:w="20" w:type="dxa"/>
            </w:tcMar>
            <w:vAlign w:val="bottom"/>
          </w:tcPr>
          <w:p w14:paraId="1426F1DE" w14:textId="77777777" w:rsidR="00A74A1E" w:rsidRDefault="00807990">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426F1DF"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E0" w14:textId="77777777" w:rsidR="00A74A1E" w:rsidRDefault="00807990">
            <w:pPr>
              <w:jc w:val="right"/>
              <w:textAlignment w:val="bottom"/>
            </w:pPr>
            <w:r>
              <w:rPr>
                <w:rFonts w:ascii="Arial" w:eastAsia="宋体" w:hAnsi="Arial" w:cs="Arial"/>
                <w:color w:val="000000"/>
                <w:sz w:val="20"/>
                <w:szCs w:val="20"/>
              </w:rPr>
              <w:t>(6,386)</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E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E2"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E3"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E4" w14:textId="77777777" w:rsidR="00A74A1E" w:rsidRDefault="00807990">
            <w:pPr>
              <w:jc w:val="right"/>
              <w:textAlignment w:val="bottom"/>
            </w:pPr>
            <w:r>
              <w:rPr>
                <w:rFonts w:ascii="Arial" w:eastAsia="宋体" w:hAnsi="Arial" w:cs="Arial"/>
                <w:color w:val="000000"/>
                <w:sz w:val="20"/>
                <w:szCs w:val="20"/>
              </w:rPr>
              <w:t>(7,265)</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E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E6"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E7"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E8" w14:textId="77777777" w:rsidR="00A74A1E" w:rsidRDefault="00807990">
            <w:pPr>
              <w:jc w:val="right"/>
              <w:textAlignment w:val="bottom"/>
            </w:pPr>
            <w:r>
              <w:rPr>
                <w:rFonts w:ascii="Arial" w:eastAsia="宋体" w:hAnsi="Arial" w:cs="Arial"/>
                <w:color w:val="000000"/>
                <w:sz w:val="20"/>
                <w:szCs w:val="20"/>
              </w:rPr>
              <w:t>(6,386)</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E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1EA"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1EB"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1EC" w14:textId="77777777" w:rsidR="00A74A1E" w:rsidRDefault="00807990">
            <w:pPr>
              <w:jc w:val="right"/>
              <w:textAlignment w:val="bottom"/>
            </w:pPr>
            <w:r>
              <w:rPr>
                <w:rFonts w:ascii="Arial" w:eastAsia="宋体" w:hAnsi="Arial" w:cs="Arial"/>
                <w:color w:val="000000"/>
                <w:sz w:val="20"/>
                <w:szCs w:val="20"/>
              </w:rPr>
              <w:t>(7,265)</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1ED" w14:textId="77777777" w:rsidR="00A74A1E" w:rsidRDefault="00A74A1E">
            <w:pPr>
              <w:jc w:val="right"/>
              <w:rPr>
                <w:rFonts w:ascii="宋体"/>
              </w:rPr>
            </w:pPr>
          </w:p>
        </w:tc>
      </w:tr>
      <w:tr w:rsidR="00A74A1E" w14:paraId="1426F1F7" w14:textId="77777777">
        <w:trPr>
          <w:trHeight w:val="280"/>
          <w:jc w:val="center"/>
        </w:trPr>
        <w:tc>
          <w:tcPr>
            <w:tcW w:w="0" w:type="auto"/>
            <w:gridSpan w:val="3"/>
            <w:shd w:val="clear" w:color="auto" w:fill="CCEEFF"/>
            <w:tcMar>
              <w:top w:w="0" w:type="dxa"/>
              <w:left w:w="20" w:type="dxa"/>
              <w:bottom w:w="0" w:type="dxa"/>
              <w:right w:w="20" w:type="dxa"/>
            </w:tcMar>
          </w:tcPr>
          <w:p w14:paraId="1426F1EF"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F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F1"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F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F3"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F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1F5" w14:textId="77777777" w:rsidR="00A74A1E" w:rsidRDefault="00A74A1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426F1F6" w14:textId="77777777" w:rsidR="00A74A1E" w:rsidRDefault="00A74A1E">
            <w:pPr>
              <w:rPr>
                <w:rFonts w:ascii="宋体"/>
              </w:rPr>
            </w:pPr>
          </w:p>
        </w:tc>
      </w:tr>
      <w:tr w:rsidR="00A74A1E" w14:paraId="1426F200" w14:textId="77777777">
        <w:trPr>
          <w:jc w:val="center"/>
        </w:trPr>
        <w:tc>
          <w:tcPr>
            <w:tcW w:w="0" w:type="auto"/>
            <w:gridSpan w:val="3"/>
            <w:shd w:val="clear" w:color="auto" w:fill="FFFFFF"/>
            <w:tcMar>
              <w:top w:w="40" w:type="dxa"/>
              <w:left w:w="20" w:type="dxa"/>
              <w:bottom w:w="40" w:type="dxa"/>
              <w:right w:w="20" w:type="dxa"/>
            </w:tcMar>
            <w:vAlign w:val="bottom"/>
          </w:tcPr>
          <w:p w14:paraId="1426F1F8" w14:textId="77777777" w:rsidR="00A74A1E" w:rsidRDefault="00807990">
            <w:pPr>
              <w:textAlignment w:val="bottom"/>
            </w:pPr>
            <w:r>
              <w:rPr>
                <w:rFonts w:ascii="Arial" w:eastAsia="宋体" w:hAnsi="Arial" w:cs="Arial"/>
                <w:b/>
                <w:bCs/>
                <w:color w:val="000000"/>
                <w:sz w:val="20"/>
                <w:szCs w:val="20"/>
              </w:rPr>
              <w:t>Accumulated other comprehensive loss:</w:t>
            </w:r>
          </w:p>
        </w:tc>
        <w:tc>
          <w:tcPr>
            <w:tcW w:w="0" w:type="auto"/>
            <w:gridSpan w:val="3"/>
            <w:shd w:val="clear" w:color="auto" w:fill="FFFFFF"/>
            <w:tcMar>
              <w:top w:w="0" w:type="dxa"/>
              <w:left w:w="20" w:type="dxa"/>
              <w:bottom w:w="0" w:type="dxa"/>
              <w:right w:w="20" w:type="dxa"/>
            </w:tcMar>
          </w:tcPr>
          <w:p w14:paraId="1426F1F9"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A"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B"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C"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D"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E"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1FF" w14:textId="77777777" w:rsidR="00A74A1E" w:rsidRDefault="00A74A1E">
            <w:pPr>
              <w:rPr>
                <w:rFonts w:ascii="宋体"/>
              </w:rPr>
            </w:pPr>
          </w:p>
        </w:tc>
      </w:tr>
      <w:tr w:rsidR="00A74A1E" w14:paraId="1426F211" w14:textId="77777777">
        <w:trPr>
          <w:jc w:val="center"/>
        </w:trPr>
        <w:tc>
          <w:tcPr>
            <w:tcW w:w="0" w:type="auto"/>
            <w:gridSpan w:val="3"/>
            <w:shd w:val="clear" w:color="auto" w:fill="CCEEFF"/>
            <w:tcMar>
              <w:top w:w="40" w:type="dxa"/>
              <w:left w:w="240" w:type="dxa"/>
              <w:bottom w:w="40" w:type="dxa"/>
              <w:right w:w="20" w:type="dxa"/>
            </w:tcMar>
            <w:vAlign w:val="bottom"/>
          </w:tcPr>
          <w:p w14:paraId="1426F201" w14:textId="77777777" w:rsidR="00A74A1E" w:rsidRDefault="00807990">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1426F202"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03" w14:textId="77777777" w:rsidR="00A74A1E" w:rsidRDefault="00807990">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1426F20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05"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20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07"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20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09"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20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0B"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20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0D"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20E"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0F" w14:textId="77777777" w:rsidR="00A74A1E" w:rsidRDefault="00807990">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1426F210" w14:textId="77777777" w:rsidR="00A74A1E" w:rsidRDefault="00A74A1E">
            <w:pPr>
              <w:jc w:val="right"/>
              <w:rPr>
                <w:rFonts w:ascii="宋体"/>
              </w:rPr>
            </w:pPr>
          </w:p>
        </w:tc>
      </w:tr>
      <w:tr w:rsidR="00A74A1E" w14:paraId="1426F21E" w14:textId="77777777">
        <w:trPr>
          <w:jc w:val="center"/>
        </w:trPr>
        <w:tc>
          <w:tcPr>
            <w:tcW w:w="0" w:type="auto"/>
            <w:gridSpan w:val="3"/>
            <w:shd w:val="clear" w:color="auto" w:fill="FFFFFF"/>
            <w:tcMar>
              <w:top w:w="40" w:type="dxa"/>
              <w:left w:w="20" w:type="dxa"/>
              <w:bottom w:w="40" w:type="dxa"/>
              <w:right w:w="20" w:type="dxa"/>
            </w:tcMar>
            <w:vAlign w:val="bottom"/>
          </w:tcPr>
          <w:p w14:paraId="1426F212" w14:textId="77777777" w:rsidR="00A74A1E" w:rsidRDefault="00807990">
            <w:pPr>
              <w:textAlignment w:val="bottom"/>
            </w:pPr>
            <w:r>
              <w:rPr>
                <w:rFonts w:ascii="Arial" w:eastAsia="宋体" w:hAnsi="Arial" w:cs="Arial"/>
                <w:color w:val="000000"/>
                <w:sz w:val="20"/>
                <w:szCs w:val="20"/>
              </w:rPr>
              <w:t>     Other comprehensive income (loss)</w:t>
            </w:r>
          </w:p>
        </w:tc>
        <w:tc>
          <w:tcPr>
            <w:tcW w:w="0" w:type="auto"/>
            <w:gridSpan w:val="2"/>
            <w:shd w:val="clear" w:color="auto" w:fill="FFFFFF"/>
            <w:tcMar>
              <w:top w:w="40" w:type="dxa"/>
              <w:left w:w="20" w:type="dxa"/>
              <w:bottom w:w="40" w:type="dxa"/>
              <w:right w:w="0" w:type="dxa"/>
            </w:tcMar>
            <w:vAlign w:val="bottom"/>
          </w:tcPr>
          <w:p w14:paraId="1426F213" w14:textId="77777777" w:rsidR="00A74A1E" w:rsidRDefault="00807990">
            <w:pPr>
              <w:jc w:val="right"/>
              <w:textAlignment w:val="bottom"/>
            </w:pPr>
            <w:r>
              <w:rPr>
                <w:rFonts w:ascii="Arial" w:eastAsia="宋体" w:hAnsi="Arial" w:cs="Arial"/>
                <w:color w:val="000000"/>
                <w:sz w:val="20"/>
                <w:szCs w:val="20"/>
              </w:rPr>
              <w:t>9 </w:t>
            </w:r>
          </w:p>
        </w:tc>
        <w:tc>
          <w:tcPr>
            <w:tcW w:w="0" w:type="auto"/>
            <w:shd w:val="clear" w:color="auto" w:fill="FFFFFF"/>
            <w:tcMar>
              <w:top w:w="40" w:type="dxa"/>
              <w:left w:w="0" w:type="dxa"/>
              <w:bottom w:w="40" w:type="dxa"/>
              <w:right w:w="20" w:type="dxa"/>
            </w:tcMar>
            <w:vAlign w:val="bottom"/>
          </w:tcPr>
          <w:p w14:paraId="1426F21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1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216" w14:textId="77777777" w:rsidR="00A74A1E" w:rsidRDefault="00807990">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1426F21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1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219" w14:textId="77777777" w:rsidR="00A74A1E" w:rsidRDefault="00807990">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1426F21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1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21C"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426F21D" w14:textId="77777777" w:rsidR="00A74A1E" w:rsidRDefault="00A74A1E">
            <w:pPr>
              <w:jc w:val="right"/>
              <w:rPr>
                <w:rFonts w:ascii="宋体"/>
              </w:rPr>
            </w:pPr>
          </w:p>
        </w:tc>
      </w:tr>
      <w:tr w:rsidR="00A74A1E" w14:paraId="1426F22F" w14:textId="77777777">
        <w:trPr>
          <w:jc w:val="center"/>
        </w:trPr>
        <w:tc>
          <w:tcPr>
            <w:tcW w:w="0" w:type="auto"/>
            <w:gridSpan w:val="3"/>
            <w:shd w:val="clear" w:color="auto" w:fill="CCEEFF"/>
            <w:tcMar>
              <w:top w:w="40" w:type="dxa"/>
              <w:left w:w="240" w:type="dxa"/>
              <w:bottom w:w="40" w:type="dxa"/>
              <w:right w:w="20" w:type="dxa"/>
            </w:tcMar>
            <w:vAlign w:val="bottom"/>
          </w:tcPr>
          <w:p w14:paraId="1426F21F" w14:textId="77777777" w:rsidR="00A74A1E" w:rsidRDefault="00807990">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1426F22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221" w14:textId="77777777" w:rsidR="00A74A1E" w:rsidRDefault="00807990">
            <w:pPr>
              <w:jc w:val="right"/>
              <w:textAlignment w:val="bottom"/>
            </w:pPr>
            <w:r>
              <w:rPr>
                <w:rFonts w:ascii="Arial" w:eastAsia="宋体" w:hAnsi="Arial" w:cs="Arial"/>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22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23"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22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225" w14:textId="77777777" w:rsidR="00A74A1E" w:rsidRDefault="00807990">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22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27"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22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229" w14:textId="77777777" w:rsidR="00A74A1E" w:rsidRDefault="00807990">
            <w:pPr>
              <w:jc w:val="right"/>
              <w:textAlignment w:val="bottom"/>
            </w:pPr>
            <w:r>
              <w:rPr>
                <w:rFonts w:ascii="Arial" w:eastAsia="宋体" w:hAnsi="Arial" w:cs="Arial"/>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22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2B"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22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22D" w14:textId="77777777" w:rsidR="00A74A1E" w:rsidRDefault="00807990">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22E" w14:textId="77777777" w:rsidR="00A74A1E" w:rsidRDefault="00A74A1E">
            <w:pPr>
              <w:jc w:val="right"/>
              <w:rPr>
                <w:rFonts w:ascii="宋体"/>
              </w:rPr>
            </w:pPr>
          </w:p>
        </w:tc>
      </w:tr>
      <w:tr w:rsidR="00A74A1E" w14:paraId="1426F238" w14:textId="77777777">
        <w:trPr>
          <w:trHeight w:val="300"/>
          <w:jc w:val="center"/>
        </w:trPr>
        <w:tc>
          <w:tcPr>
            <w:tcW w:w="0" w:type="auto"/>
            <w:gridSpan w:val="3"/>
            <w:shd w:val="clear" w:color="auto" w:fill="FFFFFF"/>
            <w:tcMar>
              <w:top w:w="0" w:type="dxa"/>
              <w:left w:w="20" w:type="dxa"/>
              <w:bottom w:w="0" w:type="dxa"/>
              <w:right w:w="20" w:type="dxa"/>
            </w:tcMar>
          </w:tcPr>
          <w:p w14:paraId="1426F230"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23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232"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23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234"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235"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236" w14:textId="77777777" w:rsidR="00A74A1E" w:rsidRDefault="00A74A1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426F237" w14:textId="77777777" w:rsidR="00A74A1E" w:rsidRDefault="00A74A1E">
            <w:pPr>
              <w:rPr>
                <w:rFonts w:ascii="宋体"/>
              </w:rPr>
            </w:pPr>
          </w:p>
        </w:tc>
      </w:tr>
      <w:tr w:rsidR="00A74A1E" w14:paraId="1426F249" w14:textId="77777777">
        <w:trPr>
          <w:jc w:val="center"/>
        </w:trPr>
        <w:tc>
          <w:tcPr>
            <w:tcW w:w="0" w:type="auto"/>
            <w:gridSpan w:val="3"/>
            <w:shd w:val="clear" w:color="auto" w:fill="CCEEFF"/>
            <w:tcMar>
              <w:top w:w="40" w:type="dxa"/>
              <w:left w:w="20" w:type="dxa"/>
              <w:bottom w:w="40" w:type="dxa"/>
              <w:right w:w="20" w:type="dxa"/>
            </w:tcMar>
            <w:vAlign w:val="bottom"/>
          </w:tcPr>
          <w:p w14:paraId="1426F239" w14:textId="77777777" w:rsidR="00A74A1E" w:rsidRDefault="00807990">
            <w:pPr>
              <w:textAlignment w:val="bottom"/>
            </w:pPr>
            <w:r>
              <w:rPr>
                <w:rFonts w:ascii="Arial" w:eastAsia="宋体" w:hAnsi="Arial" w:cs="Arial"/>
                <w:b/>
                <w:bCs/>
                <w:color w:val="000000"/>
                <w:sz w:val="20"/>
                <w:szCs w:val="20"/>
              </w:rPr>
              <w:t xml:space="preserve">Total </w:t>
            </w:r>
            <w:r>
              <w:rPr>
                <w:rFonts w:ascii="Arial" w:eastAsia="宋体" w:hAnsi="Arial" w:cs="Arial"/>
                <w:b/>
                <w:bCs/>
                <w:color w:val="000000"/>
                <w:sz w:val="20"/>
                <w:szCs w:val="20"/>
              </w:rPr>
              <w:t>stockholders'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23A"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23B" w14:textId="77777777" w:rsidR="00A74A1E" w:rsidRDefault="00807990">
            <w:pPr>
              <w:jc w:val="right"/>
              <w:textAlignment w:val="bottom"/>
            </w:pPr>
            <w:r>
              <w:rPr>
                <w:rFonts w:ascii="Arial" w:eastAsia="宋体" w:hAnsi="Arial" w:cs="Arial"/>
                <w:color w:val="000000"/>
                <w:sz w:val="20"/>
                <w:szCs w:val="20"/>
              </w:rPr>
              <w:t>3,867 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23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3D"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23E"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23F" w14:textId="77777777" w:rsidR="00A74A1E" w:rsidRDefault="00807990">
            <w:pPr>
              <w:jc w:val="right"/>
              <w:textAlignment w:val="bottom"/>
            </w:pPr>
            <w:r>
              <w:rPr>
                <w:rFonts w:ascii="Arial" w:eastAsia="宋体" w:hAnsi="Arial" w:cs="Arial"/>
                <w:color w:val="000000"/>
                <w:sz w:val="20"/>
                <w:szCs w:val="20"/>
              </w:rPr>
              <w:t>2,176 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24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41"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242"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243" w14:textId="77777777" w:rsidR="00A74A1E" w:rsidRDefault="00807990">
            <w:pPr>
              <w:jc w:val="right"/>
              <w:textAlignment w:val="bottom"/>
            </w:pPr>
            <w:r>
              <w:rPr>
                <w:rFonts w:ascii="Arial" w:eastAsia="宋体" w:hAnsi="Arial" w:cs="Arial"/>
                <w:color w:val="000000"/>
                <w:sz w:val="20"/>
                <w:szCs w:val="20"/>
              </w:rPr>
              <w:t>3,867 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24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45"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246"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247" w14:textId="77777777" w:rsidR="00A74A1E" w:rsidRDefault="00807990">
            <w:pPr>
              <w:jc w:val="right"/>
              <w:textAlignment w:val="bottom"/>
            </w:pPr>
            <w:r>
              <w:rPr>
                <w:rFonts w:ascii="Arial" w:eastAsia="宋体" w:hAnsi="Arial" w:cs="Arial"/>
                <w:color w:val="000000"/>
                <w:sz w:val="20"/>
                <w:szCs w:val="20"/>
              </w:rPr>
              <w:t>2,176 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248" w14:textId="77777777" w:rsidR="00A74A1E" w:rsidRDefault="00A74A1E">
            <w:pPr>
              <w:jc w:val="right"/>
              <w:rPr>
                <w:rFonts w:ascii="宋体"/>
              </w:rPr>
            </w:pPr>
          </w:p>
        </w:tc>
      </w:tr>
    </w:tbl>
    <w:p w14:paraId="1426F24A" w14:textId="77777777" w:rsidR="00A74A1E" w:rsidRDefault="00807990">
      <w:pPr>
        <w:spacing w:before="180"/>
        <w:jc w:val="center"/>
      </w:pPr>
      <w:r>
        <w:rPr>
          <w:rFonts w:ascii="Arial" w:eastAsia="宋体" w:hAnsi="Arial" w:cs="Arial"/>
          <w:color w:val="000000"/>
          <w:sz w:val="20"/>
          <w:szCs w:val="20"/>
        </w:rPr>
        <w:t>See accompanying notes.</w:t>
      </w:r>
    </w:p>
    <w:p w14:paraId="1426F24B" w14:textId="77777777" w:rsidR="00A74A1E" w:rsidRDefault="00A74A1E"/>
    <w:p w14:paraId="1426F24C" w14:textId="77777777" w:rsidR="00A74A1E" w:rsidRDefault="00807990">
      <w:pPr>
        <w:jc w:val="center"/>
      </w:pPr>
      <w:r>
        <w:rPr>
          <w:rFonts w:ascii="Arial" w:eastAsia="宋体" w:hAnsi="Arial" w:cs="Arial"/>
          <w:color w:val="000000"/>
          <w:sz w:val="20"/>
          <w:szCs w:val="20"/>
        </w:rPr>
        <w:t>7</w:t>
      </w:r>
    </w:p>
    <w:p w14:paraId="1426F24D" w14:textId="77777777" w:rsidR="00A74A1E" w:rsidRDefault="00807990">
      <w:r>
        <w:pict w14:anchorId="1426FC12">
          <v:rect id="_x0000_i1031" style="width:415.3pt;height:1.5pt" o:hralign="center" o:hrstd="t" o:hr="t" fillcolor="#a0a0a0" stroked="f"/>
        </w:pict>
      </w:r>
    </w:p>
    <w:p w14:paraId="1426F24E" w14:textId="77777777" w:rsidR="00A74A1E" w:rsidRDefault="00A74A1E"/>
    <w:p w14:paraId="1426F24F" w14:textId="77777777" w:rsidR="00A74A1E" w:rsidRDefault="00807990">
      <w:pPr>
        <w:spacing w:before="100"/>
        <w:jc w:val="center"/>
      </w:pPr>
      <w:r>
        <w:rPr>
          <w:rFonts w:ascii="Arial" w:eastAsia="宋体" w:hAnsi="Arial" w:cs="Arial"/>
          <w:b/>
          <w:bCs/>
          <w:color w:val="000000"/>
          <w:sz w:val="20"/>
          <w:szCs w:val="20"/>
        </w:rPr>
        <w:t>Notes to Condensed Consolidated Financial Statements</w:t>
      </w:r>
    </w:p>
    <w:p w14:paraId="1426F250" w14:textId="77777777" w:rsidR="00A74A1E" w:rsidRDefault="00807990">
      <w:pPr>
        <w:jc w:val="center"/>
      </w:pPr>
      <w:r>
        <w:rPr>
          <w:rFonts w:ascii="Arial" w:eastAsia="宋体" w:hAnsi="Arial" w:cs="Arial"/>
          <w:b/>
          <w:bCs/>
          <w:color w:val="000000"/>
          <w:sz w:val="20"/>
          <w:szCs w:val="20"/>
        </w:rPr>
        <w:t>(Unaudited)</w:t>
      </w:r>
    </w:p>
    <w:p w14:paraId="1426F251" w14:textId="77777777" w:rsidR="00A74A1E" w:rsidRDefault="00807990">
      <w:pPr>
        <w:spacing w:before="280"/>
        <w:jc w:val="both"/>
      </w:pPr>
      <w:r>
        <w:rPr>
          <w:rFonts w:ascii="Arial" w:eastAsia="宋体" w:hAnsi="Arial" w:cs="Arial"/>
          <w:b/>
          <w:bCs/>
          <w:color w:val="000000"/>
          <w:sz w:val="20"/>
          <w:szCs w:val="20"/>
        </w:rPr>
        <w:t>NOTE 1. Basis of Presentation and Significant Accounting Policies</w:t>
      </w:r>
    </w:p>
    <w:p w14:paraId="1426F252" w14:textId="77777777" w:rsidR="00A74A1E" w:rsidRDefault="00807990">
      <w:pPr>
        <w:spacing w:before="180"/>
        <w:ind w:firstLine="45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Advanced Micro Devices, Inc. and its subsidiaries (the Company or AMD) have been </w:t>
      </w:r>
      <w:r>
        <w:rPr>
          <w:rFonts w:ascii="Arial" w:eastAsia="宋体" w:hAnsi="Arial" w:cs="Arial"/>
          <w:color w:val="000000"/>
          <w:sz w:val="20"/>
          <w:szCs w:val="20"/>
        </w:rPr>
        <w:t>prepared in accordance with U.S. generally accepted accounting principles (U.S. GAAP) for interim financial information and the instructions to Form 10-Q and Article 10 of Regulation S-X. The results of operations for the three and nine months ended Septem</w:t>
      </w:r>
      <w:r>
        <w:rPr>
          <w:rFonts w:ascii="Arial" w:eastAsia="宋体" w:hAnsi="Arial" w:cs="Arial"/>
          <w:color w:val="000000"/>
          <w:sz w:val="20"/>
          <w:szCs w:val="20"/>
        </w:rPr>
        <w:t>ber 26, 2020 shown in this report are not necessarily indicative of results to be expected for the full year ending December 26, 2020 or any other future period. In the opinion of the Company’s management, the information contained herein reflects all adju</w:t>
      </w:r>
      <w:r>
        <w:rPr>
          <w:rFonts w:ascii="Arial" w:eastAsia="宋体" w:hAnsi="Arial" w:cs="Arial"/>
          <w:color w:val="000000"/>
          <w:sz w:val="20"/>
          <w:szCs w:val="20"/>
        </w:rPr>
        <w:t>stments necessary for a fair presentation of the Company’s results of operations, financial position, cash flows and stockholders’ equity. All such adjustments are of a normal, recurring nature. The unaudited condensed consolidated financial statements sho</w:t>
      </w:r>
      <w:r>
        <w:rPr>
          <w:rFonts w:ascii="Arial" w:eastAsia="宋体" w:hAnsi="Arial" w:cs="Arial"/>
          <w:color w:val="000000"/>
          <w:sz w:val="20"/>
          <w:szCs w:val="20"/>
        </w:rPr>
        <w:t>uld be read in conjunction with the audited consolidated financial statements in the Company’s Annual Report on Form 10-K for the fiscal year ended December 28, 2019. Certain prior period amounts have been reclassified to conform to current period presenta</w:t>
      </w:r>
      <w:r>
        <w:rPr>
          <w:rFonts w:ascii="Arial" w:eastAsia="宋体" w:hAnsi="Arial" w:cs="Arial"/>
          <w:color w:val="000000"/>
          <w:sz w:val="20"/>
          <w:szCs w:val="20"/>
        </w:rPr>
        <w:t xml:space="preserve">tion. </w:t>
      </w:r>
    </w:p>
    <w:p w14:paraId="1426F253" w14:textId="77777777" w:rsidR="00A74A1E" w:rsidRDefault="00807990">
      <w:pPr>
        <w:spacing w:before="180"/>
        <w:ind w:firstLine="450"/>
        <w:jc w:val="both"/>
      </w:pPr>
      <w:r>
        <w:rPr>
          <w:rFonts w:ascii="Arial" w:eastAsia="宋体" w:hAnsi="Arial" w:cs="Arial"/>
          <w:color w:val="000000"/>
          <w:sz w:val="20"/>
          <w:szCs w:val="20"/>
        </w:rPr>
        <w:t>The Company uses a 52 or 53 week fiscal year ending on the last Saturday in December. The three and nine months ended September 26, 2020 and September 28, 2019 each consisted of 13 weeks and 39 weeks, respectively.</w:t>
      </w:r>
    </w:p>
    <w:p w14:paraId="1426F254" w14:textId="77777777" w:rsidR="00A74A1E" w:rsidRDefault="00807990">
      <w:pPr>
        <w:spacing w:before="180"/>
        <w:ind w:firstLine="450"/>
        <w:jc w:val="both"/>
      </w:pPr>
      <w:r>
        <w:rPr>
          <w:rFonts w:ascii="Arial" w:eastAsia="宋体" w:hAnsi="Arial" w:cs="Arial"/>
          <w:b/>
          <w:bCs/>
          <w:i/>
          <w:iCs/>
          <w:color w:val="000000"/>
          <w:sz w:val="20"/>
          <w:szCs w:val="20"/>
        </w:rPr>
        <w:t>Significant Accounting Policies.</w:t>
      </w:r>
      <w:r>
        <w:rPr>
          <w:rFonts w:ascii="Arial" w:eastAsia="宋体" w:hAnsi="Arial" w:cs="Arial"/>
          <w:color w:val="000000"/>
          <w:sz w:val="20"/>
          <w:szCs w:val="20"/>
        </w:rPr>
        <w:t xml:space="preserve"> B</w:t>
      </w:r>
      <w:r>
        <w:rPr>
          <w:rFonts w:ascii="Arial" w:eastAsia="宋体" w:hAnsi="Arial" w:cs="Arial"/>
          <w:color w:val="000000"/>
          <w:sz w:val="20"/>
          <w:szCs w:val="20"/>
        </w:rPr>
        <w:t>elow reflects the enhanced disclosures pertaining to the Company’s</w:t>
      </w:r>
      <w:r>
        <w:rPr>
          <w:rFonts w:ascii="Times New Roman" w:eastAsia="宋体" w:hAnsi="Times New Roman"/>
          <w:color w:val="000000"/>
          <w:sz w:val="20"/>
          <w:szCs w:val="20"/>
        </w:rPr>
        <w:t xml:space="preserve"> </w:t>
      </w:r>
      <w:r>
        <w:rPr>
          <w:rFonts w:ascii="Arial" w:eastAsia="宋体" w:hAnsi="Arial" w:cs="Arial"/>
          <w:color w:val="000000"/>
          <w:sz w:val="20"/>
          <w:szCs w:val="20"/>
        </w:rPr>
        <w:t xml:space="preserve">accounting policy for revenue recognition. There have been no material changes to the Company’s significant accounting policies in Note 2—Summary of Significant Accounting Policies, of the </w:t>
      </w:r>
      <w:r>
        <w:rPr>
          <w:rFonts w:ascii="Arial" w:eastAsia="宋体" w:hAnsi="Arial" w:cs="Arial"/>
          <w:color w:val="000000"/>
          <w:sz w:val="20"/>
          <w:szCs w:val="20"/>
        </w:rPr>
        <w:t>Notes to the consolidated financial statements included in our Annual Report on Form 10-K for the fiscal year ended December 28, 2019.</w:t>
      </w:r>
    </w:p>
    <w:p w14:paraId="1426F255" w14:textId="77777777" w:rsidR="00A74A1E" w:rsidRDefault="00807990">
      <w:pPr>
        <w:spacing w:before="180"/>
        <w:ind w:firstLine="450"/>
        <w:jc w:val="both"/>
      </w:pPr>
      <w:r>
        <w:rPr>
          <w:rFonts w:ascii="Arial" w:eastAsia="宋体" w:hAnsi="Arial" w:cs="Arial"/>
          <w:b/>
          <w:bCs/>
          <w:i/>
          <w:iCs/>
          <w:color w:val="000000"/>
          <w:sz w:val="20"/>
          <w:szCs w:val="20"/>
        </w:rPr>
        <w:t>Revenue Recognition.</w:t>
      </w:r>
      <w:r>
        <w:rPr>
          <w:rFonts w:ascii="Arial" w:eastAsia="宋体" w:hAnsi="Arial" w:cs="Arial"/>
          <w:color w:val="000000"/>
          <w:sz w:val="20"/>
          <w:szCs w:val="20"/>
        </w:rPr>
        <w:t xml:space="preserve"> Revenue is recognized when a customer obtains control of promised goods or services and is recognize</w:t>
      </w:r>
      <w:r>
        <w:rPr>
          <w:rFonts w:ascii="Arial" w:eastAsia="宋体" w:hAnsi="Arial" w:cs="Arial"/>
          <w:color w:val="000000"/>
          <w:sz w:val="20"/>
          <w:szCs w:val="20"/>
        </w:rPr>
        <w:t>d in an amount that reflects the consideration which the Company expects to receive in exchange for those goods or services. Sales, value-added, and other taxes collected concurrently with the provision of goods or services are excluded from revenue. Shipp</w:t>
      </w:r>
      <w:r>
        <w:rPr>
          <w:rFonts w:ascii="Arial" w:eastAsia="宋体" w:hAnsi="Arial" w:cs="Arial"/>
          <w:color w:val="000000"/>
          <w:sz w:val="20"/>
          <w:szCs w:val="20"/>
        </w:rPr>
        <w:t>ing and handling costs associated with product sales are included in cost of sales.</w:t>
      </w:r>
    </w:p>
    <w:p w14:paraId="1426F256" w14:textId="77777777" w:rsidR="00A74A1E" w:rsidRDefault="00807990">
      <w:pPr>
        <w:spacing w:before="180"/>
        <w:ind w:firstLine="450"/>
        <w:jc w:val="both"/>
      </w:pPr>
      <w:r>
        <w:rPr>
          <w:rFonts w:ascii="Arial" w:eastAsia="宋体" w:hAnsi="Arial" w:cs="Arial"/>
          <w:b/>
          <w:bCs/>
          <w:color w:val="000000"/>
          <w:sz w:val="20"/>
          <w:szCs w:val="20"/>
        </w:rPr>
        <w:t>Nature of products and services</w:t>
      </w:r>
    </w:p>
    <w:p w14:paraId="1426F257" w14:textId="77777777" w:rsidR="00A74A1E" w:rsidRDefault="00807990">
      <w:pPr>
        <w:spacing w:before="180"/>
        <w:ind w:firstLine="450"/>
        <w:jc w:val="both"/>
      </w:pPr>
      <w:r>
        <w:rPr>
          <w:rFonts w:ascii="Arial" w:eastAsia="宋体" w:hAnsi="Arial" w:cs="Arial"/>
          <w:color w:val="000000"/>
          <w:sz w:val="20"/>
          <w:szCs w:val="20"/>
        </w:rPr>
        <w:t>The Company’s microprocessors (CPUs), chipsets, graphics processing units (GPUs), data center and professional graphics products, accelerate</w:t>
      </w:r>
      <w:r>
        <w:rPr>
          <w:rFonts w:ascii="Arial" w:eastAsia="宋体" w:hAnsi="Arial" w:cs="Arial"/>
          <w:color w:val="000000"/>
          <w:sz w:val="20"/>
          <w:szCs w:val="20"/>
        </w:rPr>
        <w:t>d processing units (APUs), server and embedded processors, and System-on-Chip (SoC) products may be sold as standard non-custom products, or custom products manufactured to customers’ specifications. The Company also provides development services and licen</w:t>
      </w:r>
      <w:r>
        <w:rPr>
          <w:rFonts w:ascii="Arial" w:eastAsia="宋体" w:hAnsi="Arial" w:cs="Arial"/>
          <w:color w:val="000000"/>
          <w:sz w:val="20"/>
          <w:szCs w:val="20"/>
        </w:rPr>
        <w:t>ses portions of its intellectual property (IP) portfolio. Substantially all the Company’s revenue is derived from product sales, representing a single performance obligation.</w:t>
      </w:r>
    </w:p>
    <w:p w14:paraId="1426F258" w14:textId="77777777" w:rsidR="00A74A1E" w:rsidRDefault="00807990">
      <w:pPr>
        <w:spacing w:before="180"/>
        <w:ind w:firstLine="450"/>
        <w:jc w:val="both"/>
      </w:pPr>
      <w:r>
        <w:rPr>
          <w:rFonts w:ascii="Arial" w:eastAsia="宋体" w:hAnsi="Arial" w:cs="Arial"/>
          <w:b/>
          <w:bCs/>
          <w:color w:val="000000"/>
          <w:sz w:val="20"/>
          <w:szCs w:val="20"/>
        </w:rPr>
        <w:t>Non-custom products:</w:t>
      </w:r>
      <w:r>
        <w:rPr>
          <w:rFonts w:ascii="Arial" w:eastAsia="宋体" w:hAnsi="Arial" w:cs="Arial"/>
          <w:color w:val="000000"/>
          <w:sz w:val="20"/>
          <w:szCs w:val="20"/>
        </w:rPr>
        <w:t xml:space="preserve"> The Company transfers control and recognizes revenue when no</w:t>
      </w:r>
      <w:r>
        <w:rPr>
          <w:rFonts w:ascii="Arial" w:eastAsia="宋体" w:hAnsi="Arial" w:cs="Arial"/>
          <w:color w:val="000000"/>
          <w:sz w:val="20"/>
          <w:szCs w:val="20"/>
        </w:rPr>
        <w:t>n-custom products are shipped to customers, which includes original equipment manufacturers (OEM) and distributors, in accordance with the shipping terms of the sale. Non-custom product arrangements generally comprise a single performance obligation. Certa</w:t>
      </w:r>
      <w:r>
        <w:rPr>
          <w:rFonts w:ascii="Arial" w:eastAsia="宋体" w:hAnsi="Arial" w:cs="Arial"/>
          <w:color w:val="000000"/>
          <w:sz w:val="20"/>
          <w:szCs w:val="20"/>
        </w:rPr>
        <w:t>in OEMs may be entitled to rights of return and rebates under OEM agreements. The Company also sells to distributors under terms allowing the majority of distributors certain rights of return and price protection on unsold merchandise held by them. The Com</w:t>
      </w:r>
      <w:r>
        <w:rPr>
          <w:rFonts w:ascii="Arial" w:eastAsia="宋体" w:hAnsi="Arial" w:cs="Arial"/>
          <w:color w:val="000000"/>
          <w:sz w:val="20"/>
          <w:szCs w:val="20"/>
        </w:rPr>
        <w:t>pany estimates the amount of variable consideration under OEM and distributor arrangements and, accordingly, records a provision for product returns, allowances for price protection and rebates based on actual historical experience and any known events.</w:t>
      </w:r>
    </w:p>
    <w:p w14:paraId="1426F259" w14:textId="77777777" w:rsidR="00A74A1E" w:rsidRDefault="00807990">
      <w:pPr>
        <w:spacing w:before="180"/>
        <w:ind w:firstLine="450"/>
        <w:jc w:val="both"/>
      </w:pPr>
      <w:r>
        <w:rPr>
          <w:rFonts w:ascii="Arial" w:eastAsia="宋体" w:hAnsi="Arial" w:cs="Arial"/>
          <w:color w:val="000000"/>
          <w:sz w:val="20"/>
          <w:szCs w:val="20"/>
        </w:rPr>
        <w:t>Th</w:t>
      </w:r>
      <w:r>
        <w:rPr>
          <w:rFonts w:ascii="Arial" w:eastAsia="宋体" w:hAnsi="Arial" w:cs="Arial"/>
          <w:color w:val="000000"/>
          <w:sz w:val="20"/>
          <w:szCs w:val="20"/>
        </w:rPr>
        <w:t xml:space="preserve">e Company offers incentive programs to certain customers, including cooperative advertising, marketing promotions, volume-based incentives, and special pricing arrangements. Where funds provided for such programs can be estimated, the Company recognizes a </w:t>
      </w:r>
      <w:r>
        <w:rPr>
          <w:rFonts w:ascii="Arial" w:eastAsia="宋体" w:hAnsi="Arial" w:cs="Arial"/>
          <w:color w:val="000000"/>
          <w:sz w:val="20"/>
          <w:szCs w:val="20"/>
        </w:rPr>
        <w:t>reduction to revenue at the time the related revenue is recognized; otherwise, the Company recognizes such reduction to revenue at the later of when: i) the related revenue transaction occurs; or ii) the program is offered. For transactions where the Compa</w:t>
      </w:r>
      <w:r>
        <w:rPr>
          <w:rFonts w:ascii="Arial" w:eastAsia="宋体" w:hAnsi="Arial" w:cs="Arial"/>
          <w:color w:val="000000"/>
          <w:sz w:val="20"/>
          <w:szCs w:val="20"/>
        </w:rPr>
        <w:t>ny reimburses a customer for a portion of the customer’s cost to perform specific product advertising or marketing and promotional activities, such amounts are recognized as a reduction to revenue unless they qualify for expense recognition.</w:t>
      </w:r>
    </w:p>
    <w:p w14:paraId="1426F25A" w14:textId="77777777" w:rsidR="00A74A1E" w:rsidRDefault="00807990">
      <w:pPr>
        <w:spacing w:before="180"/>
        <w:ind w:firstLine="450"/>
        <w:jc w:val="both"/>
      </w:pPr>
      <w:r>
        <w:rPr>
          <w:rFonts w:ascii="Arial" w:eastAsia="宋体" w:hAnsi="Arial" w:cs="Arial"/>
          <w:color w:val="000000"/>
          <w:sz w:val="20"/>
          <w:szCs w:val="20"/>
        </w:rPr>
        <w:t>Constraints of</w:t>
      </w:r>
      <w:r>
        <w:rPr>
          <w:rFonts w:ascii="Arial" w:eastAsia="宋体" w:hAnsi="Arial" w:cs="Arial"/>
          <w:color w:val="000000"/>
          <w:sz w:val="20"/>
          <w:szCs w:val="20"/>
        </w:rPr>
        <w:t xml:space="preserve"> variable consideration have not been material.</w:t>
      </w:r>
    </w:p>
    <w:p w14:paraId="1426F25B" w14:textId="77777777" w:rsidR="00A74A1E" w:rsidRDefault="00807990">
      <w:pPr>
        <w:jc w:val="center"/>
      </w:pPr>
      <w:r>
        <w:rPr>
          <w:rFonts w:ascii="Arial" w:eastAsia="宋体" w:hAnsi="Arial" w:cs="Arial"/>
          <w:color w:val="000000"/>
          <w:sz w:val="20"/>
          <w:szCs w:val="20"/>
        </w:rPr>
        <w:t>8</w:t>
      </w:r>
    </w:p>
    <w:p w14:paraId="1426F25C" w14:textId="77777777" w:rsidR="00A74A1E" w:rsidRDefault="00807990">
      <w:r>
        <w:pict w14:anchorId="1426FC13">
          <v:rect id="_x0000_i1032" style="width:415.3pt;height:1.5pt" o:hralign="center" o:hrstd="t" o:hr="t" fillcolor="#a0a0a0" stroked="f"/>
        </w:pict>
      </w:r>
    </w:p>
    <w:p w14:paraId="1426F25D" w14:textId="77777777" w:rsidR="00A74A1E" w:rsidRDefault="00A74A1E"/>
    <w:p w14:paraId="1426F25E" w14:textId="77777777" w:rsidR="00A74A1E" w:rsidRDefault="00807990">
      <w:pPr>
        <w:spacing w:before="180"/>
        <w:ind w:firstLine="450"/>
        <w:jc w:val="both"/>
      </w:pPr>
      <w:r>
        <w:rPr>
          <w:rFonts w:ascii="Arial" w:eastAsia="宋体" w:hAnsi="Arial" w:cs="Arial"/>
          <w:b/>
          <w:bCs/>
          <w:color w:val="000000"/>
          <w:sz w:val="20"/>
          <w:szCs w:val="20"/>
        </w:rPr>
        <w:t>Custom products:</w:t>
      </w:r>
      <w:r>
        <w:rPr>
          <w:rFonts w:ascii="Arial" w:eastAsia="宋体" w:hAnsi="Arial" w:cs="Arial"/>
          <w:color w:val="000000"/>
          <w:sz w:val="20"/>
          <w:szCs w:val="20"/>
        </w:rPr>
        <w:t xml:space="preserve"> Custom products which are associated with the Company’s Enterprise, Embedded, and Semi-Custom segment (semi-custom products), sold under non-cancellable purchases orders, for which the C</w:t>
      </w:r>
      <w:r>
        <w:rPr>
          <w:rFonts w:ascii="Arial" w:eastAsia="宋体" w:hAnsi="Arial" w:cs="Arial"/>
          <w:color w:val="000000"/>
          <w:sz w:val="20"/>
          <w:szCs w:val="20"/>
        </w:rPr>
        <w:t>ompany has an enforceable right to payment, and which have no alternative use to the Company at contract inception, are recognized as revenue, over the time of production of the products by the Company. The Company utilizes an input method (cost incurred p</w:t>
      </w:r>
      <w:r>
        <w:rPr>
          <w:rFonts w:ascii="Arial" w:eastAsia="宋体" w:hAnsi="Arial" w:cs="Arial"/>
          <w:color w:val="000000"/>
          <w:sz w:val="20"/>
          <w:szCs w:val="20"/>
        </w:rPr>
        <w:t>lus estimated margin) to determine the amount of revenue to recognize for in-process, but incomplete, customer orders at a reporting date. The Company believes that a cost-based input method is the most appropriate manner to measure how the Company satisfi</w:t>
      </w:r>
      <w:r>
        <w:rPr>
          <w:rFonts w:ascii="Arial" w:eastAsia="宋体" w:hAnsi="Arial" w:cs="Arial"/>
          <w:color w:val="000000"/>
          <w:sz w:val="20"/>
          <w:szCs w:val="20"/>
        </w:rPr>
        <w:t>es its performance obligations to customers because the effort and costs incurred best depict the Company’s performance in transferring control of goods or services promised to its customers (that is, the satisfaction of the Company’s performance obligatio</w:t>
      </w:r>
      <w:r>
        <w:rPr>
          <w:rFonts w:ascii="Arial" w:eastAsia="宋体" w:hAnsi="Arial" w:cs="Arial"/>
          <w:color w:val="000000"/>
          <w:sz w:val="20"/>
          <w:szCs w:val="20"/>
        </w:rPr>
        <w:t>n).</w:t>
      </w:r>
    </w:p>
    <w:p w14:paraId="1426F25F" w14:textId="77777777" w:rsidR="00A74A1E" w:rsidRDefault="00807990">
      <w:pPr>
        <w:spacing w:before="180"/>
        <w:ind w:firstLine="450"/>
        <w:jc w:val="both"/>
      </w:pPr>
      <w:r>
        <w:rPr>
          <w:rFonts w:ascii="Arial" w:eastAsia="宋体" w:hAnsi="Arial" w:cs="Arial"/>
          <w:color w:val="000000"/>
          <w:sz w:val="20"/>
          <w:szCs w:val="20"/>
        </w:rPr>
        <w:t>Sales of semi-custom products are not subject to a right of return. Custom products arrangements involve a single performance obligation. There are no variable consideration estimates associated with custom products.</w:t>
      </w:r>
    </w:p>
    <w:p w14:paraId="1426F260" w14:textId="77777777" w:rsidR="00A74A1E" w:rsidRDefault="00807990">
      <w:pPr>
        <w:spacing w:before="180"/>
        <w:ind w:firstLine="450"/>
        <w:jc w:val="both"/>
      </w:pPr>
      <w:r>
        <w:rPr>
          <w:rFonts w:ascii="Arial" w:eastAsia="宋体" w:hAnsi="Arial" w:cs="Arial"/>
          <w:b/>
          <w:bCs/>
          <w:color w:val="000000"/>
          <w:sz w:val="20"/>
          <w:szCs w:val="20"/>
        </w:rPr>
        <w:t xml:space="preserve">Development and </w:t>
      </w:r>
      <w:r>
        <w:rPr>
          <w:rFonts w:ascii="Arial" w:eastAsia="宋体" w:hAnsi="Arial" w:cs="Arial"/>
          <w:b/>
          <w:bCs/>
          <w:color w:val="000000"/>
          <w:sz w:val="20"/>
          <w:szCs w:val="20"/>
        </w:rPr>
        <w:t>intellectual property licensing agreements:</w:t>
      </w:r>
      <w:r>
        <w:rPr>
          <w:rFonts w:ascii="Arial" w:eastAsia="宋体" w:hAnsi="Arial" w:cs="Arial"/>
          <w:color w:val="000000"/>
          <w:sz w:val="20"/>
          <w:szCs w:val="20"/>
        </w:rPr>
        <w:t xml:space="preserve"> From time to time, the Company may enter into arrangements with customers that combine the provision of development services and a license to the right to use the IP. These arrangements are deemed to be single or</w:t>
      </w:r>
      <w:r>
        <w:rPr>
          <w:rFonts w:ascii="Arial" w:eastAsia="宋体" w:hAnsi="Arial" w:cs="Arial"/>
          <w:color w:val="000000"/>
          <w:sz w:val="20"/>
          <w:szCs w:val="20"/>
        </w:rPr>
        <w:t xml:space="preserve"> multiple performance obligations based upon the nature of the arrangements. Revenue is recognized upon the transfer of control, over time or at a point in time, depending on the nature of the arrangements. The Company evaluates whether the licensing compo</w:t>
      </w:r>
      <w:r>
        <w:rPr>
          <w:rFonts w:ascii="Arial" w:eastAsia="宋体" w:hAnsi="Arial" w:cs="Arial"/>
          <w:color w:val="000000"/>
          <w:sz w:val="20"/>
          <w:szCs w:val="20"/>
        </w:rPr>
        <w:t>nent is distinct. A licensing component is distinct if it is both (i) capable of being distinct and (ii) distinct in the context of the arrangement. If the license is not distinct it is combined with the development services as a single performance obligat</w:t>
      </w:r>
      <w:r>
        <w:rPr>
          <w:rFonts w:ascii="Arial" w:eastAsia="宋体" w:hAnsi="Arial" w:cs="Arial"/>
          <w:color w:val="000000"/>
          <w:sz w:val="20"/>
          <w:szCs w:val="20"/>
        </w:rPr>
        <w:t>ion and recognized over time. If the license is distinct, revenue is recognized at a point in time when the customer has the ability to benefit from the license.</w:t>
      </w:r>
    </w:p>
    <w:p w14:paraId="1426F261" w14:textId="77777777" w:rsidR="00A74A1E" w:rsidRDefault="00807990">
      <w:pPr>
        <w:spacing w:before="180"/>
        <w:ind w:firstLine="450"/>
        <w:jc w:val="both"/>
      </w:pPr>
      <w:r>
        <w:rPr>
          <w:rFonts w:ascii="Arial" w:eastAsia="宋体" w:hAnsi="Arial" w:cs="Arial"/>
          <w:color w:val="000000"/>
          <w:sz w:val="20"/>
          <w:szCs w:val="20"/>
        </w:rPr>
        <w:t xml:space="preserve">From time to time, the Company may enter into arrangements with customers that solely involve </w:t>
      </w:r>
      <w:r>
        <w:rPr>
          <w:rFonts w:ascii="Arial" w:eastAsia="宋体" w:hAnsi="Arial" w:cs="Arial"/>
          <w:color w:val="000000"/>
          <w:sz w:val="20"/>
          <w:szCs w:val="20"/>
        </w:rPr>
        <w:t>the sale or licensing of its patents or IP. Generally, there are no performance obligations beyond transferring the designated license to the Company’s patents or IP. Accordingly, revenue is recognized at a point in time when the customer has the ability t</w:t>
      </w:r>
      <w:r>
        <w:rPr>
          <w:rFonts w:ascii="Arial" w:eastAsia="宋体" w:hAnsi="Arial" w:cs="Arial"/>
          <w:color w:val="000000"/>
          <w:sz w:val="20"/>
          <w:szCs w:val="20"/>
        </w:rPr>
        <w:t xml:space="preserve">o benefit from the license. </w:t>
      </w:r>
    </w:p>
    <w:p w14:paraId="1426F262" w14:textId="77777777" w:rsidR="00A74A1E" w:rsidRDefault="00807990">
      <w:pPr>
        <w:spacing w:before="180"/>
        <w:ind w:firstLine="450"/>
        <w:jc w:val="both"/>
      </w:pPr>
      <w:r>
        <w:rPr>
          <w:rFonts w:ascii="Arial" w:eastAsia="宋体" w:hAnsi="Arial" w:cs="Arial"/>
          <w:color w:val="000000"/>
          <w:sz w:val="20"/>
          <w:szCs w:val="20"/>
        </w:rPr>
        <w:t>There are no variable consideration estimates associated with either combined development and intellectual property arrangements or for standalone arrangements involving either the sale or licensing of IP.</w:t>
      </w:r>
    </w:p>
    <w:p w14:paraId="1426F263" w14:textId="77777777" w:rsidR="00A74A1E" w:rsidRDefault="00807990">
      <w:pPr>
        <w:spacing w:before="180"/>
        <w:ind w:firstLine="450"/>
        <w:jc w:val="both"/>
      </w:pPr>
      <w:r>
        <w:rPr>
          <w:rFonts w:ascii="Arial" w:eastAsia="宋体" w:hAnsi="Arial" w:cs="Arial"/>
          <w:color w:val="000000"/>
          <w:sz w:val="20"/>
          <w:szCs w:val="20"/>
        </w:rPr>
        <w:t>Total revenue recogni</w:t>
      </w:r>
      <w:r>
        <w:rPr>
          <w:rFonts w:ascii="Arial" w:eastAsia="宋体" w:hAnsi="Arial" w:cs="Arial"/>
          <w:color w:val="000000"/>
          <w:sz w:val="20"/>
          <w:szCs w:val="20"/>
        </w:rPr>
        <w:t>zed over time associated with custom products and development services accounted for approximately 25% and 15% for the three and nine months ended September 26, 2020, respectively, and 17% and 24% for the three and nine months ended September 28, 2019, res</w:t>
      </w:r>
      <w:r>
        <w:rPr>
          <w:rFonts w:ascii="Arial" w:eastAsia="宋体" w:hAnsi="Arial" w:cs="Arial"/>
          <w:color w:val="000000"/>
          <w:sz w:val="20"/>
          <w:szCs w:val="20"/>
        </w:rPr>
        <w:t>pectively, of the Company’s revenue.</w:t>
      </w:r>
    </w:p>
    <w:p w14:paraId="1426F264" w14:textId="77777777" w:rsidR="00A74A1E" w:rsidRDefault="00807990">
      <w:pPr>
        <w:spacing w:before="180"/>
        <w:ind w:firstLine="450"/>
        <w:jc w:val="both"/>
      </w:pPr>
      <w:r>
        <w:rPr>
          <w:rFonts w:ascii="Arial" w:eastAsia="宋体" w:hAnsi="Arial" w:cs="Arial"/>
          <w:color w:val="000000"/>
          <w:sz w:val="20"/>
          <w:szCs w:val="20"/>
        </w:rPr>
        <w:t>Customers are generally required to pay for products and services within the Company’s standard contractual terms, which are typically net 30 to 60 days. The Company has determined that it does not have significant fina</w:t>
      </w:r>
      <w:r>
        <w:rPr>
          <w:rFonts w:ascii="Arial" w:eastAsia="宋体" w:hAnsi="Arial" w:cs="Arial"/>
          <w:color w:val="000000"/>
          <w:sz w:val="20"/>
          <w:szCs w:val="20"/>
        </w:rPr>
        <w:t>ncing components in its contracts with customers.</w:t>
      </w:r>
    </w:p>
    <w:p w14:paraId="1426F265" w14:textId="77777777" w:rsidR="00A74A1E" w:rsidRDefault="00807990">
      <w:pPr>
        <w:spacing w:before="180"/>
        <w:ind w:firstLine="450"/>
        <w:jc w:val="both"/>
      </w:pPr>
      <w:r>
        <w:rPr>
          <w:rFonts w:ascii="Arial" w:eastAsia="宋体" w:hAnsi="Arial" w:cs="Arial"/>
          <w:b/>
          <w:bCs/>
          <w:i/>
          <w:iCs/>
          <w:color w:val="000000"/>
          <w:sz w:val="20"/>
          <w:szCs w:val="20"/>
        </w:rPr>
        <w:t>Recently Adopted Accounting Standards</w:t>
      </w:r>
    </w:p>
    <w:p w14:paraId="1426F266" w14:textId="77777777" w:rsidR="00A74A1E" w:rsidRDefault="00807990">
      <w:pPr>
        <w:spacing w:before="180"/>
        <w:ind w:firstLine="450"/>
        <w:jc w:val="both"/>
      </w:pPr>
      <w:r>
        <w:rPr>
          <w:rFonts w:ascii="Arial" w:eastAsia="宋体" w:hAnsi="Arial" w:cs="Arial"/>
          <w:b/>
          <w:bCs/>
          <w:color w:val="000000"/>
          <w:sz w:val="20"/>
          <w:szCs w:val="20"/>
        </w:rPr>
        <w:t>Financial Instruments.</w:t>
      </w:r>
      <w:r>
        <w:rPr>
          <w:rFonts w:ascii="Arial" w:eastAsia="宋体" w:hAnsi="Arial" w:cs="Arial"/>
          <w:color w:val="000000"/>
          <w:sz w:val="20"/>
          <w:szCs w:val="20"/>
        </w:rPr>
        <w:t> In June 2016, the Financial Accounting Standards Board (FASB) issued Accounting Standards Update (ASU) 2016-13, </w:t>
      </w:r>
      <w:r>
        <w:rPr>
          <w:rFonts w:ascii="Arial" w:eastAsia="宋体" w:hAnsi="Arial" w:cs="Arial"/>
          <w:i/>
          <w:iCs/>
          <w:color w:val="000000"/>
          <w:sz w:val="20"/>
          <w:szCs w:val="20"/>
        </w:rPr>
        <w:t>Financial Instruments</w:t>
      </w:r>
      <w:r>
        <w:rPr>
          <w:rFonts w:ascii="Arial" w:eastAsia="宋体" w:hAnsi="Arial" w:cs="Arial"/>
          <w:color w:val="000000"/>
          <w:sz w:val="20"/>
          <w:szCs w:val="20"/>
        </w:rPr>
        <w:t>—</w:t>
      </w:r>
      <w:r>
        <w:rPr>
          <w:rFonts w:ascii="Arial" w:eastAsia="宋体" w:hAnsi="Arial" w:cs="Arial"/>
          <w:i/>
          <w:iCs/>
          <w:color w:val="000000"/>
          <w:sz w:val="20"/>
          <w:szCs w:val="20"/>
        </w:rPr>
        <w:t>Credit Loss</w:t>
      </w:r>
      <w:r>
        <w:rPr>
          <w:rFonts w:ascii="Arial" w:eastAsia="宋体" w:hAnsi="Arial" w:cs="Arial"/>
          <w:i/>
          <w:iCs/>
          <w:color w:val="000000"/>
          <w:sz w:val="20"/>
          <w:szCs w:val="20"/>
        </w:rPr>
        <w:t>es (Topic 326), Measurement of Credit Losses on Financial Instruments</w:t>
      </w:r>
      <w:r>
        <w:rPr>
          <w:rFonts w:ascii="Arial" w:eastAsia="宋体" w:hAnsi="Arial" w:cs="Arial"/>
          <w:color w:val="000000"/>
          <w:sz w:val="20"/>
          <w:szCs w:val="20"/>
        </w:rPr>
        <w:t>. This standard changes the methodology for measuring credit losses on financial instruments and the timing of when such losses are recorded. The Company adopted this standard in the firs</w:t>
      </w:r>
      <w:r>
        <w:rPr>
          <w:rFonts w:ascii="Arial" w:eastAsia="宋体" w:hAnsi="Arial" w:cs="Arial"/>
          <w:color w:val="000000"/>
          <w:sz w:val="20"/>
          <w:szCs w:val="20"/>
        </w:rPr>
        <w:t>t quarter of 2020 using the modified retrospective adoption method. This standard did not have an impact on the condensed consolidated financial statements upon adoption.</w:t>
      </w:r>
    </w:p>
    <w:p w14:paraId="1426F267" w14:textId="77777777" w:rsidR="00A74A1E" w:rsidRDefault="00807990">
      <w:pPr>
        <w:spacing w:before="180"/>
        <w:ind w:firstLine="450"/>
        <w:jc w:val="both"/>
      </w:pPr>
      <w:r>
        <w:rPr>
          <w:rFonts w:ascii="Arial" w:eastAsia="宋体" w:hAnsi="Arial" w:cs="Arial"/>
          <w:b/>
          <w:bCs/>
          <w:i/>
          <w:iCs/>
          <w:color w:val="000000"/>
          <w:sz w:val="20"/>
          <w:szCs w:val="20"/>
        </w:rPr>
        <w:t>Recently Issued Accounting Standards</w:t>
      </w:r>
    </w:p>
    <w:p w14:paraId="1426F268" w14:textId="77777777" w:rsidR="00A74A1E" w:rsidRDefault="00807990">
      <w:pPr>
        <w:spacing w:before="180"/>
        <w:ind w:firstLine="450"/>
        <w:jc w:val="both"/>
      </w:pPr>
      <w:r>
        <w:rPr>
          <w:rFonts w:ascii="Arial" w:eastAsia="宋体" w:hAnsi="Arial" w:cs="Arial"/>
          <w:b/>
          <w:bCs/>
          <w:color w:val="000000"/>
          <w:sz w:val="20"/>
          <w:szCs w:val="20"/>
        </w:rPr>
        <w:t xml:space="preserve">Debt. </w:t>
      </w:r>
      <w:r>
        <w:rPr>
          <w:rFonts w:ascii="Arial" w:eastAsia="宋体" w:hAnsi="Arial" w:cs="Arial"/>
          <w:color w:val="000000"/>
          <w:sz w:val="20"/>
          <w:szCs w:val="20"/>
        </w:rPr>
        <w:t>In August 2020, the FASB issued ASU 2020-0</w:t>
      </w:r>
      <w:r>
        <w:rPr>
          <w:rFonts w:ascii="Arial" w:eastAsia="宋体" w:hAnsi="Arial" w:cs="Arial"/>
          <w:color w:val="000000"/>
          <w:sz w:val="20"/>
          <w:szCs w:val="20"/>
        </w:rPr>
        <w:t xml:space="preserve">6, </w:t>
      </w:r>
      <w:r>
        <w:rPr>
          <w:rFonts w:ascii="Arial" w:eastAsia="宋体" w:hAnsi="Arial" w:cs="Arial"/>
          <w:i/>
          <w:iCs/>
          <w:color w:val="000000"/>
          <w:sz w:val="20"/>
          <w:szCs w:val="20"/>
        </w:rPr>
        <w:t>Debt</w:t>
      </w:r>
      <w:r>
        <w:rPr>
          <w:rFonts w:ascii="sans-serif" w:eastAsia="宋体" w:hAnsi="sans-serif" w:cs="sans-serif"/>
          <w:i/>
          <w:iCs/>
          <w:color w:val="000000"/>
        </w:rPr>
        <w:t>—</w:t>
      </w:r>
      <w:r>
        <w:rPr>
          <w:rFonts w:ascii="Arial" w:eastAsia="宋体" w:hAnsi="Arial" w:cs="Arial"/>
          <w:i/>
          <w:iCs/>
          <w:color w:val="000000"/>
          <w:sz w:val="20"/>
          <w:szCs w:val="20"/>
        </w:rPr>
        <w:t xml:space="preserve">Debt with Conversion and Other Options (Subtopic 470-20) and Contracts in Entity’s Own Equity (Subtopic 815-40), Accounting for Convertible Instruments and Contracts in an Entity’s Own Equity. </w:t>
      </w:r>
      <w:r>
        <w:rPr>
          <w:rFonts w:ascii="Arial" w:eastAsia="宋体" w:hAnsi="Arial" w:cs="Arial"/>
          <w:color w:val="000000"/>
          <w:sz w:val="20"/>
          <w:szCs w:val="20"/>
        </w:rPr>
        <w:t>This standard simplifies the accounting for convertible</w:t>
      </w:r>
      <w:r>
        <w:rPr>
          <w:rFonts w:ascii="Arial" w:eastAsia="宋体" w:hAnsi="Arial" w:cs="Arial"/>
          <w:color w:val="000000"/>
          <w:sz w:val="20"/>
          <w:szCs w:val="20"/>
        </w:rPr>
        <w:t xml:space="preserve"> instruments and its application of the derivatives scope exception for contracts in its own equity by eliminating some of the models that require separating embedded conversion features from convertible instruments. The guidance also addresses how convert</w:t>
      </w:r>
      <w:r>
        <w:rPr>
          <w:rFonts w:ascii="Arial" w:eastAsia="宋体" w:hAnsi="Arial" w:cs="Arial"/>
          <w:color w:val="000000"/>
          <w:sz w:val="20"/>
          <w:szCs w:val="20"/>
        </w:rPr>
        <w:t>ible instruments are accounted for in the diluted earnings per share calculation and enhances disclosures about the terms of convertible instruments and contracts in an entity’s own equity. The standard is effective for fiscal years beginning after Decembe</w:t>
      </w:r>
      <w:r>
        <w:rPr>
          <w:rFonts w:ascii="Arial" w:eastAsia="宋体" w:hAnsi="Arial" w:cs="Arial"/>
          <w:color w:val="000000"/>
          <w:sz w:val="20"/>
          <w:szCs w:val="20"/>
        </w:rPr>
        <w:t xml:space="preserve">r 15, 2021, with early adoption permitted, and can be adopted through either a modified retrospective method with a cumulative effect adjustment to opening retained earnings or a full retrospective method. The Company is currently evaluating the impact of </w:t>
      </w:r>
      <w:r>
        <w:rPr>
          <w:rFonts w:ascii="Arial" w:eastAsia="宋体" w:hAnsi="Arial" w:cs="Arial"/>
          <w:color w:val="000000"/>
          <w:sz w:val="20"/>
          <w:szCs w:val="20"/>
        </w:rPr>
        <w:t>this new standard on its consolidated financial statements.</w:t>
      </w:r>
    </w:p>
    <w:p w14:paraId="1426F269" w14:textId="77777777" w:rsidR="00A74A1E" w:rsidRDefault="00807990">
      <w:pPr>
        <w:jc w:val="center"/>
      </w:pPr>
      <w:r>
        <w:rPr>
          <w:rFonts w:ascii="Arial" w:eastAsia="宋体" w:hAnsi="Arial" w:cs="Arial"/>
          <w:color w:val="000000"/>
          <w:sz w:val="20"/>
          <w:szCs w:val="20"/>
        </w:rPr>
        <w:t>9</w:t>
      </w:r>
    </w:p>
    <w:p w14:paraId="1426F26A" w14:textId="77777777" w:rsidR="00A74A1E" w:rsidRDefault="00807990">
      <w:r>
        <w:pict w14:anchorId="1426FC14">
          <v:rect id="_x0000_i1033" style="width:415.3pt;height:1.5pt" o:hralign="center" o:hrstd="t" o:hr="t" fillcolor="#a0a0a0" stroked="f"/>
        </w:pict>
      </w:r>
    </w:p>
    <w:p w14:paraId="1426F26B" w14:textId="77777777" w:rsidR="00A74A1E" w:rsidRDefault="00A74A1E"/>
    <w:p w14:paraId="1426F26C" w14:textId="77777777" w:rsidR="00A74A1E" w:rsidRDefault="00807990">
      <w:pPr>
        <w:spacing w:before="180"/>
        <w:ind w:firstLine="450"/>
        <w:jc w:val="both"/>
      </w:pPr>
      <w:r>
        <w:rPr>
          <w:rFonts w:ascii="Arial" w:eastAsia="宋体" w:hAnsi="Arial" w:cs="Arial"/>
          <w:color w:val="000000"/>
          <w:sz w:val="20"/>
          <w:szCs w:val="20"/>
        </w:rPr>
        <w:t xml:space="preserve">Although there were several other new accounting pronouncements issued by the FASB during the three and nine months ended September 26, 2020, the Company does not believe any of these </w:t>
      </w:r>
      <w:r>
        <w:rPr>
          <w:rFonts w:ascii="Arial" w:eastAsia="宋体" w:hAnsi="Arial" w:cs="Arial"/>
          <w:color w:val="000000"/>
          <w:sz w:val="20"/>
          <w:szCs w:val="20"/>
        </w:rPr>
        <w:t>accounting pronouncements had or will have a material impact on its condensed consolidated financial statements.</w:t>
      </w:r>
    </w:p>
    <w:p w14:paraId="1426F26D" w14:textId="77777777" w:rsidR="00A74A1E" w:rsidRDefault="00A74A1E">
      <w:pPr>
        <w:ind w:firstLine="450"/>
        <w:jc w:val="both"/>
      </w:pPr>
    </w:p>
    <w:p w14:paraId="1426F26E" w14:textId="77777777" w:rsidR="00A74A1E" w:rsidRDefault="00807990">
      <w:r>
        <w:rPr>
          <w:rFonts w:ascii="Arial" w:eastAsia="宋体" w:hAnsi="Arial" w:cs="Arial"/>
          <w:b/>
          <w:bCs/>
          <w:color w:val="000000"/>
          <w:sz w:val="20"/>
          <w:szCs w:val="20"/>
        </w:rPr>
        <w:t xml:space="preserve">NOTE 2. Supplemental Balance Sheet Information </w:t>
      </w:r>
    </w:p>
    <w:p w14:paraId="1426F26F" w14:textId="77777777" w:rsidR="00A74A1E" w:rsidRDefault="00807990">
      <w:pPr>
        <w:spacing w:before="180"/>
        <w:ind w:firstLine="450"/>
      </w:pPr>
      <w:r>
        <w:rPr>
          <w:rFonts w:ascii="Arial" w:eastAsia="宋体" w:hAnsi="Arial" w:cs="Arial"/>
          <w:b/>
          <w:bCs/>
          <w:i/>
          <w:iCs/>
          <w:color w:val="000000"/>
          <w:sz w:val="20"/>
          <w:szCs w:val="20"/>
        </w:rPr>
        <w:t>Short-term Investments</w:t>
      </w:r>
    </w:p>
    <w:p w14:paraId="1426F270" w14:textId="77777777" w:rsidR="00A74A1E" w:rsidRDefault="00807990">
      <w:pPr>
        <w:spacing w:before="180"/>
        <w:ind w:firstLine="450"/>
        <w:jc w:val="both"/>
      </w:pPr>
      <w:r>
        <w:rPr>
          <w:rFonts w:ascii="Arial" w:eastAsia="宋体" w:hAnsi="Arial" w:cs="Arial"/>
          <w:color w:val="000000"/>
          <w:sz w:val="20"/>
          <w:szCs w:val="20"/>
        </w:rPr>
        <w:t>Short-term investments consist of time deposits and commercial paper. A</w:t>
      </w:r>
      <w:r>
        <w:rPr>
          <w:rFonts w:ascii="Arial" w:eastAsia="宋体" w:hAnsi="Arial" w:cs="Arial"/>
          <w:color w:val="000000"/>
          <w:sz w:val="20"/>
          <w:szCs w:val="20"/>
        </w:rPr>
        <w:t>s of September 26, 2020, the Company had $400 million of time deposits and $75 million of commercial paper. As of December 28, 2019, the Company had $37 million of commercial paper.</w:t>
      </w:r>
    </w:p>
    <w:p w14:paraId="1426F271" w14:textId="77777777" w:rsidR="00A74A1E" w:rsidRDefault="00807990">
      <w:pPr>
        <w:spacing w:before="180"/>
        <w:ind w:firstLine="450"/>
        <w:jc w:val="both"/>
      </w:pPr>
      <w:r>
        <w:rPr>
          <w:rFonts w:ascii="Arial" w:eastAsia="宋体" w:hAnsi="Arial" w:cs="Arial"/>
          <w:b/>
          <w:bCs/>
          <w:i/>
          <w:iCs/>
          <w:color w:val="000000"/>
          <w:sz w:val="20"/>
          <w:szCs w:val="20"/>
        </w:rPr>
        <w:t>Accounts Receivable, net</w:t>
      </w:r>
    </w:p>
    <w:p w14:paraId="1426F272" w14:textId="77777777" w:rsidR="00A74A1E" w:rsidRDefault="00807990">
      <w:pPr>
        <w:spacing w:before="180"/>
        <w:ind w:firstLine="450"/>
        <w:jc w:val="both"/>
      </w:pPr>
      <w:r>
        <w:rPr>
          <w:rFonts w:ascii="Arial" w:eastAsia="宋体" w:hAnsi="Arial" w:cs="Arial"/>
          <w:color w:val="000000"/>
          <w:sz w:val="20"/>
          <w:szCs w:val="20"/>
        </w:rPr>
        <w:t>As of September 26, 2020 and December 28, 2019, A</w:t>
      </w:r>
      <w:r>
        <w:rPr>
          <w:rFonts w:ascii="Arial" w:eastAsia="宋体" w:hAnsi="Arial" w:cs="Arial"/>
          <w:color w:val="000000"/>
          <w:sz w:val="20"/>
          <w:szCs w:val="20"/>
        </w:rPr>
        <w:t>ccounts receivable, net included unbilled accounts receivable of $115 million and $197 million, respectively. Unbilled receivables primarily represent work completed on development services recognized as revenue but not yet invoiced to customers and semi-c</w:t>
      </w:r>
      <w:r>
        <w:rPr>
          <w:rFonts w:ascii="Arial" w:eastAsia="宋体" w:hAnsi="Arial" w:cs="Arial"/>
          <w:color w:val="000000"/>
          <w:sz w:val="20"/>
          <w:szCs w:val="20"/>
        </w:rPr>
        <w:t xml:space="preserve">ustom products under non-cancellable purchase orders that have no alternative use to the Company at contract inception, for which revenue has been recognized but not yet invoiced to customers. All unbilled accounts receivable are expected to be billed and </w:t>
      </w:r>
      <w:r>
        <w:rPr>
          <w:rFonts w:ascii="Arial" w:eastAsia="宋体" w:hAnsi="Arial" w:cs="Arial"/>
          <w:color w:val="000000"/>
          <w:sz w:val="20"/>
          <w:szCs w:val="20"/>
        </w:rPr>
        <w:t>collected within twelve months.</w:t>
      </w:r>
    </w:p>
    <w:p w14:paraId="1426F273" w14:textId="77777777" w:rsidR="00A74A1E" w:rsidRDefault="00807990">
      <w:pPr>
        <w:spacing w:before="280"/>
        <w:ind w:firstLine="450"/>
      </w:pPr>
      <w:r>
        <w:rPr>
          <w:rFonts w:ascii="Arial" w:eastAsia="宋体" w:hAnsi="Arial" w:cs="Arial"/>
          <w:b/>
          <w:bCs/>
          <w:i/>
          <w:iCs/>
          <w:color w:val="000000"/>
          <w:sz w:val="20"/>
          <w:szCs w:val="20"/>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209"/>
        <w:gridCol w:w="37"/>
        <w:gridCol w:w="133"/>
        <w:gridCol w:w="1323"/>
        <w:gridCol w:w="36"/>
        <w:gridCol w:w="36"/>
        <w:gridCol w:w="36"/>
        <w:gridCol w:w="36"/>
        <w:gridCol w:w="133"/>
        <w:gridCol w:w="1283"/>
        <w:gridCol w:w="36"/>
      </w:tblGrid>
      <w:tr w:rsidR="00A74A1E" w14:paraId="1426F280" w14:textId="77777777">
        <w:tc>
          <w:tcPr>
            <w:tcW w:w="50" w:type="pct"/>
            <w:shd w:val="clear" w:color="auto" w:fill="auto"/>
          </w:tcPr>
          <w:p w14:paraId="1426F274" w14:textId="77777777" w:rsidR="00A74A1E" w:rsidRDefault="00A74A1E">
            <w:pPr>
              <w:rPr>
                <w:rFonts w:ascii="宋体"/>
              </w:rPr>
            </w:pPr>
          </w:p>
        </w:tc>
        <w:tc>
          <w:tcPr>
            <w:tcW w:w="3154" w:type="pct"/>
            <w:shd w:val="clear" w:color="auto" w:fill="auto"/>
          </w:tcPr>
          <w:p w14:paraId="1426F275" w14:textId="77777777" w:rsidR="00A74A1E" w:rsidRDefault="00A74A1E">
            <w:pPr>
              <w:rPr>
                <w:rFonts w:ascii="宋体"/>
              </w:rPr>
            </w:pPr>
          </w:p>
        </w:tc>
        <w:tc>
          <w:tcPr>
            <w:tcW w:w="5" w:type="pct"/>
            <w:shd w:val="clear" w:color="auto" w:fill="auto"/>
          </w:tcPr>
          <w:p w14:paraId="1426F276" w14:textId="77777777" w:rsidR="00A74A1E" w:rsidRDefault="00A74A1E">
            <w:pPr>
              <w:rPr>
                <w:rFonts w:ascii="宋体"/>
              </w:rPr>
            </w:pPr>
          </w:p>
        </w:tc>
        <w:tc>
          <w:tcPr>
            <w:tcW w:w="50" w:type="pct"/>
            <w:shd w:val="clear" w:color="auto" w:fill="auto"/>
          </w:tcPr>
          <w:p w14:paraId="1426F277" w14:textId="77777777" w:rsidR="00A74A1E" w:rsidRDefault="00A74A1E">
            <w:pPr>
              <w:rPr>
                <w:rFonts w:ascii="宋体"/>
              </w:rPr>
            </w:pPr>
          </w:p>
        </w:tc>
        <w:tc>
          <w:tcPr>
            <w:tcW w:w="822" w:type="pct"/>
            <w:shd w:val="clear" w:color="auto" w:fill="auto"/>
          </w:tcPr>
          <w:p w14:paraId="1426F278" w14:textId="77777777" w:rsidR="00A74A1E" w:rsidRDefault="00A74A1E">
            <w:pPr>
              <w:rPr>
                <w:rFonts w:ascii="宋体"/>
              </w:rPr>
            </w:pPr>
          </w:p>
        </w:tc>
        <w:tc>
          <w:tcPr>
            <w:tcW w:w="5" w:type="pct"/>
            <w:shd w:val="clear" w:color="auto" w:fill="auto"/>
          </w:tcPr>
          <w:p w14:paraId="1426F279" w14:textId="77777777" w:rsidR="00A74A1E" w:rsidRDefault="00A74A1E">
            <w:pPr>
              <w:rPr>
                <w:rFonts w:ascii="宋体"/>
              </w:rPr>
            </w:pPr>
          </w:p>
        </w:tc>
        <w:tc>
          <w:tcPr>
            <w:tcW w:w="5" w:type="pct"/>
            <w:shd w:val="clear" w:color="auto" w:fill="auto"/>
          </w:tcPr>
          <w:p w14:paraId="1426F27A" w14:textId="77777777" w:rsidR="00A74A1E" w:rsidRDefault="00A74A1E">
            <w:pPr>
              <w:rPr>
                <w:rFonts w:ascii="宋体"/>
              </w:rPr>
            </w:pPr>
          </w:p>
        </w:tc>
        <w:tc>
          <w:tcPr>
            <w:tcW w:w="26" w:type="pct"/>
            <w:shd w:val="clear" w:color="auto" w:fill="auto"/>
          </w:tcPr>
          <w:p w14:paraId="1426F27B" w14:textId="77777777" w:rsidR="00A74A1E" w:rsidRDefault="00A74A1E">
            <w:pPr>
              <w:rPr>
                <w:rFonts w:ascii="宋体"/>
              </w:rPr>
            </w:pPr>
          </w:p>
        </w:tc>
        <w:tc>
          <w:tcPr>
            <w:tcW w:w="5" w:type="pct"/>
            <w:shd w:val="clear" w:color="auto" w:fill="auto"/>
          </w:tcPr>
          <w:p w14:paraId="1426F27C" w14:textId="77777777" w:rsidR="00A74A1E" w:rsidRDefault="00A74A1E">
            <w:pPr>
              <w:rPr>
                <w:rFonts w:ascii="宋体"/>
              </w:rPr>
            </w:pPr>
          </w:p>
        </w:tc>
        <w:tc>
          <w:tcPr>
            <w:tcW w:w="50" w:type="pct"/>
            <w:shd w:val="clear" w:color="auto" w:fill="auto"/>
          </w:tcPr>
          <w:p w14:paraId="1426F27D" w14:textId="77777777" w:rsidR="00A74A1E" w:rsidRDefault="00A74A1E">
            <w:pPr>
              <w:rPr>
                <w:rFonts w:ascii="宋体"/>
              </w:rPr>
            </w:pPr>
          </w:p>
        </w:tc>
        <w:tc>
          <w:tcPr>
            <w:tcW w:w="822" w:type="pct"/>
            <w:shd w:val="clear" w:color="auto" w:fill="auto"/>
          </w:tcPr>
          <w:p w14:paraId="1426F27E" w14:textId="77777777" w:rsidR="00A74A1E" w:rsidRDefault="00A74A1E">
            <w:pPr>
              <w:rPr>
                <w:rFonts w:ascii="宋体"/>
              </w:rPr>
            </w:pPr>
          </w:p>
        </w:tc>
        <w:tc>
          <w:tcPr>
            <w:tcW w:w="5" w:type="pct"/>
            <w:shd w:val="clear" w:color="auto" w:fill="auto"/>
          </w:tcPr>
          <w:p w14:paraId="1426F27F" w14:textId="77777777" w:rsidR="00A74A1E" w:rsidRDefault="00A74A1E">
            <w:pPr>
              <w:rPr>
                <w:rFonts w:ascii="宋体"/>
              </w:rPr>
            </w:pPr>
          </w:p>
        </w:tc>
      </w:tr>
      <w:tr w:rsidR="00A74A1E" w14:paraId="1426F285" w14:textId="77777777">
        <w:tc>
          <w:tcPr>
            <w:tcW w:w="0" w:type="auto"/>
            <w:gridSpan w:val="3"/>
            <w:shd w:val="clear" w:color="auto" w:fill="auto"/>
            <w:tcMar>
              <w:top w:w="0" w:type="dxa"/>
              <w:left w:w="20" w:type="dxa"/>
              <w:bottom w:w="0" w:type="dxa"/>
              <w:right w:w="20" w:type="dxa"/>
            </w:tcMar>
          </w:tcPr>
          <w:p w14:paraId="1426F281"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center"/>
          </w:tcPr>
          <w:p w14:paraId="1426F282"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F283"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1426F284" w14:textId="77777777" w:rsidR="00A74A1E" w:rsidRDefault="00807990">
            <w:pPr>
              <w:jc w:val="center"/>
              <w:textAlignment w:val="center"/>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F288" w14:textId="77777777">
        <w:tc>
          <w:tcPr>
            <w:tcW w:w="0" w:type="auto"/>
            <w:gridSpan w:val="3"/>
            <w:shd w:val="clear" w:color="auto" w:fill="auto"/>
            <w:tcMar>
              <w:top w:w="40" w:type="dxa"/>
              <w:left w:w="20" w:type="dxa"/>
              <w:bottom w:w="40" w:type="dxa"/>
              <w:right w:w="20" w:type="dxa"/>
            </w:tcMar>
            <w:vAlign w:val="center"/>
          </w:tcPr>
          <w:p w14:paraId="1426F286" w14:textId="77777777" w:rsidR="00A74A1E" w:rsidRDefault="00807990">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426F287" w14:textId="77777777" w:rsidR="00A74A1E" w:rsidRDefault="00807990">
            <w:pPr>
              <w:jc w:val="center"/>
              <w:textAlignment w:val="center"/>
            </w:pPr>
            <w:r>
              <w:rPr>
                <w:rFonts w:ascii="Arial" w:eastAsia="宋体" w:hAnsi="Arial" w:cs="Arial"/>
                <w:b/>
                <w:bCs/>
                <w:color w:val="000000"/>
                <w:sz w:val="16"/>
                <w:szCs w:val="16"/>
              </w:rPr>
              <w:t>(In millions)</w:t>
            </w:r>
          </w:p>
        </w:tc>
      </w:tr>
      <w:tr w:rsidR="00A74A1E" w14:paraId="1426F291" w14:textId="77777777">
        <w:tc>
          <w:tcPr>
            <w:tcW w:w="0" w:type="auto"/>
            <w:gridSpan w:val="3"/>
            <w:shd w:val="clear" w:color="auto" w:fill="CCEEFF"/>
            <w:tcMar>
              <w:top w:w="40" w:type="dxa"/>
              <w:left w:w="20" w:type="dxa"/>
              <w:bottom w:w="40" w:type="dxa"/>
              <w:right w:w="20" w:type="dxa"/>
            </w:tcMar>
            <w:vAlign w:val="center"/>
          </w:tcPr>
          <w:p w14:paraId="1426F289" w14:textId="77777777" w:rsidR="00A74A1E" w:rsidRDefault="00807990">
            <w:pPr>
              <w:textAlignment w:val="center"/>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center"/>
          </w:tcPr>
          <w:p w14:paraId="1426F28A"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28B" w14:textId="77777777" w:rsidR="00A74A1E" w:rsidRDefault="00807990">
            <w:pPr>
              <w:jc w:val="right"/>
              <w:textAlignment w:val="center"/>
            </w:pPr>
            <w:r>
              <w:rPr>
                <w:rFonts w:ascii="Arial" w:eastAsia="宋体" w:hAnsi="Arial" w:cs="Arial"/>
                <w:color w:val="000000"/>
                <w:sz w:val="20"/>
                <w:szCs w:val="20"/>
              </w:rPr>
              <w:t>98 </w:t>
            </w:r>
          </w:p>
        </w:tc>
        <w:tc>
          <w:tcPr>
            <w:tcW w:w="0" w:type="auto"/>
            <w:shd w:val="clear" w:color="auto" w:fill="CCEEFF"/>
            <w:tcMar>
              <w:top w:w="40" w:type="dxa"/>
              <w:left w:w="0" w:type="dxa"/>
              <w:bottom w:w="40" w:type="dxa"/>
              <w:right w:w="20" w:type="dxa"/>
            </w:tcMar>
            <w:vAlign w:val="center"/>
          </w:tcPr>
          <w:p w14:paraId="1426F28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8D" w14:textId="77777777" w:rsidR="00A74A1E" w:rsidRDefault="00A74A1E">
            <w:pPr>
              <w:rPr>
                <w:rFonts w:ascii="宋体"/>
              </w:rPr>
            </w:pPr>
          </w:p>
        </w:tc>
        <w:tc>
          <w:tcPr>
            <w:tcW w:w="0" w:type="auto"/>
            <w:shd w:val="clear" w:color="auto" w:fill="CCEEFF"/>
            <w:tcMar>
              <w:top w:w="40" w:type="dxa"/>
              <w:left w:w="20" w:type="dxa"/>
              <w:bottom w:w="40" w:type="dxa"/>
              <w:right w:w="0" w:type="dxa"/>
            </w:tcMar>
            <w:vAlign w:val="center"/>
          </w:tcPr>
          <w:p w14:paraId="1426F28E"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28F" w14:textId="77777777" w:rsidR="00A74A1E" w:rsidRDefault="00807990">
            <w:pPr>
              <w:jc w:val="right"/>
              <w:textAlignment w:val="center"/>
            </w:pPr>
            <w:r>
              <w:rPr>
                <w:rFonts w:ascii="Arial" w:eastAsia="宋体" w:hAnsi="Arial" w:cs="Arial"/>
                <w:color w:val="000000"/>
                <w:sz w:val="20"/>
                <w:szCs w:val="20"/>
              </w:rPr>
              <w:t>94 </w:t>
            </w:r>
          </w:p>
        </w:tc>
        <w:tc>
          <w:tcPr>
            <w:tcW w:w="0" w:type="auto"/>
            <w:shd w:val="clear" w:color="auto" w:fill="CCEEFF"/>
            <w:tcMar>
              <w:top w:w="40" w:type="dxa"/>
              <w:left w:w="0" w:type="dxa"/>
              <w:bottom w:w="40" w:type="dxa"/>
              <w:right w:w="20" w:type="dxa"/>
            </w:tcMar>
            <w:vAlign w:val="center"/>
          </w:tcPr>
          <w:p w14:paraId="1426F290" w14:textId="77777777" w:rsidR="00A74A1E" w:rsidRDefault="00A74A1E">
            <w:pPr>
              <w:jc w:val="right"/>
              <w:rPr>
                <w:rFonts w:ascii="宋体"/>
              </w:rPr>
            </w:pPr>
          </w:p>
        </w:tc>
      </w:tr>
      <w:tr w:rsidR="00A74A1E" w14:paraId="1426F298" w14:textId="77777777">
        <w:tc>
          <w:tcPr>
            <w:tcW w:w="0" w:type="auto"/>
            <w:gridSpan w:val="3"/>
            <w:shd w:val="clear" w:color="auto" w:fill="FFFFFF"/>
            <w:tcMar>
              <w:top w:w="40" w:type="dxa"/>
              <w:left w:w="20" w:type="dxa"/>
              <w:bottom w:w="40" w:type="dxa"/>
              <w:right w:w="20" w:type="dxa"/>
            </w:tcMar>
            <w:vAlign w:val="center"/>
          </w:tcPr>
          <w:p w14:paraId="1426F292" w14:textId="77777777" w:rsidR="00A74A1E" w:rsidRDefault="00807990">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1426F293" w14:textId="77777777" w:rsidR="00A74A1E" w:rsidRDefault="00807990">
            <w:pPr>
              <w:jc w:val="right"/>
              <w:textAlignment w:val="center"/>
            </w:pPr>
            <w:r>
              <w:rPr>
                <w:rFonts w:ascii="Arial" w:eastAsia="宋体" w:hAnsi="Arial" w:cs="Arial"/>
                <w:color w:val="000000"/>
                <w:sz w:val="20"/>
                <w:szCs w:val="20"/>
              </w:rPr>
              <w:t>990 </w:t>
            </w:r>
          </w:p>
        </w:tc>
        <w:tc>
          <w:tcPr>
            <w:tcW w:w="0" w:type="auto"/>
            <w:shd w:val="clear" w:color="auto" w:fill="FFFFFF"/>
            <w:tcMar>
              <w:top w:w="40" w:type="dxa"/>
              <w:left w:w="0" w:type="dxa"/>
              <w:bottom w:w="40" w:type="dxa"/>
              <w:right w:w="20" w:type="dxa"/>
            </w:tcMar>
            <w:vAlign w:val="center"/>
          </w:tcPr>
          <w:p w14:paraId="1426F29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9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center"/>
          </w:tcPr>
          <w:p w14:paraId="1426F296" w14:textId="77777777" w:rsidR="00A74A1E" w:rsidRDefault="00807990">
            <w:pPr>
              <w:jc w:val="right"/>
              <w:textAlignment w:val="center"/>
            </w:pPr>
            <w:r>
              <w:rPr>
                <w:rFonts w:ascii="Arial" w:eastAsia="宋体" w:hAnsi="Arial" w:cs="Arial"/>
                <w:color w:val="000000"/>
                <w:sz w:val="20"/>
                <w:szCs w:val="20"/>
              </w:rPr>
              <w:t>691 </w:t>
            </w:r>
          </w:p>
        </w:tc>
        <w:tc>
          <w:tcPr>
            <w:tcW w:w="0" w:type="auto"/>
            <w:shd w:val="clear" w:color="auto" w:fill="FFFFFF"/>
            <w:tcMar>
              <w:top w:w="40" w:type="dxa"/>
              <w:left w:w="0" w:type="dxa"/>
              <w:bottom w:w="40" w:type="dxa"/>
              <w:right w:w="20" w:type="dxa"/>
            </w:tcMar>
            <w:vAlign w:val="center"/>
          </w:tcPr>
          <w:p w14:paraId="1426F297" w14:textId="77777777" w:rsidR="00A74A1E" w:rsidRDefault="00A74A1E">
            <w:pPr>
              <w:jc w:val="right"/>
              <w:rPr>
                <w:rFonts w:ascii="宋体"/>
              </w:rPr>
            </w:pPr>
          </w:p>
        </w:tc>
      </w:tr>
      <w:tr w:rsidR="00A74A1E" w14:paraId="1426F29F" w14:textId="77777777">
        <w:tc>
          <w:tcPr>
            <w:tcW w:w="0" w:type="auto"/>
            <w:gridSpan w:val="3"/>
            <w:shd w:val="clear" w:color="auto" w:fill="CCEEFF"/>
            <w:tcMar>
              <w:top w:w="40" w:type="dxa"/>
              <w:left w:w="20" w:type="dxa"/>
              <w:bottom w:w="40" w:type="dxa"/>
              <w:right w:w="20" w:type="dxa"/>
            </w:tcMar>
            <w:vAlign w:val="center"/>
          </w:tcPr>
          <w:p w14:paraId="1426F299" w14:textId="77777777" w:rsidR="00A74A1E" w:rsidRDefault="00807990">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1426F29A" w14:textId="77777777" w:rsidR="00A74A1E" w:rsidRDefault="00807990">
            <w:pPr>
              <w:jc w:val="right"/>
              <w:textAlignment w:val="center"/>
            </w:pPr>
            <w:r>
              <w:rPr>
                <w:rFonts w:ascii="Arial" w:eastAsia="宋体" w:hAnsi="Arial" w:cs="Arial"/>
                <w:color w:val="000000"/>
                <w:sz w:val="20"/>
                <w:szCs w:val="20"/>
              </w:rPr>
              <w:t>204 </w:t>
            </w:r>
          </w:p>
        </w:tc>
        <w:tc>
          <w:tcPr>
            <w:tcW w:w="0" w:type="auto"/>
            <w:shd w:val="clear" w:color="auto" w:fill="CCEEFF"/>
            <w:tcMar>
              <w:top w:w="40" w:type="dxa"/>
              <w:left w:w="0" w:type="dxa"/>
              <w:bottom w:w="40" w:type="dxa"/>
              <w:right w:w="20" w:type="dxa"/>
            </w:tcMar>
            <w:vAlign w:val="center"/>
          </w:tcPr>
          <w:p w14:paraId="1426F29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9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center"/>
          </w:tcPr>
          <w:p w14:paraId="1426F29D" w14:textId="77777777" w:rsidR="00A74A1E" w:rsidRDefault="00807990">
            <w:pPr>
              <w:jc w:val="right"/>
              <w:textAlignment w:val="center"/>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center"/>
          </w:tcPr>
          <w:p w14:paraId="1426F29E" w14:textId="77777777" w:rsidR="00A74A1E" w:rsidRDefault="00A74A1E">
            <w:pPr>
              <w:jc w:val="right"/>
              <w:rPr>
                <w:rFonts w:ascii="宋体"/>
              </w:rPr>
            </w:pPr>
          </w:p>
        </w:tc>
      </w:tr>
      <w:tr w:rsidR="00A74A1E" w14:paraId="1426F2A8" w14:textId="77777777">
        <w:tc>
          <w:tcPr>
            <w:tcW w:w="0" w:type="auto"/>
            <w:gridSpan w:val="3"/>
            <w:shd w:val="clear" w:color="auto" w:fill="FFFFFF"/>
            <w:tcMar>
              <w:top w:w="40" w:type="dxa"/>
              <w:left w:w="20" w:type="dxa"/>
              <w:bottom w:w="40" w:type="dxa"/>
              <w:right w:w="20" w:type="dxa"/>
            </w:tcMar>
            <w:vAlign w:val="center"/>
          </w:tcPr>
          <w:p w14:paraId="1426F2A0" w14:textId="77777777" w:rsidR="00A74A1E" w:rsidRDefault="00807990">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426F2A1" w14:textId="77777777" w:rsidR="00A74A1E" w:rsidRDefault="00807990">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426F2A2" w14:textId="77777777" w:rsidR="00A74A1E" w:rsidRDefault="00807990">
            <w:pPr>
              <w:jc w:val="right"/>
              <w:textAlignment w:val="center"/>
            </w:pPr>
            <w:r>
              <w:rPr>
                <w:rFonts w:ascii="Arial" w:eastAsia="宋体" w:hAnsi="Arial" w:cs="Arial"/>
                <w:color w:val="000000"/>
                <w:sz w:val="20"/>
                <w:szCs w:val="20"/>
              </w:rPr>
              <w:t>1,292 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426F2A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A4"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426F2A5" w14:textId="77777777" w:rsidR="00A74A1E" w:rsidRDefault="00807990">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426F2A6" w14:textId="77777777" w:rsidR="00A74A1E" w:rsidRDefault="00807990">
            <w:pPr>
              <w:jc w:val="right"/>
              <w:textAlignment w:val="center"/>
            </w:pPr>
            <w:r>
              <w:rPr>
                <w:rFonts w:ascii="Arial" w:eastAsia="宋体" w:hAnsi="Arial" w:cs="Arial"/>
                <w:color w:val="000000"/>
                <w:sz w:val="20"/>
                <w:szCs w:val="20"/>
              </w:rPr>
              <w:t>982 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426F2A7" w14:textId="77777777" w:rsidR="00A74A1E" w:rsidRDefault="00A74A1E">
            <w:pPr>
              <w:jc w:val="right"/>
              <w:rPr>
                <w:rFonts w:ascii="宋体"/>
              </w:rPr>
            </w:pPr>
          </w:p>
        </w:tc>
      </w:tr>
    </w:tbl>
    <w:p w14:paraId="1426F2A9" w14:textId="77777777" w:rsidR="00A74A1E" w:rsidRDefault="00807990">
      <w:pPr>
        <w:spacing w:before="300"/>
        <w:ind w:firstLine="450"/>
      </w:pPr>
      <w:r>
        <w:rPr>
          <w:rFonts w:ascii="Arial" w:eastAsia="宋体" w:hAnsi="Arial" w:cs="Arial"/>
          <w:b/>
          <w:bCs/>
          <w:i/>
          <w:iCs/>
          <w:color w:val="000000"/>
          <w:sz w:val="20"/>
          <w:szCs w:val="20"/>
        </w:rPr>
        <w:t>Property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A74A1E" w14:paraId="1426F2B6" w14:textId="77777777">
        <w:tc>
          <w:tcPr>
            <w:tcW w:w="50" w:type="pct"/>
            <w:shd w:val="clear" w:color="auto" w:fill="auto"/>
          </w:tcPr>
          <w:p w14:paraId="1426F2AA" w14:textId="77777777" w:rsidR="00A74A1E" w:rsidRDefault="00A74A1E">
            <w:pPr>
              <w:rPr>
                <w:rFonts w:ascii="宋体"/>
              </w:rPr>
            </w:pPr>
          </w:p>
        </w:tc>
        <w:tc>
          <w:tcPr>
            <w:tcW w:w="3154" w:type="pct"/>
            <w:shd w:val="clear" w:color="auto" w:fill="auto"/>
          </w:tcPr>
          <w:p w14:paraId="1426F2AB" w14:textId="77777777" w:rsidR="00A74A1E" w:rsidRDefault="00A74A1E">
            <w:pPr>
              <w:rPr>
                <w:rFonts w:ascii="宋体"/>
              </w:rPr>
            </w:pPr>
          </w:p>
        </w:tc>
        <w:tc>
          <w:tcPr>
            <w:tcW w:w="5" w:type="pct"/>
            <w:shd w:val="clear" w:color="auto" w:fill="auto"/>
          </w:tcPr>
          <w:p w14:paraId="1426F2AC" w14:textId="77777777" w:rsidR="00A74A1E" w:rsidRDefault="00A74A1E">
            <w:pPr>
              <w:rPr>
                <w:rFonts w:ascii="宋体"/>
              </w:rPr>
            </w:pPr>
          </w:p>
        </w:tc>
        <w:tc>
          <w:tcPr>
            <w:tcW w:w="50" w:type="pct"/>
            <w:shd w:val="clear" w:color="auto" w:fill="auto"/>
          </w:tcPr>
          <w:p w14:paraId="1426F2AD" w14:textId="77777777" w:rsidR="00A74A1E" w:rsidRDefault="00A74A1E">
            <w:pPr>
              <w:rPr>
                <w:rFonts w:ascii="宋体"/>
              </w:rPr>
            </w:pPr>
          </w:p>
        </w:tc>
        <w:tc>
          <w:tcPr>
            <w:tcW w:w="822" w:type="pct"/>
            <w:shd w:val="clear" w:color="auto" w:fill="auto"/>
          </w:tcPr>
          <w:p w14:paraId="1426F2AE" w14:textId="77777777" w:rsidR="00A74A1E" w:rsidRDefault="00A74A1E">
            <w:pPr>
              <w:rPr>
                <w:rFonts w:ascii="宋体"/>
              </w:rPr>
            </w:pPr>
          </w:p>
        </w:tc>
        <w:tc>
          <w:tcPr>
            <w:tcW w:w="5" w:type="pct"/>
            <w:shd w:val="clear" w:color="auto" w:fill="auto"/>
          </w:tcPr>
          <w:p w14:paraId="1426F2AF" w14:textId="77777777" w:rsidR="00A74A1E" w:rsidRDefault="00A74A1E">
            <w:pPr>
              <w:rPr>
                <w:rFonts w:ascii="宋体"/>
              </w:rPr>
            </w:pPr>
          </w:p>
        </w:tc>
        <w:tc>
          <w:tcPr>
            <w:tcW w:w="5" w:type="pct"/>
            <w:shd w:val="clear" w:color="auto" w:fill="auto"/>
          </w:tcPr>
          <w:p w14:paraId="1426F2B0" w14:textId="77777777" w:rsidR="00A74A1E" w:rsidRDefault="00A74A1E">
            <w:pPr>
              <w:rPr>
                <w:rFonts w:ascii="宋体"/>
              </w:rPr>
            </w:pPr>
          </w:p>
        </w:tc>
        <w:tc>
          <w:tcPr>
            <w:tcW w:w="26" w:type="pct"/>
            <w:shd w:val="clear" w:color="auto" w:fill="auto"/>
          </w:tcPr>
          <w:p w14:paraId="1426F2B1" w14:textId="77777777" w:rsidR="00A74A1E" w:rsidRDefault="00A74A1E">
            <w:pPr>
              <w:rPr>
                <w:rFonts w:ascii="宋体"/>
              </w:rPr>
            </w:pPr>
          </w:p>
        </w:tc>
        <w:tc>
          <w:tcPr>
            <w:tcW w:w="5" w:type="pct"/>
            <w:shd w:val="clear" w:color="auto" w:fill="auto"/>
          </w:tcPr>
          <w:p w14:paraId="1426F2B2" w14:textId="77777777" w:rsidR="00A74A1E" w:rsidRDefault="00A74A1E">
            <w:pPr>
              <w:rPr>
                <w:rFonts w:ascii="宋体"/>
              </w:rPr>
            </w:pPr>
          </w:p>
        </w:tc>
        <w:tc>
          <w:tcPr>
            <w:tcW w:w="50" w:type="pct"/>
            <w:shd w:val="clear" w:color="auto" w:fill="auto"/>
          </w:tcPr>
          <w:p w14:paraId="1426F2B3" w14:textId="77777777" w:rsidR="00A74A1E" w:rsidRDefault="00A74A1E">
            <w:pPr>
              <w:rPr>
                <w:rFonts w:ascii="宋体"/>
              </w:rPr>
            </w:pPr>
          </w:p>
        </w:tc>
        <w:tc>
          <w:tcPr>
            <w:tcW w:w="822" w:type="pct"/>
            <w:shd w:val="clear" w:color="auto" w:fill="auto"/>
          </w:tcPr>
          <w:p w14:paraId="1426F2B4" w14:textId="77777777" w:rsidR="00A74A1E" w:rsidRDefault="00A74A1E">
            <w:pPr>
              <w:rPr>
                <w:rFonts w:ascii="宋体"/>
              </w:rPr>
            </w:pPr>
          </w:p>
        </w:tc>
        <w:tc>
          <w:tcPr>
            <w:tcW w:w="5" w:type="pct"/>
            <w:shd w:val="clear" w:color="auto" w:fill="auto"/>
          </w:tcPr>
          <w:p w14:paraId="1426F2B5" w14:textId="77777777" w:rsidR="00A74A1E" w:rsidRDefault="00A74A1E">
            <w:pPr>
              <w:rPr>
                <w:rFonts w:ascii="宋体"/>
              </w:rPr>
            </w:pPr>
          </w:p>
        </w:tc>
      </w:tr>
      <w:tr w:rsidR="00A74A1E" w14:paraId="1426F2BB" w14:textId="77777777">
        <w:tc>
          <w:tcPr>
            <w:tcW w:w="0" w:type="auto"/>
            <w:gridSpan w:val="3"/>
            <w:shd w:val="clear" w:color="auto" w:fill="auto"/>
            <w:tcMar>
              <w:top w:w="0" w:type="dxa"/>
              <w:left w:w="20" w:type="dxa"/>
              <w:bottom w:w="0" w:type="dxa"/>
              <w:right w:w="20" w:type="dxa"/>
            </w:tcMar>
          </w:tcPr>
          <w:p w14:paraId="1426F2B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center"/>
          </w:tcPr>
          <w:p w14:paraId="1426F2B8"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F2B9"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426F2BA" w14:textId="77777777" w:rsidR="00A74A1E" w:rsidRDefault="00807990">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F2BE" w14:textId="77777777">
        <w:tc>
          <w:tcPr>
            <w:tcW w:w="0" w:type="auto"/>
            <w:gridSpan w:val="3"/>
            <w:shd w:val="clear" w:color="auto" w:fill="auto"/>
            <w:tcMar>
              <w:top w:w="40" w:type="dxa"/>
              <w:left w:w="20" w:type="dxa"/>
              <w:bottom w:w="40" w:type="dxa"/>
              <w:right w:w="20" w:type="dxa"/>
            </w:tcMar>
            <w:vAlign w:val="bottom"/>
          </w:tcPr>
          <w:p w14:paraId="1426F2BC" w14:textId="77777777" w:rsidR="00A74A1E" w:rsidRDefault="00807990">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426F2BD"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2C7" w14:textId="77777777">
        <w:tc>
          <w:tcPr>
            <w:tcW w:w="0" w:type="auto"/>
            <w:gridSpan w:val="3"/>
            <w:shd w:val="clear" w:color="auto" w:fill="CCEEFF"/>
            <w:tcMar>
              <w:top w:w="40" w:type="dxa"/>
              <w:left w:w="20" w:type="dxa"/>
              <w:bottom w:w="40" w:type="dxa"/>
              <w:right w:w="20" w:type="dxa"/>
            </w:tcMar>
            <w:vAlign w:val="bottom"/>
          </w:tcPr>
          <w:p w14:paraId="1426F2BF" w14:textId="77777777" w:rsidR="00A74A1E" w:rsidRDefault="00807990">
            <w:pPr>
              <w:textAlignment w:val="bottom"/>
            </w:pPr>
            <w:r>
              <w:rPr>
                <w:rFonts w:ascii="Arial" w:eastAsia="宋体" w:hAnsi="Arial" w:cs="Arial"/>
                <w:color w:val="000000"/>
                <w:sz w:val="20"/>
                <w:szCs w:val="20"/>
              </w:rPr>
              <w:t>Leasehold improvements</w:t>
            </w:r>
          </w:p>
        </w:tc>
        <w:tc>
          <w:tcPr>
            <w:tcW w:w="0" w:type="auto"/>
            <w:shd w:val="clear" w:color="auto" w:fill="CCEEFF"/>
            <w:tcMar>
              <w:top w:w="40" w:type="dxa"/>
              <w:left w:w="20" w:type="dxa"/>
              <w:bottom w:w="40" w:type="dxa"/>
              <w:right w:w="0" w:type="dxa"/>
            </w:tcMar>
            <w:vAlign w:val="bottom"/>
          </w:tcPr>
          <w:p w14:paraId="1426F2C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C1" w14:textId="77777777" w:rsidR="00A74A1E" w:rsidRDefault="00807990">
            <w:pPr>
              <w:jc w:val="right"/>
              <w:textAlignment w:val="bottom"/>
            </w:pPr>
            <w:r>
              <w:rPr>
                <w:rFonts w:ascii="Arial" w:eastAsia="宋体" w:hAnsi="Arial" w:cs="Arial"/>
                <w:color w:val="000000"/>
                <w:sz w:val="20"/>
                <w:szCs w:val="20"/>
              </w:rPr>
              <w:t>203 </w:t>
            </w:r>
          </w:p>
        </w:tc>
        <w:tc>
          <w:tcPr>
            <w:tcW w:w="0" w:type="auto"/>
            <w:shd w:val="clear" w:color="auto" w:fill="CCEEFF"/>
            <w:tcMar>
              <w:top w:w="40" w:type="dxa"/>
              <w:left w:w="0" w:type="dxa"/>
              <w:bottom w:w="40" w:type="dxa"/>
              <w:right w:w="20" w:type="dxa"/>
            </w:tcMar>
            <w:vAlign w:val="bottom"/>
          </w:tcPr>
          <w:p w14:paraId="1426F2C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C3"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2C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2C5" w14:textId="77777777" w:rsidR="00A74A1E" w:rsidRDefault="00807990">
            <w:pPr>
              <w:jc w:val="right"/>
              <w:textAlignment w:val="bottom"/>
            </w:pPr>
            <w:r>
              <w:rPr>
                <w:rFonts w:ascii="Arial" w:eastAsia="宋体" w:hAnsi="Arial" w:cs="Arial"/>
                <w:color w:val="000000"/>
                <w:sz w:val="20"/>
                <w:szCs w:val="20"/>
              </w:rPr>
              <w:t>203 </w:t>
            </w:r>
          </w:p>
        </w:tc>
        <w:tc>
          <w:tcPr>
            <w:tcW w:w="0" w:type="auto"/>
            <w:shd w:val="clear" w:color="auto" w:fill="CCEEFF"/>
            <w:tcMar>
              <w:top w:w="40" w:type="dxa"/>
              <w:left w:w="0" w:type="dxa"/>
              <w:bottom w:w="40" w:type="dxa"/>
              <w:right w:w="20" w:type="dxa"/>
            </w:tcMar>
            <w:vAlign w:val="bottom"/>
          </w:tcPr>
          <w:p w14:paraId="1426F2C6" w14:textId="77777777" w:rsidR="00A74A1E" w:rsidRDefault="00A74A1E">
            <w:pPr>
              <w:jc w:val="right"/>
              <w:rPr>
                <w:rFonts w:ascii="宋体"/>
              </w:rPr>
            </w:pPr>
          </w:p>
        </w:tc>
      </w:tr>
      <w:tr w:rsidR="00A74A1E" w14:paraId="1426F2CE" w14:textId="77777777">
        <w:tc>
          <w:tcPr>
            <w:tcW w:w="0" w:type="auto"/>
            <w:gridSpan w:val="3"/>
            <w:shd w:val="clear" w:color="auto" w:fill="FFFFFF"/>
            <w:tcMar>
              <w:top w:w="40" w:type="dxa"/>
              <w:left w:w="20" w:type="dxa"/>
              <w:bottom w:w="40" w:type="dxa"/>
              <w:right w:w="20" w:type="dxa"/>
            </w:tcMar>
            <w:vAlign w:val="bottom"/>
          </w:tcPr>
          <w:p w14:paraId="1426F2C8" w14:textId="77777777" w:rsidR="00A74A1E" w:rsidRDefault="00807990">
            <w:pPr>
              <w:textAlignment w:val="bottom"/>
            </w:pPr>
            <w:r>
              <w:rPr>
                <w:rFonts w:ascii="Arial" w:eastAsia="宋体"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1426F2C9" w14:textId="77777777" w:rsidR="00A74A1E" w:rsidRDefault="00807990">
            <w:pPr>
              <w:jc w:val="right"/>
              <w:textAlignment w:val="bottom"/>
            </w:pPr>
            <w:r>
              <w:rPr>
                <w:rFonts w:ascii="Arial" w:eastAsia="宋体" w:hAnsi="Arial" w:cs="Arial"/>
                <w:color w:val="000000"/>
                <w:sz w:val="20"/>
                <w:szCs w:val="20"/>
              </w:rPr>
              <w:t>1,190 </w:t>
            </w:r>
          </w:p>
        </w:tc>
        <w:tc>
          <w:tcPr>
            <w:tcW w:w="0" w:type="auto"/>
            <w:shd w:val="clear" w:color="auto" w:fill="FFFFFF"/>
            <w:tcMar>
              <w:top w:w="40" w:type="dxa"/>
              <w:left w:w="0" w:type="dxa"/>
              <w:bottom w:w="40" w:type="dxa"/>
              <w:right w:w="20" w:type="dxa"/>
            </w:tcMar>
            <w:vAlign w:val="bottom"/>
          </w:tcPr>
          <w:p w14:paraId="1426F2C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C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2CC" w14:textId="77777777" w:rsidR="00A74A1E" w:rsidRDefault="00807990">
            <w:pPr>
              <w:jc w:val="right"/>
              <w:textAlignment w:val="bottom"/>
            </w:pPr>
            <w:r>
              <w:rPr>
                <w:rFonts w:ascii="Arial" w:eastAsia="宋体" w:hAnsi="Arial" w:cs="Arial"/>
                <w:color w:val="000000"/>
                <w:sz w:val="20"/>
                <w:szCs w:val="20"/>
              </w:rPr>
              <w:t>951 </w:t>
            </w:r>
          </w:p>
        </w:tc>
        <w:tc>
          <w:tcPr>
            <w:tcW w:w="0" w:type="auto"/>
            <w:shd w:val="clear" w:color="auto" w:fill="FFFFFF"/>
            <w:tcMar>
              <w:top w:w="40" w:type="dxa"/>
              <w:left w:w="0" w:type="dxa"/>
              <w:bottom w:w="40" w:type="dxa"/>
              <w:right w:w="20" w:type="dxa"/>
            </w:tcMar>
            <w:vAlign w:val="bottom"/>
          </w:tcPr>
          <w:p w14:paraId="1426F2CD" w14:textId="77777777" w:rsidR="00A74A1E" w:rsidRDefault="00A74A1E">
            <w:pPr>
              <w:jc w:val="right"/>
              <w:rPr>
                <w:rFonts w:ascii="宋体"/>
              </w:rPr>
            </w:pPr>
          </w:p>
        </w:tc>
      </w:tr>
      <w:tr w:rsidR="00A74A1E" w14:paraId="1426F2D5" w14:textId="77777777">
        <w:tc>
          <w:tcPr>
            <w:tcW w:w="0" w:type="auto"/>
            <w:gridSpan w:val="3"/>
            <w:shd w:val="clear" w:color="auto" w:fill="CCEEFF"/>
            <w:tcMar>
              <w:top w:w="40" w:type="dxa"/>
              <w:left w:w="20" w:type="dxa"/>
              <w:bottom w:w="40" w:type="dxa"/>
              <w:right w:w="20" w:type="dxa"/>
            </w:tcMar>
            <w:vAlign w:val="bottom"/>
          </w:tcPr>
          <w:p w14:paraId="1426F2CF" w14:textId="77777777" w:rsidR="00A74A1E" w:rsidRDefault="00807990">
            <w:pPr>
              <w:textAlignment w:val="bottom"/>
            </w:pPr>
            <w:r>
              <w:rPr>
                <w:rFonts w:ascii="Arial" w:eastAsia="宋体"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1426F2D0" w14:textId="77777777" w:rsidR="00A74A1E" w:rsidRDefault="00807990">
            <w:pPr>
              <w:jc w:val="right"/>
              <w:textAlignment w:val="bottom"/>
            </w:pPr>
            <w:r>
              <w:rPr>
                <w:rFonts w:ascii="Arial" w:eastAsia="宋体" w:hAnsi="Arial" w:cs="Arial"/>
                <w:color w:val="000000"/>
                <w:sz w:val="20"/>
                <w:szCs w:val="20"/>
              </w:rPr>
              <w:t>92 </w:t>
            </w:r>
          </w:p>
        </w:tc>
        <w:tc>
          <w:tcPr>
            <w:tcW w:w="0" w:type="auto"/>
            <w:shd w:val="clear" w:color="auto" w:fill="CCEEFF"/>
            <w:tcMar>
              <w:top w:w="40" w:type="dxa"/>
              <w:left w:w="0" w:type="dxa"/>
              <w:bottom w:w="40" w:type="dxa"/>
              <w:right w:w="20" w:type="dxa"/>
            </w:tcMar>
            <w:vAlign w:val="bottom"/>
          </w:tcPr>
          <w:p w14:paraId="1426F2D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D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2D3" w14:textId="77777777" w:rsidR="00A74A1E" w:rsidRDefault="00807990">
            <w:pPr>
              <w:jc w:val="right"/>
              <w:textAlignment w:val="bottom"/>
            </w:pPr>
            <w:r>
              <w:rPr>
                <w:rFonts w:ascii="Arial" w:eastAsia="宋体" w:hAnsi="Arial" w:cs="Arial"/>
                <w:color w:val="000000"/>
                <w:sz w:val="20"/>
                <w:szCs w:val="20"/>
              </w:rPr>
              <w:t>114 </w:t>
            </w:r>
          </w:p>
        </w:tc>
        <w:tc>
          <w:tcPr>
            <w:tcW w:w="0" w:type="auto"/>
            <w:shd w:val="clear" w:color="auto" w:fill="CCEEFF"/>
            <w:tcMar>
              <w:top w:w="40" w:type="dxa"/>
              <w:left w:w="0" w:type="dxa"/>
              <w:bottom w:w="40" w:type="dxa"/>
              <w:right w:w="20" w:type="dxa"/>
            </w:tcMar>
            <w:vAlign w:val="bottom"/>
          </w:tcPr>
          <w:p w14:paraId="1426F2D4" w14:textId="77777777" w:rsidR="00A74A1E" w:rsidRDefault="00A74A1E">
            <w:pPr>
              <w:jc w:val="right"/>
              <w:rPr>
                <w:rFonts w:ascii="宋体"/>
              </w:rPr>
            </w:pPr>
          </w:p>
        </w:tc>
      </w:tr>
      <w:tr w:rsidR="00A74A1E" w14:paraId="1426F2DC" w14:textId="77777777">
        <w:tc>
          <w:tcPr>
            <w:tcW w:w="0" w:type="auto"/>
            <w:gridSpan w:val="3"/>
            <w:shd w:val="clear" w:color="auto" w:fill="FFFFFF"/>
            <w:tcMar>
              <w:top w:w="40" w:type="dxa"/>
              <w:left w:w="20" w:type="dxa"/>
              <w:bottom w:w="40" w:type="dxa"/>
              <w:right w:w="20" w:type="dxa"/>
            </w:tcMar>
            <w:vAlign w:val="bottom"/>
          </w:tcPr>
          <w:p w14:paraId="1426F2D6" w14:textId="77777777" w:rsidR="00A74A1E" w:rsidRDefault="00807990">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2D7" w14:textId="77777777" w:rsidR="00A74A1E" w:rsidRDefault="00807990">
            <w:pPr>
              <w:jc w:val="right"/>
              <w:textAlignment w:val="bottom"/>
            </w:pPr>
            <w:r>
              <w:rPr>
                <w:rFonts w:ascii="Arial" w:eastAsia="宋体" w:hAnsi="Arial" w:cs="Arial"/>
                <w:color w:val="000000"/>
                <w:sz w:val="20"/>
                <w:szCs w:val="20"/>
              </w:rPr>
              <w:t>1,485 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2D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D9"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2DA" w14:textId="77777777" w:rsidR="00A74A1E" w:rsidRDefault="00807990">
            <w:pPr>
              <w:jc w:val="right"/>
              <w:textAlignment w:val="bottom"/>
            </w:pPr>
            <w:r>
              <w:rPr>
                <w:rFonts w:ascii="Arial" w:eastAsia="宋体" w:hAnsi="Arial" w:cs="Arial"/>
                <w:color w:val="000000"/>
                <w:sz w:val="20"/>
                <w:szCs w:val="20"/>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2DB" w14:textId="77777777" w:rsidR="00A74A1E" w:rsidRDefault="00A74A1E">
            <w:pPr>
              <w:jc w:val="right"/>
              <w:rPr>
                <w:rFonts w:ascii="宋体"/>
              </w:rPr>
            </w:pPr>
          </w:p>
        </w:tc>
      </w:tr>
      <w:tr w:rsidR="00A74A1E" w14:paraId="1426F2E3" w14:textId="77777777">
        <w:tc>
          <w:tcPr>
            <w:tcW w:w="0" w:type="auto"/>
            <w:gridSpan w:val="3"/>
            <w:shd w:val="clear" w:color="auto" w:fill="CCEEFF"/>
            <w:tcMar>
              <w:top w:w="40" w:type="dxa"/>
              <w:left w:w="20" w:type="dxa"/>
              <w:bottom w:w="40" w:type="dxa"/>
              <w:right w:w="20" w:type="dxa"/>
            </w:tcMar>
            <w:vAlign w:val="bottom"/>
          </w:tcPr>
          <w:p w14:paraId="1426F2DD" w14:textId="77777777" w:rsidR="00A74A1E" w:rsidRDefault="00807990">
            <w:pPr>
              <w:textAlignment w:val="bottom"/>
            </w:pPr>
            <w:r>
              <w:rPr>
                <w:rFonts w:ascii="Arial" w:eastAsia="宋体"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1426F2DE" w14:textId="77777777" w:rsidR="00A74A1E" w:rsidRDefault="00807990">
            <w:pPr>
              <w:jc w:val="right"/>
              <w:textAlignment w:val="bottom"/>
            </w:pPr>
            <w:r>
              <w:rPr>
                <w:rFonts w:ascii="Arial" w:eastAsia="宋体" w:hAnsi="Arial" w:cs="Arial"/>
                <w:color w:val="000000"/>
                <w:sz w:val="20"/>
                <w:szCs w:val="20"/>
              </w:rPr>
              <w:t>(890)</w:t>
            </w:r>
          </w:p>
        </w:tc>
        <w:tc>
          <w:tcPr>
            <w:tcW w:w="0" w:type="auto"/>
            <w:shd w:val="clear" w:color="auto" w:fill="CCEEFF"/>
            <w:tcMar>
              <w:top w:w="40" w:type="dxa"/>
              <w:left w:w="0" w:type="dxa"/>
              <w:bottom w:w="40" w:type="dxa"/>
              <w:right w:w="20" w:type="dxa"/>
            </w:tcMar>
            <w:vAlign w:val="bottom"/>
          </w:tcPr>
          <w:p w14:paraId="1426F2D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2E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2E1" w14:textId="77777777" w:rsidR="00A74A1E" w:rsidRDefault="00807990">
            <w:pPr>
              <w:jc w:val="right"/>
              <w:textAlignment w:val="bottom"/>
            </w:pPr>
            <w:r>
              <w:rPr>
                <w:rFonts w:ascii="Arial" w:eastAsia="宋体" w:hAnsi="Arial" w:cs="Arial"/>
                <w:color w:val="000000"/>
                <w:sz w:val="20"/>
                <w:szCs w:val="20"/>
              </w:rPr>
              <w:t>(768)</w:t>
            </w:r>
          </w:p>
        </w:tc>
        <w:tc>
          <w:tcPr>
            <w:tcW w:w="0" w:type="auto"/>
            <w:shd w:val="clear" w:color="auto" w:fill="CCEEFF"/>
            <w:tcMar>
              <w:top w:w="40" w:type="dxa"/>
              <w:left w:w="0" w:type="dxa"/>
              <w:bottom w:w="40" w:type="dxa"/>
              <w:right w:w="20" w:type="dxa"/>
            </w:tcMar>
            <w:vAlign w:val="bottom"/>
          </w:tcPr>
          <w:p w14:paraId="1426F2E2" w14:textId="77777777" w:rsidR="00A74A1E" w:rsidRDefault="00A74A1E">
            <w:pPr>
              <w:jc w:val="right"/>
              <w:rPr>
                <w:rFonts w:ascii="宋体"/>
              </w:rPr>
            </w:pPr>
          </w:p>
        </w:tc>
      </w:tr>
      <w:tr w:rsidR="00A74A1E" w14:paraId="1426F2EC" w14:textId="77777777">
        <w:tc>
          <w:tcPr>
            <w:tcW w:w="0" w:type="auto"/>
            <w:gridSpan w:val="3"/>
            <w:shd w:val="clear" w:color="auto" w:fill="FFFFFF"/>
            <w:tcMar>
              <w:top w:w="40" w:type="dxa"/>
              <w:left w:w="20" w:type="dxa"/>
              <w:bottom w:w="40" w:type="dxa"/>
              <w:right w:w="20" w:type="dxa"/>
            </w:tcMar>
            <w:vAlign w:val="bottom"/>
          </w:tcPr>
          <w:p w14:paraId="1426F2E4" w14:textId="77777777" w:rsidR="00A74A1E" w:rsidRDefault="00807990">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2E5"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2E6" w14:textId="77777777" w:rsidR="00A74A1E" w:rsidRDefault="00807990">
            <w:pPr>
              <w:jc w:val="right"/>
              <w:textAlignment w:val="bottom"/>
            </w:pPr>
            <w:r>
              <w:rPr>
                <w:rFonts w:ascii="Arial" w:eastAsia="宋体" w:hAnsi="Arial" w:cs="Arial"/>
                <w:color w:val="000000"/>
                <w:sz w:val="20"/>
                <w:szCs w:val="20"/>
              </w:rPr>
              <w:t>595 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2E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2E8"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2E9"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2EA" w14:textId="77777777" w:rsidR="00A74A1E" w:rsidRDefault="00807990">
            <w:pPr>
              <w:jc w:val="right"/>
              <w:textAlignment w:val="bottom"/>
            </w:pPr>
            <w:r>
              <w:rPr>
                <w:rFonts w:ascii="Arial" w:eastAsia="宋体" w:hAnsi="Arial" w:cs="Arial"/>
                <w:color w:val="000000"/>
                <w:sz w:val="20"/>
                <w:szCs w:val="20"/>
              </w:rPr>
              <w:t>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2EB" w14:textId="77777777" w:rsidR="00A74A1E" w:rsidRDefault="00A74A1E">
            <w:pPr>
              <w:jc w:val="right"/>
              <w:rPr>
                <w:rFonts w:ascii="宋体"/>
              </w:rPr>
            </w:pPr>
          </w:p>
        </w:tc>
      </w:tr>
    </w:tbl>
    <w:p w14:paraId="1426F2ED" w14:textId="77777777" w:rsidR="00A74A1E" w:rsidRDefault="00807990">
      <w:pPr>
        <w:spacing w:before="300"/>
        <w:ind w:firstLine="450"/>
      </w:pPr>
      <w:r>
        <w:rPr>
          <w:rFonts w:ascii="Arial" w:eastAsia="宋体" w:hAnsi="Arial" w:cs="Arial"/>
          <w:b/>
          <w:bCs/>
          <w:i/>
          <w:iCs/>
          <w:color w:val="000000"/>
          <w:sz w:val="20"/>
          <w:szCs w:val="20"/>
        </w:rPr>
        <w:t>Other Non-Current Assets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A74A1E" w14:paraId="1426F2FA" w14:textId="77777777">
        <w:tc>
          <w:tcPr>
            <w:tcW w:w="50" w:type="pct"/>
            <w:shd w:val="clear" w:color="auto" w:fill="auto"/>
          </w:tcPr>
          <w:p w14:paraId="1426F2EE" w14:textId="77777777" w:rsidR="00A74A1E" w:rsidRDefault="00A74A1E">
            <w:pPr>
              <w:rPr>
                <w:rFonts w:ascii="宋体"/>
              </w:rPr>
            </w:pPr>
          </w:p>
        </w:tc>
        <w:tc>
          <w:tcPr>
            <w:tcW w:w="3154" w:type="pct"/>
            <w:shd w:val="clear" w:color="auto" w:fill="auto"/>
          </w:tcPr>
          <w:p w14:paraId="1426F2EF" w14:textId="77777777" w:rsidR="00A74A1E" w:rsidRDefault="00A74A1E">
            <w:pPr>
              <w:rPr>
                <w:rFonts w:ascii="宋体"/>
              </w:rPr>
            </w:pPr>
          </w:p>
        </w:tc>
        <w:tc>
          <w:tcPr>
            <w:tcW w:w="5" w:type="pct"/>
            <w:shd w:val="clear" w:color="auto" w:fill="auto"/>
          </w:tcPr>
          <w:p w14:paraId="1426F2F0" w14:textId="77777777" w:rsidR="00A74A1E" w:rsidRDefault="00A74A1E">
            <w:pPr>
              <w:rPr>
                <w:rFonts w:ascii="宋体"/>
              </w:rPr>
            </w:pPr>
          </w:p>
        </w:tc>
        <w:tc>
          <w:tcPr>
            <w:tcW w:w="50" w:type="pct"/>
            <w:shd w:val="clear" w:color="auto" w:fill="auto"/>
          </w:tcPr>
          <w:p w14:paraId="1426F2F1" w14:textId="77777777" w:rsidR="00A74A1E" w:rsidRDefault="00A74A1E">
            <w:pPr>
              <w:rPr>
                <w:rFonts w:ascii="宋体"/>
              </w:rPr>
            </w:pPr>
          </w:p>
        </w:tc>
        <w:tc>
          <w:tcPr>
            <w:tcW w:w="822" w:type="pct"/>
            <w:shd w:val="clear" w:color="auto" w:fill="auto"/>
          </w:tcPr>
          <w:p w14:paraId="1426F2F2" w14:textId="77777777" w:rsidR="00A74A1E" w:rsidRDefault="00A74A1E">
            <w:pPr>
              <w:rPr>
                <w:rFonts w:ascii="宋体"/>
              </w:rPr>
            </w:pPr>
          </w:p>
        </w:tc>
        <w:tc>
          <w:tcPr>
            <w:tcW w:w="5" w:type="pct"/>
            <w:shd w:val="clear" w:color="auto" w:fill="auto"/>
          </w:tcPr>
          <w:p w14:paraId="1426F2F3" w14:textId="77777777" w:rsidR="00A74A1E" w:rsidRDefault="00A74A1E">
            <w:pPr>
              <w:rPr>
                <w:rFonts w:ascii="宋体"/>
              </w:rPr>
            </w:pPr>
          </w:p>
        </w:tc>
        <w:tc>
          <w:tcPr>
            <w:tcW w:w="5" w:type="pct"/>
            <w:shd w:val="clear" w:color="auto" w:fill="auto"/>
          </w:tcPr>
          <w:p w14:paraId="1426F2F4" w14:textId="77777777" w:rsidR="00A74A1E" w:rsidRDefault="00A74A1E">
            <w:pPr>
              <w:rPr>
                <w:rFonts w:ascii="宋体"/>
              </w:rPr>
            </w:pPr>
          </w:p>
        </w:tc>
        <w:tc>
          <w:tcPr>
            <w:tcW w:w="26" w:type="pct"/>
            <w:shd w:val="clear" w:color="auto" w:fill="auto"/>
          </w:tcPr>
          <w:p w14:paraId="1426F2F5" w14:textId="77777777" w:rsidR="00A74A1E" w:rsidRDefault="00A74A1E">
            <w:pPr>
              <w:rPr>
                <w:rFonts w:ascii="宋体"/>
              </w:rPr>
            </w:pPr>
          </w:p>
        </w:tc>
        <w:tc>
          <w:tcPr>
            <w:tcW w:w="5" w:type="pct"/>
            <w:shd w:val="clear" w:color="auto" w:fill="auto"/>
          </w:tcPr>
          <w:p w14:paraId="1426F2F6" w14:textId="77777777" w:rsidR="00A74A1E" w:rsidRDefault="00A74A1E">
            <w:pPr>
              <w:rPr>
                <w:rFonts w:ascii="宋体"/>
              </w:rPr>
            </w:pPr>
          </w:p>
        </w:tc>
        <w:tc>
          <w:tcPr>
            <w:tcW w:w="50" w:type="pct"/>
            <w:shd w:val="clear" w:color="auto" w:fill="auto"/>
          </w:tcPr>
          <w:p w14:paraId="1426F2F7" w14:textId="77777777" w:rsidR="00A74A1E" w:rsidRDefault="00A74A1E">
            <w:pPr>
              <w:rPr>
                <w:rFonts w:ascii="宋体"/>
              </w:rPr>
            </w:pPr>
          </w:p>
        </w:tc>
        <w:tc>
          <w:tcPr>
            <w:tcW w:w="822" w:type="pct"/>
            <w:shd w:val="clear" w:color="auto" w:fill="auto"/>
          </w:tcPr>
          <w:p w14:paraId="1426F2F8" w14:textId="77777777" w:rsidR="00A74A1E" w:rsidRDefault="00A74A1E">
            <w:pPr>
              <w:rPr>
                <w:rFonts w:ascii="宋体"/>
              </w:rPr>
            </w:pPr>
          </w:p>
        </w:tc>
        <w:tc>
          <w:tcPr>
            <w:tcW w:w="5" w:type="pct"/>
            <w:shd w:val="clear" w:color="auto" w:fill="auto"/>
          </w:tcPr>
          <w:p w14:paraId="1426F2F9" w14:textId="77777777" w:rsidR="00A74A1E" w:rsidRDefault="00A74A1E">
            <w:pPr>
              <w:rPr>
                <w:rFonts w:ascii="宋体"/>
              </w:rPr>
            </w:pPr>
          </w:p>
        </w:tc>
      </w:tr>
      <w:tr w:rsidR="00A74A1E" w14:paraId="1426F2FF" w14:textId="77777777">
        <w:tc>
          <w:tcPr>
            <w:tcW w:w="0" w:type="auto"/>
            <w:gridSpan w:val="3"/>
            <w:shd w:val="clear" w:color="auto" w:fill="auto"/>
            <w:tcMar>
              <w:top w:w="0" w:type="dxa"/>
              <w:left w:w="20" w:type="dxa"/>
              <w:bottom w:w="0" w:type="dxa"/>
              <w:right w:w="20" w:type="dxa"/>
            </w:tcMar>
          </w:tcPr>
          <w:p w14:paraId="1426F2F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center"/>
          </w:tcPr>
          <w:p w14:paraId="1426F2FC"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F2FD"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426F2FE" w14:textId="77777777" w:rsidR="00A74A1E" w:rsidRDefault="00807990">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F302" w14:textId="77777777">
        <w:tc>
          <w:tcPr>
            <w:tcW w:w="0" w:type="auto"/>
            <w:gridSpan w:val="3"/>
            <w:shd w:val="clear" w:color="auto" w:fill="auto"/>
            <w:tcMar>
              <w:top w:w="0" w:type="dxa"/>
              <w:left w:w="20" w:type="dxa"/>
              <w:bottom w:w="0" w:type="dxa"/>
              <w:right w:w="20" w:type="dxa"/>
            </w:tcMar>
          </w:tcPr>
          <w:p w14:paraId="1426F300" w14:textId="77777777" w:rsidR="00A74A1E" w:rsidRDefault="00A74A1E">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1426F301"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30B" w14:textId="77777777">
        <w:tc>
          <w:tcPr>
            <w:tcW w:w="0" w:type="auto"/>
            <w:gridSpan w:val="3"/>
            <w:shd w:val="clear" w:color="auto" w:fill="CCEEFF"/>
            <w:tcMar>
              <w:top w:w="40" w:type="dxa"/>
              <w:left w:w="20" w:type="dxa"/>
              <w:bottom w:w="40" w:type="dxa"/>
              <w:right w:w="20" w:type="dxa"/>
            </w:tcMar>
            <w:vAlign w:val="bottom"/>
          </w:tcPr>
          <w:p w14:paraId="1426F303" w14:textId="77777777" w:rsidR="00A74A1E" w:rsidRDefault="00807990">
            <w:pPr>
              <w:textAlignment w:val="bottom"/>
            </w:pPr>
            <w:r>
              <w:rPr>
                <w:rFonts w:ascii="Arial" w:eastAsia="宋体" w:hAnsi="Arial" w:cs="Arial"/>
                <w:color w:val="000000"/>
                <w:sz w:val="20"/>
                <w:szCs w:val="20"/>
              </w:rPr>
              <w:t>Software technology and licenses, net</w:t>
            </w:r>
          </w:p>
        </w:tc>
        <w:tc>
          <w:tcPr>
            <w:tcW w:w="0" w:type="auto"/>
            <w:shd w:val="clear" w:color="auto" w:fill="CCEEFF"/>
            <w:tcMar>
              <w:top w:w="40" w:type="dxa"/>
              <w:left w:w="20" w:type="dxa"/>
              <w:bottom w:w="40" w:type="dxa"/>
              <w:right w:w="0" w:type="dxa"/>
            </w:tcMar>
            <w:vAlign w:val="bottom"/>
          </w:tcPr>
          <w:p w14:paraId="1426F30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05" w14:textId="77777777" w:rsidR="00A74A1E" w:rsidRDefault="00807990">
            <w:pPr>
              <w:jc w:val="right"/>
              <w:textAlignment w:val="bottom"/>
            </w:pPr>
            <w:r>
              <w:rPr>
                <w:rFonts w:ascii="Arial" w:eastAsia="宋体" w:hAnsi="Arial" w:cs="Arial"/>
                <w:color w:val="000000"/>
                <w:sz w:val="20"/>
                <w:szCs w:val="20"/>
              </w:rPr>
              <w:t>194 </w:t>
            </w:r>
          </w:p>
        </w:tc>
        <w:tc>
          <w:tcPr>
            <w:tcW w:w="0" w:type="auto"/>
            <w:shd w:val="clear" w:color="auto" w:fill="CCEEFF"/>
            <w:tcMar>
              <w:top w:w="40" w:type="dxa"/>
              <w:left w:w="0" w:type="dxa"/>
              <w:bottom w:w="40" w:type="dxa"/>
              <w:right w:w="20" w:type="dxa"/>
            </w:tcMar>
            <w:vAlign w:val="bottom"/>
          </w:tcPr>
          <w:p w14:paraId="1426F30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07"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30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09" w14:textId="77777777" w:rsidR="00A74A1E" w:rsidRDefault="00807990">
            <w:pPr>
              <w:jc w:val="right"/>
              <w:textAlignment w:val="bottom"/>
            </w:pPr>
            <w:r>
              <w:rPr>
                <w:rFonts w:ascii="Arial" w:eastAsia="宋体" w:hAnsi="Arial" w:cs="Arial"/>
                <w:color w:val="000000"/>
                <w:sz w:val="20"/>
                <w:szCs w:val="20"/>
              </w:rPr>
              <w:t>210 </w:t>
            </w:r>
          </w:p>
        </w:tc>
        <w:tc>
          <w:tcPr>
            <w:tcW w:w="0" w:type="auto"/>
            <w:shd w:val="clear" w:color="auto" w:fill="CCEEFF"/>
            <w:tcMar>
              <w:top w:w="40" w:type="dxa"/>
              <w:left w:w="0" w:type="dxa"/>
              <w:bottom w:w="40" w:type="dxa"/>
              <w:right w:w="20" w:type="dxa"/>
            </w:tcMar>
            <w:vAlign w:val="bottom"/>
          </w:tcPr>
          <w:p w14:paraId="1426F30A" w14:textId="77777777" w:rsidR="00A74A1E" w:rsidRDefault="00A74A1E">
            <w:pPr>
              <w:jc w:val="right"/>
              <w:rPr>
                <w:rFonts w:ascii="宋体"/>
              </w:rPr>
            </w:pPr>
          </w:p>
        </w:tc>
      </w:tr>
      <w:tr w:rsidR="00A74A1E" w14:paraId="1426F312" w14:textId="77777777">
        <w:tc>
          <w:tcPr>
            <w:tcW w:w="0" w:type="auto"/>
            <w:gridSpan w:val="3"/>
            <w:shd w:val="clear" w:color="auto" w:fill="FFFFFF"/>
            <w:tcMar>
              <w:top w:w="40" w:type="dxa"/>
              <w:left w:w="20" w:type="dxa"/>
              <w:bottom w:w="40" w:type="dxa"/>
              <w:right w:w="20" w:type="dxa"/>
            </w:tcMar>
            <w:vAlign w:val="bottom"/>
          </w:tcPr>
          <w:p w14:paraId="1426F30C" w14:textId="77777777" w:rsidR="00A74A1E" w:rsidRDefault="00807990">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426F30D" w14:textId="77777777" w:rsidR="00A74A1E" w:rsidRDefault="00807990">
            <w:pPr>
              <w:jc w:val="right"/>
              <w:textAlignment w:val="bottom"/>
            </w:pPr>
            <w:r>
              <w:rPr>
                <w:rFonts w:ascii="Arial" w:eastAsia="宋体" w:hAnsi="Arial" w:cs="Arial"/>
                <w:color w:val="000000"/>
                <w:sz w:val="20"/>
                <w:szCs w:val="20"/>
              </w:rPr>
              <w:t>170 </w:t>
            </w:r>
          </w:p>
        </w:tc>
        <w:tc>
          <w:tcPr>
            <w:tcW w:w="0" w:type="auto"/>
            <w:shd w:val="clear" w:color="auto" w:fill="FFFFFF"/>
            <w:tcMar>
              <w:top w:w="40" w:type="dxa"/>
              <w:left w:w="0" w:type="dxa"/>
              <w:bottom w:w="40" w:type="dxa"/>
              <w:right w:w="20" w:type="dxa"/>
            </w:tcMar>
            <w:vAlign w:val="bottom"/>
          </w:tcPr>
          <w:p w14:paraId="1426F30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0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310" w14:textId="77777777" w:rsidR="00A74A1E" w:rsidRDefault="00807990">
            <w:pPr>
              <w:jc w:val="right"/>
              <w:textAlignment w:val="bottom"/>
            </w:pPr>
            <w:r>
              <w:rPr>
                <w:rFonts w:ascii="Arial" w:eastAsia="宋体" w:hAnsi="Arial" w:cs="Arial"/>
                <w:color w:val="000000"/>
                <w:sz w:val="20"/>
                <w:szCs w:val="20"/>
              </w:rPr>
              <w:t>169 </w:t>
            </w:r>
          </w:p>
        </w:tc>
        <w:tc>
          <w:tcPr>
            <w:tcW w:w="0" w:type="auto"/>
            <w:shd w:val="clear" w:color="auto" w:fill="FFFFFF"/>
            <w:tcMar>
              <w:top w:w="40" w:type="dxa"/>
              <w:left w:w="0" w:type="dxa"/>
              <w:bottom w:w="40" w:type="dxa"/>
              <w:right w:w="20" w:type="dxa"/>
            </w:tcMar>
            <w:vAlign w:val="bottom"/>
          </w:tcPr>
          <w:p w14:paraId="1426F311" w14:textId="77777777" w:rsidR="00A74A1E" w:rsidRDefault="00A74A1E">
            <w:pPr>
              <w:jc w:val="right"/>
              <w:rPr>
                <w:rFonts w:ascii="宋体"/>
              </w:rPr>
            </w:pPr>
          </w:p>
        </w:tc>
      </w:tr>
      <w:tr w:rsidR="00A74A1E" w14:paraId="1426F31B" w14:textId="77777777">
        <w:tc>
          <w:tcPr>
            <w:tcW w:w="0" w:type="auto"/>
            <w:gridSpan w:val="3"/>
            <w:shd w:val="clear" w:color="auto" w:fill="CCEEFF"/>
            <w:tcMar>
              <w:top w:w="40" w:type="dxa"/>
              <w:left w:w="20" w:type="dxa"/>
              <w:bottom w:w="40" w:type="dxa"/>
              <w:right w:w="20" w:type="dxa"/>
            </w:tcMar>
            <w:vAlign w:val="bottom"/>
          </w:tcPr>
          <w:p w14:paraId="1426F313" w14:textId="77777777" w:rsidR="00A74A1E" w:rsidRDefault="00807990">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31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315" w14:textId="77777777" w:rsidR="00A74A1E" w:rsidRDefault="00807990">
            <w:pPr>
              <w:jc w:val="right"/>
              <w:textAlignment w:val="bottom"/>
            </w:pPr>
            <w:r>
              <w:rPr>
                <w:rFonts w:ascii="Arial" w:eastAsia="宋体" w:hAnsi="Arial" w:cs="Arial"/>
                <w:color w:val="000000"/>
                <w:sz w:val="20"/>
                <w:szCs w:val="20"/>
              </w:rPr>
              <w:t>364 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31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17"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31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319" w14:textId="77777777" w:rsidR="00A74A1E" w:rsidRDefault="00807990">
            <w:pPr>
              <w:jc w:val="right"/>
              <w:textAlignment w:val="bottom"/>
            </w:pPr>
            <w:r>
              <w:rPr>
                <w:rFonts w:ascii="Arial" w:eastAsia="宋体" w:hAnsi="Arial" w:cs="Arial"/>
                <w:color w:val="000000"/>
                <w:sz w:val="20"/>
                <w:szCs w:val="20"/>
              </w:rPr>
              <w:t>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31A" w14:textId="77777777" w:rsidR="00A74A1E" w:rsidRDefault="00A74A1E">
            <w:pPr>
              <w:jc w:val="right"/>
              <w:rPr>
                <w:rFonts w:ascii="宋体"/>
              </w:rPr>
            </w:pPr>
          </w:p>
        </w:tc>
      </w:tr>
    </w:tbl>
    <w:p w14:paraId="1426F31C" w14:textId="77777777" w:rsidR="00A74A1E" w:rsidRDefault="00807990">
      <w:pPr>
        <w:jc w:val="center"/>
      </w:pPr>
      <w:r>
        <w:rPr>
          <w:rFonts w:ascii="Arial" w:eastAsia="宋体" w:hAnsi="Arial" w:cs="Arial"/>
          <w:color w:val="000000"/>
          <w:sz w:val="20"/>
          <w:szCs w:val="20"/>
        </w:rPr>
        <w:t>10</w:t>
      </w:r>
    </w:p>
    <w:p w14:paraId="1426F31D" w14:textId="77777777" w:rsidR="00A74A1E" w:rsidRDefault="00807990">
      <w:r>
        <w:pict w14:anchorId="1426FC15">
          <v:rect id="_x0000_i1034" style="width:415.3pt;height:1.5pt" o:hralign="center" o:hrstd="t" o:hr="t" fillcolor="#a0a0a0" stroked="f"/>
        </w:pict>
      </w:r>
    </w:p>
    <w:p w14:paraId="1426F31E" w14:textId="77777777" w:rsidR="00A74A1E" w:rsidRDefault="00A74A1E">
      <w:pPr>
        <w:spacing w:before="60"/>
      </w:pPr>
    </w:p>
    <w:p w14:paraId="1426F31F" w14:textId="77777777" w:rsidR="00A74A1E" w:rsidRDefault="00807990">
      <w:pPr>
        <w:spacing w:before="300" w:after="100"/>
        <w:ind w:firstLine="450"/>
      </w:pPr>
      <w:r>
        <w:rPr>
          <w:rFonts w:ascii="Arial" w:eastAsia="宋体" w:hAnsi="Arial" w:cs="Arial"/>
          <w:b/>
          <w:bCs/>
          <w:i/>
          <w:iCs/>
          <w:color w:val="000000"/>
          <w:sz w:val="20"/>
          <w:szCs w:val="20"/>
        </w:rPr>
        <w:t xml:space="preserve">Accrued Liabilities </w:t>
      </w:r>
    </w:p>
    <w:tbl>
      <w:tblPr>
        <w:tblW w:w="5000" w:type="pc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A74A1E" w14:paraId="1426F32C" w14:textId="77777777">
        <w:tc>
          <w:tcPr>
            <w:tcW w:w="50" w:type="pct"/>
            <w:shd w:val="clear" w:color="auto" w:fill="auto"/>
          </w:tcPr>
          <w:p w14:paraId="1426F320" w14:textId="77777777" w:rsidR="00A74A1E" w:rsidRDefault="00A74A1E">
            <w:pPr>
              <w:rPr>
                <w:rFonts w:ascii="宋体"/>
              </w:rPr>
            </w:pPr>
          </w:p>
        </w:tc>
        <w:tc>
          <w:tcPr>
            <w:tcW w:w="3154" w:type="pct"/>
            <w:shd w:val="clear" w:color="auto" w:fill="auto"/>
          </w:tcPr>
          <w:p w14:paraId="1426F321" w14:textId="77777777" w:rsidR="00A74A1E" w:rsidRDefault="00A74A1E">
            <w:pPr>
              <w:rPr>
                <w:rFonts w:ascii="宋体"/>
              </w:rPr>
            </w:pPr>
          </w:p>
        </w:tc>
        <w:tc>
          <w:tcPr>
            <w:tcW w:w="5" w:type="pct"/>
            <w:shd w:val="clear" w:color="auto" w:fill="auto"/>
          </w:tcPr>
          <w:p w14:paraId="1426F322" w14:textId="77777777" w:rsidR="00A74A1E" w:rsidRDefault="00A74A1E">
            <w:pPr>
              <w:rPr>
                <w:rFonts w:ascii="宋体"/>
              </w:rPr>
            </w:pPr>
          </w:p>
        </w:tc>
        <w:tc>
          <w:tcPr>
            <w:tcW w:w="50" w:type="pct"/>
            <w:shd w:val="clear" w:color="auto" w:fill="auto"/>
          </w:tcPr>
          <w:p w14:paraId="1426F323" w14:textId="77777777" w:rsidR="00A74A1E" w:rsidRDefault="00A74A1E">
            <w:pPr>
              <w:rPr>
                <w:rFonts w:ascii="宋体"/>
              </w:rPr>
            </w:pPr>
          </w:p>
        </w:tc>
        <w:tc>
          <w:tcPr>
            <w:tcW w:w="822" w:type="pct"/>
            <w:shd w:val="clear" w:color="auto" w:fill="auto"/>
          </w:tcPr>
          <w:p w14:paraId="1426F324" w14:textId="77777777" w:rsidR="00A74A1E" w:rsidRDefault="00A74A1E">
            <w:pPr>
              <w:rPr>
                <w:rFonts w:ascii="宋体"/>
              </w:rPr>
            </w:pPr>
          </w:p>
        </w:tc>
        <w:tc>
          <w:tcPr>
            <w:tcW w:w="5" w:type="pct"/>
            <w:shd w:val="clear" w:color="auto" w:fill="auto"/>
          </w:tcPr>
          <w:p w14:paraId="1426F325" w14:textId="77777777" w:rsidR="00A74A1E" w:rsidRDefault="00A74A1E">
            <w:pPr>
              <w:rPr>
                <w:rFonts w:ascii="宋体"/>
              </w:rPr>
            </w:pPr>
          </w:p>
        </w:tc>
        <w:tc>
          <w:tcPr>
            <w:tcW w:w="5" w:type="pct"/>
            <w:shd w:val="clear" w:color="auto" w:fill="auto"/>
          </w:tcPr>
          <w:p w14:paraId="1426F326" w14:textId="77777777" w:rsidR="00A74A1E" w:rsidRDefault="00A74A1E">
            <w:pPr>
              <w:rPr>
                <w:rFonts w:ascii="宋体"/>
              </w:rPr>
            </w:pPr>
          </w:p>
        </w:tc>
        <w:tc>
          <w:tcPr>
            <w:tcW w:w="26" w:type="pct"/>
            <w:shd w:val="clear" w:color="auto" w:fill="auto"/>
          </w:tcPr>
          <w:p w14:paraId="1426F327" w14:textId="77777777" w:rsidR="00A74A1E" w:rsidRDefault="00A74A1E">
            <w:pPr>
              <w:rPr>
                <w:rFonts w:ascii="宋体"/>
              </w:rPr>
            </w:pPr>
          </w:p>
        </w:tc>
        <w:tc>
          <w:tcPr>
            <w:tcW w:w="5" w:type="pct"/>
            <w:shd w:val="clear" w:color="auto" w:fill="auto"/>
          </w:tcPr>
          <w:p w14:paraId="1426F328" w14:textId="77777777" w:rsidR="00A74A1E" w:rsidRDefault="00A74A1E">
            <w:pPr>
              <w:rPr>
                <w:rFonts w:ascii="宋体"/>
              </w:rPr>
            </w:pPr>
          </w:p>
        </w:tc>
        <w:tc>
          <w:tcPr>
            <w:tcW w:w="50" w:type="pct"/>
            <w:shd w:val="clear" w:color="auto" w:fill="auto"/>
          </w:tcPr>
          <w:p w14:paraId="1426F329" w14:textId="77777777" w:rsidR="00A74A1E" w:rsidRDefault="00A74A1E">
            <w:pPr>
              <w:rPr>
                <w:rFonts w:ascii="宋体"/>
              </w:rPr>
            </w:pPr>
          </w:p>
        </w:tc>
        <w:tc>
          <w:tcPr>
            <w:tcW w:w="822" w:type="pct"/>
            <w:shd w:val="clear" w:color="auto" w:fill="auto"/>
          </w:tcPr>
          <w:p w14:paraId="1426F32A" w14:textId="77777777" w:rsidR="00A74A1E" w:rsidRDefault="00A74A1E">
            <w:pPr>
              <w:rPr>
                <w:rFonts w:ascii="宋体"/>
              </w:rPr>
            </w:pPr>
          </w:p>
        </w:tc>
        <w:tc>
          <w:tcPr>
            <w:tcW w:w="5" w:type="pct"/>
            <w:shd w:val="clear" w:color="auto" w:fill="auto"/>
          </w:tcPr>
          <w:p w14:paraId="1426F32B" w14:textId="77777777" w:rsidR="00A74A1E" w:rsidRDefault="00A74A1E">
            <w:pPr>
              <w:rPr>
                <w:rFonts w:ascii="宋体"/>
              </w:rPr>
            </w:pPr>
          </w:p>
        </w:tc>
      </w:tr>
      <w:tr w:rsidR="00A74A1E" w14:paraId="1426F331" w14:textId="77777777">
        <w:tc>
          <w:tcPr>
            <w:tcW w:w="0" w:type="auto"/>
            <w:gridSpan w:val="3"/>
            <w:shd w:val="clear" w:color="auto" w:fill="auto"/>
            <w:tcMar>
              <w:top w:w="0" w:type="dxa"/>
              <w:left w:w="20" w:type="dxa"/>
              <w:bottom w:w="0" w:type="dxa"/>
              <w:right w:w="20" w:type="dxa"/>
            </w:tcMar>
          </w:tcPr>
          <w:p w14:paraId="1426F32D"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center"/>
          </w:tcPr>
          <w:p w14:paraId="1426F32E"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F32F"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426F330" w14:textId="77777777" w:rsidR="00A74A1E" w:rsidRDefault="00807990">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F334" w14:textId="77777777">
        <w:tc>
          <w:tcPr>
            <w:tcW w:w="0" w:type="auto"/>
            <w:gridSpan w:val="3"/>
            <w:shd w:val="clear" w:color="auto" w:fill="auto"/>
            <w:tcMar>
              <w:top w:w="40" w:type="dxa"/>
              <w:left w:w="20" w:type="dxa"/>
              <w:bottom w:w="40" w:type="dxa"/>
              <w:right w:w="20" w:type="dxa"/>
            </w:tcMar>
            <w:vAlign w:val="bottom"/>
          </w:tcPr>
          <w:p w14:paraId="1426F332" w14:textId="77777777" w:rsidR="00A74A1E" w:rsidRDefault="00807990">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426F333"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33D" w14:textId="77777777">
        <w:tc>
          <w:tcPr>
            <w:tcW w:w="0" w:type="auto"/>
            <w:gridSpan w:val="3"/>
            <w:shd w:val="clear" w:color="auto" w:fill="CCEEFF"/>
            <w:tcMar>
              <w:top w:w="40" w:type="dxa"/>
              <w:left w:w="20" w:type="dxa"/>
              <w:bottom w:w="40" w:type="dxa"/>
              <w:right w:w="20" w:type="dxa"/>
            </w:tcMar>
            <w:vAlign w:val="bottom"/>
          </w:tcPr>
          <w:p w14:paraId="1426F335" w14:textId="77777777" w:rsidR="00A74A1E" w:rsidRDefault="00807990">
            <w:pPr>
              <w:textAlignment w:val="bottom"/>
            </w:pPr>
            <w:r>
              <w:rPr>
                <w:rFonts w:ascii="Arial" w:eastAsia="宋体" w:hAnsi="Arial" w:cs="Arial"/>
                <w:color w:val="000000"/>
                <w:sz w:val="20"/>
                <w:szCs w:val="20"/>
              </w:rPr>
              <w:t>Accrued compensation and benefits</w:t>
            </w:r>
          </w:p>
        </w:tc>
        <w:tc>
          <w:tcPr>
            <w:tcW w:w="0" w:type="auto"/>
            <w:shd w:val="clear" w:color="auto" w:fill="CCEEFF"/>
            <w:tcMar>
              <w:top w:w="40" w:type="dxa"/>
              <w:left w:w="20" w:type="dxa"/>
              <w:bottom w:w="40" w:type="dxa"/>
              <w:right w:w="0" w:type="dxa"/>
            </w:tcMar>
            <w:vAlign w:val="bottom"/>
          </w:tcPr>
          <w:p w14:paraId="1426F33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37" w14:textId="77777777" w:rsidR="00A74A1E" w:rsidRDefault="00807990">
            <w:pPr>
              <w:jc w:val="right"/>
              <w:textAlignment w:val="bottom"/>
            </w:pPr>
            <w:r>
              <w:rPr>
                <w:rFonts w:ascii="Arial" w:eastAsia="宋体" w:hAnsi="Arial" w:cs="Arial"/>
                <w:color w:val="000000"/>
                <w:sz w:val="20"/>
                <w:szCs w:val="20"/>
              </w:rPr>
              <w:t>379 </w:t>
            </w:r>
          </w:p>
        </w:tc>
        <w:tc>
          <w:tcPr>
            <w:tcW w:w="0" w:type="auto"/>
            <w:shd w:val="clear" w:color="auto" w:fill="CCEEFF"/>
            <w:tcMar>
              <w:top w:w="40" w:type="dxa"/>
              <w:left w:w="0" w:type="dxa"/>
              <w:bottom w:w="40" w:type="dxa"/>
              <w:right w:w="20" w:type="dxa"/>
            </w:tcMar>
            <w:vAlign w:val="bottom"/>
          </w:tcPr>
          <w:p w14:paraId="1426F33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39"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33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3B" w14:textId="77777777" w:rsidR="00A74A1E" w:rsidRDefault="00807990">
            <w:pPr>
              <w:jc w:val="right"/>
              <w:textAlignment w:val="bottom"/>
            </w:pPr>
            <w:r>
              <w:rPr>
                <w:rFonts w:ascii="Arial" w:eastAsia="宋体" w:hAnsi="Arial" w:cs="Arial"/>
                <w:color w:val="000000"/>
                <w:sz w:val="20"/>
                <w:szCs w:val="20"/>
              </w:rPr>
              <w:t>285 </w:t>
            </w:r>
          </w:p>
        </w:tc>
        <w:tc>
          <w:tcPr>
            <w:tcW w:w="0" w:type="auto"/>
            <w:shd w:val="clear" w:color="auto" w:fill="CCEEFF"/>
            <w:tcMar>
              <w:top w:w="40" w:type="dxa"/>
              <w:left w:w="0" w:type="dxa"/>
              <w:bottom w:w="40" w:type="dxa"/>
              <w:right w:w="20" w:type="dxa"/>
            </w:tcMar>
            <w:vAlign w:val="bottom"/>
          </w:tcPr>
          <w:p w14:paraId="1426F33C" w14:textId="77777777" w:rsidR="00A74A1E" w:rsidRDefault="00A74A1E">
            <w:pPr>
              <w:jc w:val="right"/>
              <w:rPr>
                <w:rFonts w:ascii="宋体"/>
              </w:rPr>
            </w:pPr>
          </w:p>
        </w:tc>
      </w:tr>
      <w:tr w:rsidR="00A74A1E" w14:paraId="1426F344" w14:textId="77777777">
        <w:tc>
          <w:tcPr>
            <w:tcW w:w="0" w:type="auto"/>
            <w:gridSpan w:val="3"/>
            <w:shd w:val="clear" w:color="auto" w:fill="FFFFFF"/>
            <w:tcMar>
              <w:top w:w="40" w:type="dxa"/>
              <w:left w:w="20" w:type="dxa"/>
              <w:bottom w:w="40" w:type="dxa"/>
              <w:right w:w="20" w:type="dxa"/>
            </w:tcMar>
            <w:vAlign w:val="bottom"/>
          </w:tcPr>
          <w:p w14:paraId="1426F33E" w14:textId="77777777" w:rsidR="00A74A1E" w:rsidRDefault="00807990">
            <w:pPr>
              <w:textAlignment w:val="bottom"/>
            </w:pPr>
            <w:r>
              <w:rPr>
                <w:rFonts w:ascii="Arial" w:eastAsia="宋体" w:hAnsi="Arial" w:cs="Arial"/>
                <w:color w:val="000000"/>
                <w:sz w:val="20"/>
                <w:szCs w:val="20"/>
              </w:rPr>
              <w:t xml:space="preserve">Accrued marketing programs and </w:t>
            </w:r>
            <w:r>
              <w:rPr>
                <w:rFonts w:ascii="Arial" w:eastAsia="宋体" w:hAnsi="Arial" w:cs="Arial"/>
                <w:color w:val="000000"/>
                <w:sz w:val="20"/>
                <w:szCs w:val="20"/>
              </w:rPr>
              <w:t>advertising expenses</w:t>
            </w:r>
          </w:p>
        </w:tc>
        <w:tc>
          <w:tcPr>
            <w:tcW w:w="0" w:type="auto"/>
            <w:gridSpan w:val="2"/>
            <w:shd w:val="clear" w:color="auto" w:fill="FFFFFF"/>
            <w:tcMar>
              <w:top w:w="40" w:type="dxa"/>
              <w:left w:w="20" w:type="dxa"/>
              <w:bottom w:w="40" w:type="dxa"/>
              <w:right w:w="0" w:type="dxa"/>
            </w:tcMar>
            <w:vAlign w:val="bottom"/>
          </w:tcPr>
          <w:p w14:paraId="1426F33F" w14:textId="77777777" w:rsidR="00A74A1E" w:rsidRDefault="00807990">
            <w:pPr>
              <w:jc w:val="right"/>
              <w:textAlignment w:val="bottom"/>
            </w:pPr>
            <w:r>
              <w:rPr>
                <w:rFonts w:ascii="Arial" w:eastAsia="宋体" w:hAnsi="Arial" w:cs="Arial"/>
                <w:color w:val="000000"/>
                <w:sz w:val="20"/>
                <w:szCs w:val="20"/>
              </w:rPr>
              <w:t>709 </w:t>
            </w:r>
          </w:p>
        </w:tc>
        <w:tc>
          <w:tcPr>
            <w:tcW w:w="0" w:type="auto"/>
            <w:shd w:val="clear" w:color="auto" w:fill="FFFFFF"/>
            <w:tcMar>
              <w:top w:w="40" w:type="dxa"/>
              <w:left w:w="0" w:type="dxa"/>
              <w:bottom w:w="40" w:type="dxa"/>
              <w:right w:w="20" w:type="dxa"/>
            </w:tcMar>
            <w:vAlign w:val="bottom"/>
          </w:tcPr>
          <w:p w14:paraId="1426F34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4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342" w14:textId="77777777" w:rsidR="00A74A1E" w:rsidRDefault="00807990">
            <w:pPr>
              <w:jc w:val="right"/>
              <w:textAlignment w:val="bottom"/>
            </w:pPr>
            <w:r>
              <w:rPr>
                <w:rFonts w:ascii="Arial" w:eastAsia="宋体" w:hAnsi="Arial" w:cs="Arial"/>
                <w:color w:val="000000"/>
                <w:sz w:val="20"/>
                <w:szCs w:val="20"/>
              </w:rPr>
              <w:t>454 </w:t>
            </w:r>
          </w:p>
        </w:tc>
        <w:tc>
          <w:tcPr>
            <w:tcW w:w="0" w:type="auto"/>
            <w:shd w:val="clear" w:color="auto" w:fill="FFFFFF"/>
            <w:tcMar>
              <w:top w:w="40" w:type="dxa"/>
              <w:left w:w="0" w:type="dxa"/>
              <w:bottom w:w="40" w:type="dxa"/>
              <w:right w:w="20" w:type="dxa"/>
            </w:tcMar>
            <w:vAlign w:val="bottom"/>
          </w:tcPr>
          <w:p w14:paraId="1426F343" w14:textId="77777777" w:rsidR="00A74A1E" w:rsidRDefault="00A74A1E">
            <w:pPr>
              <w:jc w:val="right"/>
              <w:rPr>
                <w:rFonts w:ascii="宋体"/>
              </w:rPr>
            </w:pPr>
          </w:p>
        </w:tc>
      </w:tr>
      <w:tr w:rsidR="00A74A1E" w14:paraId="1426F34B" w14:textId="77777777">
        <w:tc>
          <w:tcPr>
            <w:tcW w:w="0" w:type="auto"/>
            <w:gridSpan w:val="3"/>
            <w:shd w:val="clear" w:color="auto" w:fill="CCEEFF"/>
            <w:tcMar>
              <w:top w:w="40" w:type="dxa"/>
              <w:left w:w="20" w:type="dxa"/>
              <w:bottom w:w="40" w:type="dxa"/>
              <w:right w:w="20" w:type="dxa"/>
            </w:tcMar>
            <w:vAlign w:val="bottom"/>
          </w:tcPr>
          <w:p w14:paraId="1426F345" w14:textId="77777777" w:rsidR="00A74A1E" w:rsidRDefault="00807990">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1426F346" w14:textId="77777777" w:rsidR="00A74A1E" w:rsidRDefault="00807990">
            <w:pPr>
              <w:jc w:val="right"/>
              <w:textAlignment w:val="bottom"/>
            </w:pPr>
            <w:r>
              <w:rPr>
                <w:rFonts w:ascii="Arial" w:eastAsia="宋体" w:hAnsi="Arial" w:cs="Arial"/>
                <w:color w:val="000000"/>
                <w:sz w:val="20"/>
                <w:szCs w:val="20"/>
              </w:rPr>
              <w:t>390 </w:t>
            </w:r>
          </w:p>
        </w:tc>
        <w:tc>
          <w:tcPr>
            <w:tcW w:w="0" w:type="auto"/>
            <w:shd w:val="clear" w:color="auto" w:fill="CCEEFF"/>
            <w:tcMar>
              <w:top w:w="40" w:type="dxa"/>
              <w:left w:w="0" w:type="dxa"/>
              <w:bottom w:w="40" w:type="dxa"/>
              <w:right w:w="20" w:type="dxa"/>
            </w:tcMar>
            <w:vAlign w:val="bottom"/>
          </w:tcPr>
          <w:p w14:paraId="1426F34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4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349" w14:textId="77777777" w:rsidR="00A74A1E" w:rsidRDefault="00807990">
            <w:pPr>
              <w:jc w:val="right"/>
              <w:textAlignment w:val="bottom"/>
            </w:pPr>
            <w:r>
              <w:rPr>
                <w:rFonts w:ascii="Arial" w:eastAsia="宋体" w:hAnsi="Arial" w:cs="Arial"/>
                <w:color w:val="000000"/>
                <w:sz w:val="20"/>
                <w:szCs w:val="20"/>
              </w:rPr>
              <w:t>345 </w:t>
            </w:r>
          </w:p>
        </w:tc>
        <w:tc>
          <w:tcPr>
            <w:tcW w:w="0" w:type="auto"/>
            <w:shd w:val="clear" w:color="auto" w:fill="CCEEFF"/>
            <w:tcMar>
              <w:top w:w="40" w:type="dxa"/>
              <w:left w:w="0" w:type="dxa"/>
              <w:bottom w:w="40" w:type="dxa"/>
              <w:right w:w="20" w:type="dxa"/>
            </w:tcMar>
            <w:vAlign w:val="bottom"/>
          </w:tcPr>
          <w:p w14:paraId="1426F34A" w14:textId="77777777" w:rsidR="00A74A1E" w:rsidRDefault="00A74A1E">
            <w:pPr>
              <w:jc w:val="right"/>
              <w:rPr>
                <w:rFonts w:ascii="宋体"/>
              </w:rPr>
            </w:pPr>
          </w:p>
        </w:tc>
      </w:tr>
      <w:tr w:rsidR="00A74A1E" w14:paraId="1426F354" w14:textId="77777777">
        <w:tc>
          <w:tcPr>
            <w:tcW w:w="0" w:type="auto"/>
            <w:gridSpan w:val="3"/>
            <w:shd w:val="clear" w:color="auto" w:fill="FFFFFF"/>
            <w:tcMar>
              <w:top w:w="40" w:type="dxa"/>
              <w:left w:w="20" w:type="dxa"/>
              <w:bottom w:w="40" w:type="dxa"/>
              <w:right w:w="20" w:type="dxa"/>
            </w:tcMar>
            <w:vAlign w:val="bottom"/>
          </w:tcPr>
          <w:p w14:paraId="1426F34C" w14:textId="77777777" w:rsidR="00A74A1E" w:rsidRDefault="00807990">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34D"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34E" w14:textId="77777777" w:rsidR="00A74A1E" w:rsidRDefault="00807990">
            <w:pPr>
              <w:jc w:val="right"/>
              <w:textAlignment w:val="bottom"/>
            </w:pPr>
            <w:r>
              <w:rPr>
                <w:rFonts w:ascii="Arial" w:eastAsia="宋体" w:hAnsi="Arial" w:cs="Arial"/>
                <w:color w:val="000000"/>
                <w:sz w:val="20"/>
                <w:szCs w:val="20"/>
              </w:rPr>
              <w:t>1,478 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34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50"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351"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352" w14:textId="77777777" w:rsidR="00A74A1E" w:rsidRDefault="00807990">
            <w:pPr>
              <w:jc w:val="right"/>
              <w:textAlignment w:val="bottom"/>
            </w:pPr>
            <w:r>
              <w:rPr>
                <w:rFonts w:ascii="Arial" w:eastAsia="宋体" w:hAnsi="Arial" w:cs="Arial"/>
                <w:color w:val="000000"/>
                <w:sz w:val="20"/>
                <w:szCs w:val="20"/>
              </w:rPr>
              <w:t>1,084 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353" w14:textId="77777777" w:rsidR="00A74A1E" w:rsidRDefault="00A74A1E">
            <w:pPr>
              <w:jc w:val="right"/>
              <w:rPr>
                <w:rFonts w:ascii="宋体"/>
              </w:rPr>
            </w:pPr>
          </w:p>
        </w:tc>
      </w:tr>
    </w:tbl>
    <w:p w14:paraId="1426F355" w14:textId="77777777" w:rsidR="00A74A1E" w:rsidRDefault="00807990">
      <w:pPr>
        <w:spacing w:before="300"/>
        <w:ind w:firstLine="450"/>
      </w:pPr>
      <w:r>
        <w:rPr>
          <w:rFonts w:ascii="Arial" w:eastAsia="宋体" w:hAnsi="Arial" w:cs="Arial"/>
          <w:b/>
          <w:bCs/>
          <w:i/>
          <w:iCs/>
          <w:color w:val="000000"/>
          <w:sz w:val="20"/>
          <w:szCs w:val="20"/>
        </w:rPr>
        <w:t>Remaining Performance Obligations</w:t>
      </w:r>
    </w:p>
    <w:p w14:paraId="1426F356" w14:textId="77777777" w:rsidR="00A74A1E" w:rsidRDefault="00807990">
      <w:pPr>
        <w:spacing w:before="180"/>
        <w:ind w:firstLine="450"/>
        <w:jc w:val="both"/>
      </w:pPr>
      <w:r>
        <w:rPr>
          <w:rFonts w:ascii="Arial" w:eastAsia="宋体" w:hAnsi="Arial" w:cs="Arial"/>
          <w:color w:val="000000"/>
          <w:sz w:val="20"/>
          <w:szCs w:val="20"/>
        </w:rPr>
        <w:t>Revenue allocated to remaining performance obligations that are unsatisfied (or partially unsatisfied) as of September 26, 2020 is $375 million, which may include amounts received from customers but not yet earned and amounts that will be invoiced and reco</w:t>
      </w:r>
      <w:r>
        <w:rPr>
          <w:rFonts w:ascii="Arial" w:eastAsia="宋体" w:hAnsi="Arial" w:cs="Arial"/>
          <w:color w:val="000000"/>
          <w:sz w:val="20"/>
          <w:szCs w:val="20"/>
        </w:rPr>
        <w:t xml:space="preserve">gnized as revenue in future periods associated with any combination of development services, IP licensing and product revenue. The Company expects to recognize $178 million of such amounts as revenue in the next 12 months. </w:t>
      </w:r>
    </w:p>
    <w:p w14:paraId="1426F357" w14:textId="77777777" w:rsidR="00A74A1E" w:rsidRDefault="00807990">
      <w:pPr>
        <w:spacing w:before="180"/>
        <w:ind w:firstLine="540"/>
        <w:jc w:val="both"/>
      </w:pPr>
      <w:r>
        <w:rPr>
          <w:rFonts w:ascii="Arial" w:eastAsia="宋体" w:hAnsi="Arial" w:cs="Arial"/>
          <w:color w:val="000000"/>
          <w:sz w:val="20"/>
          <w:szCs w:val="20"/>
        </w:rPr>
        <w:t>The revenue allocated to remaini</w:t>
      </w:r>
      <w:r>
        <w:rPr>
          <w:rFonts w:ascii="Arial" w:eastAsia="宋体" w:hAnsi="Arial" w:cs="Arial"/>
          <w:color w:val="000000"/>
          <w:sz w:val="20"/>
          <w:szCs w:val="20"/>
        </w:rPr>
        <w:t>ng performance obligations does not include amounts which have an original expected contractual duration of one year or less.</w:t>
      </w:r>
    </w:p>
    <w:p w14:paraId="1426F358" w14:textId="77777777" w:rsidR="00A74A1E" w:rsidRDefault="00A74A1E">
      <w:pPr>
        <w:ind w:firstLine="540"/>
        <w:jc w:val="both"/>
      </w:pPr>
    </w:p>
    <w:p w14:paraId="1426F359" w14:textId="77777777" w:rsidR="00A74A1E" w:rsidRDefault="00807990">
      <w:pPr>
        <w:jc w:val="both"/>
      </w:pPr>
      <w:r>
        <w:rPr>
          <w:rFonts w:ascii="Arial" w:eastAsia="宋体" w:hAnsi="Arial" w:cs="Arial"/>
          <w:b/>
          <w:bCs/>
          <w:color w:val="000000"/>
          <w:sz w:val="20"/>
          <w:szCs w:val="20"/>
        </w:rPr>
        <w:t>NOTE 3. Related Parties — Equity Joint Ventures</w:t>
      </w:r>
    </w:p>
    <w:p w14:paraId="1426F35A" w14:textId="77777777" w:rsidR="00A74A1E" w:rsidRDefault="00807990">
      <w:pPr>
        <w:spacing w:before="280"/>
        <w:ind w:firstLine="450"/>
        <w:jc w:val="both"/>
      </w:pPr>
      <w:r>
        <w:rPr>
          <w:rFonts w:ascii="Arial" w:eastAsia="宋体" w:hAnsi="Arial" w:cs="Arial"/>
          <w:b/>
          <w:bCs/>
          <w:i/>
          <w:iCs/>
          <w:color w:val="000000"/>
          <w:sz w:val="20"/>
          <w:szCs w:val="20"/>
        </w:rPr>
        <w:t>ATMP Joint Ventures</w:t>
      </w:r>
    </w:p>
    <w:p w14:paraId="1426F35B" w14:textId="77777777" w:rsidR="00A74A1E" w:rsidRDefault="00807990">
      <w:pPr>
        <w:spacing w:before="180"/>
        <w:ind w:firstLine="450"/>
        <w:jc w:val="both"/>
      </w:pPr>
      <w:r>
        <w:rPr>
          <w:rFonts w:ascii="Arial" w:eastAsia="宋体" w:hAnsi="Arial" w:cs="Arial"/>
          <w:color w:val="000000"/>
          <w:sz w:val="20"/>
          <w:szCs w:val="20"/>
        </w:rPr>
        <w:t>The Company holds a 15% equity interest in two joint ventures</w:t>
      </w:r>
      <w:r>
        <w:rPr>
          <w:rFonts w:ascii="Arial" w:eastAsia="宋体" w:hAnsi="Arial" w:cs="Arial"/>
          <w:color w:val="000000"/>
          <w:sz w:val="20"/>
          <w:szCs w:val="20"/>
        </w:rPr>
        <w:t xml:space="preserve"> (collectively, the ATMP JV) with affiliates of Tongfu Microelectronics Co., Ltd, a Chinese joint stock company. The Company has no obligation to fund the ATMP JV. The Company accounts for its equity interests in the ATMP JV under the equity method of acco</w:t>
      </w:r>
      <w:r>
        <w:rPr>
          <w:rFonts w:ascii="Arial" w:eastAsia="宋体" w:hAnsi="Arial" w:cs="Arial"/>
          <w:color w:val="000000"/>
          <w:sz w:val="20"/>
          <w:szCs w:val="20"/>
        </w:rPr>
        <w:t>unting due to its significant influence over the ATMP JV. As of September 26, 2020 and December 28, 2019, the carrying value of the Company’s investment in the ATMP JV was $60 million and $58 million, respectively.</w:t>
      </w:r>
    </w:p>
    <w:p w14:paraId="1426F35C" w14:textId="77777777" w:rsidR="00A74A1E" w:rsidRDefault="00807990">
      <w:pPr>
        <w:spacing w:before="180"/>
        <w:ind w:firstLine="450"/>
        <w:jc w:val="both"/>
      </w:pPr>
      <w:r>
        <w:rPr>
          <w:rFonts w:ascii="Arial" w:eastAsia="宋体" w:hAnsi="Arial" w:cs="Arial"/>
          <w:color w:val="000000"/>
          <w:sz w:val="20"/>
          <w:szCs w:val="20"/>
        </w:rPr>
        <w:t>The ATMP JV provides assembly, test, mark</w:t>
      </w:r>
      <w:r>
        <w:rPr>
          <w:rFonts w:ascii="Arial" w:eastAsia="宋体" w:hAnsi="Arial" w:cs="Arial"/>
          <w:color w:val="000000"/>
          <w:sz w:val="20"/>
          <w:szCs w:val="20"/>
        </w:rPr>
        <w:t xml:space="preserve"> and packaging (ATMP) services to the Company. The Company assists the ATMP JV in its management of certain raw material inventory. The purchases from and resales to the ATMP JV of inventory under the Company’s inventory management program are reported wit</w:t>
      </w:r>
      <w:r>
        <w:rPr>
          <w:rFonts w:ascii="Arial" w:eastAsia="宋体" w:hAnsi="Arial" w:cs="Arial"/>
          <w:color w:val="000000"/>
          <w:sz w:val="20"/>
          <w:szCs w:val="20"/>
        </w:rPr>
        <w:t>hin purchases and resales with the ATMP JV and do not impact the Company’s condensed consolidated statement of operations.</w:t>
      </w:r>
    </w:p>
    <w:p w14:paraId="1426F35D" w14:textId="77777777" w:rsidR="00A74A1E" w:rsidRDefault="00807990">
      <w:pPr>
        <w:spacing w:before="180"/>
        <w:ind w:firstLine="450"/>
        <w:jc w:val="both"/>
      </w:pPr>
      <w:r>
        <w:rPr>
          <w:rFonts w:ascii="Arial" w:eastAsia="宋体" w:hAnsi="Arial" w:cs="Arial"/>
          <w:color w:val="000000"/>
          <w:sz w:val="20"/>
          <w:szCs w:val="20"/>
        </w:rPr>
        <w:t>The Company’s purchases from the ATMP JV during the three and nine months ended September 26, 2020 amounted to $204 million and $559 </w:t>
      </w:r>
      <w:r>
        <w:rPr>
          <w:rFonts w:ascii="Arial" w:eastAsia="宋体" w:hAnsi="Arial" w:cs="Arial"/>
          <w:color w:val="000000"/>
          <w:sz w:val="20"/>
          <w:szCs w:val="20"/>
        </w:rPr>
        <w:t>million, respectively. The Company’s purchases from the ATMP JV during the three and nine months ended September 28, 2019 amounted to $175 million and $479 million, respectively. As of September 26, 2020 and December 28, 2019, the amounts payable to the AT</w:t>
      </w:r>
      <w:r>
        <w:rPr>
          <w:rFonts w:ascii="Arial" w:eastAsia="宋体" w:hAnsi="Arial" w:cs="Arial"/>
          <w:color w:val="000000"/>
          <w:sz w:val="20"/>
          <w:szCs w:val="20"/>
        </w:rPr>
        <w:t>MP JV were $115 million and $213 million, respectively, and are included in Payables to related parties on the Company’s condensed consolidated balance sheets. The Company’s resales to the ATMP JV during the three and nine months ended September 26, 2020 a</w:t>
      </w:r>
      <w:r>
        <w:rPr>
          <w:rFonts w:ascii="Arial" w:eastAsia="宋体" w:hAnsi="Arial" w:cs="Arial"/>
          <w:color w:val="000000"/>
          <w:sz w:val="20"/>
          <w:szCs w:val="20"/>
        </w:rPr>
        <w:t>mounted to $3 million and $18 million, respectively. The Company’s resales to the ATMP JV during the three and nine months ended September 28, 2019 amounted to $4 million and $47 million, respectively. As of September 26, 2020 and December 28, 2019, the Co</w:t>
      </w:r>
      <w:r>
        <w:rPr>
          <w:rFonts w:ascii="Arial" w:eastAsia="宋体" w:hAnsi="Arial" w:cs="Arial"/>
          <w:color w:val="000000"/>
          <w:sz w:val="20"/>
          <w:szCs w:val="20"/>
        </w:rPr>
        <w:t>mpany’s receivables from the ATMP JV were $4 million and $7 million, respectively, and were included in Receivables from related parties on the Company’s condensed consolidated balance sheets.</w:t>
      </w:r>
    </w:p>
    <w:p w14:paraId="1426F35E" w14:textId="77777777" w:rsidR="00A74A1E" w:rsidRDefault="00807990">
      <w:pPr>
        <w:jc w:val="center"/>
      </w:pPr>
      <w:r>
        <w:rPr>
          <w:rFonts w:ascii="Arial" w:eastAsia="宋体" w:hAnsi="Arial" w:cs="Arial"/>
          <w:color w:val="000000"/>
          <w:sz w:val="20"/>
          <w:szCs w:val="20"/>
        </w:rPr>
        <w:t>11</w:t>
      </w:r>
    </w:p>
    <w:p w14:paraId="1426F35F" w14:textId="77777777" w:rsidR="00A74A1E" w:rsidRDefault="00807990">
      <w:r>
        <w:pict w14:anchorId="1426FC16">
          <v:rect id="_x0000_i1035" style="width:415.3pt;height:1.5pt" o:hralign="center" o:hrstd="t" o:hr="t" fillcolor="#a0a0a0" stroked="f"/>
        </w:pict>
      </w:r>
    </w:p>
    <w:p w14:paraId="1426F360" w14:textId="77777777" w:rsidR="00A74A1E" w:rsidRDefault="00A74A1E">
      <w:pPr>
        <w:spacing w:before="60"/>
      </w:pPr>
    </w:p>
    <w:p w14:paraId="1426F361" w14:textId="77777777" w:rsidR="00A74A1E" w:rsidRDefault="00807990">
      <w:pPr>
        <w:spacing w:before="180"/>
        <w:ind w:firstLine="45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1426F362" w14:textId="77777777" w:rsidR="00A74A1E" w:rsidRDefault="00807990">
      <w:pPr>
        <w:spacing w:before="180"/>
        <w:ind w:firstLine="450"/>
        <w:jc w:val="both"/>
      </w:pPr>
      <w:r>
        <w:rPr>
          <w:rFonts w:ascii="Arial" w:eastAsia="宋体" w:hAnsi="Arial" w:cs="Arial"/>
          <w:color w:val="000000"/>
          <w:sz w:val="20"/>
          <w:szCs w:val="20"/>
        </w:rPr>
        <w:t>The Company holds equity interests</w:t>
      </w:r>
      <w:r>
        <w:rPr>
          <w:rFonts w:ascii="Arial" w:eastAsia="宋体" w:hAnsi="Arial" w:cs="Arial"/>
          <w:color w:val="000000"/>
          <w:sz w:val="20"/>
          <w:szCs w:val="20"/>
        </w:rPr>
        <w:t xml:space="preserve"> in two joint ventures (collectively, the THATIC JV) with Higon Information Technology Co., Ltd. (THATIC), a third-party Chinese entity. The Company holds a majority interest in one of the joint ventures and a minority interest in the other. The Company is</w:t>
      </w:r>
      <w:r>
        <w:rPr>
          <w:rFonts w:ascii="Arial" w:eastAsia="宋体" w:hAnsi="Arial" w:cs="Arial"/>
          <w:color w:val="000000"/>
          <w:sz w:val="20"/>
          <w:szCs w:val="20"/>
        </w:rPr>
        <w:t xml:space="preserve"> not a primary beneficiary of the THATIC JV and, as such, the Company does not consolidate either of these entities and accounts for its equity interests in the THATIC JV under the equity method of accounting. The Company’s share in the net losses of the T</w:t>
      </w:r>
      <w:r>
        <w:rPr>
          <w:rFonts w:ascii="Arial" w:eastAsia="宋体" w:hAnsi="Arial" w:cs="Arial"/>
          <w:color w:val="000000"/>
          <w:sz w:val="20"/>
          <w:szCs w:val="20"/>
        </w:rPr>
        <w:t>HATIC JV is not recorded in the Company’s condensed consolidated statements of operations since the Company is not obligated to fund the THATIC JV’s losses in excess of the Company’s investment in the THATIC JV, which was zero as of both September 26, 2020</w:t>
      </w:r>
      <w:r>
        <w:rPr>
          <w:rFonts w:ascii="Arial" w:eastAsia="宋体" w:hAnsi="Arial" w:cs="Arial"/>
          <w:color w:val="000000"/>
          <w:sz w:val="20"/>
          <w:szCs w:val="20"/>
        </w:rPr>
        <w:t xml:space="preserve"> and December 28, 2019. </w:t>
      </w:r>
    </w:p>
    <w:p w14:paraId="1426F363" w14:textId="77777777" w:rsidR="00A74A1E" w:rsidRDefault="00807990">
      <w:pPr>
        <w:spacing w:before="180"/>
        <w:ind w:firstLine="450"/>
        <w:jc w:val="both"/>
      </w:pPr>
      <w:r>
        <w:rPr>
          <w:rFonts w:ascii="Arial" w:eastAsia="宋体" w:hAnsi="Arial" w:cs="Arial"/>
          <w:color w:val="000000"/>
          <w:sz w:val="20"/>
          <w:szCs w:val="20"/>
        </w:rPr>
        <w:t>In February 2016, the Company licensed certain of its intellectual property (Licensed IP) to the THATIC JV for a total of $293 million in license fees payable over several years upon achievement of certain milestones. The Company a</w:t>
      </w:r>
      <w:r>
        <w:rPr>
          <w:rFonts w:ascii="Arial" w:eastAsia="宋体" w:hAnsi="Arial" w:cs="Arial"/>
          <w:color w:val="000000"/>
          <w:sz w:val="20"/>
          <w:szCs w:val="20"/>
        </w:rPr>
        <w:t>lso expects to receive a royalty based on the sales of the THATIC JV’s products to be developed on the basis of such Licensed IP. The Company classifies Licensed IP income and royalty income, associated with the February 2016 agreement, as licensing gain w</w:t>
      </w:r>
      <w:r>
        <w:rPr>
          <w:rFonts w:ascii="Arial" w:eastAsia="宋体" w:hAnsi="Arial" w:cs="Arial"/>
          <w:color w:val="000000"/>
          <w:sz w:val="20"/>
          <w:szCs w:val="20"/>
        </w:rPr>
        <w:t>ithin operating income.</w:t>
      </w:r>
    </w:p>
    <w:p w14:paraId="1426F364" w14:textId="77777777" w:rsidR="00A74A1E" w:rsidRDefault="00807990">
      <w:pPr>
        <w:spacing w:before="180"/>
        <w:ind w:firstLine="450"/>
        <w:jc w:val="both"/>
      </w:pPr>
      <w:r>
        <w:rPr>
          <w:rFonts w:ascii="Arial" w:eastAsia="宋体" w:hAnsi="Arial" w:cs="Arial"/>
          <w:color w:val="000000"/>
          <w:sz w:val="20"/>
          <w:szCs w:val="20"/>
        </w:rPr>
        <w:t>The Company recognized $60 million as licensing gain associated with the Licensed IP during the nine months ended September 28, 2019. As of September 26, 2020, the Company had no receivables from the THATIC JV. The Company’s receiva</w:t>
      </w:r>
      <w:r>
        <w:rPr>
          <w:rFonts w:ascii="Arial" w:eastAsia="宋体" w:hAnsi="Arial" w:cs="Arial"/>
          <w:color w:val="000000"/>
          <w:sz w:val="20"/>
          <w:szCs w:val="20"/>
        </w:rPr>
        <w:t xml:space="preserve">bles from the THATIC JV was $13 million as of December 28, 2019, and was included in Receivables from related parties on the Company’s condensed consolidated balance sheets. </w:t>
      </w:r>
    </w:p>
    <w:p w14:paraId="1426F365" w14:textId="77777777" w:rsidR="00A74A1E" w:rsidRDefault="00807990">
      <w:pPr>
        <w:spacing w:before="180"/>
        <w:ind w:firstLine="450"/>
        <w:jc w:val="both"/>
      </w:pPr>
      <w:r>
        <w:rPr>
          <w:rFonts w:ascii="Arial" w:eastAsia="宋体" w:hAnsi="Arial" w:cs="Arial"/>
          <w:color w:val="000000"/>
          <w:sz w:val="20"/>
          <w:szCs w:val="20"/>
        </w:rPr>
        <w:t>In June 2019, the Bureau of Industry and Security of the United States Department</w:t>
      </w:r>
      <w:r>
        <w:rPr>
          <w:rFonts w:ascii="Arial" w:eastAsia="宋体" w:hAnsi="Arial" w:cs="Arial"/>
          <w:color w:val="000000"/>
          <w:sz w:val="20"/>
          <w:szCs w:val="20"/>
        </w:rPr>
        <w:t xml:space="preserve"> of Commerce added certain Chinese entities to the Entity List, including THATIC and the THATIC JV. The Company is complying with U.S. law pertaining to the Entity List designation.</w:t>
      </w:r>
    </w:p>
    <w:p w14:paraId="1426F366" w14:textId="77777777" w:rsidR="00A74A1E" w:rsidRDefault="00A74A1E">
      <w:pPr>
        <w:ind w:firstLine="450"/>
        <w:jc w:val="both"/>
      </w:pPr>
    </w:p>
    <w:p w14:paraId="1426F367" w14:textId="77777777" w:rsidR="00A74A1E" w:rsidRDefault="00807990">
      <w:pPr>
        <w:jc w:val="both"/>
      </w:pPr>
      <w:r>
        <w:rPr>
          <w:rFonts w:ascii="Arial" w:eastAsia="宋体" w:hAnsi="Arial" w:cs="Arial"/>
          <w:b/>
          <w:bCs/>
          <w:color w:val="000000"/>
          <w:sz w:val="20"/>
          <w:szCs w:val="20"/>
        </w:rPr>
        <w:t>NOTE 4. Debt and Revolving Facility</w:t>
      </w:r>
    </w:p>
    <w:p w14:paraId="1426F368" w14:textId="77777777" w:rsidR="00A74A1E" w:rsidRDefault="00807990">
      <w:pPr>
        <w:spacing w:before="180"/>
        <w:ind w:firstLine="450"/>
        <w:jc w:val="both"/>
      </w:pPr>
      <w:r>
        <w:rPr>
          <w:rFonts w:ascii="Arial" w:eastAsia="宋体" w:hAnsi="Arial" w:cs="Arial"/>
          <w:b/>
          <w:bCs/>
          <w:i/>
          <w:iCs/>
          <w:color w:val="000000"/>
          <w:sz w:val="20"/>
          <w:szCs w:val="20"/>
        </w:rPr>
        <w:t>Debt</w:t>
      </w:r>
    </w:p>
    <w:p w14:paraId="1426F369" w14:textId="77777777" w:rsidR="00A74A1E" w:rsidRDefault="00807990">
      <w:pPr>
        <w:spacing w:before="180" w:after="240"/>
        <w:ind w:firstLine="450"/>
        <w:jc w:val="both"/>
      </w:pPr>
      <w:r>
        <w:rPr>
          <w:rFonts w:ascii="Arial" w:eastAsia="宋体" w:hAnsi="Arial" w:cs="Arial"/>
          <w:color w:val="000000"/>
          <w:sz w:val="20"/>
          <w:szCs w:val="20"/>
        </w:rPr>
        <w:t xml:space="preserve">The Company’s total debt as of </w:t>
      </w:r>
      <w:r>
        <w:rPr>
          <w:rFonts w:ascii="Arial" w:eastAsia="宋体" w:hAnsi="Arial" w:cs="Arial"/>
          <w:color w:val="000000"/>
          <w:sz w:val="20"/>
          <w:szCs w:val="20"/>
        </w:rPr>
        <w:t>September 26, 2020 and December 28, 2019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5209"/>
        <w:gridCol w:w="37"/>
        <w:gridCol w:w="133"/>
        <w:gridCol w:w="1323"/>
        <w:gridCol w:w="36"/>
        <w:gridCol w:w="36"/>
        <w:gridCol w:w="36"/>
        <w:gridCol w:w="36"/>
        <w:gridCol w:w="133"/>
        <w:gridCol w:w="1283"/>
        <w:gridCol w:w="36"/>
      </w:tblGrid>
      <w:tr w:rsidR="00A74A1E" w14:paraId="1426F376" w14:textId="77777777">
        <w:tc>
          <w:tcPr>
            <w:tcW w:w="50" w:type="pct"/>
            <w:shd w:val="clear" w:color="auto" w:fill="auto"/>
          </w:tcPr>
          <w:p w14:paraId="1426F36A" w14:textId="77777777" w:rsidR="00A74A1E" w:rsidRDefault="00A74A1E">
            <w:pPr>
              <w:rPr>
                <w:rFonts w:ascii="宋体"/>
              </w:rPr>
            </w:pPr>
          </w:p>
        </w:tc>
        <w:tc>
          <w:tcPr>
            <w:tcW w:w="3154" w:type="pct"/>
            <w:shd w:val="clear" w:color="auto" w:fill="auto"/>
          </w:tcPr>
          <w:p w14:paraId="1426F36B" w14:textId="77777777" w:rsidR="00A74A1E" w:rsidRDefault="00A74A1E">
            <w:pPr>
              <w:rPr>
                <w:rFonts w:ascii="宋体"/>
              </w:rPr>
            </w:pPr>
          </w:p>
        </w:tc>
        <w:tc>
          <w:tcPr>
            <w:tcW w:w="5" w:type="pct"/>
            <w:shd w:val="clear" w:color="auto" w:fill="auto"/>
          </w:tcPr>
          <w:p w14:paraId="1426F36C" w14:textId="77777777" w:rsidR="00A74A1E" w:rsidRDefault="00A74A1E">
            <w:pPr>
              <w:rPr>
                <w:rFonts w:ascii="宋体"/>
              </w:rPr>
            </w:pPr>
          </w:p>
        </w:tc>
        <w:tc>
          <w:tcPr>
            <w:tcW w:w="50" w:type="pct"/>
            <w:shd w:val="clear" w:color="auto" w:fill="auto"/>
          </w:tcPr>
          <w:p w14:paraId="1426F36D" w14:textId="77777777" w:rsidR="00A74A1E" w:rsidRDefault="00A74A1E">
            <w:pPr>
              <w:rPr>
                <w:rFonts w:ascii="宋体"/>
              </w:rPr>
            </w:pPr>
          </w:p>
        </w:tc>
        <w:tc>
          <w:tcPr>
            <w:tcW w:w="822" w:type="pct"/>
            <w:shd w:val="clear" w:color="auto" w:fill="auto"/>
          </w:tcPr>
          <w:p w14:paraId="1426F36E" w14:textId="77777777" w:rsidR="00A74A1E" w:rsidRDefault="00A74A1E">
            <w:pPr>
              <w:rPr>
                <w:rFonts w:ascii="宋体"/>
              </w:rPr>
            </w:pPr>
          </w:p>
        </w:tc>
        <w:tc>
          <w:tcPr>
            <w:tcW w:w="5" w:type="pct"/>
            <w:shd w:val="clear" w:color="auto" w:fill="auto"/>
          </w:tcPr>
          <w:p w14:paraId="1426F36F" w14:textId="77777777" w:rsidR="00A74A1E" w:rsidRDefault="00A74A1E">
            <w:pPr>
              <w:rPr>
                <w:rFonts w:ascii="宋体"/>
              </w:rPr>
            </w:pPr>
          </w:p>
        </w:tc>
        <w:tc>
          <w:tcPr>
            <w:tcW w:w="5" w:type="pct"/>
            <w:shd w:val="clear" w:color="auto" w:fill="auto"/>
          </w:tcPr>
          <w:p w14:paraId="1426F370" w14:textId="77777777" w:rsidR="00A74A1E" w:rsidRDefault="00A74A1E">
            <w:pPr>
              <w:rPr>
                <w:rFonts w:ascii="宋体"/>
              </w:rPr>
            </w:pPr>
          </w:p>
        </w:tc>
        <w:tc>
          <w:tcPr>
            <w:tcW w:w="26" w:type="pct"/>
            <w:shd w:val="clear" w:color="auto" w:fill="auto"/>
          </w:tcPr>
          <w:p w14:paraId="1426F371" w14:textId="77777777" w:rsidR="00A74A1E" w:rsidRDefault="00A74A1E">
            <w:pPr>
              <w:rPr>
                <w:rFonts w:ascii="宋体"/>
              </w:rPr>
            </w:pPr>
          </w:p>
        </w:tc>
        <w:tc>
          <w:tcPr>
            <w:tcW w:w="5" w:type="pct"/>
            <w:shd w:val="clear" w:color="auto" w:fill="auto"/>
          </w:tcPr>
          <w:p w14:paraId="1426F372" w14:textId="77777777" w:rsidR="00A74A1E" w:rsidRDefault="00A74A1E">
            <w:pPr>
              <w:rPr>
                <w:rFonts w:ascii="宋体"/>
              </w:rPr>
            </w:pPr>
          </w:p>
        </w:tc>
        <w:tc>
          <w:tcPr>
            <w:tcW w:w="50" w:type="pct"/>
            <w:shd w:val="clear" w:color="auto" w:fill="auto"/>
          </w:tcPr>
          <w:p w14:paraId="1426F373" w14:textId="77777777" w:rsidR="00A74A1E" w:rsidRDefault="00A74A1E">
            <w:pPr>
              <w:rPr>
                <w:rFonts w:ascii="宋体"/>
              </w:rPr>
            </w:pPr>
          </w:p>
        </w:tc>
        <w:tc>
          <w:tcPr>
            <w:tcW w:w="822" w:type="pct"/>
            <w:shd w:val="clear" w:color="auto" w:fill="auto"/>
          </w:tcPr>
          <w:p w14:paraId="1426F374" w14:textId="77777777" w:rsidR="00A74A1E" w:rsidRDefault="00A74A1E">
            <w:pPr>
              <w:rPr>
                <w:rFonts w:ascii="宋体"/>
              </w:rPr>
            </w:pPr>
          </w:p>
        </w:tc>
        <w:tc>
          <w:tcPr>
            <w:tcW w:w="5" w:type="pct"/>
            <w:shd w:val="clear" w:color="auto" w:fill="auto"/>
          </w:tcPr>
          <w:p w14:paraId="1426F375" w14:textId="77777777" w:rsidR="00A74A1E" w:rsidRDefault="00A74A1E">
            <w:pPr>
              <w:rPr>
                <w:rFonts w:ascii="宋体"/>
              </w:rPr>
            </w:pPr>
          </w:p>
        </w:tc>
      </w:tr>
      <w:tr w:rsidR="00A74A1E" w14:paraId="1426F37B" w14:textId="77777777">
        <w:tc>
          <w:tcPr>
            <w:tcW w:w="0" w:type="auto"/>
            <w:gridSpan w:val="3"/>
            <w:shd w:val="clear" w:color="auto" w:fill="auto"/>
            <w:tcMar>
              <w:top w:w="0" w:type="dxa"/>
              <w:left w:w="20" w:type="dxa"/>
              <w:bottom w:w="0" w:type="dxa"/>
              <w:right w:w="20" w:type="dxa"/>
            </w:tcMar>
          </w:tcPr>
          <w:p w14:paraId="1426F37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center"/>
          </w:tcPr>
          <w:p w14:paraId="1426F378"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1426F379" w14:textId="77777777" w:rsidR="00A74A1E" w:rsidRDefault="00A74A1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426F37A" w14:textId="77777777" w:rsidR="00A74A1E" w:rsidRDefault="00807990">
            <w:pPr>
              <w:jc w:val="center"/>
              <w:textAlignment w:val="bottom"/>
            </w:pPr>
            <w:r>
              <w:rPr>
                <w:rFonts w:ascii="Arial" w:eastAsia="宋体" w:hAnsi="Arial" w:cs="Arial"/>
                <w:b/>
                <w:bCs/>
                <w:color w:val="000000"/>
                <w:sz w:val="16"/>
                <w:szCs w:val="16"/>
              </w:rPr>
              <w:t>December 28,</w:t>
            </w:r>
            <w:r>
              <w:rPr>
                <w:rFonts w:ascii="Arial" w:eastAsia="宋体" w:hAnsi="Arial" w:cs="Arial"/>
                <w:b/>
                <w:bCs/>
                <w:color w:val="000000"/>
                <w:sz w:val="16"/>
                <w:szCs w:val="16"/>
              </w:rPr>
              <w:br/>
              <w:t>2019</w:t>
            </w:r>
          </w:p>
        </w:tc>
      </w:tr>
      <w:tr w:rsidR="00A74A1E" w14:paraId="1426F37E" w14:textId="77777777">
        <w:tc>
          <w:tcPr>
            <w:tcW w:w="0" w:type="auto"/>
            <w:gridSpan w:val="3"/>
            <w:shd w:val="clear" w:color="auto" w:fill="auto"/>
            <w:tcMar>
              <w:top w:w="0" w:type="dxa"/>
              <w:left w:w="20" w:type="dxa"/>
              <w:bottom w:w="0" w:type="dxa"/>
              <w:right w:w="20" w:type="dxa"/>
            </w:tcMar>
          </w:tcPr>
          <w:p w14:paraId="1426F37C" w14:textId="77777777" w:rsidR="00A74A1E" w:rsidRDefault="00A74A1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426F37D"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387" w14:textId="77777777">
        <w:tc>
          <w:tcPr>
            <w:tcW w:w="0" w:type="auto"/>
            <w:gridSpan w:val="3"/>
            <w:shd w:val="clear" w:color="auto" w:fill="CCEEFF"/>
            <w:tcMar>
              <w:top w:w="40" w:type="dxa"/>
              <w:left w:w="20" w:type="dxa"/>
              <w:bottom w:w="40" w:type="dxa"/>
              <w:right w:w="20" w:type="dxa"/>
            </w:tcMar>
            <w:vAlign w:val="bottom"/>
          </w:tcPr>
          <w:p w14:paraId="1426F37F" w14:textId="77777777" w:rsidR="00A74A1E" w:rsidRDefault="00807990">
            <w:pPr>
              <w:textAlignment w:val="bottom"/>
            </w:pPr>
            <w:r>
              <w:rPr>
                <w:rFonts w:ascii="Arial" w:eastAsia="宋体" w:hAnsi="Arial" w:cs="Arial"/>
                <w:color w:val="000000"/>
                <w:sz w:val="20"/>
                <w:szCs w:val="20"/>
              </w:rPr>
              <w:t>2.125% Convertible Senior Notes Due 2026 (2.125% Notes)</w:t>
            </w:r>
          </w:p>
        </w:tc>
        <w:tc>
          <w:tcPr>
            <w:tcW w:w="0" w:type="auto"/>
            <w:shd w:val="clear" w:color="auto" w:fill="CCEEFF"/>
            <w:tcMar>
              <w:top w:w="40" w:type="dxa"/>
              <w:left w:w="20" w:type="dxa"/>
              <w:bottom w:w="40" w:type="dxa"/>
              <w:right w:w="0" w:type="dxa"/>
            </w:tcMar>
            <w:vAlign w:val="bottom"/>
          </w:tcPr>
          <w:p w14:paraId="1426F38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81" w14:textId="77777777" w:rsidR="00A74A1E" w:rsidRDefault="00807990">
            <w:pPr>
              <w:jc w:val="right"/>
              <w:textAlignment w:val="bottom"/>
            </w:pPr>
            <w:r>
              <w:rPr>
                <w:rFonts w:ascii="Arial" w:eastAsia="宋体" w:hAnsi="Arial" w:cs="Arial"/>
                <w:color w:val="000000"/>
                <w:sz w:val="20"/>
                <w:szCs w:val="20"/>
              </w:rPr>
              <w:t>86 </w:t>
            </w:r>
          </w:p>
        </w:tc>
        <w:tc>
          <w:tcPr>
            <w:tcW w:w="0" w:type="auto"/>
            <w:shd w:val="clear" w:color="auto" w:fill="CCEEFF"/>
            <w:tcMar>
              <w:top w:w="40" w:type="dxa"/>
              <w:left w:w="0" w:type="dxa"/>
              <w:bottom w:w="40" w:type="dxa"/>
              <w:right w:w="20" w:type="dxa"/>
            </w:tcMar>
            <w:vAlign w:val="bottom"/>
          </w:tcPr>
          <w:p w14:paraId="1426F38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83"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38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385" w14:textId="77777777" w:rsidR="00A74A1E" w:rsidRDefault="00807990">
            <w:pPr>
              <w:jc w:val="right"/>
              <w:textAlignment w:val="bottom"/>
            </w:pPr>
            <w:r>
              <w:rPr>
                <w:rFonts w:ascii="Arial" w:eastAsia="宋体" w:hAnsi="Arial" w:cs="Arial"/>
                <w:color w:val="000000"/>
                <w:sz w:val="20"/>
                <w:szCs w:val="20"/>
              </w:rPr>
              <w:t>251 </w:t>
            </w:r>
          </w:p>
        </w:tc>
        <w:tc>
          <w:tcPr>
            <w:tcW w:w="0" w:type="auto"/>
            <w:shd w:val="clear" w:color="auto" w:fill="CCEEFF"/>
            <w:tcMar>
              <w:top w:w="40" w:type="dxa"/>
              <w:left w:w="0" w:type="dxa"/>
              <w:bottom w:w="40" w:type="dxa"/>
              <w:right w:w="20" w:type="dxa"/>
            </w:tcMar>
            <w:vAlign w:val="bottom"/>
          </w:tcPr>
          <w:p w14:paraId="1426F386" w14:textId="77777777" w:rsidR="00A74A1E" w:rsidRDefault="00A74A1E">
            <w:pPr>
              <w:jc w:val="right"/>
              <w:rPr>
                <w:rFonts w:ascii="宋体"/>
              </w:rPr>
            </w:pPr>
          </w:p>
        </w:tc>
      </w:tr>
      <w:tr w:rsidR="00A74A1E" w14:paraId="1426F38E" w14:textId="77777777">
        <w:tc>
          <w:tcPr>
            <w:tcW w:w="0" w:type="auto"/>
            <w:gridSpan w:val="3"/>
            <w:shd w:val="clear" w:color="auto" w:fill="FFFFFF"/>
            <w:tcMar>
              <w:top w:w="40" w:type="dxa"/>
              <w:left w:w="20" w:type="dxa"/>
              <w:bottom w:w="40" w:type="dxa"/>
              <w:right w:w="20" w:type="dxa"/>
            </w:tcMar>
            <w:vAlign w:val="bottom"/>
          </w:tcPr>
          <w:p w14:paraId="1426F388" w14:textId="77777777" w:rsidR="00A74A1E" w:rsidRDefault="00807990">
            <w:pPr>
              <w:textAlignment w:val="bottom"/>
            </w:pPr>
            <w:r>
              <w:rPr>
                <w:rFonts w:ascii="Arial" w:eastAsia="宋体" w:hAnsi="Arial" w:cs="Arial"/>
                <w:color w:val="000000"/>
                <w:sz w:val="20"/>
                <w:szCs w:val="20"/>
              </w:rPr>
              <w:t xml:space="preserve">7.50% Senior Notes Due 2022 (7.50% </w:t>
            </w:r>
            <w:r>
              <w:rPr>
                <w:rFonts w:ascii="Arial" w:eastAsia="宋体" w:hAnsi="Arial" w:cs="Arial"/>
                <w:color w:val="000000"/>
                <w:sz w:val="20"/>
                <w:szCs w:val="20"/>
              </w:rPr>
              <w:t>Notes)</w:t>
            </w:r>
          </w:p>
        </w:tc>
        <w:tc>
          <w:tcPr>
            <w:tcW w:w="0" w:type="auto"/>
            <w:gridSpan w:val="2"/>
            <w:shd w:val="clear" w:color="auto" w:fill="FFFFFF"/>
            <w:tcMar>
              <w:top w:w="40" w:type="dxa"/>
              <w:left w:w="20" w:type="dxa"/>
              <w:bottom w:w="40" w:type="dxa"/>
              <w:right w:w="0" w:type="dxa"/>
            </w:tcMar>
            <w:vAlign w:val="bottom"/>
          </w:tcPr>
          <w:p w14:paraId="1426F389" w14:textId="77777777" w:rsidR="00A74A1E" w:rsidRDefault="00807990">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1426F38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8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38C" w14:textId="77777777" w:rsidR="00A74A1E" w:rsidRDefault="00807990">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1426F38D" w14:textId="77777777" w:rsidR="00A74A1E" w:rsidRDefault="00A74A1E">
            <w:pPr>
              <w:jc w:val="right"/>
              <w:rPr>
                <w:rFonts w:ascii="宋体"/>
              </w:rPr>
            </w:pPr>
          </w:p>
        </w:tc>
      </w:tr>
      <w:tr w:rsidR="00A74A1E" w14:paraId="1426F393" w14:textId="77777777">
        <w:trPr>
          <w:hidden/>
        </w:trPr>
        <w:tc>
          <w:tcPr>
            <w:tcW w:w="0" w:type="auto"/>
            <w:gridSpan w:val="3"/>
            <w:shd w:val="clear" w:color="auto" w:fill="auto"/>
          </w:tcPr>
          <w:p w14:paraId="1426F38F" w14:textId="77777777" w:rsidR="00A74A1E" w:rsidRDefault="00A74A1E">
            <w:pPr>
              <w:rPr>
                <w:rFonts w:ascii="宋体"/>
                <w:vanish/>
              </w:rPr>
            </w:pPr>
          </w:p>
        </w:tc>
        <w:tc>
          <w:tcPr>
            <w:tcW w:w="0" w:type="auto"/>
            <w:gridSpan w:val="3"/>
            <w:shd w:val="clear" w:color="auto" w:fill="auto"/>
          </w:tcPr>
          <w:p w14:paraId="1426F390" w14:textId="77777777" w:rsidR="00A74A1E" w:rsidRDefault="00A74A1E">
            <w:pPr>
              <w:rPr>
                <w:rFonts w:ascii="宋体"/>
                <w:vanish/>
              </w:rPr>
            </w:pPr>
          </w:p>
        </w:tc>
        <w:tc>
          <w:tcPr>
            <w:tcW w:w="0" w:type="auto"/>
            <w:gridSpan w:val="3"/>
            <w:shd w:val="clear" w:color="auto" w:fill="auto"/>
          </w:tcPr>
          <w:p w14:paraId="1426F391" w14:textId="77777777" w:rsidR="00A74A1E" w:rsidRDefault="00A74A1E">
            <w:pPr>
              <w:rPr>
                <w:rFonts w:ascii="宋体"/>
                <w:vanish/>
              </w:rPr>
            </w:pPr>
          </w:p>
        </w:tc>
        <w:tc>
          <w:tcPr>
            <w:tcW w:w="0" w:type="auto"/>
            <w:gridSpan w:val="3"/>
            <w:shd w:val="clear" w:color="auto" w:fill="auto"/>
          </w:tcPr>
          <w:p w14:paraId="1426F392" w14:textId="77777777" w:rsidR="00A74A1E" w:rsidRDefault="00A74A1E">
            <w:pPr>
              <w:rPr>
                <w:rFonts w:ascii="宋体"/>
                <w:vanish/>
              </w:rPr>
            </w:pPr>
          </w:p>
        </w:tc>
      </w:tr>
      <w:tr w:rsidR="00A74A1E" w14:paraId="1426F39A" w14:textId="77777777">
        <w:tc>
          <w:tcPr>
            <w:tcW w:w="0" w:type="auto"/>
            <w:gridSpan w:val="3"/>
            <w:shd w:val="clear" w:color="auto" w:fill="CCEEFF"/>
            <w:tcMar>
              <w:top w:w="40" w:type="dxa"/>
              <w:left w:w="20" w:type="dxa"/>
              <w:bottom w:w="40" w:type="dxa"/>
              <w:right w:w="20" w:type="dxa"/>
            </w:tcMar>
            <w:vAlign w:val="bottom"/>
          </w:tcPr>
          <w:p w14:paraId="1426F394" w14:textId="77777777" w:rsidR="00A74A1E" w:rsidRDefault="00807990">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395" w14:textId="77777777" w:rsidR="00A74A1E" w:rsidRDefault="00807990">
            <w:pPr>
              <w:jc w:val="right"/>
              <w:textAlignment w:val="bottom"/>
            </w:pPr>
            <w:r>
              <w:rPr>
                <w:rFonts w:ascii="Arial" w:eastAsia="宋体" w:hAnsi="Arial" w:cs="Arial"/>
                <w:color w:val="000000"/>
                <w:sz w:val="20"/>
                <w:szCs w:val="20"/>
              </w:rPr>
              <w:t>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39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97"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398" w14:textId="77777777" w:rsidR="00A74A1E" w:rsidRDefault="00807990">
            <w:pPr>
              <w:jc w:val="right"/>
              <w:textAlignment w:val="bottom"/>
            </w:pPr>
            <w:r>
              <w:rPr>
                <w:rFonts w:ascii="Arial" w:eastAsia="宋体" w:hAnsi="Arial" w:cs="Arial"/>
                <w:color w:val="000000"/>
                <w:sz w:val="20"/>
                <w:szCs w:val="20"/>
              </w:rPr>
              <w:t>563 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399" w14:textId="77777777" w:rsidR="00A74A1E" w:rsidRDefault="00A74A1E">
            <w:pPr>
              <w:jc w:val="right"/>
              <w:rPr>
                <w:rFonts w:ascii="宋体"/>
              </w:rPr>
            </w:pPr>
          </w:p>
        </w:tc>
      </w:tr>
      <w:tr w:rsidR="00A74A1E" w14:paraId="1426F3A1" w14:textId="77777777">
        <w:tc>
          <w:tcPr>
            <w:tcW w:w="0" w:type="auto"/>
            <w:gridSpan w:val="3"/>
            <w:shd w:val="clear" w:color="auto" w:fill="FFFFFF"/>
            <w:tcMar>
              <w:top w:w="40" w:type="dxa"/>
              <w:left w:w="20" w:type="dxa"/>
              <w:bottom w:w="40" w:type="dxa"/>
              <w:right w:w="20" w:type="dxa"/>
            </w:tcMar>
            <w:vAlign w:val="bottom"/>
          </w:tcPr>
          <w:p w14:paraId="1426F39B" w14:textId="77777777" w:rsidR="00A74A1E" w:rsidRDefault="00807990">
            <w:pPr>
              <w:textAlignment w:val="bottom"/>
            </w:pPr>
            <w:r>
              <w:rPr>
                <w:rFonts w:ascii="Arial" w:eastAsia="宋体" w:hAnsi="Arial" w:cs="Arial"/>
                <w:color w:val="000000"/>
                <w:sz w:val="20"/>
                <w:szCs w:val="20"/>
              </w:rPr>
              <w:t>Unamortized debt discount for 2.125% Notes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39C" w14:textId="77777777" w:rsidR="00A74A1E" w:rsidRDefault="00807990">
            <w:pPr>
              <w:jc w:val="right"/>
              <w:textAlignment w:val="bottom"/>
            </w:pPr>
            <w:r>
              <w:rPr>
                <w:rFonts w:ascii="Arial" w:eastAsia="宋体" w:hAnsi="Arial" w:cs="Arial"/>
                <w:color w:val="000000"/>
                <w:sz w:val="20"/>
                <w:szCs w:val="20"/>
              </w:rPr>
              <w:t>(23)</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39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9E"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39F" w14:textId="77777777" w:rsidR="00A74A1E" w:rsidRDefault="00807990">
            <w:pPr>
              <w:jc w:val="right"/>
              <w:textAlignment w:val="bottom"/>
            </w:pPr>
            <w:r>
              <w:rPr>
                <w:rFonts w:ascii="Arial" w:eastAsia="宋体" w:hAnsi="Arial" w:cs="Arial"/>
                <w:color w:val="000000"/>
                <w:sz w:val="20"/>
                <w:szCs w:val="20"/>
              </w:rPr>
              <w:t>(73)</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3A0" w14:textId="77777777" w:rsidR="00A74A1E" w:rsidRDefault="00A74A1E">
            <w:pPr>
              <w:jc w:val="right"/>
              <w:rPr>
                <w:rFonts w:ascii="宋体"/>
              </w:rPr>
            </w:pPr>
          </w:p>
        </w:tc>
      </w:tr>
      <w:tr w:rsidR="00A74A1E" w14:paraId="1426F3A8" w14:textId="77777777">
        <w:tc>
          <w:tcPr>
            <w:tcW w:w="0" w:type="auto"/>
            <w:gridSpan w:val="3"/>
            <w:shd w:val="clear" w:color="auto" w:fill="CCEEFF"/>
            <w:tcMar>
              <w:top w:w="40" w:type="dxa"/>
              <w:left w:w="20" w:type="dxa"/>
              <w:bottom w:w="40" w:type="dxa"/>
              <w:right w:w="20" w:type="dxa"/>
            </w:tcMar>
            <w:vAlign w:val="bottom"/>
          </w:tcPr>
          <w:p w14:paraId="1426F3A2" w14:textId="77777777" w:rsidR="00A74A1E" w:rsidRDefault="00807990">
            <w:pPr>
              <w:textAlignment w:val="bottom"/>
            </w:pPr>
            <w:r>
              <w:rPr>
                <w:rFonts w:ascii="Arial" w:eastAsia="宋体" w:hAnsi="Arial" w:cs="Arial"/>
                <w:color w:val="000000"/>
                <w:sz w:val="20"/>
                <w:szCs w:val="20"/>
              </w:rPr>
              <w:t>Unamortized debt issuance costs for 2.125% Notes</w:t>
            </w:r>
          </w:p>
        </w:tc>
        <w:tc>
          <w:tcPr>
            <w:tcW w:w="0" w:type="auto"/>
            <w:gridSpan w:val="2"/>
            <w:shd w:val="clear" w:color="auto" w:fill="CCEEFF"/>
            <w:tcMar>
              <w:top w:w="40" w:type="dxa"/>
              <w:left w:w="20" w:type="dxa"/>
              <w:bottom w:w="40" w:type="dxa"/>
              <w:right w:w="0" w:type="dxa"/>
            </w:tcMar>
            <w:vAlign w:val="bottom"/>
          </w:tcPr>
          <w:p w14:paraId="1426F3A3"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1426F3A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A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3A6" w14:textId="77777777" w:rsidR="00A74A1E" w:rsidRDefault="00807990">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1426F3A7" w14:textId="77777777" w:rsidR="00A74A1E" w:rsidRDefault="00A74A1E">
            <w:pPr>
              <w:jc w:val="right"/>
              <w:rPr>
                <w:rFonts w:ascii="宋体"/>
              </w:rPr>
            </w:pPr>
          </w:p>
        </w:tc>
      </w:tr>
      <w:tr w:rsidR="00A74A1E" w14:paraId="1426F3AF" w14:textId="77777777">
        <w:tc>
          <w:tcPr>
            <w:tcW w:w="0" w:type="auto"/>
            <w:gridSpan w:val="3"/>
            <w:shd w:val="clear" w:color="auto" w:fill="FFFFFF"/>
            <w:tcMar>
              <w:top w:w="40" w:type="dxa"/>
              <w:left w:w="20" w:type="dxa"/>
              <w:bottom w:w="40" w:type="dxa"/>
              <w:right w:w="20" w:type="dxa"/>
            </w:tcMar>
            <w:vAlign w:val="bottom"/>
          </w:tcPr>
          <w:p w14:paraId="1426F3A9" w14:textId="77777777" w:rsidR="00A74A1E" w:rsidRDefault="00807990">
            <w:pPr>
              <w:textAlignment w:val="bottom"/>
            </w:pPr>
            <w:r>
              <w:rPr>
                <w:rFonts w:ascii="Arial" w:eastAsia="宋体" w:hAnsi="Arial" w:cs="Arial"/>
                <w:color w:val="000000"/>
                <w:sz w:val="20"/>
                <w:szCs w:val="20"/>
              </w:rPr>
              <w:t>Unamortized debt issuance costs for 7.50% Notes</w:t>
            </w:r>
          </w:p>
        </w:tc>
        <w:tc>
          <w:tcPr>
            <w:tcW w:w="0" w:type="auto"/>
            <w:gridSpan w:val="2"/>
            <w:shd w:val="clear" w:color="auto" w:fill="FFFFFF"/>
            <w:tcMar>
              <w:top w:w="40" w:type="dxa"/>
              <w:left w:w="20" w:type="dxa"/>
              <w:bottom w:w="40" w:type="dxa"/>
              <w:right w:w="0" w:type="dxa"/>
            </w:tcMar>
            <w:vAlign w:val="bottom"/>
          </w:tcPr>
          <w:p w14:paraId="1426F3AA"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426F3A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3A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3AD"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426F3AE" w14:textId="77777777" w:rsidR="00A74A1E" w:rsidRDefault="00A74A1E">
            <w:pPr>
              <w:jc w:val="right"/>
              <w:rPr>
                <w:rFonts w:ascii="宋体"/>
              </w:rPr>
            </w:pPr>
          </w:p>
        </w:tc>
      </w:tr>
      <w:tr w:rsidR="00A74A1E" w14:paraId="1426F3B4" w14:textId="77777777">
        <w:trPr>
          <w:hidden/>
        </w:trPr>
        <w:tc>
          <w:tcPr>
            <w:tcW w:w="0" w:type="auto"/>
            <w:gridSpan w:val="3"/>
            <w:shd w:val="clear" w:color="auto" w:fill="auto"/>
          </w:tcPr>
          <w:p w14:paraId="1426F3B0" w14:textId="77777777" w:rsidR="00A74A1E" w:rsidRDefault="00A74A1E">
            <w:pPr>
              <w:rPr>
                <w:rFonts w:ascii="宋体"/>
                <w:vanish/>
              </w:rPr>
            </w:pPr>
          </w:p>
        </w:tc>
        <w:tc>
          <w:tcPr>
            <w:tcW w:w="0" w:type="auto"/>
            <w:gridSpan w:val="3"/>
            <w:shd w:val="clear" w:color="auto" w:fill="auto"/>
          </w:tcPr>
          <w:p w14:paraId="1426F3B1" w14:textId="77777777" w:rsidR="00A74A1E" w:rsidRDefault="00A74A1E">
            <w:pPr>
              <w:rPr>
                <w:rFonts w:ascii="宋体"/>
                <w:vanish/>
              </w:rPr>
            </w:pPr>
          </w:p>
        </w:tc>
        <w:tc>
          <w:tcPr>
            <w:tcW w:w="0" w:type="auto"/>
            <w:gridSpan w:val="3"/>
            <w:shd w:val="clear" w:color="auto" w:fill="auto"/>
          </w:tcPr>
          <w:p w14:paraId="1426F3B2" w14:textId="77777777" w:rsidR="00A74A1E" w:rsidRDefault="00A74A1E">
            <w:pPr>
              <w:rPr>
                <w:rFonts w:ascii="宋体"/>
                <w:vanish/>
              </w:rPr>
            </w:pPr>
          </w:p>
        </w:tc>
        <w:tc>
          <w:tcPr>
            <w:tcW w:w="0" w:type="auto"/>
            <w:gridSpan w:val="3"/>
            <w:shd w:val="clear" w:color="auto" w:fill="auto"/>
          </w:tcPr>
          <w:p w14:paraId="1426F3B3" w14:textId="77777777" w:rsidR="00A74A1E" w:rsidRDefault="00A74A1E">
            <w:pPr>
              <w:rPr>
                <w:rFonts w:ascii="宋体"/>
                <w:vanish/>
              </w:rPr>
            </w:pPr>
          </w:p>
        </w:tc>
      </w:tr>
      <w:tr w:rsidR="00A74A1E" w14:paraId="1426F3B9" w14:textId="77777777">
        <w:trPr>
          <w:hidden/>
        </w:trPr>
        <w:tc>
          <w:tcPr>
            <w:tcW w:w="0" w:type="auto"/>
            <w:gridSpan w:val="3"/>
            <w:shd w:val="clear" w:color="auto" w:fill="auto"/>
          </w:tcPr>
          <w:p w14:paraId="1426F3B5" w14:textId="77777777" w:rsidR="00A74A1E" w:rsidRDefault="00A74A1E">
            <w:pPr>
              <w:rPr>
                <w:rFonts w:ascii="宋体"/>
                <w:vanish/>
              </w:rPr>
            </w:pPr>
          </w:p>
        </w:tc>
        <w:tc>
          <w:tcPr>
            <w:tcW w:w="0" w:type="auto"/>
            <w:gridSpan w:val="3"/>
            <w:shd w:val="clear" w:color="auto" w:fill="auto"/>
          </w:tcPr>
          <w:p w14:paraId="1426F3B6" w14:textId="77777777" w:rsidR="00A74A1E" w:rsidRDefault="00A74A1E">
            <w:pPr>
              <w:rPr>
                <w:rFonts w:ascii="宋体"/>
                <w:vanish/>
              </w:rPr>
            </w:pPr>
          </w:p>
        </w:tc>
        <w:tc>
          <w:tcPr>
            <w:tcW w:w="0" w:type="auto"/>
            <w:gridSpan w:val="3"/>
            <w:shd w:val="clear" w:color="auto" w:fill="auto"/>
          </w:tcPr>
          <w:p w14:paraId="1426F3B7" w14:textId="77777777" w:rsidR="00A74A1E" w:rsidRDefault="00A74A1E">
            <w:pPr>
              <w:rPr>
                <w:rFonts w:ascii="宋体"/>
                <w:vanish/>
              </w:rPr>
            </w:pPr>
          </w:p>
        </w:tc>
        <w:tc>
          <w:tcPr>
            <w:tcW w:w="0" w:type="auto"/>
            <w:gridSpan w:val="3"/>
            <w:shd w:val="clear" w:color="auto" w:fill="auto"/>
          </w:tcPr>
          <w:p w14:paraId="1426F3B8" w14:textId="77777777" w:rsidR="00A74A1E" w:rsidRDefault="00A74A1E">
            <w:pPr>
              <w:rPr>
                <w:rFonts w:ascii="宋体"/>
                <w:vanish/>
              </w:rPr>
            </w:pPr>
          </w:p>
        </w:tc>
      </w:tr>
      <w:tr w:rsidR="00A74A1E" w14:paraId="1426F3C2" w14:textId="77777777">
        <w:tc>
          <w:tcPr>
            <w:tcW w:w="0" w:type="auto"/>
            <w:gridSpan w:val="3"/>
            <w:shd w:val="clear" w:color="auto" w:fill="CCEEFF"/>
            <w:tcMar>
              <w:top w:w="40" w:type="dxa"/>
              <w:left w:w="20" w:type="dxa"/>
              <w:bottom w:w="40" w:type="dxa"/>
              <w:right w:w="20" w:type="dxa"/>
            </w:tcMar>
            <w:vAlign w:val="bottom"/>
          </w:tcPr>
          <w:p w14:paraId="1426F3BA" w14:textId="77777777" w:rsidR="00A74A1E" w:rsidRDefault="00807990">
            <w:pPr>
              <w:textAlignment w:val="bottom"/>
            </w:pPr>
            <w:r>
              <w:rPr>
                <w:rFonts w:ascii="Arial" w:eastAsia="宋体" w:hAnsi="Arial" w:cs="Arial"/>
                <w:color w:val="000000"/>
                <w:sz w:val="20"/>
                <w:szCs w:val="20"/>
              </w:rPr>
              <w:t>Total long-term debt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3BB"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3BC" w14:textId="77777777" w:rsidR="00A74A1E" w:rsidRDefault="00807990">
            <w:pPr>
              <w:jc w:val="right"/>
              <w:textAlignment w:val="bottom"/>
            </w:pPr>
            <w:r>
              <w:rPr>
                <w:rFonts w:ascii="Arial" w:eastAsia="宋体" w:hAnsi="Arial" w:cs="Arial"/>
                <w:color w:val="000000"/>
                <w:sz w:val="20"/>
                <w:szCs w:val="20"/>
              </w:rPr>
              <w:t>373 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3B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3BE"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3BF"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3C0" w14:textId="77777777" w:rsidR="00A74A1E" w:rsidRDefault="00807990">
            <w:pPr>
              <w:jc w:val="right"/>
              <w:textAlignment w:val="bottom"/>
            </w:pPr>
            <w:r>
              <w:rPr>
                <w:rFonts w:ascii="Arial" w:eastAsia="宋体" w:hAnsi="Arial" w:cs="Arial"/>
                <w:color w:val="000000"/>
                <w:sz w:val="20"/>
                <w:szCs w:val="20"/>
              </w:rPr>
              <w:t>486 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3C1" w14:textId="77777777" w:rsidR="00A74A1E" w:rsidRDefault="00A74A1E">
            <w:pPr>
              <w:jc w:val="right"/>
              <w:rPr>
                <w:rFonts w:ascii="宋体"/>
              </w:rPr>
            </w:pPr>
          </w:p>
        </w:tc>
      </w:tr>
    </w:tbl>
    <w:p w14:paraId="1426F3C3" w14:textId="77777777" w:rsidR="00A74A1E" w:rsidRDefault="00A74A1E"/>
    <w:p w14:paraId="1426F3C4" w14:textId="77777777" w:rsidR="00A74A1E" w:rsidRDefault="00807990">
      <w:pPr>
        <w:ind w:firstLine="450"/>
      </w:pPr>
      <w:r>
        <w:rPr>
          <w:rFonts w:ascii="Arial" w:eastAsia="宋体" w:hAnsi="Arial" w:cs="Arial"/>
          <w:b/>
          <w:bCs/>
          <w:i/>
          <w:iCs/>
          <w:color w:val="000000"/>
          <w:sz w:val="20"/>
          <w:szCs w:val="20"/>
        </w:rPr>
        <w:t>2.125% Convertible Senior Notes Due 2026</w:t>
      </w:r>
    </w:p>
    <w:p w14:paraId="1426F3C5" w14:textId="77777777" w:rsidR="00A74A1E" w:rsidRDefault="00807990">
      <w:pPr>
        <w:spacing w:before="180"/>
        <w:ind w:firstLine="450"/>
        <w:jc w:val="both"/>
      </w:pPr>
      <w:r>
        <w:rPr>
          <w:rFonts w:ascii="Arial" w:eastAsia="宋体" w:hAnsi="Arial" w:cs="Arial"/>
          <w:color w:val="000000"/>
          <w:sz w:val="20"/>
          <w:szCs w:val="20"/>
        </w:rPr>
        <w:t xml:space="preserve">In September 2016, the Company issued $805 million in aggregate principal amount of 2.125% Convertible Senior Notes which mature on September 1, 2026. The 2.125% Notes are general unsecured senior obligations of the Company. </w:t>
      </w:r>
    </w:p>
    <w:p w14:paraId="1426F3C6" w14:textId="77777777" w:rsidR="00A74A1E" w:rsidRDefault="00807990">
      <w:pPr>
        <w:spacing w:before="180"/>
        <w:ind w:firstLine="450"/>
        <w:jc w:val="both"/>
      </w:pPr>
      <w:r>
        <w:rPr>
          <w:rFonts w:ascii="Arial" w:eastAsia="宋体" w:hAnsi="Arial" w:cs="Arial"/>
          <w:color w:val="000000"/>
          <w:sz w:val="20"/>
          <w:szCs w:val="20"/>
        </w:rPr>
        <w:t>Holders of the 2.125% Notes ma</w:t>
      </w:r>
      <w:r>
        <w:rPr>
          <w:rFonts w:ascii="Arial" w:eastAsia="宋体" w:hAnsi="Arial" w:cs="Arial"/>
          <w:color w:val="000000"/>
          <w:sz w:val="20"/>
          <w:szCs w:val="20"/>
        </w:rPr>
        <w:t>y convert them at their option during certain time periods and upon the occurrence of certain events, including, during any calendar quarter, if the last reported sale price of the Company’s common stock for at least 20 trading days (whether or not consecu</w:t>
      </w:r>
      <w:r>
        <w:rPr>
          <w:rFonts w:ascii="Arial" w:eastAsia="宋体" w:hAnsi="Arial" w:cs="Arial"/>
          <w:color w:val="000000"/>
          <w:sz w:val="20"/>
          <w:szCs w:val="20"/>
        </w:rPr>
        <w:t>tive) during a period of 30 consecutive trading days ending on the last trading day of the immediately preceding calendar quarter is greater than or equal to 130% of the conversion price on each applicable trading day (equivalent to an initial conversion p</w:t>
      </w:r>
      <w:r>
        <w:rPr>
          <w:rFonts w:ascii="Arial" w:eastAsia="宋体" w:hAnsi="Arial" w:cs="Arial"/>
          <w:color w:val="000000"/>
          <w:sz w:val="20"/>
          <w:szCs w:val="20"/>
        </w:rPr>
        <w:t>rice of approximately $8.00 per share of common stock). The above event was met during the third calendar quarter of 2020 and as a result, the 2.125% Notes are convertible at the option of the holder from October 1, 2020 until December 31, 2020.</w:t>
      </w:r>
    </w:p>
    <w:p w14:paraId="1426F3C7" w14:textId="77777777" w:rsidR="00A74A1E" w:rsidRDefault="00807990">
      <w:pPr>
        <w:spacing w:before="180"/>
        <w:ind w:firstLine="450"/>
        <w:jc w:val="both"/>
      </w:pPr>
      <w:r>
        <w:rPr>
          <w:rFonts w:ascii="Arial" w:eastAsia="宋体" w:hAnsi="Arial" w:cs="Arial"/>
          <w:color w:val="000000"/>
          <w:sz w:val="20"/>
          <w:szCs w:val="20"/>
        </w:rPr>
        <w:t>During the</w:t>
      </w:r>
      <w:r>
        <w:rPr>
          <w:rFonts w:ascii="Arial" w:eastAsia="宋体" w:hAnsi="Arial" w:cs="Arial"/>
          <w:color w:val="000000"/>
          <w:sz w:val="20"/>
          <w:szCs w:val="20"/>
        </w:rPr>
        <w:t xml:space="preserve"> three and nine months ended September 26, 2020, holders of the 2.125% Notes converted $165 million principal amount of these notes, for which the Company issued approximately 20 million shares of the </w:t>
      </w:r>
    </w:p>
    <w:p w14:paraId="1426F3C8" w14:textId="77777777" w:rsidR="00A74A1E" w:rsidRDefault="00807990">
      <w:pPr>
        <w:jc w:val="center"/>
      </w:pPr>
      <w:r>
        <w:rPr>
          <w:rFonts w:ascii="Arial" w:eastAsia="宋体" w:hAnsi="Arial" w:cs="Arial"/>
          <w:color w:val="000000"/>
          <w:sz w:val="20"/>
          <w:szCs w:val="20"/>
        </w:rPr>
        <w:t>12</w:t>
      </w:r>
    </w:p>
    <w:p w14:paraId="1426F3C9" w14:textId="77777777" w:rsidR="00A74A1E" w:rsidRDefault="00807990">
      <w:r>
        <w:pict w14:anchorId="1426FC17">
          <v:rect id="_x0000_i1036" style="width:415.3pt;height:1.5pt" o:hralign="center" o:hrstd="t" o:hr="t" fillcolor="#a0a0a0" stroked="f"/>
        </w:pict>
      </w:r>
    </w:p>
    <w:p w14:paraId="1426F3CA" w14:textId="77777777" w:rsidR="00A74A1E" w:rsidRDefault="00A74A1E">
      <w:pPr>
        <w:spacing w:before="60"/>
      </w:pPr>
    </w:p>
    <w:p w14:paraId="1426F3CB" w14:textId="77777777" w:rsidR="00A74A1E" w:rsidRDefault="00807990">
      <w:pPr>
        <w:spacing w:before="180"/>
        <w:jc w:val="both"/>
      </w:pPr>
      <w:r>
        <w:rPr>
          <w:rFonts w:ascii="Arial" w:eastAsia="宋体" w:hAnsi="Arial" w:cs="Arial"/>
          <w:color w:val="000000"/>
          <w:sz w:val="20"/>
          <w:szCs w:val="20"/>
        </w:rPr>
        <w:t>Company’s common stock at the conversion price o</w:t>
      </w:r>
      <w:r>
        <w:rPr>
          <w:rFonts w:ascii="Arial" w:eastAsia="宋体" w:hAnsi="Arial" w:cs="Arial"/>
          <w:color w:val="000000"/>
          <w:sz w:val="20"/>
          <w:szCs w:val="20"/>
        </w:rPr>
        <w:t xml:space="preserve">f $8.00 per share. The Company recorded a loss of $38 million from these conversions in Other expense, net on its condensed consolidated statements of operations. As of September 26, 2020, the outstanding aggregate principal amount of the 2.125% Notes was </w:t>
      </w:r>
      <w:r>
        <w:rPr>
          <w:rFonts w:ascii="Arial" w:eastAsia="宋体" w:hAnsi="Arial" w:cs="Arial"/>
          <w:color w:val="000000"/>
          <w:sz w:val="20"/>
          <w:szCs w:val="20"/>
        </w:rPr>
        <w:t>$86 million.</w:t>
      </w:r>
    </w:p>
    <w:p w14:paraId="1426F3CC" w14:textId="77777777" w:rsidR="00A74A1E" w:rsidRDefault="00807990">
      <w:pPr>
        <w:spacing w:before="180"/>
        <w:ind w:firstLine="450"/>
        <w:jc w:val="both"/>
      </w:pPr>
      <w:r>
        <w:rPr>
          <w:rFonts w:ascii="Arial" w:eastAsia="宋体" w:hAnsi="Arial" w:cs="Arial"/>
          <w:color w:val="000000"/>
          <w:sz w:val="20"/>
          <w:szCs w:val="20"/>
        </w:rPr>
        <w:t>The Company’s current intent is to deliver shares of its common stock upon conversion of the 2.125% Notes. The Company continued to classify the carrying value of the liability component of the 2.125% Notes as long-term debt and the equity com</w:t>
      </w:r>
      <w:r>
        <w:rPr>
          <w:rFonts w:ascii="Arial" w:eastAsia="宋体" w:hAnsi="Arial" w:cs="Arial"/>
          <w:color w:val="000000"/>
          <w:sz w:val="20"/>
          <w:szCs w:val="20"/>
        </w:rPr>
        <w:t>ponent of the 2.125% Notes as permanent equity on its condensed consolidated balance sheet as of September 26, 2020. The effective interest rate of the liability component of the 2.125% Notes is 8%. This interest rate was based on the interest rates of sim</w:t>
      </w:r>
      <w:r>
        <w:rPr>
          <w:rFonts w:ascii="Arial" w:eastAsia="宋体" w:hAnsi="Arial" w:cs="Arial"/>
          <w:color w:val="000000"/>
          <w:sz w:val="20"/>
          <w:szCs w:val="20"/>
        </w:rPr>
        <w:t>ilar liabilities at the time of issuance that did not have associated conversion features. The carrying amount of the equity component of the 2.125% Notes was $33 million and $95 million as of September 26, 2020 and December 28, 2019, respectively.</w:t>
      </w:r>
    </w:p>
    <w:p w14:paraId="1426F3CD" w14:textId="77777777" w:rsidR="00A74A1E" w:rsidRDefault="00807990">
      <w:pPr>
        <w:spacing w:before="180"/>
        <w:ind w:firstLine="450"/>
        <w:jc w:val="both"/>
      </w:pPr>
      <w:r>
        <w:rPr>
          <w:rFonts w:ascii="Arial" w:eastAsia="宋体" w:hAnsi="Arial" w:cs="Arial"/>
          <w:b/>
          <w:bCs/>
          <w:i/>
          <w:iCs/>
          <w:color w:val="000000"/>
          <w:sz w:val="20"/>
          <w:szCs w:val="20"/>
        </w:rPr>
        <w:t>7.50% S</w:t>
      </w:r>
      <w:r>
        <w:rPr>
          <w:rFonts w:ascii="Arial" w:eastAsia="宋体" w:hAnsi="Arial" w:cs="Arial"/>
          <w:b/>
          <w:bCs/>
          <w:i/>
          <w:iCs/>
          <w:color w:val="000000"/>
          <w:sz w:val="20"/>
          <w:szCs w:val="20"/>
        </w:rPr>
        <w:t xml:space="preserve">enior Notes Due 2022 </w:t>
      </w:r>
    </w:p>
    <w:p w14:paraId="1426F3CE" w14:textId="77777777" w:rsidR="00A74A1E" w:rsidRDefault="00807990">
      <w:pPr>
        <w:spacing w:before="180"/>
        <w:ind w:firstLine="450"/>
        <w:jc w:val="both"/>
      </w:pPr>
      <w:r>
        <w:rPr>
          <w:rFonts w:ascii="Arial" w:eastAsia="宋体" w:hAnsi="Arial" w:cs="Arial"/>
          <w:color w:val="000000"/>
          <w:sz w:val="20"/>
          <w:szCs w:val="20"/>
        </w:rPr>
        <w:t xml:space="preserve">On August 15, 2012, the Company issued $500 million of its 7.50% Senior Notes due 2022. As of September 26, 2020, the outstanding aggregate principal amount of the 7.50% Notes was $312 million. </w:t>
      </w:r>
    </w:p>
    <w:p w14:paraId="1426F3CF" w14:textId="77777777" w:rsidR="00A74A1E" w:rsidRDefault="00807990">
      <w:pPr>
        <w:spacing w:before="180"/>
        <w:ind w:firstLine="450"/>
      </w:pPr>
      <w:r>
        <w:rPr>
          <w:rFonts w:ascii="Arial" w:eastAsia="宋体" w:hAnsi="Arial" w:cs="Arial"/>
          <w:b/>
          <w:bCs/>
          <w:i/>
          <w:iCs/>
          <w:color w:val="000000"/>
          <w:sz w:val="20"/>
          <w:szCs w:val="20"/>
        </w:rPr>
        <w:t>Revolving Credit Facility</w:t>
      </w:r>
    </w:p>
    <w:p w14:paraId="1426F3D0" w14:textId="77777777" w:rsidR="00A74A1E" w:rsidRDefault="00807990">
      <w:pPr>
        <w:spacing w:before="180"/>
        <w:ind w:firstLine="450"/>
        <w:jc w:val="both"/>
      </w:pPr>
      <w:r>
        <w:rPr>
          <w:rFonts w:ascii="Arial" w:eastAsia="宋体" w:hAnsi="Arial" w:cs="Arial"/>
          <w:color w:val="000000"/>
          <w:sz w:val="20"/>
          <w:szCs w:val="20"/>
        </w:rPr>
        <w:t>On June 7, 20</w:t>
      </w:r>
      <w:r>
        <w:rPr>
          <w:rFonts w:ascii="Arial" w:eastAsia="宋体" w:hAnsi="Arial" w:cs="Arial"/>
          <w:color w:val="000000"/>
          <w:sz w:val="20"/>
          <w:szCs w:val="20"/>
        </w:rPr>
        <w:t xml:space="preserve">19, the Company entered into a secured revolving credit facility for up to $500 million (the Revolving Facility) pursuant to a credit agreement by and among the Company, as borrower, the lenders party thereto and Wells Fargo Bank, National Association, as </w:t>
      </w:r>
      <w:r>
        <w:rPr>
          <w:rFonts w:ascii="Arial" w:eastAsia="宋体" w:hAnsi="Arial" w:cs="Arial"/>
          <w:color w:val="000000"/>
          <w:sz w:val="20"/>
          <w:szCs w:val="20"/>
        </w:rPr>
        <w:t xml:space="preserve">administrative agent (the Credit Agreement). The Revolving Facility consists of a $500 million, five-year secured revolving loan facility, including a $50 million swingline subfacility and a $75 million sublimit for letters of credit. </w:t>
      </w:r>
    </w:p>
    <w:p w14:paraId="1426F3D1" w14:textId="77777777" w:rsidR="00A74A1E" w:rsidRDefault="00807990">
      <w:pPr>
        <w:spacing w:before="180"/>
        <w:ind w:firstLine="450"/>
        <w:jc w:val="both"/>
      </w:pPr>
      <w:r>
        <w:rPr>
          <w:rFonts w:ascii="Arial" w:eastAsia="宋体" w:hAnsi="Arial" w:cs="Arial"/>
          <w:color w:val="000000"/>
          <w:sz w:val="20"/>
          <w:szCs w:val="20"/>
        </w:rPr>
        <w:t>Prior to the current</w:t>
      </w:r>
      <w:r>
        <w:rPr>
          <w:rFonts w:ascii="Arial" w:eastAsia="宋体" w:hAnsi="Arial" w:cs="Arial"/>
          <w:color w:val="000000"/>
          <w:sz w:val="20"/>
          <w:szCs w:val="20"/>
        </w:rPr>
        <w:t xml:space="preserve"> quarter, obligations under the Credit Agreement were secured by a lien on substantially all the Company’s property, other than intellectual property. During the three months ended September 26, 2020, as a result of upgrades of the Company’s debt ratings, </w:t>
      </w:r>
      <w:r>
        <w:rPr>
          <w:rFonts w:ascii="Arial" w:eastAsia="宋体" w:hAnsi="Arial" w:cs="Arial"/>
          <w:color w:val="000000"/>
          <w:sz w:val="20"/>
          <w:szCs w:val="20"/>
        </w:rPr>
        <w:t>the security requirements under the Credit Agreement were terminated and the liens on the Company’s collateral were released.</w:t>
      </w:r>
    </w:p>
    <w:p w14:paraId="1426F3D2" w14:textId="77777777" w:rsidR="00A74A1E" w:rsidRDefault="00807990">
      <w:pPr>
        <w:spacing w:before="240"/>
        <w:ind w:firstLine="450"/>
        <w:jc w:val="both"/>
      </w:pPr>
      <w:r>
        <w:rPr>
          <w:rFonts w:ascii="Arial" w:eastAsia="宋体" w:hAnsi="Arial" w:cs="Arial"/>
          <w:color w:val="000000"/>
          <w:sz w:val="20"/>
          <w:szCs w:val="20"/>
        </w:rPr>
        <w:t>The Credit Agreement also provides the ability to increase the Revolving Facility or incur incremental term loans or other increme</w:t>
      </w:r>
      <w:r>
        <w:rPr>
          <w:rFonts w:ascii="Arial" w:eastAsia="宋体" w:hAnsi="Arial" w:cs="Arial"/>
          <w:color w:val="000000"/>
          <w:sz w:val="20"/>
          <w:szCs w:val="20"/>
        </w:rPr>
        <w:t xml:space="preserve">ntal equivalent debt by an amount not to exceed certain amounts as set forth in the Credit Agreement. The Company’s available borrowings under the Revolving Facility are also subject to reduction by an amount equal to the net cash proceeds of (i) any debt </w:t>
      </w:r>
      <w:r>
        <w:rPr>
          <w:rFonts w:ascii="Arial" w:eastAsia="宋体" w:hAnsi="Arial" w:cs="Arial"/>
          <w:color w:val="000000"/>
          <w:sz w:val="20"/>
          <w:szCs w:val="20"/>
        </w:rPr>
        <w:t>issuances not permitted by the Revolving Facility and (ii) any non-ordinary course asset sales, in excess of $250 million, if such net cash proceeds are not reinvested by the Company within twelve months of receipt.</w:t>
      </w:r>
    </w:p>
    <w:p w14:paraId="1426F3D3" w14:textId="77777777" w:rsidR="00A74A1E" w:rsidRDefault="00807990">
      <w:pPr>
        <w:spacing w:before="180" w:after="160"/>
        <w:ind w:firstLine="450"/>
        <w:jc w:val="both"/>
      </w:pPr>
      <w:r>
        <w:rPr>
          <w:rFonts w:ascii="Arial" w:eastAsia="宋体" w:hAnsi="Arial" w:cs="Arial"/>
          <w:color w:val="000000"/>
          <w:sz w:val="20"/>
          <w:szCs w:val="20"/>
        </w:rPr>
        <w:t>On April 6, 2020, the Company borrowed $</w:t>
      </w:r>
      <w:r>
        <w:rPr>
          <w:rFonts w:ascii="Arial" w:eastAsia="宋体" w:hAnsi="Arial" w:cs="Arial"/>
          <w:color w:val="000000"/>
          <w:sz w:val="20"/>
          <w:szCs w:val="20"/>
        </w:rPr>
        <w:t>200 million under the Credit Agreement via the LIBOR rate loan option at an annual interest rate of 2.37%. The Company repaid the $200 million borrowing plus interest on July 6, 2020. As of September 26, 2020, the Company had $13 million of letters of cred</w:t>
      </w:r>
      <w:r>
        <w:rPr>
          <w:rFonts w:ascii="Arial" w:eastAsia="宋体" w:hAnsi="Arial" w:cs="Arial"/>
          <w:color w:val="000000"/>
          <w:sz w:val="20"/>
          <w:szCs w:val="20"/>
        </w:rPr>
        <w:t>it outstanding under the Credit Agreement and the Company was in compliance with all required covenants under the Credit Agreement.</w:t>
      </w:r>
    </w:p>
    <w:p w14:paraId="1426F3D4" w14:textId="77777777" w:rsidR="00A74A1E" w:rsidRDefault="00807990">
      <w:pPr>
        <w:jc w:val="both"/>
      </w:pPr>
      <w:r>
        <w:rPr>
          <w:rFonts w:ascii="Arial" w:eastAsia="宋体" w:hAnsi="Arial" w:cs="Arial"/>
          <w:b/>
          <w:bCs/>
          <w:color w:val="000000"/>
          <w:sz w:val="20"/>
          <w:szCs w:val="20"/>
        </w:rPr>
        <w:t>NOTE 5. Financial Instruments</w:t>
      </w:r>
    </w:p>
    <w:p w14:paraId="1426F3D5" w14:textId="77777777" w:rsidR="00A74A1E" w:rsidRDefault="00807990">
      <w:pPr>
        <w:spacing w:before="180"/>
        <w:jc w:val="both"/>
      </w:pPr>
      <w:r>
        <w:rPr>
          <w:rFonts w:ascii="Arial" w:eastAsia="宋体" w:hAnsi="Arial" w:cs="Arial"/>
          <w:b/>
          <w:bCs/>
          <w:color w:val="000000"/>
          <w:sz w:val="20"/>
          <w:szCs w:val="20"/>
        </w:rPr>
        <w:t>Fair Value Measurements</w:t>
      </w:r>
    </w:p>
    <w:p w14:paraId="1426F3D6" w14:textId="77777777" w:rsidR="00A74A1E" w:rsidRDefault="00807990">
      <w:pPr>
        <w:spacing w:before="180"/>
        <w:ind w:firstLine="450"/>
        <w:jc w:val="both"/>
      </w:pPr>
      <w:r>
        <w:rPr>
          <w:rFonts w:ascii="Arial" w:eastAsia="宋体" w:hAnsi="Arial" w:cs="Arial"/>
          <w:b/>
          <w:bCs/>
          <w:color w:val="000000"/>
          <w:sz w:val="20"/>
          <w:szCs w:val="20"/>
        </w:rPr>
        <w:t>Financial Instruments Recorded at Fair Value on a Recurring Basis</w:t>
      </w:r>
    </w:p>
    <w:p w14:paraId="1426F3D7" w14:textId="77777777" w:rsidR="00A74A1E" w:rsidRDefault="00807990">
      <w:pPr>
        <w:spacing w:before="180"/>
        <w:ind w:firstLine="450"/>
        <w:jc w:val="both"/>
      </w:pPr>
      <w:r>
        <w:rPr>
          <w:rFonts w:ascii="Arial" w:eastAsia="宋体" w:hAnsi="Arial" w:cs="Arial"/>
          <w:color w:val="000000"/>
          <w:sz w:val="20"/>
          <w:szCs w:val="20"/>
        </w:rPr>
        <w:t>As o</w:t>
      </w:r>
      <w:r>
        <w:rPr>
          <w:rFonts w:ascii="Arial" w:eastAsia="宋体" w:hAnsi="Arial" w:cs="Arial"/>
          <w:color w:val="000000"/>
          <w:sz w:val="20"/>
          <w:szCs w:val="20"/>
        </w:rPr>
        <w:t xml:space="preserve">f September 26, 2020 and December 28, 2019, the Company had $75 million and $37 million of commercial paper, respectively, included in Short-term investments on the Company’s condensed consolidated balance sheets. The commercial paper is classified within </w:t>
      </w:r>
      <w:r>
        <w:rPr>
          <w:rFonts w:ascii="Arial" w:eastAsia="宋体" w:hAnsi="Arial" w:cs="Arial"/>
          <w:color w:val="000000"/>
          <w:sz w:val="20"/>
          <w:szCs w:val="20"/>
        </w:rPr>
        <w:t>Level 2 as its fair value estimates was based on quoted prices for comparable instruments</w:t>
      </w:r>
      <w:r>
        <w:rPr>
          <w:rFonts w:ascii="Times New Roman" w:eastAsia="宋体" w:hAnsi="Times New Roman"/>
          <w:color w:val="000000"/>
          <w:sz w:val="20"/>
          <w:szCs w:val="20"/>
        </w:rPr>
        <w:t>.</w:t>
      </w:r>
      <w:r>
        <w:rPr>
          <w:rFonts w:ascii="Arial" w:eastAsia="宋体" w:hAnsi="Arial" w:cs="Arial"/>
          <w:color w:val="000000"/>
          <w:sz w:val="20"/>
          <w:szCs w:val="20"/>
        </w:rPr>
        <w:t xml:space="preserve"> </w:t>
      </w:r>
    </w:p>
    <w:p w14:paraId="1426F3D8" w14:textId="77777777" w:rsidR="00A74A1E" w:rsidRDefault="00807990">
      <w:pPr>
        <w:spacing w:before="180"/>
        <w:ind w:firstLine="450"/>
        <w:jc w:val="both"/>
      </w:pPr>
      <w:r>
        <w:rPr>
          <w:rFonts w:ascii="Arial" w:eastAsia="宋体" w:hAnsi="Arial" w:cs="Arial"/>
          <w:color w:val="000000"/>
          <w:sz w:val="20"/>
          <w:szCs w:val="20"/>
        </w:rPr>
        <w:t xml:space="preserve">In addition, as of September 26, 2020 and December 28, 2019, the Company also had $42 million and $30 million, respectively, of investments in mutual funds held in a Rabbi trust established for the Company’s deferred compensation plan, which were included </w:t>
      </w:r>
      <w:r>
        <w:rPr>
          <w:rFonts w:ascii="Arial" w:eastAsia="宋体" w:hAnsi="Arial" w:cs="Arial"/>
          <w:color w:val="000000"/>
          <w:sz w:val="20"/>
          <w:szCs w:val="20"/>
        </w:rPr>
        <w:t>in Other non-current assets on the Company’s condensed consolidated balance sheets. These money market funds and mutual funds are classified within Level 1 as their fair value estimates are based on quoted prices for identical instruments in active markets</w:t>
      </w:r>
      <w:r>
        <w:rPr>
          <w:rFonts w:ascii="Arial" w:eastAsia="宋体" w:hAnsi="Arial" w:cs="Arial"/>
          <w:color w:val="000000"/>
          <w:sz w:val="20"/>
          <w:szCs w:val="20"/>
        </w:rPr>
        <w:t xml:space="preserve">. The Company is restricted from accessing these investments. </w:t>
      </w:r>
    </w:p>
    <w:p w14:paraId="1426F3D9" w14:textId="77777777" w:rsidR="00A74A1E" w:rsidRDefault="00807990">
      <w:pPr>
        <w:jc w:val="center"/>
      </w:pPr>
      <w:r>
        <w:rPr>
          <w:rFonts w:ascii="Arial" w:eastAsia="宋体" w:hAnsi="Arial" w:cs="Arial"/>
          <w:color w:val="000000"/>
          <w:sz w:val="20"/>
          <w:szCs w:val="20"/>
        </w:rPr>
        <w:t>13</w:t>
      </w:r>
    </w:p>
    <w:p w14:paraId="1426F3DA" w14:textId="77777777" w:rsidR="00A74A1E" w:rsidRDefault="00807990">
      <w:r>
        <w:pict w14:anchorId="1426FC18">
          <v:rect id="_x0000_i1037" style="width:415.3pt;height:1.5pt" o:hralign="center" o:hrstd="t" o:hr="t" fillcolor="#a0a0a0" stroked="f"/>
        </w:pict>
      </w:r>
    </w:p>
    <w:p w14:paraId="1426F3DB" w14:textId="77777777" w:rsidR="00A74A1E" w:rsidRDefault="00A74A1E"/>
    <w:p w14:paraId="1426F3DC" w14:textId="77777777" w:rsidR="00A74A1E" w:rsidRDefault="00807990">
      <w:pPr>
        <w:spacing w:before="180"/>
        <w:ind w:firstLine="450"/>
        <w:jc w:val="both"/>
      </w:pPr>
      <w:r>
        <w:rPr>
          <w:rFonts w:ascii="Arial" w:eastAsia="宋体" w:hAnsi="Arial" w:cs="Arial"/>
          <w:b/>
          <w:bCs/>
          <w:color w:val="000000"/>
          <w:sz w:val="20"/>
          <w:szCs w:val="20"/>
        </w:rPr>
        <w:t>Financial Instruments Not Recorded at Fair Value</w:t>
      </w:r>
    </w:p>
    <w:p w14:paraId="1426F3DD" w14:textId="77777777" w:rsidR="00A74A1E" w:rsidRDefault="00807990">
      <w:pPr>
        <w:spacing w:before="180"/>
        <w:ind w:firstLine="450"/>
        <w:jc w:val="both"/>
      </w:pPr>
      <w:r>
        <w:rPr>
          <w:rFonts w:ascii="Arial" w:eastAsia="宋体" w:hAnsi="Arial" w:cs="Arial"/>
          <w:color w:val="000000"/>
          <w:sz w:val="20"/>
          <w:szCs w:val="20"/>
        </w:rPr>
        <w:t xml:space="preserve">The Company carries its financial instruments at fair value except for its long-term debt. The carrying amounts and estimated fair values </w:t>
      </w:r>
      <w:r>
        <w:rPr>
          <w:rFonts w:ascii="Arial" w:eastAsia="宋体" w:hAnsi="Arial" w:cs="Arial"/>
          <w:color w:val="000000"/>
          <w:sz w:val="20"/>
          <w:szCs w:val="20"/>
        </w:rPr>
        <w:t>of the Company’s long-term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4"/>
        <w:gridCol w:w="36"/>
        <w:gridCol w:w="133"/>
        <w:gridCol w:w="826"/>
        <w:gridCol w:w="36"/>
        <w:gridCol w:w="36"/>
        <w:gridCol w:w="36"/>
        <w:gridCol w:w="36"/>
        <w:gridCol w:w="133"/>
        <w:gridCol w:w="777"/>
        <w:gridCol w:w="37"/>
        <w:gridCol w:w="36"/>
        <w:gridCol w:w="36"/>
        <w:gridCol w:w="36"/>
        <w:gridCol w:w="133"/>
        <w:gridCol w:w="779"/>
        <w:gridCol w:w="36"/>
        <w:gridCol w:w="36"/>
        <w:gridCol w:w="36"/>
        <w:gridCol w:w="36"/>
        <w:gridCol w:w="133"/>
        <w:gridCol w:w="866"/>
        <w:gridCol w:w="36"/>
      </w:tblGrid>
      <w:tr w:rsidR="00A74A1E" w14:paraId="1426F3F6" w14:textId="77777777">
        <w:tc>
          <w:tcPr>
            <w:tcW w:w="50" w:type="pct"/>
            <w:shd w:val="clear" w:color="auto" w:fill="auto"/>
          </w:tcPr>
          <w:p w14:paraId="1426F3DE" w14:textId="77777777" w:rsidR="00A74A1E" w:rsidRDefault="00A74A1E">
            <w:pPr>
              <w:rPr>
                <w:rFonts w:ascii="宋体"/>
              </w:rPr>
            </w:pPr>
          </w:p>
        </w:tc>
        <w:tc>
          <w:tcPr>
            <w:tcW w:w="2445" w:type="pct"/>
            <w:shd w:val="clear" w:color="auto" w:fill="auto"/>
          </w:tcPr>
          <w:p w14:paraId="1426F3DF" w14:textId="77777777" w:rsidR="00A74A1E" w:rsidRDefault="00A74A1E">
            <w:pPr>
              <w:rPr>
                <w:rFonts w:ascii="宋体"/>
              </w:rPr>
            </w:pPr>
          </w:p>
        </w:tc>
        <w:tc>
          <w:tcPr>
            <w:tcW w:w="5" w:type="pct"/>
            <w:shd w:val="clear" w:color="auto" w:fill="auto"/>
          </w:tcPr>
          <w:p w14:paraId="1426F3E0" w14:textId="77777777" w:rsidR="00A74A1E" w:rsidRDefault="00A74A1E">
            <w:pPr>
              <w:rPr>
                <w:rFonts w:ascii="宋体"/>
              </w:rPr>
            </w:pPr>
          </w:p>
        </w:tc>
        <w:tc>
          <w:tcPr>
            <w:tcW w:w="50" w:type="pct"/>
            <w:shd w:val="clear" w:color="auto" w:fill="auto"/>
          </w:tcPr>
          <w:p w14:paraId="1426F3E1" w14:textId="77777777" w:rsidR="00A74A1E" w:rsidRDefault="00A74A1E">
            <w:pPr>
              <w:rPr>
                <w:rFonts w:ascii="宋体"/>
              </w:rPr>
            </w:pPr>
          </w:p>
        </w:tc>
        <w:tc>
          <w:tcPr>
            <w:tcW w:w="529" w:type="pct"/>
            <w:shd w:val="clear" w:color="auto" w:fill="auto"/>
          </w:tcPr>
          <w:p w14:paraId="1426F3E2" w14:textId="77777777" w:rsidR="00A74A1E" w:rsidRDefault="00A74A1E">
            <w:pPr>
              <w:rPr>
                <w:rFonts w:ascii="宋体"/>
              </w:rPr>
            </w:pPr>
          </w:p>
        </w:tc>
        <w:tc>
          <w:tcPr>
            <w:tcW w:w="5" w:type="pct"/>
            <w:shd w:val="clear" w:color="auto" w:fill="auto"/>
          </w:tcPr>
          <w:p w14:paraId="1426F3E3" w14:textId="77777777" w:rsidR="00A74A1E" w:rsidRDefault="00A74A1E">
            <w:pPr>
              <w:rPr>
                <w:rFonts w:ascii="宋体"/>
              </w:rPr>
            </w:pPr>
          </w:p>
        </w:tc>
        <w:tc>
          <w:tcPr>
            <w:tcW w:w="5" w:type="pct"/>
            <w:shd w:val="clear" w:color="auto" w:fill="auto"/>
          </w:tcPr>
          <w:p w14:paraId="1426F3E4" w14:textId="77777777" w:rsidR="00A74A1E" w:rsidRDefault="00A74A1E">
            <w:pPr>
              <w:rPr>
                <w:rFonts w:ascii="宋体"/>
              </w:rPr>
            </w:pPr>
          </w:p>
        </w:tc>
        <w:tc>
          <w:tcPr>
            <w:tcW w:w="26" w:type="pct"/>
            <w:shd w:val="clear" w:color="auto" w:fill="auto"/>
          </w:tcPr>
          <w:p w14:paraId="1426F3E5" w14:textId="77777777" w:rsidR="00A74A1E" w:rsidRDefault="00A74A1E">
            <w:pPr>
              <w:rPr>
                <w:rFonts w:ascii="宋体"/>
              </w:rPr>
            </w:pPr>
          </w:p>
        </w:tc>
        <w:tc>
          <w:tcPr>
            <w:tcW w:w="5" w:type="pct"/>
            <w:shd w:val="clear" w:color="auto" w:fill="auto"/>
          </w:tcPr>
          <w:p w14:paraId="1426F3E6" w14:textId="77777777" w:rsidR="00A74A1E" w:rsidRDefault="00A74A1E">
            <w:pPr>
              <w:rPr>
                <w:rFonts w:ascii="宋体"/>
              </w:rPr>
            </w:pPr>
          </w:p>
        </w:tc>
        <w:tc>
          <w:tcPr>
            <w:tcW w:w="50" w:type="pct"/>
            <w:shd w:val="clear" w:color="auto" w:fill="auto"/>
          </w:tcPr>
          <w:p w14:paraId="1426F3E7" w14:textId="77777777" w:rsidR="00A74A1E" w:rsidRDefault="00A74A1E">
            <w:pPr>
              <w:rPr>
                <w:rFonts w:ascii="宋体"/>
              </w:rPr>
            </w:pPr>
          </w:p>
        </w:tc>
        <w:tc>
          <w:tcPr>
            <w:tcW w:w="529" w:type="pct"/>
            <w:shd w:val="clear" w:color="auto" w:fill="auto"/>
          </w:tcPr>
          <w:p w14:paraId="1426F3E8" w14:textId="77777777" w:rsidR="00A74A1E" w:rsidRDefault="00A74A1E">
            <w:pPr>
              <w:rPr>
                <w:rFonts w:ascii="宋体"/>
              </w:rPr>
            </w:pPr>
          </w:p>
        </w:tc>
        <w:tc>
          <w:tcPr>
            <w:tcW w:w="5" w:type="pct"/>
            <w:shd w:val="clear" w:color="auto" w:fill="auto"/>
          </w:tcPr>
          <w:p w14:paraId="1426F3E9" w14:textId="77777777" w:rsidR="00A74A1E" w:rsidRDefault="00A74A1E">
            <w:pPr>
              <w:rPr>
                <w:rFonts w:ascii="宋体"/>
              </w:rPr>
            </w:pPr>
          </w:p>
        </w:tc>
        <w:tc>
          <w:tcPr>
            <w:tcW w:w="5" w:type="pct"/>
            <w:shd w:val="clear" w:color="auto" w:fill="auto"/>
          </w:tcPr>
          <w:p w14:paraId="1426F3EA" w14:textId="77777777" w:rsidR="00A74A1E" w:rsidRDefault="00A74A1E">
            <w:pPr>
              <w:rPr>
                <w:rFonts w:ascii="宋体"/>
              </w:rPr>
            </w:pPr>
          </w:p>
        </w:tc>
        <w:tc>
          <w:tcPr>
            <w:tcW w:w="26" w:type="pct"/>
            <w:shd w:val="clear" w:color="auto" w:fill="auto"/>
          </w:tcPr>
          <w:p w14:paraId="1426F3EB" w14:textId="77777777" w:rsidR="00A74A1E" w:rsidRDefault="00A74A1E">
            <w:pPr>
              <w:rPr>
                <w:rFonts w:ascii="宋体"/>
              </w:rPr>
            </w:pPr>
          </w:p>
        </w:tc>
        <w:tc>
          <w:tcPr>
            <w:tcW w:w="5" w:type="pct"/>
            <w:shd w:val="clear" w:color="auto" w:fill="auto"/>
          </w:tcPr>
          <w:p w14:paraId="1426F3EC" w14:textId="77777777" w:rsidR="00A74A1E" w:rsidRDefault="00A74A1E">
            <w:pPr>
              <w:rPr>
                <w:rFonts w:ascii="宋体"/>
              </w:rPr>
            </w:pPr>
          </w:p>
        </w:tc>
        <w:tc>
          <w:tcPr>
            <w:tcW w:w="50" w:type="pct"/>
            <w:shd w:val="clear" w:color="auto" w:fill="auto"/>
          </w:tcPr>
          <w:p w14:paraId="1426F3ED" w14:textId="77777777" w:rsidR="00A74A1E" w:rsidRDefault="00A74A1E">
            <w:pPr>
              <w:rPr>
                <w:rFonts w:ascii="宋体"/>
              </w:rPr>
            </w:pPr>
          </w:p>
        </w:tc>
        <w:tc>
          <w:tcPr>
            <w:tcW w:w="529" w:type="pct"/>
            <w:shd w:val="clear" w:color="auto" w:fill="auto"/>
          </w:tcPr>
          <w:p w14:paraId="1426F3EE" w14:textId="77777777" w:rsidR="00A74A1E" w:rsidRDefault="00A74A1E">
            <w:pPr>
              <w:rPr>
                <w:rFonts w:ascii="宋体"/>
              </w:rPr>
            </w:pPr>
          </w:p>
        </w:tc>
        <w:tc>
          <w:tcPr>
            <w:tcW w:w="5" w:type="pct"/>
            <w:shd w:val="clear" w:color="auto" w:fill="auto"/>
          </w:tcPr>
          <w:p w14:paraId="1426F3EF" w14:textId="77777777" w:rsidR="00A74A1E" w:rsidRDefault="00A74A1E">
            <w:pPr>
              <w:rPr>
                <w:rFonts w:ascii="宋体"/>
              </w:rPr>
            </w:pPr>
          </w:p>
        </w:tc>
        <w:tc>
          <w:tcPr>
            <w:tcW w:w="5" w:type="pct"/>
            <w:shd w:val="clear" w:color="auto" w:fill="auto"/>
          </w:tcPr>
          <w:p w14:paraId="1426F3F0" w14:textId="77777777" w:rsidR="00A74A1E" w:rsidRDefault="00A74A1E">
            <w:pPr>
              <w:rPr>
                <w:rFonts w:ascii="宋体"/>
              </w:rPr>
            </w:pPr>
          </w:p>
        </w:tc>
        <w:tc>
          <w:tcPr>
            <w:tcW w:w="26" w:type="pct"/>
            <w:shd w:val="clear" w:color="auto" w:fill="auto"/>
          </w:tcPr>
          <w:p w14:paraId="1426F3F1" w14:textId="77777777" w:rsidR="00A74A1E" w:rsidRDefault="00A74A1E">
            <w:pPr>
              <w:rPr>
                <w:rFonts w:ascii="宋体"/>
              </w:rPr>
            </w:pPr>
          </w:p>
        </w:tc>
        <w:tc>
          <w:tcPr>
            <w:tcW w:w="5" w:type="pct"/>
            <w:shd w:val="clear" w:color="auto" w:fill="auto"/>
          </w:tcPr>
          <w:p w14:paraId="1426F3F2" w14:textId="77777777" w:rsidR="00A74A1E" w:rsidRDefault="00A74A1E">
            <w:pPr>
              <w:rPr>
                <w:rFonts w:ascii="宋体"/>
              </w:rPr>
            </w:pPr>
          </w:p>
        </w:tc>
        <w:tc>
          <w:tcPr>
            <w:tcW w:w="50" w:type="pct"/>
            <w:shd w:val="clear" w:color="auto" w:fill="auto"/>
          </w:tcPr>
          <w:p w14:paraId="1426F3F3" w14:textId="77777777" w:rsidR="00A74A1E" w:rsidRDefault="00A74A1E">
            <w:pPr>
              <w:rPr>
                <w:rFonts w:ascii="宋体"/>
              </w:rPr>
            </w:pPr>
          </w:p>
        </w:tc>
        <w:tc>
          <w:tcPr>
            <w:tcW w:w="581" w:type="pct"/>
            <w:shd w:val="clear" w:color="auto" w:fill="auto"/>
          </w:tcPr>
          <w:p w14:paraId="1426F3F4" w14:textId="77777777" w:rsidR="00A74A1E" w:rsidRDefault="00A74A1E">
            <w:pPr>
              <w:rPr>
                <w:rFonts w:ascii="宋体"/>
              </w:rPr>
            </w:pPr>
          </w:p>
        </w:tc>
        <w:tc>
          <w:tcPr>
            <w:tcW w:w="5" w:type="pct"/>
            <w:shd w:val="clear" w:color="auto" w:fill="auto"/>
          </w:tcPr>
          <w:p w14:paraId="1426F3F5" w14:textId="77777777" w:rsidR="00A74A1E" w:rsidRDefault="00A74A1E">
            <w:pPr>
              <w:rPr>
                <w:rFonts w:ascii="宋体"/>
              </w:rPr>
            </w:pPr>
          </w:p>
        </w:tc>
      </w:tr>
      <w:tr w:rsidR="00A74A1E" w14:paraId="1426F3FB" w14:textId="77777777">
        <w:tc>
          <w:tcPr>
            <w:tcW w:w="0" w:type="auto"/>
            <w:gridSpan w:val="3"/>
            <w:shd w:val="clear" w:color="auto" w:fill="auto"/>
            <w:tcMar>
              <w:top w:w="40" w:type="dxa"/>
              <w:left w:w="20" w:type="dxa"/>
              <w:bottom w:w="40" w:type="dxa"/>
              <w:right w:w="20" w:type="dxa"/>
            </w:tcMar>
            <w:vAlign w:val="center"/>
          </w:tcPr>
          <w:p w14:paraId="1426F3F7" w14:textId="77777777" w:rsidR="00A74A1E" w:rsidRDefault="00807990">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1426F3F8" w14:textId="77777777" w:rsidR="00A74A1E" w:rsidRDefault="00807990">
            <w:pPr>
              <w:jc w:val="center"/>
              <w:textAlignment w:val="center"/>
            </w:pPr>
            <w:r>
              <w:rPr>
                <w:rFonts w:ascii="Arial" w:eastAsia="宋体" w:hAnsi="Arial" w:cs="Arial"/>
                <w:b/>
                <w:bCs/>
                <w:color w:val="000000"/>
                <w:sz w:val="16"/>
                <w:szCs w:val="16"/>
              </w:rPr>
              <w:t>September 26, 2020</w:t>
            </w:r>
          </w:p>
        </w:tc>
        <w:tc>
          <w:tcPr>
            <w:tcW w:w="0" w:type="auto"/>
            <w:gridSpan w:val="3"/>
            <w:shd w:val="clear" w:color="auto" w:fill="auto"/>
            <w:tcMar>
              <w:top w:w="0" w:type="dxa"/>
              <w:left w:w="20" w:type="dxa"/>
              <w:bottom w:w="0" w:type="dxa"/>
              <w:right w:w="20" w:type="dxa"/>
            </w:tcMar>
          </w:tcPr>
          <w:p w14:paraId="1426F3F9"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center"/>
          </w:tcPr>
          <w:p w14:paraId="1426F3FA" w14:textId="77777777" w:rsidR="00A74A1E" w:rsidRDefault="00807990">
            <w:pPr>
              <w:jc w:val="center"/>
              <w:textAlignment w:val="center"/>
            </w:pPr>
            <w:r>
              <w:rPr>
                <w:rFonts w:ascii="Arial" w:eastAsia="宋体" w:hAnsi="Arial" w:cs="Arial"/>
                <w:b/>
                <w:bCs/>
                <w:color w:val="000000"/>
                <w:sz w:val="16"/>
                <w:szCs w:val="16"/>
              </w:rPr>
              <w:t>December 28, 2019</w:t>
            </w:r>
          </w:p>
        </w:tc>
      </w:tr>
      <w:tr w:rsidR="00A74A1E" w14:paraId="1426F404" w14:textId="77777777">
        <w:tc>
          <w:tcPr>
            <w:tcW w:w="0" w:type="auto"/>
            <w:gridSpan w:val="3"/>
            <w:shd w:val="clear" w:color="auto" w:fill="auto"/>
            <w:tcMar>
              <w:top w:w="40" w:type="dxa"/>
              <w:left w:w="20" w:type="dxa"/>
              <w:bottom w:w="40" w:type="dxa"/>
              <w:right w:w="20" w:type="dxa"/>
            </w:tcMar>
            <w:vAlign w:val="center"/>
          </w:tcPr>
          <w:p w14:paraId="1426F3FC" w14:textId="77777777" w:rsidR="00A74A1E" w:rsidRDefault="00807990">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426F3FD" w14:textId="77777777" w:rsidR="00A74A1E" w:rsidRDefault="00807990">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3FE"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3FF" w14:textId="77777777" w:rsidR="00A74A1E" w:rsidRDefault="00807990">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tcPr>
          <w:p w14:paraId="1426F400"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401" w14:textId="77777777" w:rsidR="00A74A1E" w:rsidRDefault="00807990">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402"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403" w14:textId="77777777" w:rsidR="00A74A1E" w:rsidRDefault="00807990">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A74A1E" w14:paraId="1426F407" w14:textId="77777777">
        <w:tc>
          <w:tcPr>
            <w:tcW w:w="0" w:type="auto"/>
            <w:gridSpan w:val="3"/>
            <w:shd w:val="clear" w:color="auto" w:fill="auto"/>
            <w:tcMar>
              <w:top w:w="40" w:type="dxa"/>
              <w:left w:w="20" w:type="dxa"/>
              <w:bottom w:w="40" w:type="dxa"/>
              <w:right w:w="20" w:type="dxa"/>
            </w:tcMar>
            <w:vAlign w:val="center"/>
          </w:tcPr>
          <w:p w14:paraId="1426F405" w14:textId="77777777" w:rsidR="00A74A1E" w:rsidRDefault="00807990">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1426F406" w14:textId="77777777" w:rsidR="00A74A1E" w:rsidRDefault="00807990">
            <w:pPr>
              <w:jc w:val="center"/>
              <w:textAlignment w:val="center"/>
            </w:pPr>
            <w:r>
              <w:rPr>
                <w:rFonts w:ascii="Arial" w:eastAsia="宋体" w:hAnsi="Arial" w:cs="Arial"/>
                <w:b/>
                <w:bCs/>
                <w:color w:val="000000"/>
                <w:sz w:val="16"/>
                <w:szCs w:val="16"/>
              </w:rPr>
              <w:t>(In millions)</w:t>
            </w:r>
          </w:p>
        </w:tc>
      </w:tr>
      <w:tr w:rsidR="00A74A1E" w14:paraId="1426F410" w14:textId="77777777">
        <w:trPr>
          <w:hidden/>
        </w:trPr>
        <w:tc>
          <w:tcPr>
            <w:tcW w:w="0" w:type="auto"/>
            <w:gridSpan w:val="3"/>
            <w:shd w:val="clear" w:color="auto" w:fill="auto"/>
          </w:tcPr>
          <w:p w14:paraId="1426F408" w14:textId="77777777" w:rsidR="00A74A1E" w:rsidRDefault="00A74A1E">
            <w:pPr>
              <w:rPr>
                <w:rFonts w:ascii="宋体"/>
                <w:vanish/>
              </w:rPr>
            </w:pPr>
          </w:p>
        </w:tc>
        <w:tc>
          <w:tcPr>
            <w:tcW w:w="0" w:type="auto"/>
            <w:gridSpan w:val="3"/>
            <w:shd w:val="clear" w:color="auto" w:fill="auto"/>
          </w:tcPr>
          <w:p w14:paraId="1426F409" w14:textId="77777777" w:rsidR="00A74A1E" w:rsidRDefault="00A74A1E">
            <w:pPr>
              <w:rPr>
                <w:rFonts w:ascii="宋体"/>
                <w:vanish/>
              </w:rPr>
            </w:pPr>
          </w:p>
        </w:tc>
        <w:tc>
          <w:tcPr>
            <w:tcW w:w="0" w:type="auto"/>
            <w:gridSpan w:val="3"/>
            <w:shd w:val="clear" w:color="auto" w:fill="auto"/>
          </w:tcPr>
          <w:p w14:paraId="1426F40A" w14:textId="77777777" w:rsidR="00A74A1E" w:rsidRDefault="00A74A1E">
            <w:pPr>
              <w:rPr>
                <w:rFonts w:ascii="宋体"/>
                <w:vanish/>
              </w:rPr>
            </w:pPr>
          </w:p>
        </w:tc>
        <w:tc>
          <w:tcPr>
            <w:tcW w:w="0" w:type="auto"/>
            <w:gridSpan w:val="3"/>
            <w:shd w:val="clear" w:color="auto" w:fill="auto"/>
          </w:tcPr>
          <w:p w14:paraId="1426F40B" w14:textId="77777777" w:rsidR="00A74A1E" w:rsidRDefault="00A74A1E">
            <w:pPr>
              <w:rPr>
                <w:rFonts w:ascii="宋体"/>
                <w:vanish/>
              </w:rPr>
            </w:pPr>
          </w:p>
        </w:tc>
        <w:tc>
          <w:tcPr>
            <w:tcW w:w="0" w:type="auto"/>
            <w:gridSpan w:val="3"/>
            <w:shd w:val="clear" w:color="auto" w:fill="auto"/>
          </w:tcPr>
          <w:p w14:paraId="1426F40C" w14:textId="77777777" w:rsidR="00A74A1E" w:rsidRDefault="00A74A1E">
            <w:pPr>
              <w:rPr>
                <w:rFonts w:ascii="宋体"/>
                <w:vanish/>
              </w:rPr>
            </w:pPr>
          </w:p>
        </w:tc>
        <w:tc>
          <w:tcPr>
            <w:tcW w:w="0" w:type="auto"/>
            <w:gridSpan w:val="3"/>
            <w:shd w:val="clear" w:color="auto" w:fill="auto"/>
          </w:tcPr>
          <w:p w14:paraId="1426F40D" w14:textId="77777777" w:rsidR="00A74A1E" w:rsidRDefault="00A74A1E">
            <w:pPr>
              <w:rPr>
                <w:rFonts w:ascii="宋体"/>
                <w:vanish/>
              </w:rPr>
            </w:pPr>
          </w:p>
        </w:tc>
        <w:tc>
          <w:tcPr>
            <w:tcW w:w="0" w:type="auto"/>
            <w:gridSpan w:val="3"/>
            <w:shd w:val="clear" w:color="auto" w:fill="auto"/>
          </w:tcPr>
          <w:p w14:paraId="1426F40E" w14:textId="77777777" w:rsidR="00A74A1E" w:rsidRDefault="00A74A1E">
            <w:pPr>
              <w:rPr>
                <w:rFonts w:ascii="宋体"/>
                <w:vanish/>
              </w:rPr>
            </w:pPr>
          </w:p>
        </w:tc>
        <w:tc>
          <w:tcPr>
            <w:tcW w:w="0" w:type="auto"/>
            <w:gridSpan w:val="3"/>
            <w:shd w:val="clear" w:color="auto" w:fill="auto"/>
          </w:tcPr>
          <w:p w14:paraId="1426F40F" w14:textId="77777777" w:rsidR="00A74A1E" w:rsidRDefault="00A74A1E">
            <w:pPr>
              <w:rPr>
                <w:rFonts w:ascii="宋体"/>
                <w:vanish/>
              </w:rPr>
            </w:pPr>
          </w:p>
        </w:tc>
      </w:tr>
      <w:tr w:rsidR="00A74A1E" w14:paraId="1426F421" w14:textId="77777777">
        <w:tc>
          <w:tcPr>
            <w:tcW w:w="0" w:type="auto"/>
            <w:gridSpan w:val="3"/>
            <w:shd w:val="clear" w:color="auto" w:fill="CCEEFF"/>
            <w:tcMar>
              <w:top w:w="40" w:type="dxa"/>
              <w:left w:w="20" w:type="dxa"/>
              <w:bottom w:w="40" w:type="dxa"/>
              <w:right w:w="20" w:type="dxa"/>
            </w:tcMar>
            <w:vAlign w:val="center"/>
          </w:tcPr>
          <w:p w14:paraId="1426F411" w14:textId="77777777" w:rsidR="00A74A1E" w:rsidRDefault="00807990">
            <w:pPr>
              <w:textAlignment w:val="center"/>
            </w:pPr>
            <w:r>
              <w:rPr>
                <w:rFonts w:ascii="Arial" w:eastAsia="宋体" w:hAnsi="Arial" w:cs="Arial"/>
                <w:color w:val="000000"/>
                <w:sz w:val="20"/>
                <w:szCs w:val="20"/>
              </w:rPr>
              <w:t>Long-term debt, net</w:t>
            </w:r>
          </w:p>
        </w:tc>
        <w:tc>
          <w:tcPr>
            <w:tcW w:w="0" w:type="auto"/>
            <w:shd w:val="clear" w:color="auto" w:fill="CCEEFF"/>
            <w:tcMar>
              <w:top w:w="40" w:type="dxa"/>
              <w:left w:w="20" w:type="dxa"/>
              <w:bottom w:w="40" w:type="dxa"/>
              <w:right w:w="0" w:type="dxa"/>
            </w:tcMar>
            <w:vAlign w:val="center"/>
          </w:tcPr>
          <w:p w14:paraId="1426F412"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413" w14:textId="77777777" w:rsidR="00A74A1E" w:rsidRDefault="00807990">
            <w:pPr>
              <w:jc w:val="right"/>
              <w:textAlignment w:val="center"/>
            </w:pPr>
            <w:r>
              <w:rPr>
                <w:rFonts w:ascii="Arial" w:eastAsia="宋体" w:hAnsi="Arial" w:cs="Arial"/>
                <w:color w:val="000000"/>
                <w:sz w:val="20"/>
                <w:szCs w:val="20"/>
              </w:rPr>
              <w:t>373 </w:t>
            </w:r>
          </w:p>
        </w:tc>
        <w:tc>
          <w:tcPr>
            <w:tcW w:w="0" w:type="auto"/>
            <w:shd w:val="clear" w:color="auto" w:fill="CCEEFF"/>
            <w:tcMar>
              <w:top w:w="40" w:type="dxa"/>
              <w:left w:w="0" w:type="dxa"/>
              <w:bottom w:w="40" w:type="dxa"/>
              <w:right w:w="20" w:type="dxa"/>
            </w:tcMar>
            <w:vAlign w:val="center"/>
          </w:tcPr>
          <w:p w14:paraId="1426F41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15" w14:textId="77777777" w:rsidR="00A74A1E" w:rsidRDefault="00A74A1E">
            <w:pPr>
              <w:rPr>
                <w:rFonts w:ascii="宋体"/>
              </w:rPr>
            </w:pPr>
          </w:p>
        </w:tc>
        <w:tc>
          <w:tcPr>
            <w:tcW w:w="0" w:type="auto"/>
            <w:shd w:val="clear" w:color="auto" w:fill="CCEEFF"/>
            <w:tcMar>
              <w:top w:w="40" w:type="dxa"/>
              <w:left w:w="20" w:type="dxa"/>
              <w:bottom w:w="40" w:type="dxa"/>
              <w:right w:w="0" w:type="dxa"/>
            </w:tcMar>
            <w:vAlign w:val="center"/>
          </w:tcPr>
          <w:p w14:paraId="1426F416"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417" w14:textId="77777777" w:rsidR="00A74A1E" w:rsidRDefault="00807990">
            <w:pPr>
              <w:jc w:val="right"/>
              <w:textAlignment w:val="center"/>
            </w:pPr>
            <w:r>
              <w:rPr>
                <w:rFonts w:ascii="Arial" w:eastAsia="宋体" w:hAnsi="Arial" w:cs="Arial"/>
                <w:color w:val="000000"/>
                <w:sz w:val="20"/>
                <w:szCs w:val="20"/>
              </w:rPr>
              <w:t>1,190 </w:t>
            </w:r>
          </w:p>
        </w:tc>
        <w:tc>
          <w:tcPr>
            <w:tcW w:w="0" w:type="auto"/>
            <w:shd w:val="clear" w:color="auto" w:fill="CCEEFF"/>
            <w:tcMar>
              <w:top w:w="40" w:type="dxa"/>
              <w:left w:w="0" w:type="dxa"/>
              <w:bottom w:w="40" w:type="dxa"/>
              <w:right w:w="20" w:type="dxa"/>
            </w:tcMar>
            <w:vAlign w:val="center"/>
          </w:tcPr>
          <w:p w14:paraId="1426F41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19" w14:textId="77777777" w:rsidR="00A74A1E" w:rsidRDefault="00A74A1E">
            <w:pPr>
              <w:rPr>
                <w:rFonts w:ascii="宋体"/>
              </w:rPr>
            </w:pPr>
          </w:p>
        </w:tc>
        <w:tc>
          <w:tcPr>
            <w:tcW w:w="0" w:type="auto"/>
            <w:shd w:val="clear" w:color="auto" w:fill="CCEEFF"/>
            <w:tcMar>
              <w:top w:w="40" w:type="dxa"/>
              <w:left w:w="20" w:type="dxa"/>
              <w:bottom w:w="40" w:type="dxa"/>
              <w:right w:w="0" w:type="dxa"/>
            </w:tcMar>
            <w:vAlign w:val="center"/>
          </w:tcPr>
          <w:p w14:paraId="1426F41A"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41B" w14:textId="77777777" w:rsidR="00A74A1E" w:rsidRDefault="00807990">
            <w:pPr>
              <w:jc w:val="right"/>
              <w:textAlignment w:val="center"/>
            </w:pPr>
            <w:r>
              <w:rPr>
                <w:rFonts w:ascii="Arial" w:eastAsia="宋体" w:hAnsi="Arial" w:cs="Arial"/>
                <w:color w:val="000000"/>
                <w:sz w:val="20"/>
                <w:szCs w:val="20"/>
              </w:rPr>
              <w:t>486 </w:t>
            </w:r>
          </w:p>
        </w:tc>
        <w:tc>
          <w:tcPr>
            <w:tcW w:w="0" w:type="auto"/>
            <w:shd w:val="clear" w:color="auto" w:fill="CCEEFF"/>
            <w:tcMar>
              <w:top w:w="40" w:type="dxa"/>
              <w:left w:w="0" w:type="dxa"/>
              <w:bottom w:w="40" w:type="dxa"/>
              <w:right w:w="20" w:type="dxa"/>
            </w:tcMar>
            <w:vAlign w:val="center"/>
          </w:tcPr>
          <w:p w14:paraId="1426F41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1D" w14:textId="77777777" w:rsidR="00A74A1E" w:rsidRDefault="00A74A1E">
            <w:pPr>
              <w:rPr>
                <w:rFonts w:ascii="宋体"/>
              </w:rPr>
            </w:pPr>
          </w:p>
        </w:tc>
        <w:tc>
          <w:tcPr>
            <w:tcW w:w="0" w:type="auto"/>
            <w:shd w:val="clear" w:color="auto" w:fill="CCEEFF"/>
            <w:tcMar>
              <w:top w:w="40" w:type="dxa"/>
              <w:left w:w="20" w:type="dxa"/>
              <w:bottom w:w="40" w:type="dxa"/>
              <w:right w:w="0" w:type="dxa"/>
            </w:tcMar>
            <w:vAlign w:val="center"/>
          </w:tcPr>
          <w:p w14:paraId="1426F41E"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41F" w14:textId="77777777" w:rsidR="00A74A1E" w:rsidRDefault="00807990">
            <w:pPr>
              <w:jc w:val="right"/>
              <w:textAlignment w:val="center"/>
            </w:pPr>
            <w:r>
              <w:rPr>
                <w:rFonts w:ascii="Arial" w:eastAsia="宋体" w:hAnsi="Arial" w:cs="Arial"/>
                <w:color w:val="000000"/>
                <w:sz w:val="20"/>
                <w:szCs w:val="20"/>
              </w:rPr>
              <w:t>1,823 </w:t>
            </w:r>
          </w:p>
        </w:tc>
        <w:tc>
          <w:tcPr>
            <w:tcW w:w="0" w:type="auto"/>
            <w:shd w:val="clear" w:color="auto" w:fill="CCEEFF"/>
            <w:tcMar>
              <w:top w:w="40" w:type="dxa"/>
              <w:left w:w="0" w:type="dxa"/>
              <w:bottom w:w="40" w:type="dxa"/>
              <w:right w:w="20" w:type="dxa"/>
            </w:tcMar>
            <w:vAlign w:val="center"/>
          </w:tcPr>
          <w:p w14:paraId="1426F420" w14:textId="77777777" w:rsidR="00A74A1E" w:rsidRDefault="00A74A1E">
            <w:pPr>
              <w:jc w:val="right"/>
              <w:rPr>
                <w:rFonts w:ascii="宋体"/>
              </w:rPr>
            </w:pPr>
          </w:p>
        </w:tc>
      </w:tr>
    </w:tbl>
    <w:p w14:paraId="1426F422" w14:textId="77777777" w:rsidR="00A74A1E" w:rsidRDefault="00A74A1E"/>
    <w:p w14:paraId="1426F423" w14:textId="77777777" w:rsidR="00A74A1E" w:rsidRDefault="00807990">
      <w:pPr>
        <w:ind w:firstLine="450"/>
        <w:jc w:val="both"/>
      </w:pPr>
      <w:r>
        <w:rPr>
          <w:rFonts w:ascii="Arial" w:eastAsia="宋体" w:hAnsi="Arial" w:cs="Arial"/>
          <w:color w:val="000000"/>
          <w:sz w:val="20"/>
          <w:szCs w:val="20"/>
        </w:rPr>
        <w:t>The estimated fair value of the Company’s long-term debt is based on Level 2 inputs as the fair value is based on quoted prices for the Company’s debt and co</w:t>
      </w:r>
      <w:r>
        <w:rPr>
          <w:rFonts w:ascii="Arial" w:eastAsia="宋体" w:hAnsi="Arial" w:cs="Arial"/>
          <w:color w:val="000000"/>
          <w:sz w:val="20"/>
          <w:szCs w:val="20"/>
        </w:rPr>
        <w:t>mparable instruments in inactive markets. The Company’s 2.125% Notes, included in Long-term debt, net above, were convertible at the option of the holders as of September 26, 2020. The estimated fair value of the 2.125% Notes considers the relationship bet</w:t>
      </w:r>
      <w:r>
        <w:rPr>
          <w:rFonts w:ascii="Arial" w:eastAsia="宋体" w:hAnsi="Arial" w:cs="Arial"/>
          <w:color w:val="000000"/>
          <w:sz w:val="20"/>
          <w:szCs w:val="20"/>
        </w:rPr>
        <w:t xml:space="preserve">ween the Company’s stock price of $78.055 as of September 25, 2020, the last trading day of the three months ended September 26, 2020 and the equivalent initial conversion price of approximately $8.00 per share of common stock. </w:t>
      </w:r>
    </w:p>
    <w:p w14:paraId="1426F424" w14:textId="77777777" w:rsidR="00A74A1E" w:rsidRDefault="00807990">
      <w:pPr>
        <w:spacing w:before="180"/>
        <w:ind w:firstLine="450"/>
        <w:jc w:val="both"/>
      </w:pPr>
      <w:r>
        <w:rPr>
          <w:rFonts w:ascii="Arial" w:eastAsia="宋体" w:hAnsi="Arial" w:cs="Arial"/>
          <w:color w:val="000000"/>
          <w:sz w:val="20"/>
          <w:szCs w:val="20"/>
        </w:rPr>
        <w:t>The fair value of the Compa</w:t>
      </w:r>
      <w:r>
        <w:rPr>
          <w:rFonts w:ascii="Arial" w:eastAsia="宋体" w:hAnsi="Arial" w:cs="Arial"/>
          <w:color w:val="000000"/>
          <w:sz w:val="20"/>
          <w:szCs w:val="20"/>
        </w:rPr>
        <w:t xml:space="preserve">ny’s time deposits, accounts receivable, accounts payable and other short-term obligations approximate their carrying value based on existing terms. </w:t>
      </w:r>
    </w:p>
    <w:p w14:paraId="1426F425" w14:textId="77777777" w:rsidR="00A74A1E" w:rsidRDefault="00807990">
      <w:pPr>
        <w:spacing w:before="180" w:after="120"/>
        <w:jc w:val="both"/>
      </w:pPr>
      <w:r>
        <w:rPr>
          <w:rFonts w:ascii="Arial" w:eastAsia="宋体" w:hAnsi="Arial" w:cs="Arial"/>
          <w:b/>
          <w:bCs/>
          <w:color w:val="000000"/>
          <w:sz w:val="20"/>
          <w:szCs w:val="20"/>
        </w:rPr>
        <w:t>Hedging Transactions and Derivative Financial Instruments</w:t>
      </w:r>
    </w:p>
    <w:p w14:paraId="1426F426" w14:textId="77777777" w:rsidR="00A74A1E" w:rsidRDefault="00807990">
      <w:pPr>
        <w:spacing w:before="180" w:after="120"/>
        <w:ind w:firstLine="450"/>
        <w:jc w:val="both"/>
      </w:pPr>
      <w:r>
        <w:rPr>
          <w:rFonts w:ascii="Arial" w:eastAsia="宋体" w:hAnsi="Arial" w:cs="Arial"/>
          <w:b/>
          <w:bCs/>
          <w:color w:val="000000"/>
          <w:sz w:val="20"/>
          <w:szCs w:val="20"/>
        </w:rPr>
        <w:t>Cash Flow Hedges Designated as Accounting Hedges</w:t>
      </w:r>
      <w:r>
        <w:rPr>
          <w:rFonts w:ascii="Arial" w:eastAsia="宋体" w:hAnsi="Arial" w:cs="Arial"/>
          <w:b/>
          <w:bCs/>
          <w:color w:val="000000"/>
          <w:sz w:val="20"/>
          <w:szCs w:val="20"/>
        </w:rPr>
        <w:t xml:space="preserve"> and Foreign Currency Forward Contracts Not Designated as Accounting Hedges</w:t>
      </w:r>
    </w:p>
    <w:p w14:paraId="1426F427" w14:textId="77777777" w:rsidR="00A74A1E" w:rsidRDefault="00807990">
      <w:pPr>
        <w:ind w:firstLine="450"/>
        <w:jc w:val="both"/>
      </w:pPr>
      <w:r>
        <w:rPr>
          <w:rFonts w:ascii="Arial" w:eastAsia="宋体" w:hAnsi="Arial" w:cs="Arial"/>
          <w:color w:val="000000"/>
          <w:sz w:val="20"/>
          <w:szCs w:val="20"/>
        </w:rPr>
        <w:t>The Company enters into foreign currency forward contracts to hedge its exposure to foreign currency exchange rate risk related to future forecasted transactions denominated in cur</w:t>
      </w:r>
      <w:r>
        <w:rPr>
          <w:rFonts w:ascii="Arial" w:eastAsia="宋体" w:hAnsi="Arial" w:cs="Arial"/>
          <w:color w:val="000000"/>
          <w:sz w:val="20"/>
          <w:szCs w:val="20"/>
        </w:rPr>
        <w:t>rencies other than the U.S. Dollar. These contracts generally mature within 12 months. These cash flow hedges are designated as accounting hedges and the gains or losses on these contracts are initially deferred in other comprehensive income (loss) and rec</w:t>
      </w:r>
      <w:r>
        <w:rPr>
          <w:rFonts w:ascii="Arial" w:eastAsia="宋体" w:hAnsi="Arial" w:cs="Arial"/>
          <w:color w:val="000000"/>
          <w:sz w:val="20"/>
          <w:szCs w:val="20"/>
        </w:rPr>
        <w:t>lassified to earnings in the period during which the hedged transaction affects earnings.</w:t>
      </w:r>
    </w:p>
    <w:p w14:paraId="1426F428" w14:textId="77777777" w:rsidR="00A74A1E" w:rsidRDefault="00807990">
      <w:pPr>
        <w:spacing w:before="180"/>
        <w:ind w:firstLine="450"/>
        <w:jc w:val="both"/>
      </w:pPr>
      <w:r>
        <w:rPr>
          <w:rFonts w:ascii="Arial" w:eastAsia="宋体" w:hAnsi="Arial" w:cs="Arial"/>
          <w:color w:val="000000"/>
          <w:sz w:val="20"/>
          <w:szCs w:val="20"/>
        </w:rPr>
        <w:t>The Company also enters into foreign currency forward contracts to reduce the short-term effects of foreign currency fluctuations on certain receivables or payables d</w:t>
      </w:r>
      <w:r>
        <w:rPr>
          <w:rFonts w:ascii="Arial" w:eastAsia="宋体" w:hAnsi="Arial" w:cs="Arial"/>
          <w:color w:val="000000"/>
          <w:sz w:val="20"/>
          <w:szCs w:val="20"/>
        </w:rPr>
        <w:t xml:space="preserve">enominated in currencies other than the U.S. Dollar. These forward contracts generally mature within 3 months. These contracts are not designated as accounting hedges and the gains or losses on these contracts are recognized in other income (expense), net </w:t>
      </w:r>
      <w:r>
        <w:rPr>
          <w:rFonts w:ascii="Arial" w:eastAsia="宋体" w:hAnsi="Arial" w:cs="Arial"/>
          <w:color w:val="000000"/>
          <w:sz w:val="20"/>
          <w:szCs w:val="20"/>
        </w:rPr>
        <w:t xml:space="preserve">in the condensed consolidated statements of operations based on the changes in fair value. </w:t>
      </w:r>
    </w:p>
    <w:p w14:paraId="1426F429" w14:textId="77777777" w:rsidR="00A74A1E" w:rsidRDefault="00807990">
      <w:pPr>
        <w:spacing w:before="180" w:after="180"/>
        <w:ind w:firstLine="450"/>
        <w:jc w:val="both"/>
      </w:pPr>
      <w:r>
        <w:rPr>
          <w:rFonts w:ascii="Arial" w:eastAsia="宋体" w:hAnsi="Arial" w:cs="Arial"/>
          <w:color w:val="000000"/>
          <w:sz w:val="20"/>
          <w:szCs w:val="20"/>
        </w:rPr>
        <w:t>As of September 26, 2020 and December 28, 2019, the notional values of the Company’s outstanding foreign currency forward contracts were $659 million and $739 milli</w:t>
      </w:r>
      <w:r>
        <w:rPr>
          <w:rFonts w:ascii="Arial" w:eastAsia="宋体" w:hAnsi="Arial" w:cs="Arial"/>
          <w:color w:val="000000"/>
          <w:sz w:val="20"/>
          <w:szCs w:val="20"/>
        </w:rPr>
        <w:t>on, respectively. The fair value of these contracts was not material as of September 26, 2020 and December 28, 2019.</w:t>
      </w:r>
    </w:p>
    <w:p w14:paraId="1426F42A" w14:textId="77777777" w:rsidR="00A74A1E" w:rsidRDefault="00807990">
      <w:pPr>
        <w:spacing w:before="280" w:after="100"/>
        <w:jc w:val="both"/>
      </w:pPr>
      <w:r>
        <w:rPr>
          <w:rFonts w:ascii="Arial" w:eastAsia="宋体" w:hAnsi="Arial" w:cs="Arial"/>
          <w:b/>
          <w:bCs/>
          <w:color w:val="000000"/>
          <w:sz w:val="20"/>
          <w:szCs w:val="20"/>
        </w:rPr>
        <w:t>NOTE 6. Accumulated Other Comprehensive Income (Loss)</w:t>
      </w:r>
    </w:p>
    <w:p w14:paraId="1426F42B" w14:textId="77777777" w:rsidR="00A74A1E" w:rsidRDefault="00807990">
      <w:pPr>
        <w:ind w:firstLine="450"/>
        <w:jc w:val="both"/>
      </w:pPr>
      <w:r>
        <w:rPr>
          <w:rFonts w:ascii="Arial" w:eastAsia="宋体" w:hAnsi="Arial" w:cs="Arial"/>
          <w:color w:val="000000"/>
          <w:sz w:val="20"/>
          <w:szCs w:val="20"/>
        </w:rPr>
        <w:t xml:space="preserve">The table below summarizes the changes in accumulated other </w:t>
      </w:r>
      <w:r>
        <w:rPr>
          <w:rFonts w:ascii="Arial" w:eastAsia="宋体" w:hAnsi="Arial" w:cs="Arial"/>
          <w:color w:val="000000"/>
          <w:sz w:val="20"/>
          <w:szCs w:val="20"/>
        </w:rPr>
        <w:t>comprehensive Income (loss) for the three and nine months ended September 26, 2020 and September 28,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84"/>
        <w:gridCol w:w="39"/>
        <w:gridCol w:w="133"/>
        <w:gridCol w:w="812"/>
        <w:gridCol w:w="36"/>
        <w:gridCol w:w="36"/>
        <w:gridCol w:w="36"/>
        <w:gridCol w:w="36"/>
        <w:gridCol w:w="133"/>
        <w:gridCol w:w="785"/>
        <w:gridCol w:w="36"/>
        <w:gridCol w:w="36"/>
        <w:gridCol w:w="36"/>
        <w:gridCol w:w="36"/>
        <w:gridCol w:w="133"/>
        <w:gridCol w:w="791"/>
        <w:gridCol w:w="36"/>
        <w:gridCol w:w="36"/>
        <w:gridCol w:w="36"/>
        <w:gridCol w:w="36"/>
        <w:gridCol w:w="133"/>
        <w:gridCol w:w="785"/>
        <w:gridCol w:w="36"/>
      </w:tblGrid>
      <w:tr w:rsidR="00A74A1E" w14:paraId="1426F444" w14:textId="77777777">
        <w:trPr>
          <w:jc w:val="center"/>
        </w:trPr>
        <w:tc>
          <w:tcPr>
            <w:tcW w:w="50" w:type="pct"/>
            <w:shd w:val="clear" w:color="auto" w:fill="auto"/>
          </w:tcPr>
          <w:p w14:paraId="1426F42C" w14:textId="77777777" w:rsidR="00A74A1E" w:rsidRDefault="00A74A1E">
            <w:pPr>
              <w:rPr>
                <w:rFonts w:ascii="宋体"/>
              </w:rPr>
            </w:pPr>
          </w:p>
        </w:tc>
        <w:tc>
          <w:tcPr>
            <w:tcW w:w="2503" w:type="pct"/>
            <w:shd w:val="clear" w:color="auto" w:fill="auto"/>
          </w:tcPr>
          <w:p w14:paraId="1426F42D" w14:textId="77777777" w:rsidR="00A74A1E" w:rsidRDefault="00A74A1E">
            <w:pPr>
              <w:rPr>
                <w:rFonts w:ascii="宋体"/>
              </w:rPr>
            </w:pPr>
          </w:p>
        </w:tc>
        <w:tc>
          <w:tcPr>
            <w:tcW w:w="5" w:type="pct"/>
            <w:shd w:val="clear" w:color="auto" w:fill="auto"/>
          </w:tcPr>
          <w:p w14:paraId="1426F42E" w14:textId="77777777" w:rsidR="00A74A1E" w:rsidRDefault="00A74A1E">
            <w:pPr>
              <w:rPr>
                <w:rFonts w:ascii="宋体"/>
              </w:rPr>
            </w:pPr>
          </w:p>
        </w:tc>
        <w:tc>
          <w:tcPr>
            <w:tcW w:w="50" w:type="pct"/>
            <w:shd w:val="clear" w:color="auto" w:fill="auto"/>
          </w:tcPr>
          <w:p w14:paraId="1426F42F" w14:textId="77777777" w:rsidR="00A74A1E" w:rsidRDefault="00A74A1E">
            <w:pPr>
              <w:rPr>
                <w:rFonts w:ascii="宋体"/>
              </w:rPr>
            </w:pPr>
          </w:p>
        </w:tc>
        <w:tc>
          <w:tcPr>
            <w:tcW w:w="529" w:type="pct"/>
            <w:shd w:val="clear" w:color="auto" w:fill="auto"/>
          </w:tcPr>
          <w:p w14:paraId="1426F430" w14:textId="77777777" w:rsidR="00A74A1E" w:rsidRDefault="00A74A1E">
            <w:pPr>
              <w:rPr>
                <w:rFonts w:ascii="宋体"/>
              </w:rPr>
            </w:pPr>
          </w:p>
        </w:tc>
        <w:tc>
          <w:tcPr>
            <w:tcW w:w="5" w:type="pct"/>
            <w:shd w:val="clear" w:color="auto" w:fill="auto"/>
          </w:tcPr>
          <w:p w14:paraId="1426F431" w14:textId="77777777" w:rsidR="00A74A1E" w:rsidRDefault="00A74A1E">
            <w:pPr>
              <w:rPr>
                <w:rFonts w:ascii="宋体"/>
              </w:rPr>
            </w:pPr>
          </w:p>
        </w:tc>
        <w:tc>
          <w:tcPr>
            <w:tcW w:w="5" w:type="pct"/>
            <w:shd w:val="clear" w:color="auto" w:fill="auto"/>
          </w:tcPr>
          <w:p w14:paraId="1426F432" w14:textId="77777777" w:rsidR="00A74A1E" w:rsidRDefault="00A74A1E">
            <w:pPr>
              <w:rPr>
                <w:rFonts w:ascii="宋体"/>
              </w:rPr>
            </w:pPr>
          </w:p>
        </w:tc>
        <w:tc>
          <w:tcPr>
            <w:tcW w:w="26" w:type="pct"/>
            <w:shd w:val="clear" w:color="auto" w:fill="auto"/>
          </w:tcPr>
          <w:p w14:paraId="1426F433" w14:textId="77777777" w:rsidR="00A74A1E" w:rsidRDefault="00A74A1E">
            <w:pPr>
              <w:rPr>
                <w:rFonts w:ascii="宋体"/>
              </w:rPr>
            </w:pPr>
          </w:p>
        </w:tc>
        <w:tc>
          <w:tcPr>
            <w:tcW w:w="5" w:type="pct"/>
            <w:shd w:val="clear" w:color="auto" w:fill="auto"/>
          </w:tcPr>
          <w:p w14:paraId="1426F434" w14:textId="77777777" w:rsidR="00A74A1E" w:rsidRDefault="00A74A1E">
            <w:pPr>
              <w:rPr>
                <w:rFonts w:ascii="宋体"/>
              </w:rPr>
            </w:pPr>
          </w:p>
        </w:tc>
        <w:tc>
          <w:tcPr>
            <w:tcW w:w="50" w:type="pct"/>
            <w:shd w:val="clear" w:color="auto" w:fill="auto"/>
          </w:tcPr>
          <w:p w14:paraId="1426F435" w14:textId="77777777" w:rsidR="00A74A1E" w:rsidRDefault="00A74A1E">
            <w:pPr>
              <w:rPr>
                <w:rFonts w:ascii="宋体"/>
              </w:rPr>
            </w:pPr>
          </w:p>
        </w:tc>
        <w:tc>
          <w:tcPr>
            <w:tcW w:w="529" w:type="pct"/>
            <w:shd w:val="clear" w:color="auto" w:fill="auto"/>
          </w:tcPr>
          <w:p w14:paraId="1426F436" w14:textId="77777777" w:rsidR="00A74A1E" w:rsidRDefault="00A74A1E">
            <w:pPr>
              <w:rPr>
                <w:rFonts w:ascii="宋体"/>
              </w:rPr>
            </w:pPr>
          </w:p>
        </w:tc>
        <w:tc>
          <w:tcPr>
            <w:tcW w:w="5" w:type="pct"/>
            <w:shd w:val="clear" w:color="auto" w:fill="auto"/>
          </w:tcPr>
          <w:p w14:paraId="1426F437" w14:textId="77777777" w:rsidR="00A74A1E" w:rsidRDefault="00A74A1E">
            <w:pPr>
              <w:rPr>
                <w:rFonts w:ascii="宋体"/>
              </w:rPr>
            </w:pPr>
          </w:p>
        </w:tc>
        <w:tc>
          <w:tcPr>
            <w:tcW w:w="5" w:type="pct"/>
            <w:shd w:val="clear" w:color="auto" w:fill="auto"/>
          </w:tcPr>
          <w:p w14:paraId="1426F438" w14:textId="77777777" w:rsidR="00A74A1E" w:rsidRDefault="00A74A1E">
            <w:pPr>
              <w:rPr>
                <w:rFonts w:ascii="宋体"/>
              </w:rPr>
            </w:pPr>
          </w:p>
        </w:tc>
        <w:tc>
          <w:tcPr>
            <w:tcW w:w="19" w:type="pct"/>
            <w:shd w:val="clear" w:color="auto" w:fill="auto"/>
          </w:tcPr>
          <w:p w14:paraId="1426F439" w14:textId="77777777" w:rsidR="00A74A1E" w:rsidRDefault="00A74A1E">
            <w:pPr>
              <w:rPr>
                <w:rFonts w:ascii="宋体"/>
              </w:rPr>
            </w:pPr>
          </w:p>
        </w:tc>
        <w:tc>
          <w:tcPr>
            <w:tcW w:w="5" w:type="pct"/>
            <w:shd w:val="clear" w:color="auto" w:fill="auto"/>
          </w:tcPr>
          <w:p w14:paraId="1426F43A" w14:textId="77777777" w:rsidR="00A74A1E" w:rsidRDefault="00A74A1E">
            <w:pPr>
              <w:rPr>
                <w:rFonts w:ascii="宋体"/>
              </w:rPr>
            </w:pPr>
          </w:p>
        </w:tc>
        <w:tc>
          <w:tcPr>
            <w:tcW w:w="50" w:type="pct"/>
            <w:shd w:val="clear" w:color="auto" w:fill="auto"/>
          </w:tcPr>
          <w:p w14:paraId="1426F43B" w14:textId="77777777" w:rsidR="00A74A1E" w:rsidRDefault="00A74A1E">
            <w:pPr>
              <w:rPr>
                <w:rFonts w:ascii="宋体"/>
              </w:rPr>
            </w:pPr>
          </w:p>
        </w:tc>
        <w:tc>
          <w:tcPr>
            <w:tcW w:w="529" w:type="pct"/>
            <w:shd w:val="clear" w:color="auto" w:fill="auto"/>
          </w:tcPr>
          <w:p w14:paraId="1426F43C" w14:textId="77777777" w:rsidR="00A74A1E" w:rsidRDefault="00A74A1E">
            <w:pPr>
              <w:rPr>
                <w:rFonts w:ascii="宋体"/>
              </w:rPr>
            </w:pPr>
          </w:p>
        </w:tc>
        <w:tc>
          <w:tcPr>
            <w:tcW w:w="5" w:type="pct"/>
            <w:shd w:val="clear" w:color="auto" w:fill="auto"/>
          </w:tcPr>
          <w:p w14:paraId="1426F43D" w14:textId="77777777" w:rsidR="00A74A1E" w:rsidRDefault="00A74A1E">
            <w:pPr>
              <w:rPr>
                <w:rFonts w:ascii="宋体"/>
              </w:rPr>
            </w:pPr>
          </w:p>
        </w:tc>
        <w:tc>
          <w:tcPr>
            <w:tcW w:w="5" w:type="pct"/>
            <w:shd w:val="clear" w:color="auto" w:fill="auto"/>
          </w:tcPr>
          <w:p w14:paraId="1426F43E" w14:textId="77777777" w:rsidR="00A74A1E" w:rsidRDefault="00A74A1E">
            <w:pPr>
              <w:rPr>
                <w:rFonts w:ascii="宋体"/>
              </w:rPr>
            </w:pPr>
          </w:p>
        </w:tc>
        <w:tc>
          <w:tcPr>
            <w:tcW w:w="26" w:type="pct"/>
            <w:shd w:val="clear" w:color="auto" w:fill="auto"/>
          </w:tcPr>
          <w:p w14:paraId="1426F43F" w14:textId="77777777" w:rsidR="00A74A1E" w:rsidRDefault="00A74A1E">
            <w:pPr>
              <w:rPr>
                <w:rFonts w:ascii="宋体"/>
              </w:rPr>
            </w:pPr>
          </w:p>
        </w:tc>
        <w:tc>
          <w:tcPr>
            <w:tcW w:w="5" w:type="pct"/>
            <w:shd w:val="clear" w:color="auto" w:fill="auto"/>
          </w:tcPr>
          <w:p w14:paraId="1426F440" w14:textId="77777777" w:rsidR="00A74A1E" w:rsidRDefault="00A74A1E">
            <w:pPr>
              <w:rPr>
                <w:rFonts w:ascii="宋体"/>
              </w:rPr>
            </w:pPr>
          </w:p>
        </w:tc>
        <w:tc>
          <w:tcPr>
            <w:tcW w:w="50" w:type="pct"/>
            <w:shd w:val="clear" w:color="auto" w:fill="auto"/>
          </w:tcPr>
          <w:p w14:paraId="1426F441" w14:textId="77777777" w:rsidR="00A74A1E" w:rsidRDefault="00A74A1E">
            <w:pPr>
              <w:rPr>
                <w:rFonts w:ascii="宋体"/>
              </w:rPr>
            </w:pPr>
          </w:p>
        </w:tc>
        <w:tc>
          <w:tcPr>
            <w:tcW w:w="530" w:type="pct"/>
            <w:shd w:val="clear" w:color="auto" w:fill="auto"/>
          </w:tcPr>
          <w:p w14:paraId="1426F442" w14:textId="77777777" w:rsidR="00A74A1E" w:rsidRDefault="00A74A1E">
            <w:pPr>
              <w:rPr>
                <w:rFonts w:ascii="宋体"/>
              </w:rPr>
            </w:pPr>
          </w:p>
        </w:tc>
        <w:tc>
          <w:tcPr>
            <w:tcW w:w="5" w:type="pct"/>
            <w:shd w:val="clear" w:color="auto" w:fill="auto"/>
          </w:tcPr>
          <w:p w14:paraId="1426F443" w14:textId="77777777" w:rsidR="00A74A1E" w:rsidRDefault="00A74A1E">
            <w:pPr>
              <w:rPr>
                <w:rFonts w:ascii="宋体"/>
              </w:rPr>
            </w:pPr>
          </w:p>
        </w:tc>
      </w:tr>
      <w:tr w:rsidR="00A74A1E" w14:paraId="1426F449" w14:textId="77777777">
        <w:trPr>
          <w:jc w:val="center"/>
        </w:trPr>
        <w:tc>
          <w:tcPr>
            <w:tcW w:w="0" w:type="auto"/>
            <w:gridSpan w:val="3"/>
            <w:shd w:val="clear" w:color="auto" w:fill="auto"/>
            <w:tcMar>
              <w:top w:w="0" w:type="dxa"/>
              <w:left w:w="20" w:type="dxa"/>
              <w:bottom w:w="0" w:type="dxa"/>
              <w:right w:w="20" w:type="dxa"/>
            </w:tcMar>
          </w:tcPr>
          <w:p w14:paraId="1426F445"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446"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447"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448"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452" w14:textId="77777777">
        <w:trPr>
          <w:jc w:val="center"/>
        </w:trPr>
        <w:tc>
          <w:tcPr>
            <w:tcW w:w="0" w:type="auto"/>
            <w:gridSpan w:val="3"/>
            <w:shd w:val="clear" w:color="auto" w:fill="auto"/>
            <w:tcMar>
              <w:top w:w="0" w:type="dxa"/>
              <w:left w:w="20" w:type="dxa"/>
              <w:bottom w:w="0" w:type="dxa"/>
              <w:right w:w="20" w:type="dxa"/>
            </w:tcMar>
          </w:tcPr>
          <w:p w14:paraId="1426F44A"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44B"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44C"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4D"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44E"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4F"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450"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51"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455" w14:textId="77777777">
        <w:trPr>
          <w:jc w:val="center"/>
        </w:trPr>
        <w:tc>
          <w:tcPr>
            <w:tcW w:w="0" w:type="auto"/>
            <w:gridSpan w:val="3"/>
            <w:shd w:val="clear" w:color="auto" w:fill="auto"/>
            <w:tcMar>
              <w:top w:w="40" w:type="dxa"/>
              <w:left w:w="20" w:type="dxa"/>
              <w:bottom w:w="40" w:type="dxa"/>
              <w:right w:w="20" w:type="dxa"/>
            </w:tcMar>
            <w:vAlign w:val="bottom"/>
          </w:tcPr>
          <w:p w14:paraId="1426F453" w14:textId="77777777" w:rsidR="00A74A1E" w:rsidRDefault="00807990">
            <w:pPr>
              <w:textAlignment w:val="bottom"/>
            </w:pPr>
            <w:r>
              <w:rPr>
                <w:rFonts w:ascii="Arial" w:eastAsia="宋体" w:hAnsi="Arial" w:cs="Arial"/>
                <w:color w:val="000000"/>
                <w:sz w:val="20"/>
                <w:szCs w:val="20"/>
              </w:rPr>
              <w:t>Gains (losses) on cash flow hedges:</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F454" w14:textId="77777777" w:rsidR="00A74A1E" w:rsidRDefault="00807990">
            <w:pPr>
              <w:jc w:val="center"/>
              <w:textAlignment w:val="bottom"/>
            </w:pPr>
            <w:r>
              <w:rPr>
                <w:rFonts w:ascii="Arial" w:eastAsia="宋体" w:hAnsi="Arial" w:cs="Arial"/>
                <w:color w:val="000000"/>
                <w:sz w:val="20"/>
                <w:szCs w:val="20"/>
              </w:rPr>
              <w:t>(In millions)</w:t>
            </w:r>
          </w:p>
        </w:tc>
      </w:tr>
      <w:tr w:rsidR="00A74A1E" w14:paraId="1426F466" w14:textId="77777777">
        <w:trPr>
          <w:jc w:val="center"/>
        </w:trPr>
        <w:tc>
          <w:tcPr>
            <w:tcW w:w="0" w:type="auto"/>
            <w:gridSpan w:val="3"/>
            <w:shd w:val="clear" w:color="auto" w:fill="CCEEFF"/>
            <w:tcMar>
              <w:top w:w="40" w:type="dxa"/>
              <w:left w:w="20" w:type="dxa"/>
              <w:bottom w:w="40" w:type="dxa"/>
              <w:right w:w="20" w:type="dxa"/>
            </w:tcMar>
            <w:vAlign w:val="bottom"/>
          </w:tcPr>
          <w:p w14:paraId="1426F456" w14:textId="77777777" w:rsidR="00A74A1E" w:rsidRDefault="00807990">
            <w:pPr>
              <w:textAlignment w:val="bottom"/>
            </w:pPr>
            <w:r>
              <w:rPr>
                <w:rFonts w:ascii="Arial" w:eastAsia="宋体" w:hAnsi="Arial" w:cs="Arial"/>
                <w:color w:val="000000"/>
                <w:sz w:val="20"/>
                <w:szCs w:val="20"/>
              </w:rPr>
              <w:t>Beginning balance</w:t>
            </w:r>
          </w:p>
        </w:tc>
        <w:tc>
          <w:tcPr>
            <w:tcW w:w="0" w:type="auto"/>
            <w:shd w:val="clear" w:color="auto" w:fill="CCEEFF"/>
            <w:tcMar>
              <w:top w:w="40" w:type="dxa"/>
              <w:left w:w="20" w:type="dxa"/>
              <w:bottom w:w="40" w:type="dxa"/>
              <w:right w:w="0" w:type="dxa"/>
            </w:tcMar>
            <w:vAlign w:val="bottom"/>
          </w:tcPr>
          <w:p w14:paraId="1426F457"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458" w14:textId="77777777" w:rsidR="00A74A1E" w:rsidRDefault="00807990">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1426F45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5A"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45B"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45C"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45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5E"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45F"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460"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46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62"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463"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464" w14:textId="77777777" w:rsidR="00A74A1E" w:rsidRDefault="00807990">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1426F465" w14:textId="77777777" w:rsidR="00A74A1E" w:rsidRDefault="00A74A1E">
            <w:pPr>
              <w:jc w:val="right"/>
              <w:rPr>
                <w:rFonts w:ascii="宋体"/>
              </w:rPr>
            </w:pPr>
          </w:p>
        </w:tc>
      </w:tr>
      <w:tr w:rsidR="00A74A1E" w14:paraId="1426F473" w14:textId="77777777">
        <w:trPr>
          <w:jc w:val="center"/>
        </w:trPr>
        <w:tc>
          <w:tcPr>
            <w:tcW w:w="0" w:type="auto"/>
            <w:gridSpan w:val="3"/>
            <w:shd w:val="clear" w:color="auto" w:fill="FFFFFF"/>
            <w:tcMar>
              <w:top w:w="40" w:type="dxa"/>
              <w:left w:w="20" w:type="dxa"/>
              <w:bottom w:w="40" w:type="dxa"/>
              <w:right w:w="20" w:type="dxa"/>
            </w:tcMar>
            <w:vAlign w:val="bottom"/>
          </w:tcPr>
          <w:p w14:paraId="1426F467" w14:textId="77777777" w:rsidR="00A74A1E" w:rsidRDefault="00807990">
            <w:pPr>
              <w:ind w:firstLine="225"/>
              <w:textAlignment w:val="bottom"/>
            </w:pPr>
            <w:r>
              <w:rPr>
                <w:rFonts w:ascii="Arial" w:eastAsia="宋体" w:hAnsi="Arial" w:cs="Arial"/>
                <w:color w:val="000000"/>
                <w:sz w:val="20"/>
                <w:szCs w:val="20"/>
              </w:rPr>
              <w:t>Net unrealized gains (losses) arising during the period</w:t>
            </w:r>
          </w:p>
        </w:tc>
        <w:tc>
          <w:tcPr>
            <w:tcW w:w="0" w:type="auto"/>
            <w:gridSpan w:val="2"/>
            <w:shd w:val="clear" w:color="auto" w:fill="FFFFFF"/>
            <w:tcMar>
              <w:top w:w="40" w:type="dxa"/>
              <w:left w:w="20" w:type="dxa"/>
              <w:bottom w:w="40" w:type="dxa"/>
              <w:right w:w="0" w:type="dxa"/>
            </w:tcMar>
            <w:vAlign w:val="bottom"/>
          </w:tcPr>
          <w:p w14:paraId="1426F468" w14:textId="77777777" w:rsidR="00A74A1E" w:rsidRDefault="00807990">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1426F46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6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46B" w14:textId="77777777" w:rsidR="00A74A1E" w:rsidRDefault="00807990">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1426F46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6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46E"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426F46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7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471" w14:textId="77777777" w:rsidR="00A74A1E" w:rsidRDefault="00807990">
            <w:pPr>
              <w:jc w:val="right"/>
              <w:textAlignment w:val="bottom"/>
            </w:pPr>
            <w:r>
              <w:rPr>
                <w:rFonts w:ascii="Arial" w:eastAsia="宋体" w:hAnsi="Arial" w:cs="Arial"/>
                <w:color w:val="000000"/>
                <w:sz w:val="20"/>
                <w:szCs w:val="20"/>
              </w:rPr>
              <w:t>(5)</w:t>
            </w:r>
          </w:p>
        </w:tc>
        <w:tc>
          <w:tcPr>
            <w:tcW w:w="0" w:type="auto"/>
            <w:shd w:val="clear" w:color="auto" w:fill="FFFFFF"/>
            <w:tcMar>
              <w:top w:w="40" w:type="dxa"/>
              <w:left w:w="0" w:type="dxa"/>
              <w:bottom w:w="40" w:type="dxa"/>
              <w:right w:w="20" w:type="dxa"/>
            </w:tcMar>
            <w:vAlign w:val="bottom"/>
          </w:tcPr>
          <w:p w14:paraId="1426F472" w14:textId="77777777" w:rsidR="00A74A1E" w:rsidRDefault="00A74A1E">
            <w:pPr>
              <w:jc w:val="right"/>
              <w:rPr>
                <w:rFonts w:ascii="宋体"/>
              </w:rPr>
            </w:pPr>
          </w:p>
        </w:tc>
      </w:tr>
      <w:tr w:rsidR="00A74A1E" w14:paraId="1426F480" w14:textId="77777777">
        <w:trPr>
          <w:jc w:val="center"/>
        </w:trPr>
        <w:tc>
          <w:tcPr>
            <w:tcW w:w="0" w:type="auto"/>
            <w:gridSpan w:val="3"/>
            <w:shd w:val="clear" w:color="auto" w:fill="CCEEFF"/>
            <w:tcMar>
              <w:top w:w="40" w:type="dxa"/>
              <w:left w:w="225" w:type="dxa"/>
              <w:bottom w:w="40" w:type="dxa"/>
              <w:right w:w="20" w:type="dxa"/>
            </w:tcMar>
            <w:vAlign w:val="bottom"/>
          </w:tcPr>
          <w:p w14:paraId="1426F474" w14:textId="77777777" w:rsidR="00A74A1E" w:rsidRDefault="00807990">
            <w:pPr>
              <w:textAlignment w:val="bottom"/>
            </w:pPr>
            <w:r>
              <w:rPr>
                <w:rFonts w:ascii="Arial" w:eastAsia="宋体" w:hAnsi="Arial" w:cs="Arial"/>
                <w:color w:val="000000"/>
                <w:sz w:val="20"/>
                <w:szCs w:val="20"/>
              </w:rPr>
              <w:t xml:space="preserve">Net losses (gains) reclassified into </w:t>
            </w:r>
            <w:r>
              <w:rPr>
                <w:rFonts w:ascii="Arial" w:eastAsia="宋体" w:hAnsi="Arial" w:cs="Arial"/>
                <w:color w:val="000000"/>
                <w:sz w:val="20"/>
                <w:szCs w:val="20"/>
              </w:rPr>
              <w:t>income during the period</w:t>
            </w:r>
          </w:p>
        </w:tc>
        <w:tc>
          <w:tcPr>
            <w:tcW w:w="0" w:type="auto"/>
            <w:gridSpan w:val="2"/>
            <w:shd w:val="clear" w:color="auto" w:fill="CCEEFF"/>
            <w:tcMar>
              <w:top w:w="40" w:type="dxa"/>
              <w:left w:w="20" w:type="dxa"/>
              <w:bottom w:w="40" w:type="dxa"/>
              <w:right w:w="0" w:type="dxa"/>
            </w:tcMar>
            <w:vAlign w:val="bottom"/>
          </w:tcPr>
          <w:p w14:paraId="1426F475" w14:textId="77777777" w:rsidR="00A74A1E" w:rsidRDefault="00807990">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1426F47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7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478" w14:textId="77777777" w:rsidR="00A74A1E" w:rsidRDefault="00807990">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426F47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7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47B" w14:textId="77777777" w:rsidR="00A74A1E" w:rsidRDefault="00807990">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1426F47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7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47E" w14:textId="77777777" w:rsidR="00A74A1E" w:rsidRDefault="00807990">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1426F47F" w14:textId="77777777" w:rsidR="00A74A1E" w:rsidRDefault="00A74A1E">
            <w:pPr>
              <w:jc w:val="right"/>
              <w:rPr>
                <w:rFonts w:ascii="宋体"/>
              </w:rPr>
            </w:pPr>
          </w:p>
        </w:tc>
      </w:tr>
      <w:tr w:rsidR="00A74A1E" w14:paraId="1426F489" w14:textId="77777777">
        <w:trPr>
          <w:jc w:val="center"/>
          <w:hidden/>
        </w:trPr>
        <w:tc>
          <w:tcPr>
            <w:tcW w:w="0" w:type="auto"/>
            <w:gridSpan w:val="3"/>
            <w:shd w:val="clear" w:color="auto" w:fill="auto"/>
          </w:tcPr>
          <w:p w14:paraId="1426F481" w14:textId="77777777" w:rsidR="00A74A1E" w:rsidRDefault="00A74A1E">
            <w:pPr>
              <w:rPr>
                <w:rFonts w:ascii="宋体"/>
                <w:vanish/>
              </w:rPr>
            </w:pPr>
          </w:p>
        </w:tc>
        <w:tc>
          <w:tcPr>
            <w:tcW w:w="0" w:type="auto"/>
            <w:gridSpan w:val="3"/>
            <w:shd w:val="clear" w:color="auto" w:fill="auto"/>
          </w:tcPr>
          <w:p w14:paraId="1426F482" w14:textId="77777777" w:rsidR="00A74A1E" w:rsidRDefault="00A74A1E">
            <w:pPr>
              <w:rPr>
                <w:rFonts w:ascii="宋体"/>
                <w:vanish/>
              </w:rPr>
            </w:pPr>
          </w:p>
        </w:tc>
        <w:tc>
          <w:tcPr>
            <w:tcW w:w="0" w:type="auto"/>
            <w:gridSpan w:val="3"/>
            <w:shd w:val="clear" w:color="auto" w:fill="auto"/>
          </w:tcPr>
          <w:p w14:paraId="1426F483" w14:textId="77777777" w:rsidR="00A74A1E" w:rsidRDefault="00A74A1E">
            <w:pPr>
              <w:rPr>
                <w:rFonts w:ascii="宋体"/>
                <w:vanish/>
              </w:rPr>
            </w:pPr>
          </w:p>
        </w:tc>
        <w:tc>
          <w:tcPr>
            <w:tcW w:w="0" w:type="auto"/>
            <w:gridSpan w:val="3"/>
            <w:shd w:val="clear" w:color="auto" w:fill="auto"/>
          </w:tcPr>
          <w:p w14:paraId="1426F484" w14:textId="77777777" w:rsidR="00A74A1E" w:rsidRDefault="00A74A1E">
            <w:pPr>
              <w:rPr>
                <w:rFonts w:ascii="宋体"/>
                <w:vanish/>
              </w:rPr>
            </w:pPr>
          </w:p>
        </w:tc>
        <w:tc>
          <w:tcPr>
            <w:tcW w:w="0" w:type="auto"/>
            <w:gridSpan w:val="3"/>
            <w:shd w:val="clear" w:color="auto" w:fill="auto"/>
          </w:tcPr>
          <w:p w14:paraId="1426F485" w14:textId="77777777" w:rsidR="00A74A1E" w:rsidRDefault="00A74A1E">
            <w:pPr>
              <w:rPr>
                <w:rFonts w:ascii="宋体"/>
                <w:vanish/>
              </w:rPr>
            </w:pPr>
          </w:p>
        </w:tc>
        <w:tc>
          <w:tcPr>
            <w:tcW w:w="0" w:type="auto"/>
            <w:gridSpan w:val="3"/>
            <w:shd w:val="clear" w:color="auto" w:fill="auto"/>
          </w:tcPr>
          <w:p w14:paraId="1426F486" w14:textId="77777777" w:rsidR="00A74A1E" w:rsidRDefault="00A74A1E">
            <w:pPr>
              <w:rPr>
                <w:rFonts w:ascii="宋体"/>
                <w:vanish/>
              </w:rPr>
            </w:pPr>
          </w:p>
        </w:tc>
        <w:tc>
          <w:tcPr>
            <w:tcW w:w="0" w:type="auto"/>
            <w:gridSpan w:val="3"/>
            <w:shd w:val="clear" w:color="auto" w:fill="auto"/>
          </w:tcPr>
          <w:p w14:paraId="1426F487" w14:textId="77777777" w:rsidR="00A74A1E" w:rsidRDefault="00A74A1E">
            <w:pPr>
              <w:rPr>
                <w:rFonts w:ascii="宋体"/>
                <w:vanish/>
              </w:rPr>
            </w:pPr>
          </w:p>
        </w:tc>
        <w:tc>
          <w:tcPr>
            <w:tcW w:w="0" w:type="auto"/>
            <w:gridSpan w:val="3"/>
            <w:shd w:val="clear" w:color="auto" w:fill="auto"/>
          </w:tcPr>
          <w:p w14:paraId="1426F488" w14:textId="77777777" w:rsidR="00A74A1E" w:rsidRDefault="00A74A1E">
            <w:pPr>
              <w:rPr>
                <w:rFonts w:ascii="宋体"/>
                <w:vanish/>
              </w:rPr>
            </w:pPr>
          </w:p>
        </w:tc>
      </w:tr>
      <w:tr w:rsidR="00A74A1E" w14:paraId="1426F496" w14:textId="77777777">
        <w:trPr>
          <w:jc w:val="center"/>
        </w:trPr>
        <w:tc>
          <w:tcPr>
            <w:tcW w:w="0" w:type="auto"/>
            <w:gridSpan w:val="3"/>
            <w:shd w:val="clear" w:color="auto" w:fill="FFFFFF"/>
            <w:tcMar>
              <w:top w:w="40" w:type="dxa"/>
              <w:left w:w="20" w:type="dxa"/>
              <w:bottom w:w="40" w:type="dxa"/>
              <w:right w:w="20" w:type="dxa"/>
            </w:tcMar>
            <w:vAlign w:val="bottom"/>
          </w:tcPr>
          <w:p w14:paraId="1426F48A" w14:textId="77777777" w:rsidR="00A74A1E" w:rsidRDefault="00807990">
            <w:pPr>
              <w:textAlignment w:val="bottom"/>
            </w:pPr>
            <w:r>
              <w:rPr>
                <w:rFonts w:ascii="Arial" w:eastAsia="宋体" w:hAnsi="Arial" w:cs="Arial"/>
                <w:color w:val="000000"/>
                <w:sz w:val="20"/>
                <w:szCs w:val="20"/>
              </w:rPr>
              <w:t>Total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48B" w14:textId="77777777" w:rsidR="00A74A1E" w:rsidRDefault="00807990">
            <w:pPr>
              <w:jc w:val="right"/>
              <w:textAlignment w:val="bottom"/>
            </w:pPr>
            <w:r>
              <w:rPr>
                <w:rFonts w:ascii="Arial" w:eastAsia="宋体" w:hAnsi="Arial" w:cs="Arial"/>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48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8D"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48E" w14:textId="77777777" w:rsidR="00A74A1E" w:rsidRDefault="00807990">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48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90"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491" w14:textId="77777777" w:rsidR="00A74A1E" w:rsidRDefault="00807990">
            <w:pPr>
              <w:jc w:val="right"/>
              <w:textAlignment w:val="bottom"/>
            </w:pPr>
            <w:r>
              <w:rPr>
                <w:rFonts w:ascii="Arial" w:eastAsia="宋体" w:hAnsi="Arial" w:cs="Arial"/>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49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93" w14:textId="77777777" w:rsidR="00A74A1E" w:rsidRDefault="00A74A1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426F494" w14:textId="77777777" w:rsidR="00A74A1E" w:rsidRDefault="00807990">
            <w:pPr>
              <w:jc w:val="right"/>
              <w:textAlignment w:val="bottom"/>
            </w:pPr>
            <w:r>
              <w:rPr>
                <w:rFonts w:ascii="Arial" w:eastAsia="宋体" w:hAnsi="Arial" w:cs="Arial"/>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495" w14:textId="77777777" w:rsidR="00A74A1E" w:rsidRDefault="00A74A1E">
            <w:pPr>
              <w:jc w:val="right"/>
              <w:rPr>
                <w:rFonts w:ascii="宋体"/>
              </w:rPr>
            </w:pPr>
          </w:p>
        </w:tc>
      </w:tr>
      <w:tr w:rsidR="00A74A1E" w14:paraId="1426F4A7" w14:textId="77777777">
        <w:trPr>
          <w:jc w:val="center"/>
        </w:trPr>
        <w:tc>
          <w:tcPr>
            <w:tcW w:w="0" w:type="auto"/>
            <w:gridSpan w:val="3"/>
            <w:shd w:val="clear" w:color="auto" w:fill="CCEEFF"/>
            <w:tcMar>
              <w:top w:w="40" w:type="dxa"/>
              <w:left w:w="20" w:type="dxa"/>
              <w:bottom w:w="40" w:type="dxa"/>
              <w:right w:w="20" w:type="dxa"/>
            </w:tcMar>
            <w:vAlign w:val="bottom"/>
          </w:tcPr>
          <w:p w14:paraId="1426F497" w14:textId="77777777" w:rsidR="00A74A1E" w:rsidRDefault="00807990">
            <w:pPr>
              <w:textAlignment w:val="bottom"/>
            </w:pPr>
            <w:r>
              <w:rPr>
                <w:rFonts w:ascii="Arial" w:eastAsia="宋体" w:hAnsi="Arial" w:cs="Arial"/>
                <w:color w:val="000000"/>
                <w:sz w:val="20"/>
                <w:szCs w:val="20"/>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49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499" w14:textId="77777777" w:rsidR="00A74A1E" w:rsidRDefault="00807990">
            <w:pPr>
              <w:jc w:val="right"/>
              <w:textAlignment w:val="bottom"/>
            </w:pPr>
            <w:r>
              <w:rPr>
                <w:rFonts w:ascii="Arial" w:eastAsia="宋体" w:hAnsi="Arial" w:cs="Arial"/>
                <w:color w:val="000000"/>
                <w:sz w:val="20"/>
                <w:szCs w:val="20"/>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49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9B"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49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49D" w14:textId="77777777" w:rsidR="00A74A1E" w:rsidRDefault="00807990">
            <w:pPr>
              <w:jc w:val="right"/>
              <w:textAlignment w:val="bottom"/>
            </w:pPr>
            <w:r>
              <w:rPr>
                <w:rFonts w:ascii="Arial" w:eastAsia="宋体" w:hAnsi="Arial" w:cs="Arial"/>
                <w:color w:val="000000"/>
                <w:sz w:val="20"/>
                <w:szCs w:val="20"/>
              </w:rPr>
              <w:t>(7)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49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9F"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4A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4A1" w14:textId="77777777" w:rsidR="00A74A1E" w:rsidRDefault="00807990">
            <w:pPr>
              <w:jc w:val="right"/>
              <w:textAlignment w:val="bottom"/>
            </w:pPr>
            <w:r>
              <w:rPr>
                <w:rFonts w:ascii="Arial" w:eastAsia="宋体" w:hAnsi="Arial" w:cs="Arial"/>
                <w:color w:val="000000"/>
                <w:sz w:val="20"/>
                <w:szCs w:val="20"/>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4A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4A3"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4A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4A5" w14:textId="77777777" w:rsidR="00A74A1E" w:rsidRDefault="00807990">
            <w:pPr>
              <w:jc w:val="right"/>
              <w:textAlignment w:val="bottom"/>
            </w:pPr>
            <w:r>
              <w:rPr>
                <w:rFonts w:ascii="Arial" w:eastAsia="宋体" w:hAnsi="Arial" w:cs="Arial"/>
                <w:color w:val="000000"/>
                <w:sz w:val="20"/>
                <w:szCs w:val="20"/>
              </w:rPr>
              <w:t>(7)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4A6" w14:textId="77777777" w:rsidR="00A74A1E" w:rsidRDefault="00A74A1E">
            <w:pPr>
              <w:jc w:val="right"/>
              <w:rPr>
                <w:rFonts w:ascii="宋体"/>
              </w:rPr>
            </w:pPr>
          </w:p>
        </w:tc>
      </w:tr>
    </w:tbl>
    <w:p w14:paraId="1426F4A8" w14:textId="77777777" w:rsidR="00A74A1E" w:rsidRDefault="00A74A1E">
      <w:pPr>
        <w:jc w:val="center"/>
      </w:pPr>
    </w:p>
    <w:p w14:paraId="1426F4A9" w14:textId="77777777" w:rsidR="00A74A1E" w:rsidRDefault="00807990">
      <w:pPr>
        <w:jc w:val="center"/>
      </w:pPr>
      <w:r>
        <w:rPr>
          <w:rFonts w:ascii="Arial" w:eastAsia="宋体" w:hAnsi="Arial" w:cs="Arial"/>
          <w:color w:val="000000"/>
          <w:sz w:val="20"/>
          <w:szCs w:val="20"/>
        </w:rPr>
        <w:t>14</w:t>
      </w:r>
    </w:p>
    <w:p w14:paraId="1426F4AA" w14:textId="77777777" w:rsidR="00A74A1E" w:rsidRDefault="00807990">
      <w:r>
        <w:pict w14:anchorId="1426FC19">
          <v:rect id="_x0000_i1038" style="width:415.3pt;height:1.5pt" o:hralign="center" o:hrstd="t" o:hr="t" fillcolor="#a0a0a0" stroked="f"/>
        </w:pict>
      </w:r>
    </w:p>
    <w:p w14:paraId="1426F4AB" w14:textId="77777777" w:rsidR="00A74A1E" w:rsidRDefault="00A74A1E">
      <w:pPr>
        <w:spacing w:before="60"/>
      </w:pPr>
    </w:p>
    <w:p w14:paraId="1426F4AC" w14:textId="77777777" w:rsidR="00A74A1E" w:rsidRDefault="00807990">
      <w:pPr>
        <w:jc w:val="both"/>
      </w:pPr>
      <w:r>
        <w:rPr>
          <w:rFonts w:ascii="Arial" w:eastAsia="宋体" w:hAnsi="Arial" w:cs="Arial"/>
          <w:b/>
          <w:bCs/>
          <w:color w:val="000000"/>
          <w:sz w:val="20"/>
          <w:szCs w:val="20"/>
        </w:rPr>
        <w:t xml:space="preserve">NOTE 7. Earnings Per Share </w:t>
      </w:r>
    </w:p>
    <w:p w14:paraId="1426F4AD" w14:textId="77777777" w:rsidR="00A74A1E" w:rsidRDefault="00807990">
      <w:pPr>
        <w:spacing w:before="180"/>
        <w:ind w:firstLine="450"/>
        <w:jc w:val="both"/>
      </w:pPr>
      <w:r>
        <w:rPr>
          <w:rFonts w:ascii="Arial" w:eastAsia="宋体" w:hAnsi="Arial" w:cs="Arial"/>
          <w:color w:val="000000"/>
          <w:sz w:val="20"/>
          <w:szCs w:val="20"/>
        </w:rPr>
        <w:t>The following table sets forth the components of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072"/>
        <w:gridCol w:w="38"/>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A74A1E" w14:paraId="1426F4C6" w14:textId="77777777">
        <w:tc>
          <w:tcPr>
            <w:tcW w:w="50" w:type="pct"/>
            <w:shd w:val="clear" w:color="auto" w:fill="auto"/>
          </w:tcPr>
          <w:p w14:paraId="1426F4AE" w14:textId="77777777" w:rsidR="00A74A1E" w:rsidRDefault="00A74A1E">
            <w:pPr>
              <w:rPr>
                <w:rFonts w:ascii="宋体"/>
              </w:rPr>
            </w:pPr>
          </w:p>
        </w:tc>
        <w:tc>
          <w:tcPr>
            <w:tcW w:w="2518" w:type="pct"/>
            <w:shd w:val="clear" w:color="auto" w:fill="auto"/>
          </w:tcPr>
          <w:p w14:paraId="1426F4AF" w14:textId="77777777" w:rsidR="00A74A1E" w:rsidRDefault="00A74A1E">
            <w:pPr>
              <w:rPr>
                <w:rFonts w:ascii="宋体"/>
              </w:rPr>
            </w:pPr>
          </w:p>
        </w:tc>
        <w:tc>
          <w:tcPr>
            <w:tcW w:w="5" w:type="pct"/>
            <w:shd w:val="clear" w:color="auto" w:fill="auto"/>
          </w:tcPr>
          <w:p w14:paraId="1426F4B0" w14:textId="77777777" w:rsidR="00A74A1E" w:rsidRDefault="00A74A1E">
            <w:pPr>
              <w:rPr>
                <w:rFonts w:ascii="宋体"/>
              </w:rPr>
            </w:pPr>
          </w:p>
        </w:tc>
        <w:tc>
          <w:tcPr>
            <w:tcW w:w="50" w:type="pct"/>
            <w:shd w:val="clear" w:color="auto" w:fill="auto"/>
          </w:tcPr>
          <w:p w14:paraId="1426F4B1" w14:textId="77777777" w:rsidR="00A74A1E" w:rsidRDefault="00A74A1E">
            <w:pPr>
              <w:rPr>
                <w:rFonts w:ascii="宋体"/>
              </w:rPr>
            </w:pPr>
          </w:p>
        </w:tc>
        <w:tc>
          <w:tcPr>
            <w:tcW w:w="529" w:type="pct"/>
            <w:shd w:val="clear" w:color="auto" w:fill="auto"/>
          </w:tcPr>
          <w:p w14:paraId="1426F4B2" w14:textId="77777777" w:rsidR="00A74A1E" w:rsidRDefault="00A74A1E">
            <w:pPr>
              <w:rPr>
                <w:rFonts w:ascii="宋体"/>
              </w:rPr>
            </w:pPr>
          </w:p>
        </w:tc>
        <w:tc>
          <w:tcPr>
            <w:tcW w:w="5" w:type="pct"/>
            <w:shd w:val="clear" w:color="auto" w:fill="auto"/>
          </w:tcPr>
          <w:p w14:paraId="1426F4B3" w14:textId="77777777" w:rsidR="00A74A1E" w:rsidRDefault="00A74A1E">
            <w:pPr>
              <w:rPr>
                <w:rFonts w:ascii="宋体"/>
              </w:rPr>
            </w:pPr>
          </w:p>
        </w:tc>
        <w:tc>
          <w:tcPr>
            <w:tcW w:w="5" w:type="pct"/>
            <w:shd w:val="clear" w:color="auto" w:fill="auto"/>
          </w:tcPr>
          <w:p w14:paraId="1426F4B4" w14:textId="77777777" w:rsidR="00A74A1E" w:rsidRDefault="00A74A1E">
            <w:pPr>
              <w:rPr>
                <w:rFonts w:ascii="宋体"/>
              </w:rPr>
            </w:pPr>
          </w:p>
        </w:tc>
        <w:tc>
          <w:tcPr>
            <w:tcW w:w="19" w:type="pct"/>
            <w:shd w:val="clear" w:color="auto" w:fill="auto"/>
          </w:tcPr>
          <w:p w14:paraId="1426F4B5" w14:textId="77777777" w:rsidR="00A74A1E" w:rsidRDefault="00A74A1E">
            <w:pPr>
              <w:rPr>
                <w:rFonts w:ascii="宋体"/>
              </w:rPr>
            </w:pPr>
          </w:p>
        </w:tc>
        <w:tc>
          <w:tcPr>
            <w:tcW w:w="5" w:type="pct"/>
            <w:shd w:val="clear" w:color="auto" w:fill="auto"/>
          </w:tcPr>
          <w:p w14:paraId="1426F4B6" w14:textId="77777777" w:rsidR="00A74A1E" w:rsidRDefault="00A74A1E">
            <w:pPr>
              <w:rPr>
                <w:rFonts w:ascii="宋体"/>
              </w:rPr>
            </w:pPr>
          </w:p>
        </w:tc>
        <w:tc>
          <w:tcPr>
            <w:tcW w:w="50" w:type="pct"/>
            <w:shd w:val="clear" w:color="auto" w:fill="auto"/>
          </w:tcPr>
          <w:p w14:paraId="1426F4B7" w14:textId="77777777" w:rsidR="00A74A1E" w:rsidRDefault="00A74A1E">
            <w:pPr>
              <w:rPr>
                <w:rFonts w:ascii="宋体"/>
              </w:rPr>
            </w:pPr>
          </w:p>
        </w:tc>
        <w:tc>
          <w:tcPr>
            <w:tcW w:w="529" w:type="pct"/>
            <w:shd w:val="clear" w:color="auto" w:fill="auto"/>
          </w:tcPr>
          <w:p w14:paraId="1426F4B8" w14:textId="77777777" w:rsidR="00A74A1E" w:rsidRDefault="00A74A1E">
            <w:pPr>
              <w:rPr>
                <w:rFonts w:ascii="宋体"/>
              </w:rPr>
            </w:pPr>
          </w:p>
        </w:tc>
        <w:tc>
          <w:tcPr>
            <w:tcW w:w="5" w:type="pct"/>
            <w:shd w:val="clear" w:color="auto" w:fill="auto"/>
          </w:tcPr>
          <w:p w14:paraId="1426F4B9" w14:textId="77777777" w:rsidR="00A74A1E" w:rsidRDefault="00A74A1E">
            <w:pPr>
              <w:rPr>
                <w:rFonts w:ascii="宋体"/>
              </w:rPr>
            </w:pPr>
          </w:p>
        </w:tc>
        <w:tc>
          <w:tcPr>
            <w:tcW w:w="5" w:type="pct"/>
            <w:shd w:val="clear" w:color="auto" w:fill="auto"/>
          </w:tcPr>
          <w:p w14:paraId="1426F4BA" w14:textId="77777777" w:rsidR="00A74A1E" w:rsidRDefault="00A74A1E">
            <w:pPr>
              <w:rPr>
                <w:rFonts w:ascii="宋体"/>
              </w:rPr>
            </w:pPr>
          </w:p>
        </w:tc>
        <w:tc>
          <w:tcPr>
            <w:tcW w:w="19" w:type="pct"/>
            <w:shd w:val="clear" w:color="auto" w:fill="auto"/>
          </w:tcPr>
          <w:p w14:paraId="1426F4BB" w14:textId="77777777" w:rsidR="00A74A1E" w:rsidRDefault="00A74A1E">
            <w:pPr>
              <w:rPr>
                <w:rFonts w:ascii="宋体"/>
              </w:rPr>
            </w:pPr>
          </w:p>
        </w:tc>
        <w:tc>
          <w:tcPr>
            <w:tcW w:w="5" w:type="pct"/>
            <w:shd w:val="clear" w:color="auto" w:fill="auto"/>
          </w:tcPr>
          <w:p w14:paraId="1426F4BC" w14:textId="77777777" w:rsidR="00A74A1E" w:rsidRDefault="00A74A1E">
            <w:pPr>
              <w:rPr>
                <w:rFonts w:ascii="宋体"/>
              </w:rPr>
            </w:pPr>
          </w:p>
        </w:tc>
        <w:tc>
          <w:tcPr>
            <w:tcW w:w="50" w:type="pct"/>
            <w:shd w:val="clear" w:color="auto" w:fill="auto"/>
          </w:tcPr>
          <w:p w14:paraId="1426F4BD" w14:textId="77777777" w:rsidR="00A74A1E" w:rsidRDefault="00A74A1E">
            <w:pPr>
              <w:rPr>
                <w:rFonts w:ascii="宋体"/>
              </w:rPr>
            </w:pPr>
          </w:p>
        </w:tc>
        <w:tc>
          <w:tcPr>
            <w:tcW w:w="529" w:type="pct"/>
            <w:shd w:val="clear" w:color="auto" w:fill="auto"/>
          </w:tcPr>
          <w:p w14:paraId="1426F4BE" w14:textId="77777777" w:rsidR="00A74A1E" w:rsidRDefault="00A74A1E">
            <w:pPr>
              <w:rPr>
                <w:rFonts w:ascii="宋体"/>
              </w:rPr>
            </w:pPr>
          </w:p>
        </w:tc>
        <w:tc>
          <w:tcPr>
            <w:tcW w:w="5" w:type="pct"/>
            <w:shd w:val="clear" w:color="auto" w:fill="auto"/>
          </w:tcPr>
          <w:p w14:paraId="1426F4BF" w14:textId="77777777" w:rsidR="00A74A1E" w:rsidRDefault="00A74A1E">
            <w:pPr>
              <w:rPr>
                <w:rFonts w:ascii="宋体"/>
              </w:rPr>
            </w:pPr>
          </w:p>
        </w:tc>
        <w:tc>
          <w:tcPr>
            <w:tcW w:w="5" w:type="pct"/>
            <w:shd w:val="clear" w:color="auto" w:fill="auto"/>
          </w:tcPr>
          <w:p w14:paraId="1426F4C0" w14:textId="77777777" w:rsidR="00A74A1E" w:rsidRDefault="00A74A1E">
            <w:pPr>
              <w:rPr>
                <w:rFonts w:ascii="宋体"/>
              </w:rPr>
            </w:pPr>
          </w:p>
        </w:tc>
        <w:tc>
          <w:tcPr>
            <w:tcW w:w="19" w:type="pct"/>
            <w:shd w:val="clear" w:color="auto" w:fill="auto"/>
          </w:tcPr>
          <w:p w14:paraId="1426F4C1" w14:textId="77777777" w:rsidR="00A74A1E" w:rsidRDefault="00A74A1E">
            <w:pPr>
              <w:rPr>
                <w:rFonts w:ascii="宋体"/>
              </w:rPr>
            </w:pPr>
          </w:p>
        </w:tc>
        <w:tc>
          <w:tcPr>
            <w:tcW w:w="5" w:type="pct"/>
            <w:shd w:val="clear" w:color="auto" w:fill="auto"/>
          </w:tcPr>
          <w:p w14:paraId="1426F4C2" w14:textId="77777777" w:rsidR="00A74A1E" w:rsidRDefault="00A74A1E">
            <w:pPr>
              <w:rPr>
                <w:rFonts w:ascii="宋体"/>
              </w:rPr>
            </w:pPr>
          </w:p>
        </w:tc>
        <w:tc>
          <w:tcPr>
            <w:tcW w:w="50" w:type="pct"/>
            <w:shd w:val="clear" w:color="auto" w:fill="auto"/>
          </w:tcPr>
          <w:p w14:paraId="1426F4C3" w14:textId="77777777" w:rsidR="00A74A1E" w:rsidRDefault="00A74A1E">
            <w:pPr>
              <w:rPr>
                <w:rFonts w:ascii="宋体"/>
              </w:rPr>
            </w:pPr>
          </w:p>
        </w:tc>
        <w:tc>
          <w:tcPr>
            <w:tcW w:w="530" w:type="pct"/>
            <w:shd w:val="clear" w:color="auto" w:fill="auto"/>
          </w:tcPr>
          <w:p w14:paraId="1426F4C4" w14:textId="77777777" w:rsidR="00A74A1E" w:rsidRDefault="00A74A1E">
            <w:pPr>
              <w:rPr>
                <w:rFonts w:ascii="宋体"/>
              </w:rPr>
            </w:pPr>
          </w:p>
        </w:tc>
        <w:tc>
          <w:tcPr>
            <w:tcW w:w="5" w:type="pct"/>
            <w:shd w:val="clear" w:color="auto" w:fill="auto"/>
          </w:tcPr>
          <w:p w14:paraId="1426F4C5" w14:textId="77777777" w:rsidR="00A74A1E" w:rsidRDefault="00A74A1E">
            <w:pPr>
              <w:rPr>
                <w:rFonts w:ascii="宋体"/>
              </w:rPr>
            </w:pPr>
          </w:p>
        </w:tc>
      </w:tr>
      <w:tr w:rsidR="00A74A1E" w14:paraId="1426F4CB" w14:textId="77777777">
        <w:tc>
          <w:tcPr>
            <w:tcW w:w="0" w:type="auto"/>
            <w:gridSpan w:val="3"/>
            <w:shd w:val="clear" w:color="auto" w:fill="auto"/>
            <w:tcMar>
              <w:top w:w="0" w:type="dxa"/>
              <w:left w:w="20" w:type="dxa"/>
              <w:bottom w:w="0" w:type="dxa"/>
              <w:right w:w="20" w:type="dxa"/>
            </w:tcMar>
          </w:tcPr>
          <w:p w14:paraId="1426F4C7"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4C8"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4C9"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4CA"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4D4" w14:textId="77777777">
        <w:tc>
          <w:tcPr>
            <w:tcW w:w="0" w:type="auto"/>
            <w:gridSpan w:val="3"/>
            <w:shd w:val="clear" w:color="auto" w:fill="auto"/>
            <w:tcMar>
              <w:top w:w="0" w:type="dxa"/>
              <w:left w:w="20" w:type="dxa"/>
              <w:bottom w:w="0" w:type="dxa"/>
              <w:right w:w="20" w:type="dxa"/>
            </w:tcMar>
          </w:tcPr>
          <w:p w14:paraId="1426F4CC"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4CD"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4CE"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CF"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4D0"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D1"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4D2"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4D3"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4D7" w14:textId="77777777">
        <w:tc>
          <w:tcPr>
            <w:tcW w:w="0" w:type="auto"/>
            <w:gridSpan w:val="3"/>
            <w:shd w:val="clear" w:color="auto" w:fill="auto"/>
            <w:tcMar>
              <w:top w:w="0" w:type="dxa"/>
              <w:left w:w="20" w:type="dxa"/>
              <w:bottom w:w="0" w:type="dxa"/>
              <w:right w:w="20" w:type="dxa"/>
            </w:tcMar>
          </w:tcPr>
          <w:p w14:paraId="1426F4D5" w14:textId="77777777" w:rsidR="00A74A1E" w:rsidRDefault="00A74A1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F4D6" w14:textId="77777777" w:rsidR="00A74A1E" w:rsidRDefault="00807990">
            <w:pPr>
              <w:jc w:val="center"/>
              <w:textAlignment w:val="bottom"/>
            </w:pPr>
            <w:r>
              <w:rPr>
                <w:rFonts w:ascii="Arial" w:eastAsia="宋体" w:hAnsi="Arial" w:cs="Arial"/>
                <w:b/>
                <w:bCs/>
                <w:color w:val="000000"/>
                <w:sz w:val="16"/>
                <w:szCs w:val="16"/>
              </w:rPr>
              <w:t>(In millions, except per share amounts)</w:t>
            </w:r>
          </w:p>
        </w:tc>
      </w:tr>
      <w:tr w:rsidR="00A74A1E" w14:paraId="1426F4E0" w14:textId="77777777">
        <w:tc>
          <w:tcPr>
            <w:tcW w:w="0" w:type="auto"/>
            <w:gridSpan w:val="3"/>
            <w:shd w:val="clear" w:color="auto" w:fill="CCEEFF"/>
            <w:tcMar>
              <w:top w:w="40" w:type="dxa"/>
              <w:left w:w="20" w:type="dxa"/>
              <w:bottom w:w="40" w:type="dxa"/>
              <w:right w:w="20" w:type="dxa"/>
            </w:tcMar>
            <w:vAlign w:val="bottom"/>
          </w:tcPr>
          <w:p w14:paraId="1426F4D8" w14:textId="77777777" w:rsidR="00A74A1E" w:rsidRDefault="00807990">
            <w:pPr>
              <w:textAlignment w:val="bottom"/>
            </w:pPr>
            <w:r>
              <w:rPr>
                <w:rFonts w:ascii="Arial" w:eastAsia="宋体" w:hAnsi="Arial" w:cs="Arial"/>
                <w:color w:val="000000"/>
                <w:sz w:val="20"/>
                <w:szCs w:val="20"/>
              </w:rPr>
              <w:t>Numerator</w:t>
            </w:r>
          </w:p>
        </w:tc>
        <w:tc>
          <w:tcPr>
            <w:tcW w:w="0" w:type="auto"/>
            <w:gridSpan w:val="3"/>
            <w:shd w:val="clear" w:color="auto" w:fill="CCEEFF"/>
            <w:tcMar>
              <w:top w:w="0" w:type="dxa"/>
              <w:left w:w="20" w:type="dxa"/>
              <w:bottom w:w="0" w:type="dxa"/>
              <w:right w:w="20" w:type="dxa"/>
            </w:tcMar>
          </w:tcPr>
          <w:p w14:paraId="1426F4D9"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A"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B"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C"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D"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E"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DF" w14:textId="77777777" w:rsidR="00A74A1E" w:rsidRDefault="00A74A1E">
            <w:pPr>
              <w:rPr>
                <w:rFonts w:ascii="宋体"/>
              </w:rPr>
            </w:pPr>
          </w:p>
        </w:tc>
      </w:tr>
      <w:tr w:rsidR="00A74A1E" w14:paraId="1426F4F1" w14:textId="77777777">
        <w:tc>
          <w:tcPr>
            <w:tcW w:w="0" w:type="auto"/>
            <w:gridSpan w:val="3"/>
            <w:shd w:val="clear" w:color="auto" w:fill="FFFFFF"/>
            <w:tcMar>
              <w:top w:w="40" w:type="dxa"/>
              <w:left w:w="360" w:type="dxa"/>
              <w:bottom w:w="40" w:type="dxa"/>
              <w:right w:w="20" w:type="dxa"/>
            </w:tcMar>
            <w:vAlign w:val="bottom"/>
          </w:tcPr>
          <w:p w14:paraId="1426F4E1" w14:textId="77777777" w:rsidR="00A74A1E" w:rsidRDefault="00807990">
            <w:pPr>
              <w:textAlignment w:val="bottom"/>
            </w:pPr>
            <w:r>
              <w:rPr>
                <w:rFonts w:ascii="Arial" w:eastAsia="宋体" w:hAnsi="Arial" w:cs="Arial"/>
                <w:color w:val="000000"/>
                <w:sz w:val="20"/>
                <w:szCs w:val="20"/>
              </w:rPr>
              <w:t>Net income for basic earnings per share</w:t>
            </w:r>
          </w:p>
        </w:tc>
        <w:tc>
          <w:tcPr>
            <w:tcW w:w="0" w:type="auto"/>
            <w:shd w:val="clear" w:color="auto" w:fill="FFFFFF"/>
            <w:tcMar>
              <w:top w:w="40" w:type="dxa"/>
              <w:left w:w="20" w:type="dxa"/>
              <w:bottom w:w="40" w:type="dxa"/>
              <w:right w:w="0" w:type="dxa"/>
            </w:tcMar>
            <w:vAlign w:val="bottom"/>
          </w:tcPr>
          <w:p w14:paraId="1426F4E2"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4E3" w14:textId="77777777" w:rsidR="00A74A1E" w:rsidRDefault="00807990">
            <w:pPr>
              <w:jc w:val="right"/>
              <w:textAlignment w:val="bottom"/>
            </w:pPr>
            <w:r>
              <w:rPr>
                <w:rFonts w:ascii="Arial" w:eastAsia="宋体" w:hAnsi="Arial" w:cs="Arial"/>
                <w:color w:val="000000"/>
                <w:sz w:val="20"/>
                <w:szCs w:val="20"/>
              </w:rPr>
              <w:t>390 </w:t>
            </w:r>
          </w:p>
        </w:tc>
        <w:tc>
          <w:tcPr>
            <w:tcW w:w="0" w:type="auto"/>
            <w:shd w:val="clear" w:color="auto" w:fill="FFFFFF"/>
            <w:tcMar>
              <w:top w:w="40" w:type="dxa"/>
              <w:left w:w="0" w:type="dxa"/>
              <w:bottom w:w="40" w:type="dxa"/>
              <w:right w:w="20" w:type="dxa"/>
            </w:tcMar>
            <w:vAlign w:val="bottom"/>
          </w:tcPr>
          <w:p w14:paraId="1426F4E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E5"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4E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4E7" w14:textId="77777777" w:rsidR="00A74A1E" w:rsidRDefault="00807990">
            <w:pPr>
              <w:jc w:val="right"/>
              <w:textAlignment w:val="bottom"/>
            </w:pPr>
            <w:r>
              <w:rPr>
                <w:rFonts w:ascii="Arial" w:eastAsia="宋体" w:hAnsi="Arial" w:cs="Arial"/>
                <w:color w:val="000000"/>
                <w:sz w:val="20"/>
                <w:szCs w:val="20"/>
              </w:rPr>
              <w:t>120 </w:t>
            </w:r>
          </w:p>
        </w:tc>
        <w:tc>
          <w:tcPr>
            <w:tcW w:w="0" w:type="auto"/>
            <w:shd w:val="clear" w:color="auto" w:fill="FFFFFF"/>
            <w:tcMar>
              <w:top w:w="40" w:type="dxa"/>
              <w:left w:w="0" w:type="dxa"/>
              <w:bottom w:w="40" w:type="dxa"/>
              <w:right w:w="20" w:type="dxa"/>
            </w:tcMar>
            <w:vAlign w:val="bottom"/>
          </w:tcPr>
          <w:p w14:paraId="1426F4E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E9"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4E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4EB" w14:textId="77777777" w:rsidR="00A74A1E" w:rsidRDefault="00807990">
            <w:pPr>
              <w:jc w:val="right"/>
              <w:textAlignment w:val="bottom"/>
            </w:pPr>
            <w:r>
              <w:rPr>
                <w:rFonts w:ascii="Arial" w:eastAsia="宋体" w:hAnsi="Arial" w:cs="Arial"/>
                <w:color w:val="000000"/>
                <w:sz w:val="20"/>
                <w:szCs w:val="20"/>
              </w:rPr>
              <w:t>709 </w:t>
            </w:r>
          </w:p>
        </w:tc>
        <w:tc>
          <w:tcPr>
            <w:tcW w:w="0" w:type="auto"/>
            <w:shd w:val="clear" w:color="auto" w:fill="FFFFFF"/>
            <w:tcMar>
              <w:top w:w="40" w:type="dxa"/>
              <w:left w:w="0" w:type="dxa"/>
              <w:bottom w:w="40" w:type="dxa"/>
              <w:right w:w="20" w:type="dxa"/>
            </w:tcMar>
            <w:vAlign w:val="bottom"/>
          </w:tcPr>
          <w:p w14:paraId="1426F4E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ED"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4EE"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4EF" w14:textId="77777777" w:rsidR="00A74A1E" w:rsidRDefault="00807990">
            <w:pPr>
              <w:jc w:val="right"/>
              <w:textAlignment w:val="bottom"/>
            </w:pPr>
            <w:r>
              <w:rPr>
                <w:rFonts w:ascii="Arial" w:eastAsia="宋体" w:hAnsi="Arial" w:cs="Arial"/>
                <w:color w:val="000000"/>
                <w:sz w:val="20"/>
                <w:szCs w:val="20"/>
              </w:rPr>
              <w:t>171 </w:t>
            </w:r>
          </w:p>
        </w:tc>
        <w:tc>
          <w:tcPr>
            <w:tcW w:w="0" w:type="auto"/>
            <w:shd w:val="clear" w:color="auto" w:fill="FFFFFF"/>
            <w:tcMar>
              <w:top w:w="40" w:type="dxa"/>
              <w:left w:w="0" w:type="dxa"/>
              <w:bottom w:w="40" w:type="dxa"/>
              <w:right w:w="20" w:type="dxa"/>
            </w:tcMar>
            <w:vAlign w:val="bottom"/>
          </w:tcPr>
          <w:p w14:paraId="1426F4F0" w14:textId="77777777" w:rsidR="00A74A1E" w:rsidRDefault="00A74A1E">
            <w:pPr>
              <w:jc w:val="right"/>
              <w:rPr>
                <w:rFonts w:ascii="宋体"/>
              </w:rPr>
            </w:pPr>
          </w:p>
        </w:tc>
      </w:tr>
      <w:tr w:rsidR="00A74A1E" w14:paraId="1426F4FA" w14:textId="77777777">
        <w:tc>
          <w:tcPr>
            <w:tcW w:w="0" w:type="auto"/>
            <w:gridSpan w:val="3"/>
            <w:shd w:val="clear" w:color="auto" w:fill="CCEEFF"/>
            <w:tcMar>
              <w:top w:w="40" w:type="dxa"/>
              <w:left w:w="360" w:type="dxa"/>
              <w:bottom w:w="40" w:type="dxa"/>
              <w:right w:w="20" w:type="dxa"/>
            </w:tcMar>
            <w:vAlign w:val="bottom"/>
          </w:tcPr>
          <w:p w14:paraId="1426F4F2" w14:textId="77777777" w:rsidR="00A74A1E" w:rsidRDefault="00807990">
            <w:pPr>
              <w:textAlignment w:val="bottom"/>
            </w:pPr>
            <w:r>
              <w:rPr>
                <w:rFonts w:ascii="Arial" w:eastAsia="宋体" w:hAnsi="Arial" w:cs="Arial"/>
                <w:color w:val="000000"/>
                <w:sz w:val="20"/>
                <w:szCs w:val="20"/>
              </w:rPr>
              <w:t>Effect of potentially dilutive shares:</w:t>
            </w:r>
          </w:p>
        </w:tc>
        <w:tc>
          <w:tcPr>
            <w:tcW w:w="0" w:type="auto"/>
            <w:gridSpan w:val="3"/>
            <w:shd w:val="clear" w:color="auto" w:fill="CCEEFF"/>
            <w:tcMar>
              <w:top w:w="0" w:type="dxa"/>
              <w:left w:w="20" w:type="dxa"/>
              <w:bottom w:w="0" w:type="dxa"/>
              <w:right w:w="20" w:type="dxa"/>
            </w:tcMar>
          </w:tcPr>
          <w:p w14:paraId="1426F4F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5"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6"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7"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8"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4F9" w14:textId="77777777" w:rsidR="00A74A1E" w:rsidRDefault="00A74A1E">
            <w:pPr>
              <w:rPr>
                <w:rFonts w:ascii="宋体"/>
              </w:rPr>
            </w:pPr>
          </w:p>
        </w:tc>
      </w:tr>
      <w:tr w:rsidR="00A74A1E" w14:paraId="1426F507" w14:textId="77777777">
        <w:tc>
          <w:tcPr>
            <w:tcW w:w="0" w:type="auto"/>
            <w:gridSpan w:val="3"/>
            <w:shd w:val="clear" w:color="auto" w:fill="FFFFFF"/>
            <w:tcMar>
              <w:top w:w="40" w:type="dxa"/>
              <w:left w:w="135" w:type="dxa"/>
              <w:bottom w:w="40" w:type="dxa"/>
              <w:right w:w="20" w:type="dxa"/>
            </w:tcMar>
          </w:tcPr>
          <w:p w14:paraId="1426F4FB" w14:textId="77777777" w:rsidR="00A74A1E" w:rsidRDefault="00807990">
            <w:pPr>
              <w:textAlignment w:val="top"/>
            </w:pPr>
            <w:r>
              <w:rPr>
                <w:rFonts w:ascii="Arial" w:eastAsia="宋体" w:hAnsi="Arial" w:cs="Arial"/>
                <w:color w:val="000000"/>
                <w:sz w:val="20"/>
                <w:szCs w:val="20"/>
              </w:rPr>
              <w:t>        Interest expense related to the 2.125% Notes</w:t>
            </w:r>
          </w:p>
        </w:tc>
        <w:tc>
          <w:tcPr>
            <w:tcW w:w="0" w:type="auto"/>
            <w:gridSpan w:val="2"/>
            <w:shd w:val="clear" w:color="auto" w:fill="FFFFFF"/>
            <w:tcMar>
              <w:top w:w="40" w:type="dxa"/>
              <w:left w:w="20" w:type="dxa"/>
              <w:bottom w:w="40" w:type="dxa"/>
              <w:right w:w="0" w:type="dxa"/>
            </w:tcMar>
            <w:vAlign w:val="bottom"/>
          </w:tcPr>
          <w:p w14:paraId="1426F4FC"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426F4F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4F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4FF"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0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0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02" w14:textId="77777777" w:rsidR="00A74A1E" w:rsidRDefault="00807990">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1426F50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04"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05"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06" w14:textId="77777777" w:rsidR="00A74A1E" w:rsidRDefault="00A74A1E">
            <w:pPr>
              <w:jc w:val="right"/>
              <w:rPr>
                <w:rFonts w:ascii="宋体"/>
              </w:rPr>
            </w:pPr>
          </w:p>
        </w:tc>
      </w:tr>
      <w:tr w:rsidR="00A74A1E" w14:paraId="1426F518" w14:textId="77777777">
        <w:tc>
          <w:tcPr>
            <w:tcW w:w="0" w:type="auto"/>
            <w:gridSpan w:val="3"/>
            <w:shd w:val="clear" w:color="auto" w:fill="CCEEFF"/>
            <w:tcMar>
              <w:top w:w="40" w:type="dxa"/>
              <w:left w:w="360" w:type="dxa"/>
              <w:bottom w:w="40" w:type="dxa"/>
              <w:right w:w="20" w:type="dxa"/>
            </w:tcMar>
            <w:vAlign w:val="bottom"/>
          </w:tcPr>
          <w:p w14:paraId="1426F508" w14:textId="77777777" w:rsidR="00A74A1E" w:rsidRDefault="00807990">
            <w:pPr>
              <w:textAlignment w:val="bottom"/>
            </w:pPr>
            <w:r>
              <w:rPr>
                <w:rFonts w:ascii="Arial" w:eastAsia="宋体" w:hAnsi="Arial" w:cs="Arial"/>
                <w:color w:val="000000"/>
                <w:sz w:val="20"/>
                <w:szCs w:val="20"/>
              </w:rPr>
              <w:t>Net income for diluted earnings per share</w:t>
            </w:r>
          </w:p>
        </w:tc>
        <w:tc>
          <w:tcPr>
            <w:tcW w:w="0" w:type="auto"/>
            <w:tcBorders>
              <w:top w:val="single" w:sz="8" w:space="0" w:color="000000"/>
            </w:tcBorders>
            <w:shd w:val="clear" w:color="auto" w:fill="CCEEFF"/>
            <w:tcMar>
              <w:top w:w="40" w:type="dxa"/>
              <w:left w:w="20" w:type="dxa"/>
              <w:bottom w:w="40" w:type="dxa"/>
              <w:right w:w="0" w:type="dxa"/>
            </w:tcMar>
            <w:vAlign w:val="bottom"/>
          </w:tcPr>
          <w:p w14:paraId="1426F509"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50A" w14:textId="77777777" w:rsidR="00A74A1E" w:rsidRDefault="00807990">
            <w:pPr>
              <w:jc w:val="right"/>
              <w:textAlignment w:val="bottom"/>
            </w:pPr>
            <w:r>
              <w:rPr>
                <w:rFonts w:ascii="Arial" w:eastAsia="宋体" w:hAnsi="Arial" w:cs="Arial"/>
                <w:color w:val="000000"/>
                <w:sz w:val="20"/>
                <w:szCs w:val="20"/>
              </w:rPr>
              <w:t>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0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0C"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50D"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50E" w14:textId="77777777" w:rsidR="00A74A1E" w:rsidRDefault="00807990">
            <w:pPr>
              <w:jc w:val="right"/>
              <w:textAlignment w:val="bottom"/>
            </w:pPr>
            <w:r>
              <w:rPr>
                <w:rFonts w:ascii="Arial" w:eastAsia="宋体" w:hAnsi="Arial" w:cs="Arial"/>
                <w:color w:val="000000"/>
                <w:sz w:val="20"/>
                <w:szCs w:val="20"/>
              </w:rPr>
              <w:t>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0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10"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511"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512" w14:textId="77777777" w:rsidR="00A74A1E" w:rsidRDefault="00807990">
            <w:pPr>
              <w:jc w:val="right"/>
              <w:textAlignment w:val="bottom"/>
            </w:pPr>
            <w:r>
              <w:rPr>
                <w:rFonts w:ascii="Arial" w:eastAsia="宋体" w:hAnsi="Arial" w:cs="Arial"/>
                <w:color w:val="000000"/>
                <w:sz w:val="20"/>
                <w:szCs w:val="20"/>
              </w:rPr>
              <w:t>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1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14" w14:textId="77777777" w:rsidR="00A74A1E" w:rsidRDefault="00A74A1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426F515"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426F516" w14:textId="77777777" w:rsidR="00A74A1E" w:rsidRDefault="00807990">
            <w:pPr>
              <w:jc w:val="right"/>
              <w:textAlignment w:val="bottom"/>
            </w:pPr>
            <w:r>
              <w:rPr>
                <w:rFonts w:ascii="Arial" w:eastAsia="宋体" w:hAnsi="Arial" w:cs="Arial"/>
                <w:color w:val="000000"/>
                <w:sz w:val="20"/>
                <w:szCs w:val="20"/>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17" w14:textId="77777777" w:rsidR="00A74A1E" w:rsidRDefault="00A74A1E">
            <w:pPr>
              <w:jc w:val="right"/>
              <w:rPr>
                <w:rFonts w:ascii="宋体"/>
              </w:rPr>
            </w:pPr>
          </w:p>
        </w:tc>
      </w:tr>
      <w:tr w:rsidR="00A74A1E" w14:paraId="1426F521" w14:textId="77777777">
        <w:tc>
          <w:tcPr>
            <w:tcW w:w="0" w:type="auto"/>
            <w:gridSpan w:val="3"/>
            <w:shd w:val="clear" w:color="auto" w:fill="FFFFFF"/>
            <w:tcMar>
              <w:top w:w="40" w:type="dxa"/>
              <w:left w:w="20" w:type="dxa"/>
              <w:bottom w:w="40" w:type="dxa"/>
              <w:right w:w="20" w:type="dxa"/>
            </w:tcMar>
            <w:vAlign w:val="bottom"/>
          </w:tcPr>
          <w:p w14:paraId="1426F519" w14:textId="77777777" w:rsidR="00A74A1E" w:rsidRDefault="00807990">
            <w:pPr>
              <w:textAlignment w:val="bottom"/>
            </w:pPr>
            <w:r>
              <w:rPr>
                <w:rFonts w:ascii="Arial" w:eastAsia="宋体" w:hAnsi="Arial" w:cs="Arial"/>
                <w:color w:val="00000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tcPr>
          <w:p w14:paraId="1426F51A"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1B"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1C"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1D"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1E"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1F"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20" w14:textId="77777777" w:rsidR="00A74A1E" w:rsidRDefault="00A74A1E">
            <w:pPr>
              <w:rPr>
                <w:rFonts w:ascii="宋体"/>
              </w:rPr>
            </w:pPr>
          </w:p>
        </w:tc>
      </w:tr>
      <w:tr w:rsidR="00A74A1E" w14:paraId="1426F52E" w14:textId="77777777">
        <w:tc>
          <w:tcPr>
            <w:tcW w:w="0" w:type="auto"/>
            <w:gridSpan w:val="3"/>
            <w:shd w:val="clear" w:color="auto" w:fill="CCEEFF"/>
            <w:tcMar>
              <w:top w:w="40" w:type="dxa"/>
              <w:left w:w="360" w:type="dxa"/>
              <w:bottom w:w="40" w:type="dxa"/>
              <w:right w:w="20" w:type="dxa"/>
            </w:tcMar>
            <w:vAlign w:val="bottom"/>
          </w:tcPr>
          <w:p w14:paraId="1426F522" w14:textId="77777777" w:rsidR="00A74A1E" w:rsidRDefault="00807990">
            <w:pPr>
              <w:textAlignment w:val="bottom"/>
            </w:pPr>
            <w:r>
              <w:rPr>
                <w:rFonts w:ascii="Arial" w:eastAsia="宋体" w:hAnsi="Arial" w:cs="Arial"/>
                <w:color w:val="000000"/>
                <w:sz w:val="20"/>
                <w:szCs w:val="20"/>
              </w:rPr>
              <w:t>Basic weighted average shares</w:t>
            </w:r>
          </w:p>
        </w:tc>
        <w:tc>
          <w:tcPr>
            <w:tcW w:w="0" w:type="auto"/>
            <w:gridSpan w:val="2"/>
            <w:shd w:val="clear" w:color="auto" w:fill="CCEEFF"/>
            <w:tcMar>
              <w:top w:w="40" w:type="dxa"/>
              <w:left w:w="20" w:type="dxa"/>
              <w:bottom w:w="40" w:type="dxa"/>
              <w:right w:w="0" w:type="dxa"/>
            </w:tcMar>
            <w:vAlign w:val="bottom"/>
          </w:tcPr>
          <w:p w14:paraId="1426F523" w14:textId="77777777" w:rsidR="00A74A1E" w:rsidRDefault="00807990">
            <w:pPr>
              <w:jc w:val="right"/>
              <w:textAlignment w:val="bottom"/>
            </w:pPr>
            <w:r>
              <w:rPr>
                <w:rFonts w:ascii="Arial" w:eastAsia="宋体" w:hAnsi="Arial" w:cs="Arial"/>
                <w:color w:val="000000"/>
                <w:sz w:val="20"/>
                <w:szCs w:val="20"/>
              </w:rPr>
              <w:t>1,184 </w:t>
            </w:r>
          </w:p>
        </w:tc>
        <w:tc>
          <w:tcPr>
            <w:tcW w:w="0" w:type="auto"/>
            <w:shd w:val="clear" w:color="auto" w:fill="CCEEFF"/>
            <w:tcMar>
              <w:top w:w="40" w:type="dxa"/>
              <w:left w:w="0" w:type="dxa"/>
              <w:bottom w:w="40" w:type="dxa"/>
              <w:right w:w="20" w:type="dxa"/>
            </w:tcMar>
            <w:vAlign w:val="bottom"/>
          </w:tcPr>
          <w:p w14:paraId="1426F52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2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26" w14:textId="77777777" w:rsidR="00A74A1E" w:rsidRDefault="00807990">
            <w:pPr>
              <w:jc w:val="right"/>
              <w:textAlignment w:val="bottom"/>
            </w:pPr>
            <w:r>
              <w:rPr>
                <w:rFonts w:ascii="Arial" w:eastAsia="宋体" w:hAnsi="Arial" w:cs="Arial"/>
                <w:color w:val="000000"/>
                <w:sz w:val="20"/>
                <w:szCs w:val="20"/>
              </w:rPr>
              <w:t>1,097 </w:t>
            </w:r>
          </w:p>
        </w:tc>
        <w:tc>
          <w:tcPr>
            <w:tcW w:w="0" w:type="auto"/>
            <w:shd w:val="clear" w:color="auto" w:fill="CCEEFF"/>
            <w:tcMar>
              <w:top w:w="40" w:type="dxa"/>
              <w:left w:w="0" w:type="dxa"/>
              <w:bottom w:w="40" w:type="dxa"/>
              <w:right w:w="20" w:type="dxa"/>
            </w:tcMar>
            <w:vAlign w:val="bottom"/>
          </w:tcPr>
          <w:p w14:paraId="1426F52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2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29" w14:textId="77777777" w:rsidR="00A74A1E" w:rsidRDefault="00807990">
            <w:pPr>
              <w:jc w:val="right"/>
              <w:textAlignment w:val="bottom"/>
            </w:pPr>
            <w:r>
              <w:rPr>
                <w:rFonts w:ascii="Arial" w:eastAsia="宋体" w:hAnsi="Arial" w:cs="Arial"/>
                <w:color w:val="000000"/>
                <w:sz w:val="20"/>
                <w:szCs w:val="20"/>
              </w:rPr>
              <w:t>1,176 </w:t>
            </w:r>
          </w:p>
        </w:tc>
        <w:tc>
          <w:tcPr>
            <w:tcW w:w="0" w:type="auto"/>
            <w:shd w:val="clear" w:color="auto" w:fill="CCEEFF"/>
            <w:tcMar>
              <w:top w:w="40" w:type="dxa"/>
              <w:left w:w="0" w:type="dxa"/>
              <w:bottom w:w="40" w:type="dxa"/>
              <w:right w:w="20" w:type="dxa"/>
            </w:tcMar>
            <w:vAlign w:val="bottom"/>
          </w:tcPr>
          <w:p w14:paraId="1426F52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2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2C" w14:textId="77777777" w:rsidR="00A74A1E" w:rsidRDefault="00807990">
            <w:pPr>
              <w:jc w:val="right"/>
              <w:textAlignment w:val="bottom"/>
            </w:pPr>
            <w:r>
              <w:rPr>
                <w:rFonts w:ascii="Arial" w:eastAsia="宋体" w:hAnsi="Arial" w:cs="Arial"/>
                <w:color w:val="000000"/>
                <w:sz w:val="20"/>
                <w:szCs w:val="20"/>
              </w:rPr>
              <w:t>1,075 </w:t>
            </w:r>
          </w:p>
        </w:tc>
        <w:tc>
          <w:tcPr>
            <w:tcW w:w="0" w:type="auto"/>
            <w:shd w:val="clear" w:color="auto" w:fill="CCEEFF"/>
            <w:tcMar>
              <w:top w:w="40" w:type="dxa"/>
              <w:left w:w="0" w:type="dxa"/>
              <w:bottom w:w="40" w:type="dxa"/>
              <w:right w:w="20" w:type="dxa"/>
            </w:tcMar>
            <w:vAlign w:val="bottom"/>
          </w:tcPr>
          <w:p w14:paraId="1426F52D" w14:textId="77777777" w:rsidR="00A74A1E" w:rsidRDefault="00A74A1E">
            <w:pPr>
              <w:jc w:val="right"/>
              <w:rPr>
                <w:rFonts w:ascii="宋体"/>
              </w:rPr>
            </w:pPr>
          </w:p>
        </w:tc>
      </w:tr>
      <w:tr w:rsidR="00A74A1E" w14:paraId="1426F537" w14:textId="77777777">
        <w:tc>
          <w:tcPr>
            <w:tcW w:w="0" w:type="auto"/>
            <w:gridSpan w:val="3"/>
            <w:shd w:val="clear" w:color="auto" w:fill="FFFFFF"/>
            <w:tcMar>
              <w:top w:w="40" w:type="dxa"/>
              <w:left w:w="360" w:type="dxa"/>
              <w:bottom w:w="40" w:type="dxa"/>
              <w:right w:w="20" w:type="dxa"/>
            </w:tcMar>
            <w:vAlign w:val="bottom"/>
          </w:tcPr>
          <w:p w14:paraId="1426F52F" w14:textId="77777777" w:rsidR="00A74A1E" w:rsidRDefault="00807990">
            <w:pPr>
              <w:textAlignment w:val="bottom"/>
            </w:pPr>
            <w:r>
              <w:rPr>
                <w:rFonts w:ascii="Arial" w:eastAsia="宋体" w:hAnsi="Arial" w:cs="Arial"/>
                <w:color w:val="000000"/>
                <w:sz w:val="20"/>
                <w:szCs w:val="20"/>
              </w:rPr>
              <w:t>Effect of potentially dilutive shares:</w:t>
            </w:r>
          </w:p>
        </w:tc>
        <w:tc>
          <w:tcPr>
            <w:tcW w:w="0" w:type="auto"/>
            <w:gridSpan w:val="3"/>
            <w:shd w:val="clear" w:color="auto" w:fill="FFFFFF"/>
            <w:tcMar>
              <w:top w:w="0" w:type="dxa"/>
              <w:left w:w="20" w:type="dxa"/>
              <w:bottom w:w="0" w:type="dxa"/>
              <w:right w:w="20" w:type="dxa"/>
            </w:tcMar>
          </w:tcPr>
          <w:p w14:paraId="1426F530"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1"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2"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3"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5"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36" w14:textId="77777777" w:rsidR="00A74A1E" w:rsidRDefault="00A74A1E">
            <w:pPr>
              <w:rPr>
                <w:rFonts w:ascii="宋体"/>
              </w:rPr>
            </w:pPr>
          </w:p>
        </w:tc>
      </w:tr>
      <w:tr w:rsidR="00A74A1E" w14:paraId="1426F544" w14:textId="77777777">
        <w:tc>
          <w:tcPr>
            <w:tcW w:w="0" w:type="auto"/>
            <w:gridSpan w:val="3"/>
            <w:shd w:val="clear" w:color="auto" w:fill="CCEEFF"/>
            <w:tcMar>
              <w:top w:w="40" w:type="dxa"/>
              <w:left w:w="135" w:type="dxa"/>
              <w:bottom w:w="40" w:type="dxa"/>
              <w:right w:w="20" w:type="dxa"/>
            </w:tcMar>
          </w:tcPr>
          <w:p w14:paraId="1426F538" w14:textId="77777777" w:rsidR="00A74A1E" w:rsidRDefault="00807990">
            <w:pPr>
              <w:textAlignment w:val="top"/>
            </w:pPr>
            <w:r>
              <w:rPr>
                <w:rFonts w:ascii="Arial" w:eastAsia="宋体" w:hAnsi="Arial" w:cs="Arial"/>
                <w:color w:val="000000"/>
                <w:sz w:val="20"/>
                <w:szCs w:val="20"/>
              </w:rPr>
              <w:t>        Employee equity plans and warrants</w:t>
            </w:r>
          </w:p>
        </w:tc>
        <w:tc>
          <w:tcPr>
            <w:tcW w:w="0" w:type="auto"/>
            <w:gridSpan w:val="2"/>
            <w:shd w:val="clear" w:color="auto" w:fill="CCEEFF"/>
            <w:tcMar>
              <w:top w:w="40" w:type="dxa"/>
              <w:left w:w="20" w:type="dxa"/>
              <w:bottom w:w="40" w:type="dxa"/>
              <w:right w:w="0" w:type="dxa"/>
            </w:tcMar>
            <w:vAlign w:val="bottom"/>
          </w:tcPr>
          <w:p w14:paraId="1426F539" w14:textId="77777777" w:rsidR="00A74A1E" w:rsidRDefault="00807990">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1426F53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3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3C" w14:textId="77777777" w:rsidR="00A74A1E" w:rsidRDefault="00807990">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1426F53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3E"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3F" w14:textId="77777777" w:rsidR="00A74A1E" w:rsidRDefault="00807990">
            <w:pPr>
              <w:jc w:val="right"/>
              <w:textAlignment w:val="bottom"/>
            </w:pPr>
            <w:r>
              <w:rPr>
                <w:rFonts w:ascii="Arial" w:eastAsia="宋体" w:hAnsi="Arial" w:cs="Arial"/>
                <w:color w:val="000000"/>
                <w:sz w:val="20"/>
                <w:szCs w:val="20"/>
              </w:rPr>
              <w:t>21 </w:t>
            </w:r>
          </w:p>
        </w:tc>
        <w:tc>
          <w:tcPr>
            <w:tcW w:w="0" w:type="auto"/>
            <w:shd w:val="clear" w:color="auto" w:fill="CCEEFF"/>
            <w:tcMar>
              <w:top w:w="40" w:type="dxa"/>
              <w:left w:w="0" w:type="dxa"/>
              <w:bottom w:w="40" w:type="dxa"/>
              <w:right w:w="20" w:type="dxa"/>
            </w:tcMar>
            <w:vAlign w:val="bottom"/>
          </w:tcPr>
          <w:p w14:paraId="1426F54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41"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42" w14:textId="77777777" w:rsidR="00A74A1E" w:rsidRDefault="00807990">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1426F543" w14:textId="77777777" w:rsidR="00A74A1E" w:rsidRDefault="00A74A1E">
            <w:pPr>
              <w:jc w:val="right"/>
              <w:rPr>
                <w:rFonts w:ascii="宋体"/>
              </w:rPr>
            </w:pPr>
          </w:p>
        </w:tc>
      </w:tr>
      <w:tr w:rsidR="00A74A1E" w14:paraId="1426F551" w14:textId="77777777">
        <w:tc>
          <w:tcPr>
            <w:tcW w:w="0" w:type="auto"/>
            <w:gridSpan w:val="3"/>
            <w:shd w:val="clear" w:color="auto" w:fill="FFFFFF"/>
            <w:tcMar>
              <w:top w:w="40" w:type="dxa"/>
              <w:left w:w="135" w:type="dxa"/>
              <w:bottom w:w="40" w:type="dxa"/>
              <w:right w:w="20" w:type="dxa"/>
            </w:tcMar>
          </w:tcPr>
          <w:p w14:paraId="1426F545" w14:textId="77777777" w:rsidR="00A74A1E" w:rsidRDefault="00807990">
            <w:pPr>
              <w:textAlignment w:val="top"/>
            </w:pPr>
            <w:r>
              <w:rPr>
                <w:rFonts w:ascii="Arial" w:eastAsia="宋体" w:hAnsi="Arial" w:cs="Arial"/>
                <w:color w:val="000000"/>
                <w:sz w:val="20"/>
                <w:szCs w:val="20"/>
              </w:rPr>
              <w:t>        2.125% Notes</w:t>
            </w:r>
          </w:p>
        </w:tc>
        <w:tc>
          <w:tcPr>
            <w:tcW w:w="0" w:type="auto"/>
            <w:gridSpan w:val="2"/>
            <w:shd w:val="clear" w:color="auto" w:fill="FFFFFF"/>
            <w:tcMar>
              <w:top w:w="40" w:type="dxa"/>
              <w:left w:w="20" w:type="dxa"/>
              <w:bottom w:w="40" w:type="dxa"/>
              <w:right w:w="0" w:type="dxa"/>
            </w:tcMar>
            <w:vAlign w:val="bottom"/>
          </w:tcPr>
          <w:p w14:paraId="1426F546" w14:textId="77777777" w:rsidR="00A74A1E" w:rsidRDefault="00807990">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1426F54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4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49"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4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4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4C" w14:textId="77777777" w:rsidR="00A74A1E" w:rsidRDefault="00807990">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1426F54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4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4F"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50" w14:textId="77777777" w:rsidR="00A74A1E" w:rsidRDefault="00A74A1E">
            <w:pPr>
              <w:jc w:val="right"/>
              <w:rPr>
                <w:rFonts w:ascii="宋体"/>
              </w:rPr>
            </w:pPr>
          </w:p>
        </w:tc>
      </w:tr>
      <w:tr w:rsidR="00A74A1E" w14:paraId="1426F55E" w14:textId="77777777">
        <w:tc>
          <w:tcPr>
            <w:tcW w:w="0" w:type="auto"/>
            <w:gridSpan w:val="3"/>
            <w:shd w:val="clear" w:color="auto" w:fill="CCEEFF"/>
            <w:tcMar>
              <w:top w:w="40" w:type="dxa"/>
              <w:left w:w="360" w:type="dxa"/>
              <w:bottom w:w="40" w:type="dxa"/>
              <w:right w:w="20" w:type="dxa"/>
            </w:tcMar>
            <w:vAlign w:val="bottom"/>
          </w:tcPr>
          <w:p w14:paraId="1426F552" w14:textId="77777777" w:rsidR="00A74A1E" w:rsidRDefault="00807990">
            <w:pPr>
              <w:textAlignment w:val="bottom"/>
            </w:pPr>
            <w:r>
              <w:rPr>
                <w:rFonts w:ascii="Arial" w:eastAsia="宋体" w:hAnsi="Arial" w:cs="Arial"/>
                <w:color w:val="000000"/>
                <w:sz w:val="20"/>
                <w:szCs w:val="20"/>
              </w:rPr>
              <w:t>Diluted weighted average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553" w14:textId="77777777" w:rsidR="00A74A1E" w:rsidRDefault="00807990">
            <w:pPr>
              <w:jc w:val="right"/>
              <w:textAlignment w:val="bottom"/>
            </w:pPr>
            <w:r>
              <w:rPr>
                <w:rFonts w:ascii="Arial" w:eastAsia="宋体" w:hAnsi="Arial" w:cs="Arial"/>
                <w:color w:val="000000"/>
                <w:sz w:val="20"/>
                <w:szCs w:val="20"/>
              </w:rPr>
              <w:t>1,215 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5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55"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556" w14:textId="77777777" w:rsidR="00A74A1E" w:rsidRDefault="00807990">
            <w:pPr>
              <w:jc w:val="right"/>
              <w:textAlignment w:val="bottom"/>
            </w:pPr>
            <w:r>
              <w:rPr>
                <w:rFonts w:ascii="Arial" w:eastAsia="宋体" w:hAnsi="Arial" w:cs="Arial"/>
                <w:color w:val="000000"/>
                <w:sz w:val="20"/>
                <w:szCs w:val="20"/>
              </w:rPr>
              <w:t>1,117 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5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58"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559" w14:textId="77777777" w:rsidR="00A74A1E" w:rsidRDefault="00807990">
            <w:pPr>
              <w:jc w:val="right"/>
              <w:textAlignment w:val="bottom"/>
            </w:pPr>
            <w:r>
              <w:rPr>
                <w:rFonts w:ascii="Arial" w:eastAsia="宋体" w:hAnsi="Arial" w:cs="Arial"/>
                <w:color w:val="000000"/>
                <w:sz w:val="20"/>
                <w:szCs w:val="20"/>
              </w:rPr>
              <w:t>1,208 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5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5B" w14:textId="77777777" w:rsidR="00A74A1E" w:rsidRDefault="00A74A1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426F55C" w14:textId="77777777" w:rsidR="00A74A1E" w:rsidRDefault="00807990">
            <w:pPr>
              <w:jc w:val="right"/>
              <w:textAlignment w:val="bottom"/>
            </w:pPr>
            <w:r>
              <w:rPr>
                <w:rFonts w:ascii="Arial" w:eastAsia="宋体" w:hAnsi="Arial" w:cs="Arial"/>
                <w:color w:val="000000"/>
                <w:sz w:val="20"/>
                <w:szCs w:val="20"/>
              </w:rPr>
              <w:t>1,107 </w:t>
            </w:r>
          </w:p>
        </w:tc>
        <w:tc>
          <w:tcPr>
            <w:tcW w:w="0" w:type="auto"/>
            <w:tcBorders>
              <w:top w:val="single" w:sz="8" w:space="0" w:color="000000"/>
            </w:tcBorders>
            <w:shd w:val="clear" w:color="auto" w:fill="CCEEFF"/>
            <w:tcMar>
              <w:top w:w="40" w:type="dxa"/>
              <w:left w:w="0" w:type="dxa"/>
              <w:bottom w:w="40" w:type="dxa"/>
              <w:right w:w="20" w:type="dxa"/>
            </w:tcMar>
            <w:vAlign w:val="bottom"/>
          </w:tcPr>
          <w:p w14:paraId="1426F55D" w14:textId="77777777" w:rsidR="00A74A1E" w:rsidRDefault="00A74A1E">
            <w:pPr>
              <w:jc w:val="right"/>
              <w:rPr>
                <w:rFonts w:ascii="宋体"/>
              </w:rPr>
            </w:pPr>
          </w:p>
        </w:tc>
      </w:tr>
      <w:tr w:rsidR="00A74A1E" w14:paraId="1426F567" w14:textId="77777777">
        <w:tc>
          <w:tcPr>
            <w:tcW w:w="0" w:type="auto"/>
            <w:gridSpan w:val="3"/>
            <w:shd w:val="clear" w:color="auto" w:fill="FFFFFF"/>
            <w:tcMar>
              <w:top w:w="40" w:type="dxa"/>
              <w:left w:w="20" w:type="dxa"/>
              <w:bottom w:w="40" w:type="dxa"/>
              <w:right w:w="20" w:type="dxa"/>
            </w:tcMar>
            <w:vAlign w:val="bottom"/>
          </w:tcPr>
          <w:p w14:paraId="1426F55F" w14:textId="77777777" w:rsidR="00A74A1E" w:rsidRDefault="00807990">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tcPr>
          <w:p w14:paraId="1426F560"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61"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62"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63"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64" w14:textId="77777777" w:rsidR="00A74A1E" w:rsidRDefault="00A74A1E">
            <w:pPr>
              <w:rPr>
                <w:rFonts w:ascii="宋体"/>
              </w:rPr>
            </w:pPr>
          </w:p>
        </w:tc>
        <w:tc>
          <w:tcPr>
            <w:tcW w:w="0" w:type="auto"/>
            <w:gridSpan w:val="3"/>
            <w:shd w:val="clear" w:color="auto" w:fill="FFFFFF"/>
            <w:tcMar>
              <w:top w:w="0" w:type="dxa"/>
              <w:left w:w="20" w:type="dxa"/>
              <w:bottom w:w="0" w:type="dxa"/>
              <w:right w:w="20" w:type="dxa"/>
            </w:tcMar>
          </w:tcPr>
          <w:p w14:paraId="1426F565" w14:textId="77777777" w:rsidR="00A74A1E" w:rsidRDefault="00A74A1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426F566" w14:textId="77777777" w:rsidR="00A74A1E" w:rsidRDefault="00A74A1E">
            <w:pPr>
              <w:rPr>
                <w:rFonts w:ascii="宋体"/>
              </w:rPr>
            </w:pPr>
          </w:p>
        </w:tc>
      </w:tr>
      <w:tr w:rsidR="00A74A1E" w14:paraId="1426F578" w14:textId="77777777">
        <w:tc>
          <w:tcPr>
            <w:tcW w:w="0" w:type="auto"/>
            <w:gridSpan w:val="3"/>
            <w:shd w:val="clear" w:color="auto" w:fill="CCEEFF"/>
            <w:tcMar>
              <w:top w:w="40" w:type="dxa"/>
              <w:left w:w="360" w:type="dxa"/>
              <w:bottom w:w="40" w:type="dxa"/>
              <w:right w:w="20" w:type="dxa"/>
            </w:tcMar>
            <w:vAlign w:val="bottom"/>
          </w:tcPr>
          <w:p w14:paraId="1426F568" w14:textId="77777777" w:rsidR="00A74A1E" w:rsidRDefault="00807990">
            <w:pPr>
              <w:textAlignment w:val="bottom"/>
            </w:pPr>
            <w:r>
              <w:rPr>
                <w:rFonts w:ascii="Arial" w:eastAsia="宋体"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1426F56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56A" w14:textId="77777777" w:rsidR="00A74A1E" w:rsidRDefault="00807990">
            <w:pPr>
              <w:jc w:val="right"/>
              <w:textAlignment w:val="bottom"/>
            </w:pPr>
            <w:r>
              <w:rPr>
                <w:rFonts w:ascii="Arial" w:eastAsia="宋体" w:hAnsi="Arial" w:cs="Arial"/>
                <w:color w:val="000000"/>
                <w:sz w:val="20"/>
                <w:szCs w:val="20"/>
              </w:rPr>
              <w:t>0.33 </w:t>
            </w:r>
          </w:p>
        </w:tc>
        <w:tc>
          <w:tcPr>
            <w:tcW w:w="0" w:type="auto"/>
            <w:shd w:val="clear" w:color="auto" w:fill="CCEEFF"/>
            <w:tcMar>
              <w:top w:w="40" w:type="dxa"/>
              <w:left w:w="0" w:type="dxa"/>
              <w:bottom w:w="40" w:type="dxa"/>
              <w:right w:w="20" w:type="dxa"/>
            </w:tcMar>
            <w:vAlign w:val="bottom"/>
          </w:tcPr>
          <w:p w14:paraId="1426F56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6C"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56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56E" w14:textId="77777777" w:rsidR="00A74A1E" w:rsidRDefault="00807990">
            <w:pPr>
              <w:jc w:val="right"/>
              <w:textAlignment w:val="bottom"/>
            </w:pPr>
            <w:r>
              <w:rPr>
                <w:rFonts w:ascii="Arial" w:eastAsia="宋体" w:hAnsi="Arial" w:cs="Arial"/>
                <w:color w:val="000000"/>
                <w:sz w:val="20"/>
                <w:szCs w:val="20"/>
              </w:rPr>
              <w:t>0.11 </w:t>
            </w:r>
          </w:p>
        </w:tc>
        <w:tc>
          <w:tcPr>
            <w:tcW w:w="0" w:type="auto"/>
            <w:shd w:val="clear" w:color="auto" w:fill="CCEEFF"/>
            <w:tcMar>
              <w:top w:w="40" w:type="dxa"/>
              <w:left w:w="0" w:type="dxa"/>
              <w:bottom w:w="40" w:type="dxa"/>
              <w:right w:w="20" w:type="dxa"/>
            </w:tcMar>
            <w:vAlign w:val="bottom"/>
          </w:tcPr>
          <w:p w14:paraId="1426F56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70"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57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572" w14:textId="77777777" w:rsidR="00A74A1E" w:rsidRDefault="00807990">
            <w:pPr>
              <w:jc w:val="right"/>
              <w:textAlignment w:val="bottom"/>
            </w:pPr>
            <w:r>
              <w:rPr>
                <w:rFonts w:ascii="Arial" w:eastAsia="宋体" w:hAnsi="Arial" w:cs="Arial"/>
                <w:color w:val="000000"/>
                <w:sz w:val="20"/>
                <w:szCs w:val="20"/>
              </w:rPr>
              <w:t>0.60 </w:t>
            </w:r>
          </w:p>
        </w:tc>
        <w:tc>
          <w:tcPr>
            <w:tcW w:w="0" w:type="auto"/>
            <w:shd w:val="clear" w:color="auto" w:fill="CCEEFF"/>
            <w:tcMar>
              <w:top w:w="40" w:type="dxa"/>
              <w:left w:w="0" w:type="dxa"/>
              <w:bottom w:w="40" w:type="dxa"/>
              <w:right w:w="20" w:type="dxa"/>
            </w:tcMar>
            <w:vAlign w:val="bottom"/>
          </w:tcPr>
          <w:p w14:paraId="1426F57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74"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57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576" w14:textId="77777777" w:rsidR="00A74A1E" w:rsidRDefault="00807990">
            <w:pPr>
              <w:jc w:val="right"/>
              <w:textAlignment w:val="bottom"/>
            </w:pPr>
            <w:r>
              <w:rPr>
                <w:rFonts w:ascii="Arial" w:eastAsia="宋体" w:hAnsi="Arial" w:cs="Arial"/>
                <w:color w:val="000000"/>
                <w:sz w:val="20"/>
                <w:szCs w:val="20"/>
              </w:rPr>
              <w:t>0.16 </w:t>
            </w:r>
          </w:p>
        </w:tc>
        <w:tc>
          <w:tcPr>
            <w:tcW w:w="0" w:type="auto"/>
            <w:shd w:val="clear" w:color="auto" w:fill="CCEEFF"/>
            <w:tcMar>
              <w:top w:w="40" w:type="dxa"/>
              <w:left w:w="0" w:type="dxa"/>
              <w:bottom w:w="40" w:type="dxa"/>
              <w:right w:w="20" w:type="dxa"/>
            </w:tcMar>
            <w:vAlign w:val="bottom"/>
          </w:tcPr>
          <w:p w14:paraId="1426F577" w14:textId="77777777" w:rsidR="00A74A1E" w:rsidRDefault="00A74A1E">
            <w:pPr>
              <w:jc w:val="right"/>
              <w:rPr>
                <w:rFonts w:ascii="宋体"/>
              </w:rPr>
            </w:pPr>
          </w:p>
        </w:tc>
      </w:tr>
      <w:tr w:rsidR="00A74A1E" w14:paraId="1426F589" w14:textId="77777777">
        <w:tc>
          <w:tcPr>
            <w:tcW w:w="0" w:type="auto"/>
            <w:gridSpan w:val="3"/>
            <w:shd w:val="clear" w:color="auto" w:fill="FFFFFF"/>
            <w:tcMar>
              <w:top w:w="40" w:type="dxa"/>
              <w:left w:w="360" w:type="dxa"/>
              <w:bottom w:w="40" w:type="dxa"/>
              <w:right w:w="20" w:type="dxa"/>
            </w:tcMar>
            <w:vAlign w:val="bottom"/>
          </w:tcPr>
          <w:p w14:paraId="1426F579" w14:textId="77777777" w:rsidR="00A74A1E" w:rsidRDefault="00807990">
            <w:pPr>
              <w:textAlignment w:val="bottom"/>
            </w:pPr>
            <w:r>
              <w:rPr>
                <w:rFonts w:ascii="Arial" w:eastAsia="宋体"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1426F57A"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57B" w14:textId="77777777" w:rsidR="00A74A1E" w:rsidRDefault="00807990">
            <w:pPr>
              <w:jc w:val="right"/>
              <w:textAlignment w:val="bottom"/>
            </w:pPr>
            <w:r>
              <w:rPr>
                <w:rFonts w:ascii="Arial" w:eastAsia="宋体"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1426F57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7D"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57E"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57F" w14:textId="77777777" w:rsidR="00A74A1E" w:rsidRDefault="00807990">
            <w:pPr>
              <w:jc w:val="right"/>
              <w:textAlignment w:val="bottom"/>
            </w:pPr>
            <w:r>
              <w:rPr>
                <w:rFonts w:ascii="Arial" w:eastAsia="宋体" w:hAnsi="Arial" w:cs="Arial"/>
                <w:color w:val="000000"/>
                <w:sz w:val="20"/>
                <w:szCs w:val="20"/>
              </w:rPr>
              <w:t>0.11 </w:t>
            </w:r>
          </w:p>
        </w:tc>
        <w:tc>
          <w:tcPr>
            <w:tcW w:w="0" w:type="auto"/>
            <w:shd w:val="clear" w:color="auto" w:fill="FFFFFF"/>
            <w:tcMar>
              <w:top w:w="40" w:type="dxa"/>
              <w:left w:w="0" w:type="dxa"/>
              <w:bottom w:w="40" w:type="dxa"/>
              <w:right w:w="20" w:type="dxa"/>
            </w:tcMar>
            <w:vAlign w:val="bottom"/>
          </w:tcPr>
          <w:p w14:paraId="1426F58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81"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582"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583" w14:textId="77777777" w:rsidR="00A74A1E" w:rsidRDefault="00807990">
            <w:pPr>
              <w:jc w:val="right"/>
              <w:textAlignment w:val="bottom"/>
            </w:pPr>
            <w:r>
              <w:rPr>
                <w:rFonts w:ascii="Arial" w:eastAsia="宋体" w:hAnsi="Arial" w:cs="Arial"/>
                <w:color w:val="000000"/>
                <w:sz w:val="20"/>
                <w:szCs w:val="20"/>
              </w:rPr>
              <w:t>0.59 </w:t>
            </w:r>
          </w:p>
        </w:tc>
        <w:tc>
          <w:tcPr>
            <w:tcW w:w="0" w:type="auto"/>
            <w:shd w:val="clear" w:color="auto" w:fill="FFFFFF"/>
            <w:tcMar>
              <w:top w:w="40" w:type="dxa"/>
              <w:left w:w="0" w:type="dxa"/>
              <w:bottom w:w="40" w:type="dxa"/>
              <w:right w:w="20" w:type="dxa"/>
            </w:tcMar>
            <w:vAlign w:val="bottom"/>
          </w:tcPr>
          <w:p w14:paraId="1426F58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85"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586"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587" w14:textId="77777777" w:rsidR="00A74A1E" w:rsidRDefault="00807990">
            <w:pPr>
              <w:jc w:val="right"/>
              <w:textAlignment w:val="bottom"/>
            </w:pPr>
            <w:r>
              <w:rPr>
                <w:rFonts w:ascii="Arial" w:eastAsia="宋体" w:hAnsi="Arial" w:cs="Arial"/>
                <w:color w:val="000000"/>
                <w:sz w:val="20"/>
                <w:szCs w:val="20"/>
              </w:rPr>
              <w:t>0.15 </w:t>
            </w:r>
          </w:p>
        </w:tc>
        <w:tc>
          <w:tcPr>
            <w:tcW w:w="0" w:type="auto"/>
            <w:shd w:val="clear" w:color="auto" w:fill="FFFFFF"/>
            <w:tcMar>
              <w:top w:w="40" w:type="dxa"/>
              <w:left w:w="0" w:type="dxa"/>
              <w:bottom w:w="40" w:type="dxa"/>
              <w:right w:w="20" w:type="dxa"/>
            </w:tcMar>
            <w:vAlign w:val="bottom"/>
          </w:tcPr>
          <w:p w14:paraId="1426F588" w14:textId="77777777" w:rsidR="00A74A1E" w:rsidRDefault="00A74A1E">
            <w:pPr>
              <w:jc w:val="right"/>
              <w:rPr>
                <w:rFonts w:ascii="宋体"/>
              </w:rPr>
            </w:pPr>
          </w:p>
        </w:tc>
      </w:tr>
    </w:tbl>
    <w:p w14:paraId="1426F58A" w14:textId="77777777" w:rsidR="00A74A1E" w:rsidRDefault="00807990">
      <w:pPr>
        <w:spacing w:before="180"/>
        <w:ind w:firstLine="450"/>
        <w:jc w:val="both"/>
      </w:pPr>
      <w:r>
        <w:rPr>
          <w:rFonts w:ascii="Arial" w:eastAsia="宋体" w:hAnsi="Arial" w:cs="Arial"/>
          <w:color w:val="000000"/>
          <w:sz w:val="20"/>
          <w:szCs w:val="20"/>
        </w:rPr>
        <w:t>Potential shares from employee equity plans, and the impact from the conversion of the 2.125% Notes up to the conversion date, totaling 17 million and 20</w:t>
      </w:r>
      <w:r>
        <w:rPr>
          <w:rFonts w:ascii="Arial" w:eastAsia="宋体" w:hAnsi="Arial" w:cs="Arial"/>
          <w:color w:val="000000"/>
          <w:sz w:val="20"/>
          <w:szCs w:val="20"/>
        </w:rPr>
        <w:t xml:space="preserve"> million shares for the three and nine months ended September 26, 2020, respectively, were not included in the earnings per share calculation because their inclusion would have been anti-dilutive. </w:t>
      </w:r>
    </w:p>
    <w:p w14:paraId="1426F58B" w14:textId="77777777" w:rsidR="00A74A1E" w:rsidRDefault="00807990">
      <w:pPr>
        <w:spacing w:before="180"/>
        <w:ind w:firstLine="450"/>
        <w:jc w:val="both"/>
      </w:pPr>
      <w:r>
        <w:rPr>
          <w:rFonts w:ascii="Arial" w:eastAsia="宋体" w:hAnsi="Arial" w:cs="Arial"/>
          <w:color w:val="000000"/>
          <w:sz w:val="20"/>
          <w:szCs w:val="20"/>
        </w:rPr>
        <w:t>Potential shares from employee equity plans, the impact fr</w:t>
      </w:r>
      <w:r>
        <w:rPr>
          <w:rFonts w:ascii="Arial" w:eastAsia="宋体" w:hAnsi="Arial" w:cs="Arial"/>
          <w:color w:val="000000"/>
          <w:sz w:val="20"/>
          <w:szCs w:val="20"/>
        </w:rPr>
        <w:t>om the conversion of the 2.125% Notes up to the conversion date and the assumed conversion of the remaining outstanding 2.125% Notes, totaling 101 million and 102 million shares for the three and nine months ended September 28, 2019, respectively, were not</w:t>
      </w:r>
      <w:r>
        <w:rPr>
          <w:rFonts w:ascii="Arial" w:eastAsia="宋体" w:hAnsi="Arial" w:cs="Arial"/>
          <w:color w:val="000000"/>
          <w:sz w:val="20"/>
          <w:szCs w:val="20"/>
        </w:rPr>
        <w:t xml:space="preserve"> included in the earnings per share calculation because their inclusion would have been anti-dilutive.</w:t>
      </w:r>
    </w:p>
    <w:p w14:paraId="1426F58C" w14:textId="77777777" w:rsidR="00A74A1E" w:rsidRDefault="00A74A1E">
      <w:pPr>
        <w:ind w:firstLine="450"/>
        <w:jc w:val="both"/>
      </w:pPr>
    </w:p>
    <w:p w14:paraId="1426F58D" w14:textId="77777777" w:rsidR="00A74A1E" w:rsidRDefault="00807990">
      <w:r>
        <w:rPr>
          <w:rFonts w:ascii="Arial" w:eastAsia="宋体" w:hAnsi="Arial" w:cs="Arial"/>
          <w:b/>
          <w:bCs/>
          <w:color w:val="000000"/>
          <w:sz w:val="20"/>
          <w:szCs w:val="20"/>
        </w:rPr>
        <w:t>NOTE 8. Common Stock and Employee Equity Plans</w:t>
      </w:r>
    </w:p>
    <w:p w14:paraId="1426F58E" w14:textId="77777777" w:rsidR="00A74A1E" w:rsidRDefault="00807990">
      <w:pPr>
        <w:spacing w:before="120" w:after="120"/>
        <w:ind w:firstLine="450"/>
      </w:pPr>
      <w:r>
        <w:rPr>
          <w:rFonts w:ascii="Arial" w:eastAsia="宋体" w:hAnsi="Arial" w:cs="Arial"/>
          <w:color w:val="000000"/>
          <w:sz w:val="20"/>
          <w:szCs w:val="20"/>
        </w:rPr>
        <w:t>Shares of common stock outstanding were as follows:</w:t>
      </w:r>
    </w:p>
    <w:tbl>
      <w:tblPr>
        <w:tblW w:w="5000" w:type="pct"/>
        <w:tblCellMar>
          <w:top w:w="15" w:type="dxa"/>
          <w:left w:w="15" w:type="dxa"/>
          <w:bottom w:w="15" w:type="dxa"/>
          <w:right w:w="15" w:type="dxa"/>
        </w:tblCellMar>
        <w:tblLook w:val="04A0" w:firstRow="1" w:lastRow="0" w:firstColumn="1" w:lastColumn="0" w:noHBand="0" w:noVBand="1"/>
      </w:tblPr>
      <w:tblGrid>
        <w:gridCol w:w="54"/>
        <w:gridCol w:w="4159"/>
        <w:gridCol w:w="38"/>
        <w:gridCol w:w="75"/>
        <w:gridCol w:w="832"/>
        <w:gridCol w:w="37"/>
        <w:gridCol w:w="37"/>
        <w:gridCol w:w="36"/>
        <w:gridCol w:w="36"/>
        <w:gridCol w:w="75"/>
        <w:gridCol w:w="832"/>
        <w:gridCol w:w="36"/>
        <w:gridCol w:w="36"/>
        <w:gridCol w:w="36"/>
        <w:gridCol w:w="36"/>
        <w:gridCol w:w="75"/>
        <w:gridCol w:w="834"/>
        <w:gridCol w:w="37"/>
        <w:gridCol w:w="37"/>
        <w:gridCol w:w="36"/>
        <w:gridCol w:w="36"/>
        <w:gridCol w:w="75"/>
        <w:gridCol w:w="815"/>
        <w:gridCol w:w="36"/>
      </w:tblGrid>
      <w:tr w:rsidR="00A74A1E" w14:paraId="1426F5A7" w14:textId="77777777">
        <w:tc>
          <w:tcPr>
            <w:tcW w:w="50" w:type="pct"/>
            <w:shd w:val="clear" w:color="auto" w:fill="auto"/>
          </w:tcPr>
          <w:p w14:paraId="1426F58F" w14:textId="77777777" w:rsidR="00A74A1E" w:rsidRDefault="00A74A1E">
            <w:pPr>
              <w:rPr>
                <w:rFonts w:ascii="宋体"/>
              </w:rPr>
            </w:pPr>
          </w:p>
        </w:tc>
        <w:tc>
          <w:tcPr>
            <w:tcW w:w="2510" w:type="pct"/>
            <w:shd w:val="clear" w:color="auto" w:fill="auto"/>
          </w:tcPr>
          <w:p w14:paraId="1426F590" w14:textId="77777777" w:rsidR="00A74A1E" w:rsidRDefault="00A74A1E">
            <w:pPr>
              <w:rPr>
                <w:rFonts w:ascii="宋体"/>
              </w:rPr>
            </w:pPr>
          </w:p>
        </w:tc>
        <w:tc>
          <w:tcPr>
            <w:tcW w:w="5" w:type="pct"/>
            <w:shd w:val="clear" w:color="auto" w:fill="auto"/>
          </w:tcPr>
          <w:p w14:paraId="1426F591" w14:textId="77777777" w:rsidR="00A74A1E" w:rsidRDefault="00A74A1E">
            <w:pPr>
              <w:rPr>
                <w:rFonts w:ascii="宋体"/>
              </w:rPr>
            </w:pPr>
          </w:p>
        </w:tc>
        <w:tc>
          <w:tcPr>
            <w:tcW w:w="50" w:type="pct"/>
            <w:shd w:val="clear" w:color="auto" w:fill="auto"/>
          </w:tcPr>
          <w:p w14:paraId="1426F592" w14:textId="77777777" w:rsidR="00A74A1E" w:rsidRDefault="00A74A1E">
            <w:pPr>
              <w:rPr>
                <w:rFonts w:ascii="宋体"/>
              </w:rPr>
            </w:pPr>
          </w:p>
        </w:tc>
        <w:tc>
          <w:tcPr>
            <w:tcW w:w="529" w:type="pct"/>
            <w:shd w:val="clear" w:color="auto" w:fill="auto"/>
          </w:tcPr>
          <w:p w14:paraId="1426F593" w14:textId="77777777" w:rsidR="00A74A1E" w:rsidRDefault="00A74A1E">
            <w:pPr>
              <w:rPr>
                <w:rFonts w:ascii="宋体"/>
              </w:rPr>
            </w:pPr>
          </w:p>
        </w:tc>
        <w:tc>
          <w:tcPr>
            <w:tcW w:w="5" w:type="pct"/>
            <w:shd w:val="clear" w:color="auto" w:fill="auto"/>
          </w:tcPr>
          <w:p w14:paraId="1426F594" w14:textId="77777777" w:rsidR="00A74A1E" w:rsidRDefault="00A74A1E">
            <w:pPr>
              <w:rPr>
                <w:rFonts w:ascii="宋体"/>
              </w:rPr>
            </w:pPr>
          </w:p>
        </w:tc>
        <w:tc>
          <w:tcPr>
            <w:tcW w:w="5" w:type="pct"/>
            <w:shd w:val="clear" w:color="auto" w:fill="auto"/>
          </w:tcPr>
          <w:p w14:paraId="1426F595" w14:textId="77777777" w:rsidR="00A74A1E" w:rsidRDefault="00A74A1E">
            <w:pPr>
              <w:rPr>
                <w:rFonts w:ascii="宋体"/>
              </w:rPr>
            </w:pPr>
          </w:p>
        </w:tc>
        <w:tc>
          <w:tcPr>
            <w:tcW w:w="19" w:type="pct"/>
            <w:shd w:val="clear" w:color="auto" w:fill="auto"/>
          </w:tcPr>
          <w:p w14:paraId="1426F596" w14:textId="77777777" w:rsidR="00A74A1E" w:rsidRDefault="00A74A1E">
            <w:pPr>
              <w:rPr>
                <w:rFonts w:ascii="宋体"/>
              </w:rPr>
            </w:pPr>
          </w:p>
        </w:tc>
        <w:tc>
          <w:tcPr>
            <w:tcW w:w="5" w:type="pct"/>
            <w:shd w:val="clear" w:color="auto" w:fill="auto"/>
          </w:tcPr>
          <w:p w14:paraId="1426F597" w14:textId="77777777" w:rsidR="00A74A1E" w:rsidRDefault="00A74A1E">
            <w:pPr>
              <w:rPr>
                <w:rFonts w:ascii="宋体"/>
              </w:rPr>
            </w:pPr>
          </w:p>
        </w:tc>
        <w:tc>
          <w:tcPr>
            <w:tcW w:w="50" w:type="pct"/>
            <w:shd w:val="clear" w:color="auto" w:fill="auto"/>
          </w:tcPr>
          <w:p w14:paraId="1426F598" w14:textId="77777777" w:rsidR="00A74A1E" w:rsidRDefault="00A74A1E">
            <w:pPr>
              <w:rPr>
                <w:rFonts w:ascii="宋体"/>
              </w:rPr>
            </w:pPr>
          </w:p>
        </w:tc>
        <w:tc>
          <w:tcPr>
            <w:tcW w:w="529" w:type="pct"/>
            <w:shd w:val="clear" w:color="auto" w:fill="auto"/>
          </w:tcPr>
          <w:p w14:paraId="1426F599" w14:textId="77777777" w:rsidR="00A74A1E" w:rsidRDefault="00A74A1E">
            <w:pPr>
              <w:rPr>
                <w:rFonts w:ascii="宋体"/>
              </w:rPr>
            </w:pPr>
          </w:p>
        </w:tc>
        <w:tc>
          <w:tcPr>
            <w:tcW w:w="5" w:type="pct"/>
            <w:shd w:val="clear" w:color="auto" w:fill="auto"/>
          </w:tcPr>
          <w:p w14:paraId="1426F59A" w14:textId="77777777" w:rsidR="00A74A1E" w:rsidRDefault="00A74A1E">
            <w:pPr>
              <w:rPr>
                <w:rFonts w:ascii="宋体"/>
              </w:rPr>
            </w:pPr>
          </w:p>
        </w:tc>
        <w:tc>
          <w:tcPr>
            <w:tcW w:w="5" w:type="pct"/>
            <w:shd w:val="clear" w:color="auto" w:fill="auto"/>
          </w:tcPr>
          <w:p w14:paraId="1426F59B" w14:textId="77777777" w:rsidR="00A74A1E" w:rsidRDefault="00A74A1E">
            <w:pPr>
              <w:rPr>
                <w:rFonts w:ascii="宋体"/>
              </w:rPr>
            </w:pPr>
          </w:p>
        </w:tc>
        <w:tc>
          <w:tcPr>
            <w:tcW w:w="19" w:type="pct"/>
            <w:shd w:val="clear" w:color="auto" w:fill="auto"/>
          </w:tcPr>
          <w:p w14:paraId="1426F59C" w14:textId="77777777" w:rsidR="00A74A1E" w:rsidRDefault="00A74A1E">
            <w:pPr>
              <w:rPr>
                <w:rFonts w:ascii="宋体"/>
              </w:rPr>
            </w:pPr>
          </w:p>
        </w:tc>
        <w:tc>
          <w:tcPr>
            <w:tcW w:w="5" w:type="pct"/>
            <w:shd w:val="clear" w:color="auto" w:fill="auto"/>
          </w:tcPr>
          <w:p w14:paraId="1426F59D" w14:textId="77777777" w:rsidR="00A74A1E" w:rsidRDefault="00A74A1E">
            <w:pPr>
              <w:rPr>
                <w:rFonts w:ascii="宋体"/>
              </w:rPr>
            </w:pPr>
          </w:p>
        </w:tc>
        <w:tc>
          <w:tcPr>
            <w:tcW w:w="50" w:type="pct"/>
            <w:shd w:val="clear" w:color="auto" w:fill="auto"/>
          </w:tcPr>
          <w:p w14:paraId="1426F59E" w14:textId="77777777" w:rsidR="00A74A1E" w:rsidRDefault="00A74A1E">
            <w:pPr>
              <w:rPr>
                <w:rFonts w:ascii="宋体"/>
              </w:rPr>
            </w:pPr>
          </w:p>
        </w:tc>
        <w:tc>
          <w:tcPr>
            <w:tcW w:w="529" w:type="pct"/>
            <w:shd w:val="clear" w:color="auto" w:fill="auto"/>
          </w:tcPr>
          <w:p w14:paraId="1426F59F" w14:textId="77777777" w:rsidR="00A74A1E" w:rsidRDefault="00A74A1E">
            <w:pPr>
              <w:rPr>
                <w:rFonts w:ascii="宋体"/>
              </w:rPr>
            </w:pPr>
          </w:p>
        </w:tc>
        <w:tc>
          <w:tcPr>
            <w:tcW w:w="5" w:type="pct"/>
            <w:shd w:val="clear" w:color="auto" w:fill="auto"/>
          </w:tcPr>
          <w:p w14:paraId="1426F5A0" w14:textId="77777777" w:rsidR="00A74A1E" w:rsidRDefault="00A74A1E">
            <w:pPr>
              <w:rPr>
                <w:rFonts w:ascii="宋体"/>
              </w:rPr>
            </w:pPr>
          </w:p>
        </w:tc>
        <w:tc>
          <w:tcPr>
            <w:tcW w:w="5" w:type="pct"/>
            <w:shd w:val="clear" w:color="auto" w:fill="auto"/>
          </w:tcPr>
          <w:p w14:paraId="1426F5A1" w14:textId="77777777" w:rsidR="00A74A1E" w:rsidRDefault="00A74A1E">
            <w:pPr>
              <w:rPr>
                <w:rFonts w:ascii="宋体"/>
              </w:rPr>
            </w:pPr>
          </w:p>
        </w:tc>
        <w:tc>
          <w:tcPr>
            <w:tcW w:w="26" w:type="pct"/>
            <w:shd w:val="clear" w:color="auto" w:fill="auto"/>
          </w:tcPr>
          <w:p w14:paraId="1426F5A2" w14:textId="77777777" w:rsidR="00A74A1E" w:rsidRDefault="00A74A1E">
            <w:pPr>
              <w:rPr>
                <w:rFonts w:ascii="宋体"/>
              </w:rPr>
            </w:pPr>
          </w:p>
        </w:tc>
        <w:tc>
          <w:tcPr>
            <w:tcW w:w="5" w:type="pct"/>
            <w:shd w:val="clear" w:color="auto" w:fill="auto"/>
          </w:tcPr>
          <w:p w14:paraId="1426F5A3" w14:textId="77777777" w:rsidR="00A74A1E" w:rsidRDefault="00A74A1E">
            <w:pPr>
              <w:rPr>
                <w:rFonts w:ascii="宋体"/>
              </w:rPr>
            </w:pPr>
          </w:p>
        </w:tc>
        <w:tc>
          <w:tcPr>
            <w:tcW w:w="50" w:type="pct"/>
            <w:shd w:val="clear" w:color="auto" w:fill="auto"/>
          </w:tcPr>
          <w:p w14:paraId="1426F5A4" w14:textId="77777777" w:rsidR="00A74A1E" w:rsidRDefault="00A74A1E">
            <w:pPr>
              <w:rPr>
                <w:rFonts w:ascii="宋体"/>
              </w:rPr>
            </w:pPr>
          </w:p>
        </w:tc>
        <w:tc>
          <w:tcPr>
            <w:tcW w:w="530" w:type="pct"/>
            <w:shd w:val="clear" w:color="auto" w:fill="auto"/>
          </w:tcPr>
          <w:p w14:paraId="1426F5A5" w14:textId="77777777" w:rsidR="00A74A1E" w:rsidRDefault="00A74A1E">
            <w:pPr>
              <w:rPr>
                <w:rFonts w:ascii="宋体"/>
              </w:rPr>
            </w:pPr>
          </w:p>
        </w:tc>
        <w:tc>
          <w:tcPr>
            <w:tcW w:w="5" w:type="pct"/>
            <w:shd w:val="clear" w:color="auto" w:fill="auto"/>
          </w:tcPr>
          <w:p w14:paraId="1426F5A6" w14:textId="77777777" w:rsidR="00A74A1E" w:rsidRDefault="00A74A1E">
            <w:pPr>
              <w:rPr>
                <w:rFonts w:ascii="宋体"/>
              </w:rPr>
            </w:pPr>
          </w:p>
        </w:tc>
      </w:tr>
      <w:tr w:rsidR="00A74A1E" w14:paraId="1426F5AC" w14:textId="77777777">
        <w:tc>
          <w:tcPr>
            <w:tcW w:w="0" w:type="auto"/>
            <w:gridSpan w:val="3"/>
            <w:shd w:val="clear" w:color="auto" w:fill="auto"/>
            <w:tcMar>
              <w:top w:w="0" w:type="dxa"/>
              <w:left w:w="20" w:type="dxa"/>
              <w:bottom w:w="0" w:type="dxa"/>
              <w:right w:w="20" w:type="dxa"/>
            </w:tcMar>
          </w:tcPr>
          <w:p w14:paraId="1426F5A8"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5A9"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5AA"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5AB"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5B5" w14:textId="77777777">
        <w:tc>
          <w:tcPr>
            <w:tcW w:w="0" w:type="auto"/>
            <w:gridSpan w:val="3"/>
            <w:shd w:val="clear" w:color="auto" w:fill="auto"/>
            <w:tcMar>
              <w:top w:w="0" w:type="dxa"/>
              <w:left w:w="20" w:type="dxa"/>
              <w:bottom w:w="0" w:type="dxa"/>
              <w:right w:w="20" w:type="dxa"/>
            </w:tcMar>
          </w:tcPr>
          <w:p w14:paraId="1426F5AD"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5AE"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5AF"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5B0"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5B1"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5B2"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5B3"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5B4"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5B8" w14:textId="77777777">
        <w:tc>
          <w:tcPr>
            <w:tcW w:w="0" w:type="auto"/>
            <w:gridSpan w:val="3"/>
            <w:shd w:val="clear" w:color="auto" w:fill="FFFFFF"/>
            <w:tcMar>
              <w:top w:w="0" w:type="dxa"/>
              <w:left w:w="20" w:type="dxa"/>
              <w:bottom w:w="0" w:type="dxa"/>
              <w:right w:w="20" w:type="dxa"/>
            </w:tcMar>
          </w:tcPr>
          <w:p w14:paraId="1426F5B6" w14:textId="77777777" w:rsidR="00A74A1E" w:rsidRDefault="00A74A1E">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tcPr>
          <w:p w14:paraId="1426F5B7" w14:textId="77777777" w:rsidR="00A74A1E" w:rsidRDefault="00807990">
            <w:pPr>
              <w:jc w:val="center"/>
              <w:textAlignment w:val="top"/>
            </w:pPr>
            <w:r>
              <w:rPr>
                <w:rFonts w:ascii="Arial" w:eastAsia="宋体" w:hAnsi="Arial" w:cs="Arial"/>
                <w:b/>
                <w:bCs/>
                <w:color w:val="000000"/>
                <w:sz w:val="16"/>
                <w:szCs w:val="16"/>
              </w:rPr>
              <w:t>(In millions)</w:t>
            </w:r>
          </w:p>
        </w:tc>
      </w:tr>
      <w:tr w:rsidR="00A74A1E" w14:paraId="1426F5C5" w14:textId="77777777">
        <w:tc>
          <w:tcPr>
            <w:tcW w:w="0" w:type="auto"/>
            <w:gridSpan w:val="3"/>
            <w:shd w:val="clear" w:color="auto" w:fill="FFFFFF"/>
            <w:tcMar>
              <w:top w:w="40" w:type="dxa"/>
              <w:left w:w="20" w:type="dxa"/>
              <w:bottom w:w="40" w:type="dxa"/>
              <w:right w:w="20" w:type="dxa"/>
            </w:tcMar>
            <w:vAlign w:val="bottom"/>
          </w:tcPr>
          <w:p w14:paraId="1426F5B9" w14:textId="77777777" w:rsidR="00A74A1E" w:rsidRDefault="00807990">
            <w:pPr>
              <w:textAlignment w:val="bottom"/>
            </w:pPr>
            <w:r>
              <w:rPr>
                <w:rFonts w:ascii="Arial" w:eastAsia="宋体" w:hAnsi="Arial" w:cs="Arial"/>
                <w:color w:val="000000"/>
                <w:sz w:val="20"/>
                <w:szCs w:val="20"/>
              </w:rPr>
              <w:t>Balance, beginning of period</w:t>
            </w:r>
          </w:p>
        </w:tc>
        <w:tc>
          <w:tcPr>
            <w:tcW w:w="0" w:type="auto"/>
            <w:gridSpan w:val="2"/>
            <w:shd w:val="clear" w:color="auto" w:fill="FFFFFF"/>
            <w:tcMar>
              <w:top w:w="40" w:type="dxa"/>
              <w:left w:w="20" w:type="dxa"/>
              <w:bottom w:w="40" w:type="dxa"/>
              <w:right w:w="0" w:type="dxa"/>
            </w:tcMar>
            <w:vAlign w:val="bottom"/>
          </w:tcPr>
          <w:p w14:paraId="1426F5BA" w14:textId="77777777" w:rsidR="00A74A1E" w:rsidRDefault="00807990">
            <w:pPr>
              <w:jc w:val="right"/>
              <w:textAlignment w:val="bottom"/>
            </w:pPr>
            <w:r>
              <w:rPr>
                <w:rFonts w:ascii="Arial" w:eastAsia="宋体" w:hAnsi="Arial" w:cs="Arial"/>
                <w:color w:val="000000"/>
                <w:sz w:val="20"/>
                <w:szCs w:val="20"/>
              </w:rPr>
              <w:t>1,174 </w:t>
            </w:r>
          </w:p>
        </w:tc>
        <w:tc>
          <w:tcPr>
            <w:tcW w:w="0" w:type="auto"/>
            <w:shd w:val="clear" w:color="auto" w:fill="FFFFFF"/>
            <w:tcMar>
              <w:top w:w="40" w:type="dxa"/>
              <w:left w:w="0" w:type="dxa"/>
              <w:bottom w:w="40" w:type="dxa"/>
              <w:right w:w="20" w:type="dxa"/>
            </w:tcMar>
            <w:vAlign w:val="bottom"/>
          </w:tcPr>
          <w:p w14:paraId="1426F5B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B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BD" w14:textId="77777777" w:rsidR="00A74A1E" w:rsidRDefault="00807990">
            <w:pPr>
              <w:jc w:val="right"/>
              <w:textAlignment w:val="bottom"/>
            </w:pPr>
            <w:r>
              <w:rPr>
                <w:rFonts w:ascii="Arial" w:eastAsia="宋体" w:hAnsi="Arial" w:cs="Arial"/>
                <w:color w:val="000000"/>
                <w:sz w:val="20"/>
                <w:szCs w:val="20"/>
              </w:rPr>
              <w:t>1,086 </w:t>
            </w:r>
          </w:p>
        </w:tc>
        <w:tc>
          <w:tcPr>
            <w:tcW w:w="0" w:type="auto"/>
            <w:shd w:val="clear" w:color="auto" w:fill="FFFFFF"/>
            <w:tcMar>
              <w:top w:w="40" w:type="dxa"/>
              <w:left w:w="0" w:type="dxa"/>
              <w:bottom w:w="40" w:type="dxa"/>
              <w:right w:w="20" w:type="dxa"/>
            </w:tcMar>
            <w:vAlign w:val="bottom"/>
          </w:tcPr>
          <w:p w14:paraId="1426F5B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B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C0" w14:textId="77777777" w:rsidR="00A74A1E" w:rsidRDefault="00807990">
            <w:pPr>
              <w:jc w:val="right"/>
              <w:textAlignment w:val="bottom"/>
            </w:pPr>
            <w:r>
              <w:rPr>
                <w:rFonts w:ascii="Arial" w:eastAsia="宋体" w:hAnsi="Arial" w:cs="Arial"/>
                <w:color w:val="000000"/>
                <w:sz w:val="20"/>
                <w:szCs w:val="20"/>
              </w:rPr>
              <w:t>1,170 </w:t>
            </w:r>
          </w:p>
        </w:tc>
        <w:tc>
          <w:tcPr>
            <w:tcW w:w="0" w:type="auto"/>
            <w:shd w:val="clear" w:color="auto" w:fill="FFFFFF"/>
            <w:tcMar>
              <w:top w:w="40" w:type="dxa"/>
              <w:left w:w="0" w:type="dxa"/>
              <w:bottom w:w="40" w:type="dxa"/>
              <w:right w:w="20" w:type="dxa"/>
            </w:tcMar>
            <w:vAlign w:val="bottom"/>
          </w:tcPr>
          <w:p w14:paraId="1426F5C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C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C3" w14:textId="77777777" w:rsidR="00A74A1E" w:rsidRDefault="00807990">
            <w:pPr>
              <w:jc w:val="right"/>
              <w:textAlignment w:val="bottom"/>
            </w:pPr>
            <w:r>
              <w:rPr>
                <w:rFonts w:ascii="Arial" w:eastAsia="宋体" w:hAnsi="Arial" w:cs="Arial"/>
                <w:color w:val="000000"/>
                <w:sz w:val="20"/>
                <w:szCs w:val="20"/>
              </w:rPr>
              <w:t>1,005 </w:t>
            </w:r>
          </w:p>
        </w:tc>
        <w:tc>
          <w:tcPr>
            <w:tcW w:w="0" w:type="auto"/>
            <w:shd w:val="clear" w:color="auto" w:fill="FFFFFF"/>
            <w:tcMar>
              <w:top w:w="40" w:type="dxa"/>
              <w:left w:w="0" w:type="dxa"/>
              <w:bottom w:w="40" w:type="dxa"/>
              <w:right w:w="20" w:type="dxa"/>
            </w:tcMar>
            <w:vAlign w:val="bottom"/>
          </w:tcPr>
          <w:p w14:paraId="1426F5C4" w14:textId="77777777" w:rsidR="00A74A1E" w:rsidRDefault="00A74A1E">
            <w:pPr>
              <w:jc w:val="right"/>
              <w:rPr>
                <w:rFonts w:ascii="宋体"/>
              </w:rPr>
            </w:pPr>
          </w:p>
        </w:tc>
      </w:tr>
      <w:tr w:rsidR="00A74A1E" w14:paraId="1426F5D2" w14:textId="77777777">
        <w:tc>
          <w:tcPr>
            <w:tcW w:w="0" w:type="auto"/>
            <w:gridSpan w:val="3"/>
            <w:shd w:val="clear" w:color="auto" w:fill="CCEEFF"/>
            <w:tcMar>
              <w:top w:w="40" w:type="dxa"/>
              <w:left w:w="270" w:type="dxa"/>
              <w:bottom w:w="40" w:type="dxa"/>
              <w:right w:w="20" w:type="dxa"/>
            </w:tcMar>
            <w:vAlign w:val="bottom"/>
          </w:tcPr>
          <w:p w14:paraId="1426F5C6" w14:textId="77777777" w:rsidR="00A74A1E" w:rsidRDefault="00807990">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1426F5C7" w14:textId="77777777" w:rsidR="00A74A1E" w:rsidRDefault="00807990">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1426F5C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C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CA"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426F5C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C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CD" w14:textId="77777777" w:rsidR="00A74A1E" w:rsidRDefault="00807990">
            <w:pPr>
              <w:jc w:val="right"/>
              <w:textAlignment w:val="bottom"/>
            </w:pPr>
            <w:r>
              <w:rPr>
                <w:rFonts w:ascii="Arial" w:eastAsia="宋体" w:hAnsi="Arial" w:cs="Arial"/>
                <w:color w:val="000000"/>
                <w:sz w:val="20"/>
                <w:szCs w:val="20"/>
              </w:rPr>
              <w:t>13 </w:t>
            </w:r>
          </w:p>
        </w:tc>
        <w:tc>
          <w:tcPr>
            <w:tcW w:w="0" w:type="auto"/>
            <w:shd w:val="clear" w:color="auto" w:fill="CCEEFF"/>
            <w:tcMar>
              <w:top w:w="40" w:type="dxa"/>
              <w:left w:w="0" w:type="dxa"/>
              <w:bottom w:w="40" w:type="dxa"/>
              <w:right w:w="20" w:type="dxa"/>
            </w:tcMar>
            <w:vAlign w:val="bottom"/>
          </w:tcPr>
          <w:p w14:paraId="1426F5C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C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D0" w14:textId="77777777" w:rsidR="00A74A1E" w:rsidRDefault="00807990">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1426F5D1" w14:textId="77777777" w:rsidR="00A74A1E" w:rsidRDefault="00A74A1E">
            <w:pPr>
              <w:jc w:val="right"/>
              <w:rPr>
                <w:rFonts w:ascii="宋体"/>
              </w:rPr>
            </w:pPr>
          </w:p>
        </w:tc>
      </w:tr>
      <w:tr w:rsidR="00A74A1E" w14:paraId="1426F5DF" w14:textId="77777777">
        <w:tc>
          <w:tcPr>
            <w:tcW w:w="0" w:type="auto"/>
            <w:gridSpan w:val="3"/>
            <w:shd w:val="clear" w:color="auto" w:fill="FFFFFF"/>
            <w:tcMar>
              <w:top w:w="40" w:type="dxa"/>
              <w:left w:w="270" w:type="dxa"/>
              <w:bottom w:w="40" w:type="dxa"/>
              <w:right w:w="20" w:type="dxa"/>
            </w:tcMar>
            <w:vAlign w:val="bottom"/>
          </w:tcPr>
          <w:p w14:paraId="1426F5D3" w14:textId="77777777" w:rsidR="00A74A1E" w:rsidRDefault="00807990">
            <w:pPr>
              <w:textAlignment w:val="bottom"/>
            </w:pPr>
            <w:r>
              <w:rPr>
                <w:rFonts w:ascii="Arial" w:eastAsia="宋体" w:hAnsi="Arial" w:cs="Arial"/>
                <w:color w:val="000000"/>
                <w:sz w:val="20"/>
                <w:szCs w:val="20"/>
              </w:rPr>
              <w:t>Common stock repurchases for tax withholding on equity awards</w:t>
            </w:r>
          </w:p>
        </w:tc>
        <w:tc>
          <w:tcPr>
            <w:tcW w:w="0" w:type="auto"/>
            <w:gridSpan w:val="2"/>
            <w:shd w:val="clear" w:color="auto" w:fill="FFFFFF"/>
            <w:tcMar>
              <w:top w:w="40" w:type="dxa"/>
              <w:left w:w="20" w:type="dxa"/>
              <w:bottom w:w="40" w:type="dxa"/>
              <w:right w:w="0" w:type="dxa"/>
            </w:tcMar>
            <w:vAlign w:val="bottom"/>
          </w:tcPr>
          <w:p w14:paraId="1426F5D4"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426F5D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D6"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D7"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D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D9"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DA" w14:textId="77777777" w:rsidR="00A74A1E" w:rsidRDefault="00807990">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426F5D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D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DD"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426F5DE" w14:textId="77777777" w:rsidR="00A74A1E" w:rsidRDefault="00A74A1E">
            <w:pPr>
              <w:jc w:val="right"/>
              <w:rPr>
                <w:rFonts w:ascii="宋体"/>
              </w:rPr>
            </w:pPr>
          </w:p>
        </w:tc>
      </w:tr>
      <w:tr w:rsidR="00A74A1E" w14:paraId="1426F5EC" w14:textId="77777777">
        <w:tc>
          <w:tcPr>
            <w:tcW w:w="0" w:type="auto"/>
            <w:gridSpan w:val="3"/>
            <w:shd w:val="clear" w:color="auto" w:fill="CCEEFF"/>
            <w:tcMar>
              <w:top w:w="40" w:type="dxa"/>
              <w:left w:w="270" w:type="dxa"/>
              <w:bottom w:w="40" w:type="dxa"/>
              <w:right w:w="20" w:type="dxa"/>
            </w:tcMar>
            <w:vAlign w:val="bottom"/>
          </w:tcPr>
          <w:p w14:paraId="1426F5E0" w14:textId="77777777" w:rsidR="00A74A1E" w:rsidRDefault="00807990">
            <w:pPr>
              <w:textAlignment w:val="bottom"/>
            </w:pPr>
            <w:r>
              <w:rPr>
                <w:rFonts w:ascii="Arial" w:eastAsia="宋体" w:hAnsi="Arial" w:cs="Arial"/>
                <w:color w:val="000000"/>
                <w:sz w:val="20"/>
                <w:szCs w:val="20"/>
              </w:rPr>
              <w:t>Issuance of common stock upon warrant exercise</w:t>
            </w:r>
          </w:p>
        </w:tc>
        <w:tc>
          <w:tcPr>
            <w:tcW w:w="0" w:type="auto"/>
            <w:gridSpan w:val="2"/>
            <w:shd w:val="clear" w:color="auto" w:fill="CCEEFF"/>
            <w:tcMar>
              <w:top w:w="40" w:type="dxa"/>
              <w:left w:w="20" w:type="dxa"/>
              <w:bottom w:w="40" w:type="dxa"/>
              <w:right w:w="0" w:type="dxa"/>
            </w:tcMar>
            <w:vAlign w:val="bottom"/>
          </w:tcPr>
          <w:p w14:paraId="1426F5E1"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5E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E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E4"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5E5"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E6"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E7"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5E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E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EA" w14:textId="77777777" w:rsidR="00A74A1E" w:rsidRDefault="00807990">
            <w:pPr>
              <w:jc w:val="right"/>
              <w:textAlignment w:val="bottom"/>
            </w:pPr>
            <w:r>
              <w:rPr>
                <w:rFonts w:ascii="Arial" w:eastAsia="宋体" w:hAnsi="Arial" w:cs="Arial"/>
                <w:color w:val="000000"/>
                <w:sz w:val="20"/>
                <w:szCs w:val="20"/>
              </w:rPr>
              <w:t>75 </w:t>
            </w:r>
          </w:p>
        </w:tc>
        <w:tc>
          <w:tcPr>
            <w:tcW w:w="0" w:type="auto"/>
            <w:shd w:val="clear" w:color="auto" w:fill="CCEEFF"/>
            <w:tcMar>
              <w:top w:w="40" w:type="dxa"/>
              <w:left w:w="0" w:type="dxa"/>
              <w:bottom w:w="40" w:type="dxa"/>
              <w:right w:w="20" w:type="dxa"/>
            </w:tcMar>
            <w:vAlign w:val="bottom"/>
          </w:tcPr>
          <w:p w14:paraId="1426F5EB" w14:textId="77777777" w:rsidR="00A74A1E" w:rsidRDefault="00A74A1E">
            <w:pPr>
              <w:jc w:val="right"/>
              <w:rPr>
                <w:rFonts w:ascii="宋体"/>
              </w:rPr>
            </w:pPr>
          </w:p>
        </w:tc>
      </w:tr>
      <w:tr w:rsidR="00A74A1E" w14:paraId="1426F5F9" w14:textId="77777777">
        <w:tc>
          <w:tcPr>
            <w:tcW w:w="0" w:type="auto"/>
            <w:gridSpan w:val="3"/>
            <w:shd w:val="clear" w:color="auto" w:fill="FFFFFF"/>
            <w:tcMar>
              <w:top w:w="40" w:type="dxa"/>
              <w:left w:w="270" w:type="dxa"/>
              <w:bottom w:w="40" w:type="dxa"/>
              <w:right w:w="20" w:type="dxa"/>
            </w:tcMar>
            <w:vAlign w:val="bottom"/>
          </w:tcPr>
          <w:p w14:paraId="1426F5ED" w14:textId="77777777" w:rsidR="00A74A1E" w:rsidRDefault="00807990">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1426F5EE" w14:textId="77777777" w:rsidR="00A74A1E" w:rsidRDefault="00807990">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1426F5E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F0"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F1" w14:textId="77777777" w:rsidR="00A74A1E" w:rsidRDefault="00807990">
            <w:pPr>
              <w:jc w:val="right"/>
              <w:textAlignment w:val="bottom"/>
            </w:pPr>
            <w:r>
              <w:rPr>
                <w:rFonts w:ascii="Arial" w:eastAsia="宋体" w:hAnsi="Arial" w:cs="Arial"/>
                <w:color w:val="000000"/>
                <w:sz w:val="20"/>
                <w:szCs w:val="20"/>
              </w:rPr>
              <w:t>16 </w:t>
            </w:r>
          </w:p>
        </w:tc>
        <w:tc>
          <w:tcPr>
            <w:tcW w:w="0" w:type="auto"/>
            <w:shd w:val="clear" w:color="auto" w:fill="FFFFFF"/>
            <w:tcMar>
              <w:top w:w="40" w:type="dxa"/>
              <w:left w:w="0" w:type="dxa"/>
              <w:bottom w:w="40" w:type="dxa"/>
              <w:right w:w="20" w:type="dxa"/>
            </w:tcMar>
            <w:vAlign w:val="bottom"/>
          </w:tcPr>
          <w:p w14:paraId="1426F5F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F3"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F4" w14:textId="77777777" w:rsidR="00A74A1E" w:rsidRDefault="00807990">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1426F5F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5F6"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5F7" w14:textId="77777777" w:rsidR="00A74A1E" w:rsidRDefault="00807990">
            <w:pPr>
              <w:jc w:val="right"/>
              <w:textAlignment w:val="bottom"/>
            </w:pPr>
            <w:r>
              <w:rPr>
                <w:rFonts w:ascii="Arial" w:eastAsia="宋体" w:hAnsi="Arial" w:cs="Arial"/>
                <w:color w:val="000000"/>
                <w:sz w:val="20"/>
                <w:szCs w:val="20"/>
              </w:rPr>
              <w:t>16 </w:t>
            </w:r>
          </w:p>
        </w:tc>
        <w:tc>
          <w:tcPr>
            <w:tcW w:w="0" w:type="auto"/>
            <w:shd w:val="clear" w:color="auto" w:fill="FFFFFF"/>
            <w:tcMar>
              <w:top w:w="40" w:type="dxa"/>
              <w:left w:w="0" w:type="dxa"/>
              <w:bottom w:w="40" w:type="dxa"/>
              <w:right w:w="20" w:type="dxa"/>
            </w:tcMar>
            <w:vAlign w:val="bottom"/>
          </w:tcPr>
          <w:p w14:paraId="1426F5F8" w14:textId="77777777" w:rsidR="00A74A1E" w:rsidRDefault="00A74A1E">
            <w:pPr>
              <w:jc w:val="right"/>
              <w:rPr>
                <w:rFonts w:ascii="宋体"/>
              </w:rPr>
            </w:pPr>
          </w:p>
        </w:tc>
      </w:tr>
      <w:tr w:rsidR="00A74A1E" w14:paraId="1426F606" w14:textId="77777777">
        <w:tc>
          <w:tcPr>
            <w:tcW w:w="0" w:type="auto"/>
            <w:gridSpan w:val="3"/>
            <w:shd w:val="clear" w:color="auto" w:fill="CCEEFF"/>
            <w:tcMar>
              <w:top w:w="40" w:type="dxa"/>
              <w:left w:w="270" w:type="dxa"/>
              <w:bottom w:w="40" w:type="dxa"/>
              <w:right w:w="20" w:type="dxa"/>
            </w:tcMar>
            <w:vAlign w:val="bottom"/>
          </w:tcPr>
          <w:p w14:paraId="1426F5FA" w14:textId="77777777" w:rsidR="00A74A1E" w:rsidRDefault="00807990">
            <w:pPr>
              <w:textAlignment w:val="bottom"/>
            </w:pPr>
            <w:r>
              <w:rPr>
                <w:rFonts w:ascii="Arial" w:eastAsia="宋体" w:hAnsi="Arial" w:cs="Arial"/>
                <w:color w:val="000000"/>
                <w:sz w:val="20"/>
                <w:szCs w:val="20"/>
              </w:rPr>
              <w:t>Issuance of treasury stock to partially settle debt</w:t>
            </w:r>
          </w:p>
        </w:tc>
        <w:tc>
          <w:tcPr>
            <w:tcW w:w="0" w:type="auto"/>
            <w:gridSpan w:val="2"/>
            <w:shd w:val="clear" w:color="auto" w:fill="CCEEFF"/>
            <w:tcMar>
              <w:top w:w="40" w:type="dxa"/>
              <w:left w:w="20" w:type="dxa"/>
              <w:bottom w:w="40" w:type="dxa"/>
              <w:right w:w="0" w:type="dxa"/>
            </w:tcMar>
            <w:vAlign w:val="bottom"/>
          </w:tcPr>
          <w:p w14:paraId="1426F5FB"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5FC"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5FD"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5FE"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5F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00"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01"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60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03"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04"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F605" w14:textId="77777777" w:rsidR="00A74A1E" w:rsidRDefault="00A74A1E">
            <w:pPr>
              <w:jc w:val="right"/>
              <w:rPr>
                <w:rFonts w:ascii="宋体"/>
              </w:rPr>
            </w:pPr>
          </w:p>
        </w:tc>
      </w:tr>
      <w:tr w:rsidR="00A74A1E" w14:paraId="1426F613" w14:textId="77777777">
        <w:tc>
          <w:tcPr>
            <w:tcW w:w="0" w:type="auto"/>
            <w:gridSpan w:val="3"/>
            <w:shd w:val="clear" w:color="auto" w:fill="FFFFFF"/>
            <w:tcMar>
              <w:top w:w="40" w:type="dxa"/>
              <w:left w:w="20" w:type="dxa"/>
              <w:bottom w:w="40" w:type="dxa"/>
              <w:right w:w="20" w:type="dxa"/>
            </w:tcMar>
            <w:vAlign w:val="bottom"/>
          </w:tcPr>
          <w:p w14:paraId="1426F607" w14:textId="77777777" w:rsidR="00A74A1E" w:rsidRDefault="00807990">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08" w14:textId="77777777" w:rsidR="00A74A1E" w:rsidRDefault="00807990">
            <w:pPr>
              <w:jc w:val="right"/>
              <w:textAlignment w:val="bottom"/>
            </w:pPr>
            <w:r>
              <w:rPr>
                <w:rFonts w:ascii="Arial" w:eastAsia="宋体" w:hAnsi="Arial" w:cs="Arial"/>
                <w:color w:val="000000"/>
                <w:sz w:val="20"/>
                <w:szCs w:val="20"/>
              </w:rPr>
              <w:t>1,202 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0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0A" w14:textId="77777777" w:rsidR="00A74A1E" w:rsidRDefault="00A74A1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0B" w14:textId="77777777" w:rsidR="00A74A1E" w:rsidRDefault="00807990">
            <w:pPr>
              <w:jc w:val="right"/>
              <w:textAlignment w:val="bottom"/>
            </w:pPr>
            <w:r>
              <w:rPr>
                <w:rFonts w:ascii="Arial" w:eastAsia="宋体" w:hAnsi="Arial" w:cs="Arial"/>
                <w:color w:val="000000"/>
                <w:sz w:val="20"/>
                <w:szCs w:val="20"/>
              </w:rPr>
              <w:t>1,114 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0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0D" w14:textId="77777777" w:rsidR="00A74A1E" w:rsidRDefault="00A74A1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0E" w14:textId="77777777" w:rsidR="00A74A1E" w:rsidRDefault="00807990">
            <w:pPr>
              <w:jc w:val="right"/>
              <w:textAlignment w:val="bottom"/>
            </w:pPr>
            <w:r>
              <w:rPr>
                <w:rFonts w:ascii="Arial" w:eastAsia="宋体" w:hAnsi="Arial" w:cs="Arial"/>
                <w:color w:val="000000"/>
                <w:sz w:val="20"/>
                <w:szCs w:val="20"/>
              </w:rPr>
              <w:t>1,202 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0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10" w14:textId="77777777" w:rsidR="00A74A1E" w:rsidRDefault="00A74A1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11" w14:textId="77777777" w:rsidR="00A74A1E" w:rsidRDefault="00807990">
            <w:pPr>
              <w:jc w:val="right"/>
              <w:textAlignment w:val="bottom"/>
            </w:pPr>
            <w:r>
              <w:rPr>
                <w:rFonts w:ascii="Arial" w:eastAsia="宋体" w:hAnsi="Arial" w:cs="Arial"/>
                <w:color w:val="000000"/>
                <w:sz w:val="20"/>
                <w:szCs w:val="20"/>
              </w:rPr>
              <w:t>1,114 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12" w14:textId="77777777" w:rsidR="00A74A1E" w:rsidRDefault="00A74A1E">
            <w:pPr>
              <w:jc w:val="right"/>
              <w:rPr>
                <w:rFonts w:ascii="宋体"/>
              </w:rPr>
            </w:pPr>
          </w:p>
        </w:tc>
      </w:tr>
    </w:tbl>
    <w:p w14:paraId="1426F614" w14:textId="77777777" w:rsidR="00A74A1E" w:rsidRDefault="00A74A1E">
      <w:pPr>
        <w:ind w:firstLine="450"/>
      </w:pPr>
    </w:p>
    <w:p w14:paraId="1426F615" w14:textId="77777777" w:rsidR="00A74A1E" w:rsidRDefault="00807990">
      <w:pPr>
        <w:jc w:val="center"/>
      </w:pPr>
      <w:r>
        <w:rPr>
          <w:rFonts w:ascii="Arial" w:eastAsia="宋体" w:hAnsi="Arial" w:cs="Arial"/>
          <w:color w:val="000000"/>
          <w:sz w:val="20"/>
          <w:szCs w:val="20"/>
        </w:rPr>
        <w:t>15</w:t>
      </w:r>
    </w:p>
    <w:p w14:paraId="1426F616" w14:textId="77777777" w:rsidR="00A74A1E" w:rsidRDefault="00807990">
      <w:r>
        <w:pict w14:anchorId="1426FC1A">
          <v:rect id="_x0000_i1039" style="width:415.3pt;height:1.5pt" o:hralign="center" o:hrstd="t" o:hr="t" fillcolor="#a0a0a0" stroked="f"/>
        </w:pict>
      </w:r>
    </w:p>
    <w:p w14:paraId="1426F617" w14:textId="77777777" w:rsidR="00A74A1E" w:rsidRDefault="00A74A1E">
      <w:pPr>
        <w:spacing w:before="60"/>
      </w:pPr>
    </w:p>
    <w:p w14:paraId="1426F618" w14:textId="77777777" w:rsidR="00A74A1E" w:rsidRDefault="00807990">
      <w:pPr>
        <w:ind w:firstLine="450"/>
      </w:pPr>
      <w:r>
        <w:rPr>
          <w:rFonts w:ascii="Arial" w:eastAsia="宋体" w:hAnsi="Arial" w:cs="Arial"/>
          <w:color w:val="000000"/>
          <w:sz w:val="20"/>
          <w:szCs w:val="20"/>
        </w:rPr>
        <w:t>Stock-based compensation expense was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73"/>
        <w:gridCol w:w="38"/>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A74A1E" w14:paraId="1426F631" w14:textId="77777777">
        <w:trPr>
          <w:jc w:val="center"/>
        </w:trPr>
        <w:tc>
          <w:tcPr>
            <w:tcW w:w="50" w:type="pct"/>
            <w:shd w:val="clear" w:color="auto" w:fill="auto"/>
          </w:tcPr>
          <w:p w14:paraId="1426F619" w14:textId="77777777" w:rsidR="00A74A1E" w:rsidRDefault="00A74A1E">
            <w:pPr>
              <w:rPr>
                <w:rFonts w:ascii="宋体"/>
              </w:rPr>
            </w:pPr>
          </w:p>
        </w:tc>
        <w:tc>
          <w:tcPr>
            <w:tcW w:w="2518" w:type="pct"/>
            <w:shd w:val="clear" w:color="auto" w:fill="auto"/>
          </w:tcPr>
          <w:p w14:paraId="1426F61A" w14:textId="77777777" w:rsidR="00A74A1E" w:rsidRDefault="00A74A1E">
            <w:pPr>
              <w:rPr>
                <w:rFonts w:ascii="宋体"/>
              </w:rPr>
            </w:pPr>
          </w:p>
        </w:tc>
        <w:tc>
          <w:tcPr>
            <w:tcW w:w="5" w:type="pct"/>
            <w:shd w:val="clear" w:color="auto" w:fill="auto"/>
          </w:tcPr>
          <w:p w14:paraId="1426F61B" w14:textId="77777777" w:rsidR="00A74A1E" w:rsidRDefault="00A74A1E">
            <w:pPr>
              <w:rPr>
                <w:rFonts w:ascii="宋体"/>
              </w:rPr>
            </w:pPr>
          </w:p>
        </w:tc>
        <w:tc>
          <w:tcPr>
            <w:tcW w:w="50" w:type="pct"/>
            <w:shd w:val="clear" w:color="auto" w:fill="auto"/>
          </w:tcPr>
          <w:p w14:paraId="1426F61C" w14:textId="77777777" w:rsidR="00A74A1E" w:rsidRDefault="00A74A1E">
            <w:pPr>
              <w:rPr>
                <w:rFonts w:ascii="宋体"/>
              </w:rPr>
            </w:pPr>
          </w:p>
        </w:tc>
        <w:tc>
          <w:tcPr>
            <w:tcW w:w="529" w:type="pct"/>
            <w:shd w:val="clear" w:color="auto" w:fill="auto"/>
          </w:tcPr>
          <w:p w14:paraId="1426F61D" w14:textId="77777777" w:rsidR="00A74A1E" w:rsidRDefault="00A74A1E">
            <w:pPr>
              <w:rPr>
                <w:rFonts w:ascii="宋体"/>
              </w:rPr>
            </w:pPr>
          </w:p>
        </w:tc>
        <w:tc>
          <w:tcPr>
            <w:tcW w:w="5" w:type="pct"/>
            <w:shd w:val="clear" w:color="auto" w:fill="auto"/>
          </w:tcPr>
          <w:p w14:paraId="1426F61E" w14:textId="77777777" w:rsidR="00A74A1E" w:rsidRDefault="00A74A1E">
            <w:pPr>
              <w:rPr>
                <w:rFonts w:ascii="宋体"/>
              </w:rPr>
            </w:pPr>
          </w:p>
        </w:tc>
        <w:tc>
          <w:tcPr>
            <w:tcW w:w="5" w:type="pct"/>
            <w:shd w:val="clear" w:color="auto" w:fill="auto"/>
          </w:tcPr>
          <w:p w14:paraId="1426F61F" w14:textId="77777777" w:rsidR="00A74A1E" w:rsidRDefault="00A74A1E">
            <w:pPr>
              <w:rPr>
                <w:rFonts w:ascii="宋体"/>
              </w:rPr>
            </w:pPr>
          </w:p>
        </w:tc>
        <w:tc>
          <w:tcPr>
            <w:tcW w:w="19" w:type="pct"/>
            <w:shd w:val="clear" w:color="auto" w:fill="auto"/>
          </w:tcPr>
          <w:p w14:paraId="1426F620" w14:textId="77777777" w:rsidR="00A74A1E" w:rsidRDefault="00A74A1E">
            <w:pPr>
              <w:rPr>
                <w:rFonts w:ascii="宋体"/>
              </w:rPr>
            </w:pPr>
          </w:p>
        </w:tc>
        <w:tc>
          <w:tcPr>
            <w:tcW w:w="5" w:type="pct"/>
            <w:shd w:val="clear" w:color="auto" w:fill="auto"/>
          </w:tcPr>
          <w:p w14:paraId="1426F621" w14:textId="77777777" w:rsidR="00A74A1E" w:rsidRDefault="00A74A1E">
            <w:pPr>
              <w:rPr>
                <w:rFonts w:ascii="宋体"/>
              </w:rPr>
            </w:pPr>
          </w:p>
        </w:tc>
        <w:tc>
          <w:tcPr>
            <w:tcW w:w="50" w:type="pct"/>
            <w:shd w:val="clear" w:color="auto" w:fill="auto"/>
          </w:tcPr>
          <w:p w14:paraId="1426F622" w14:textId="77777777" w:rsidR="00A74A1E" w:rsidRDefault="00A74A1E">
            <w:pPr>
              <w:rPr>
                <w:rFonts w:ascii="宋体"/>
              </w:rPr>
            </w:pPr>
          </w:p>
        </w:tc>
        <w:tc>
          <w:tcPr>
            <w:tcW w:w="529" w:type="pct"/>
            <w:shd w:val="clear" w:color="auto" w:fill="auto"/>
          </w:tcPr>
          <w:p w14:paraId="1426F623" w14:textId="77777777" w:rsidR="00A74A1E" w:rsidRDefault="00A74A1E">
            <w:pPr>
              <w:rPr>
                <w:rFonts w:ascii="宋体"/>
              </w:rPr>
            </w:pPr>
          </w:p>
        </w:tc>
        <w:tc>
          <w:tcPr>
            <w:tcW w:w="5" w:type="pct"/>
            <w:shd w:val="clear" w:color="auto" w:fill="auto"/>
          </w:tcPr>
          <w:p w14:paraId="1426F624" w14:textId="77777777" w:rsidR="00A74A1E" w:rsidRDefault="00A74A1E">
            <w:pPr>
              <w:rPr>
                <w:rFonts w:ascii="宋体"/>
              </w:rPr>
            </w:pPr>
          </w:p>
        </w:tc>
        <w:tc>
          <w:tcPr>
            <w:tcW w:w="5" w:type="pct"/>
            <w:shd w:val="clear" w:color="auto" w:fill="auto"/>
          </w:tcPr>
          <w:p w14:paraId="1426F625" w14:textId="77777777" w:rsidR="00A74A1E" w:rsidRDefault="00A74A1E">
            <w:pPr>
              <w:rPr>
                <w:rFonts w:ascii="宋体"/>
              </w:rPr>
            </w:pPr>
          </w:p>
        </w:tc>
        <w:tc>
          <w:tcPr>
            <w:tcW w:w="19" w:type="pct"/>
            <w:shd w:val="clear" w:color="auto" w:fill="auto"/>
          </w:tcPr>
          <w:p w14:paraId="1426F626" w14:textId="77777777" w:rsidR="00A74A1E" w:rsidRDefault="00A74A1E">
            <w:pPr>
              <w:rPr>
                <w:rFonts w:ascii="宋体"/>
              </w:rPr>
            </w:pPr>
          </w:p>
        </w:tc>
        <w:tc>
          <w:tcPr>
            <w:tcW w:w="5" w:type="pct"/>
            <w:shd w:val="clear" w:color="auto" w:fill="auto"/>
          </w:tcPr>
          <w:p w14:paraId="1426F627" w14:textId="77777777" w:rsidR="00A74A1E" w:rsidRDefault="00A74A1E">
            <w:pPr>
              <w:rPr>
                <w:rFonts w:ascii="宋体"/>
              </w:rPr>
            </w:pPr>
          </w:p>
        </w:tc>
        <w:tc>
          <w:tcPr>
            <w:tcW w:w="50" w:type="pct"/>
            <w:shd w:val="clear" w:color="auto" w:fill="auto"/>
          </w:tcPr>
          <w:p w14:paraId="1426F628" w14:textId="77777777" w:rsidR="00A74A1E" w:rsidRDefault="00A74A1E">
            <w:pPr>
              <w:rPr>
                <w:rFonts w:ascii="宋体"/>
              </w:rPr>
            </w:pPr>
          </w:p>
        </w:tc>
        <w:tc>
          <w:tcPr>
            <w:tcW w:w="529" w:type="pct"/>
            <w:shd w:val="clear" w:color="auto" w:fill="auto"/>
          </w:tcPr>
          <w:p w14:paraId="1426F629" w14:textId="77777777" w:rsidR="00A74A1E" w:rsidRDefault="00A74A1E">
            <w:pPr>
              <w:rPr>
                <w:rFonts w:ascii="宋体"/>
              </w:rPr>
            </w:pPr>
          </w:p>
        </w:tc>
        <w:tc>
          <w:tcPr>
            <w:tcW w:w="5" w:type="pct"/>
            <w:shd w:val="clear" w:color="auto" w:fill="auto"/>
          </w:tcPr>
          <w:p w14:paraId="1426F62A" w14:textId="77777777" w:rsidR="00A74A1E" w:rsidRDefault="00A74A1E">
            <w:pPr>
              <w:rPr>
                <w:rFonts w:ascii="宋体"/>
              </w:rPr>
            </w:pPr>
          </w:p>
        </w:tc>
        <w:tc>
          <w:tcPr>
            <w:tcW w:w="5" w:type="pct"/>
            <w:shd w:val="clear" w:color="auto" w:fill="auto"/>
          </w:tcPr>
          <w:p w14:paraId="1426F62B" w14:textId="77777777" w:rsidR="00A74A1E" w:rsidRDefault="00A74A1E">
            <w:pPr>
              <w:rPr>
                <w:rFonts w:ascii="宋体"/>
              </w:rPr>
            </w:pPr>
          </w:p>
        </w:tc>
        <w:tc>
          <w:tcPr>
            <w:tcW w:w="19" w:type="pct"/>
            <w:shd w:val="clear" w:color="auto" w:fill="auto"/>
          </w:tcPr>
          <w:p w14:paraId="1426F62C" w14:textId="77777777" w:rsidR="00A74A1E" w:rsidRDefault="00A74A1E">
            <w:pPr>
              <w:rPr>
                <w:rFonts w:ascii="宋体"/>
              </w:rPr>
            </w:pPr>
          </w:p>
        </w:tc>
        <w:tc>
          <w:tcPr>
            <w:tcW w:w="5" w:type="pct"/>
            <w:shd w:val="clear" w:color="auto" w:fill="auto"/>
          </w:tcPr>
          <w:p w14:paraId="1426F62D" w14:textId="77777777" w:rsidR="00A74A1E" w:rsidRDefault="00A74A1E">
            <w:pPr>
              <w:rPr>
                <w:rFonts w:ascii="宋体"/>
              </w:rPr>
            </w:pPr>
          </w:p>
        </w:tc>
        <w:tc>
          <w:tcPr>
            <w:tcW w:w="50" w:type="pct"/>
            <w:shd w:val="clear" w:color="auto" w:fill="auto"/>
          </w:tcPr>
          <w:p w14:paraId="1426F62E" w14:textId="77777777" w:rsidR="00A74A1E" w:rsidRDefault="00A74A1E">
            <w:pPr>
              <w:rPr>
                <w:rFonts w:ascii="宋体"/>
              </w:rPr>
            </w:pPr>
          </w:p>
        </w:tc>
        <w:tc>
          <w:tcPr>
            <w:tcW w:w="530" w:type="pct"/>
            <w:shd w:val="clear" w:color="auto" w:fill="auto"/>
          </w:tcPr>
          <w:p w14:paraId="1426F62F" w14:textId="77777777" w:rsidR="00A74A1E" w:rsidRDefault="00A74A1E">
            <w:pPr>
              <w:rPr>
                <w:rFonts w:ascii="宋体"/>
              </w:rPr>
            </w:pPr>
          </w:p>
        </w:tc>
        <w:tc>
          <w:tcPr>
            <w:tcW w:w="5" w:type="pct"/>
            <w:shd w:val="clear" w:color="auto" w:fill="auto"/>
          </w:tcPr>
          <w:p w14:paraId="1426F630" w14:textId="77777777" w:rsidR="00A74A1E" w:rsidRDefault="00A74A1E">
            <w:pPr>
              <w:rPr>
                <w:rFonts w:ascii="宋体"/>
              </w:rPr>
            </w:pPr>
          </w:p>
        </w:tc>
      </w:tr>
      <w:tr w:rsidR="00A74A1E" w14:paraId="1426F636" w14:textId="77777777">
        <w:trPr>
          <w:jc w:val="center"/>
        </w:trPr>
        <w:tc>
          <w:tcPr>
            <w:tcW w:w="0" w:type="auto"/>
            <w:gridSpan w:val="3"/>
            <w:shd w:val="clear" w:color="auto" w:fill="auto"/>
            <w:tcMar>
              <w:top w:w="0" w:type="dxa"/>
              <w:left w:w="20" w:type="dxa"/>
              <w:bottom w:w="0" w:type="dxa"/>
              <w:right w:w="20" w:type="dxa"/>
            </w:tcMar>
          </w:tcPr>
          <w:p w14:paraId="1426F632"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633"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634"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635"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63F" w14:textId="77777777">
        <w:trPr>
          <w:jc w:val="center"/>
        </w:trPr>
        <w:tc>
          <w:tcPr>
            <w:tcW w:w="0" w:type="auto"/>
            <w:gridSpan w:val="3"/>
            <w:shd w:val="clear" w:color="auto" w:fill="auto"/>
            <w:tcMar>
              <w:top w:w="0" w:type="dxa"/>
              <w:left w:w="20" w:type="dxa"/>
              <w:bottom w:w="0" w:type="dxa"/>
              <w:right w:w="20" w:type="dxa"/>
            </w:tcMar>
          </w:tcPr>
          <w:p w14:paraId="1426F637"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638"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639"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3A"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63B"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3C"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63D"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3E"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642" w14:textId="77777777">
        <w:trPr>
          <w:jc w:val="center"/>
        </w:trPr>
        <w:tc>
          <w:tcPr>
            <w:tcW w:w="0" w:type="auto"/>
            <w:gridSpan w:val="3"/>
            <w:shd w:val="clear" w:color="auto" w:fill="auto"/>
            <w:tcMar>
              <w:top w:w="0" w:type="dxa"/>
              <w:left w:w="20" w:type="dxa"/>
              <w:bottom w:w="0" w:type="dxa"/>
              <w:right w:w="20" w:type="dxa"/>
            </w:tcMar>
          </w:tcPr>
          <w:p w14:paraId="1426F640" w14:textId="77777777" w:rsidR="00A74A1E" w:rsidRDefault="00A74A1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tcPr>
          <w:p w14:paraId="1426F641" w14:textId="77777777" w:rsidR="00A74A1E" w:rsidRDefault="00807990">
            <w:pPr>
              <w:jc w:val="center"/>
              <w:textAlignment w:val="top"/>
            </w:pPr>
            <w:r>
              <w:rPr>
                <w:rFonts w:ascii="Arial" w:eastAsia="宋体" w:hAnsi="Arial" w:cs="Arial"/>
                <w:b/>
                <w:bCs/>
                <w:color w:val="000000"/>
                <w:sz w:val="16"/>
                <w:szCs w:val="16"/>
              </w:rPr>
              <w:t>(In millions)</w:t>
            </w:r>
          </w:p>
        </w:tc>
      </w:tr>
      <w:tr w:rsidR="00A74A1E" w14:paraId="1426F653" w14:textId="77777777">
        <w:trPr>
          <w:jc w:val="center"/>
        </w:trPr>
        <w:tc>
          <w:tcPr>
            <w:tcW w:w="0" w:type="auto"/>
            <w:gridSpan w:val="3"/>
            <w:shd w:val="clear" w:color="auto" w:fill="CCEEFF"/>
            <w:tcMar>
              <w:top w:w="40" w:type="dxa"/>
              <w:left w:w="20" w:type="dxa"/>
              <w:bottom w:w="40" w:type="dxa"/>
              <w:right w:w="20" w:type="dxa"/>
            </w:tcMar>
            <w:vAlign w:val="bottom"/>
          </w:tcPr>
          <w:p w14:paraId="1426F643" w14:textId="77777777" w:rsidR="00A74A1E" w:rsidRDefault="00807990">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1426F64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645"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F64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47"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64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649" w14:textId="77777777" w:rsidR="00A74A1E" w:rsidRDefault="00807990">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426F64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4B"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64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64D" w14:textId="77777777" w:rsidR="00A74A1E" w:rsidRDefault="00807990">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1426F64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4F"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65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651" w14:textId="77777777" w:rsidR="00A74A1E" w:rsidRDefault="00807990">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1426F652" w14:textId="77777777" w:rsidR="00A74A1E" w:rsidRDefault="00A74A1E">
            <w:pPr>
              <w:jc w:val="right"/>
              <w:rPr>
                <w:rFonts w:ascii="宋体"/>
              </w:rPr>
            </w:pPr>
          </w:p>
        </w:tc>
      </w:tr>
      <w:tr w:rsidR="00A74A1E" w14:paraId="1426F660" w14:textId="77777777">
        <w:trPr>
          <w:jc w:val="center"/>
        </w:trPr>
        <w:tc>
          <w:tcPr>
            <w:tcW w:w="0" w:type="auto"/>
            <w:gridSpan w:val="3"/>
            <w:shd w:val="clear" w:color="auto" w:fill="FFFFFF"/>
            <w:tcMar>
              <w:top w:w="40" w:type="dxa"/>
              <w:left w:w="20" w:type="dxa"/>
              <w:bottom w:w="40" w:type="dxa"/>
              <w:right w:w="20" w:type="dxa"/>
            </w:tcMar>
            <w:vAlign w:val="bottom"/>
          </w:tcPr>
          <w:p w14:paraId="1426F654" w14:textId="77777777" w:rsidR="00A74A1E" w:rsidRDefault="00807990">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426F655" w14:textId="77777777" w:rsidR="00A74A1E" w:rsidRDefault="00807990">
            <w:pPr>
              <w:jc w:val="right"/>
              <w:textAlignment w:val="bottom"/>
            </w:pPr>
            <w:r>
              <w:rPr>
                <w:rFonts w:ascii="Arial" w:eastAsia="宋体"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1426F656"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57"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658" w14:textId="77777777" w:rsidR="00A74A1E" w:rsidRDefault="00807990">
            <w:pPr>
              <w:jc w:val="right"/>
              <w:textAlignment w:val="bottom"/>
            </w:pPr>
            <w:r>
              <w:rPr>
                <w:rFonts w:ascii="Arial" w:eastAsia="宋体" w:hAnsi="Arial" w:cs="Arial"/>
                <w:color w:val="000000"/>
                <w:sz w:val="20"/>
                <w:szCs w:val="20"/>
              </w:rPr>
              <w:t>37 </w:t>
            </w:r>
          </w:p>
        </w:tc>
        <w:tc>
          <w:tcPr>
            <w:tcW w:w="0" w:type="auto"/>
            <w:shd w:val="clear" w:color="auto" w:fill="FFFFFF"/>
            <w:tcMar>
              <w:top w:w="40" w:type="dxa"/>
              <w:left w:w="0" w:type="dxa"/>
              <w:bottom w:w="40" w:type="dxa"/>
              <w:right w:w="20" w:type="dxa"/>
            </w:tcMar>
            <w:vAlign w:val="bottom"/>
          </w:tcPr>
          <w:p w14:paraId="1426F65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5A"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65B" w14:textId="77777777" w:rsidR="00A74A1E" w:rsidRDefault="00807990">
            <w:pPr>
              <w:jc w:val="right"/>
              <w:textAlignment w:val="bottom"/>
            </w:pPr>
            <w:r>
              <w:rPr>
                <w:rFonts w:ascii="Arial" w:eastAsia="宋体" w:hAnsi="Arial" w:cs="Arial"/>
                <w:color w:val="000000"/>
                <w:sz w:val="20"/>
                <w:szCs w:val="20"/>
              </w:rPr>
              <w:t>122 </w:t>
            </w:r>
          </w:p>
        </w:tc>
        <w:tc>
          <w:tcPr>
            <w:tcW w:w="0" w:type="auto"/>
            <w:shd w:val="clear" w:color="auto" w:fill="FFFFFF"/>
            <w:tcMar>
              <w:top w:w="40" w:type="dxa"/>
              <w:left w:w="0" w:type="dxa"/>
              <w:bottom w:w="40" w:type="dxa"/>
              <w:right w:w="20" w:type="dxa"/>
            </w:tcMar>
            <w:vAlign w:val="bottom"/>
          </w:tcPr>
          <w:p w14:paraId="1426F65C"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5D"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65E" w14:textId="77777777" w:rsidR="00A74A1E" w:rsidRDefault="00807990">
            <w:pPr>
              <w:jc w:val="right"/>
              <w:textAlignment w:val="bottom"/>
            </w:pPr>
            <w:r>
              <w:rPr>
                <w:rFonts w:ascii="Arial" w:eastAsia="宋体" w:hAnsi="Arial" w:cs="Arial"/>
                <w:color w:val="000000"/>
                <w:sz w:val="20"/>
                <w:szCs w:val="20"/>
              </w:rPr>
              <w:t>92 </w:t>
            </w:r>
          </w:p>
        </w:tc>
        <w:tc>
          <w:tcPr>
            <w:tcW w:w="0" w:type="auto"/>
            <w:shd w:val="clear" w:color="auto" w:fill="FFFFFF"/>
            <w:tcMar>
              <w:top w:w="40" w:type="dxa"/>
              <w:left w:w="0" w:type="dxa"/>
              <w:bottom w:w="40" w:type="dxa"/>
              <w:right w:w="20" w:type="dxa"/>
            </w:tcMar>
            <w:vAlign w:val="bottom"/>
          </w:tcPr>
          <w:p w14:paraId="1426F65F" w14:textId="77777777" w:rsidR="00A74A1E" w:rsidRDefault="00A74A1E">
            <w:pPr>
              <w:jc w:val="right"/>
              <w:rPr>
                <w:rFonts w:ascii="宋体"/>
              </w:rPr>
            </w:pPr>
          </w:p>
        </w:tc>
      </w:tr>
      <w:tr w:rsidR="00A74A1E" w14:paraId="1426F66D" w14:textId="77777777">
        <w:trPr>
          <w:jc w:val="center"/>
        </w:trPr>
        <w:tc>
          <w:tcPr>
            <w:tcW w:w="0" w:type="auto"/>
            <w:gridSpan w:val="3"/>
            <w:shd w:val="clear" w:color="auto" w:fill="CCEEFF"/>
            <w:tcMar>
              <w:top w:w="40" w:type="dxa"/>
              <w:left w:w="20" w:type="dxa"/>
              <w:bottom w:w="40" w:type="dxa"/>
              <w:right w:w="20" w:type="dxa"/>
            </w:tcMar>
            <w:vAlign w:val="bottom"/>
          </w:tcPr>
          <w:p w14:paraId="1426F661" w14:textId="77777777" w:rsidR="00A74A1E" w:rsidRDefault="00807990">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1426F662" w14:textId="77777777" w:rsidR="00A74A1E" w:rsidRDefault="00807990">
            <w:pPr>
              <w:jc w:val="right"/>
              <w:textAlignment w:val="bottom"/>
            </w:pPr>
            <w:r>
              <w:rPr>
                <w:rFonts w:ascii="Arial" w:eastAsia="宋体" w:hAnsi="Arial" w:cs="Arial"/>
                <w:color w:val="000000"/>
                <w:sz w:val="20"/>
                <w:szCs w:val="20"/>
              </w:rPr>
              <w:t>27 </w:t>
            </w:r>
          </w:p>
        </w:tc>
        <w:tc>
          <w:tcPr>
            <w:tcW w:w="0" w:type="auto"/>
            <w:shd w:val="clear" w:color="auto" w:fill="CCEEFF"/>
            <w:tcMar>
              <w:top w:w="40" w:type="dxa"/>
              <w:left w:w="0" w:type="dxa"/>
              <w:bottom w:w="40" w:type="dxa"/>
              <w:right w:w="20" w:type="dxa"/>
            </w:tcMar>
            <w:vAlign w:val="bottom"/>
          </w:tcPr>
          <w:p w14:paraId="1426F663"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64"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65" w14:textId="77777777" w:rsidR="00A74A1E" w:rsidRDefault="00807990">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1426F66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67"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68" w14:textId="77777777" w:rsidR="00A74A1E" w:rsidRDefault="00807990">
            <w:pPr>
              <w:jc w:val="right"/>
              <w:textAlignment w:val="bottom"/>
            </w:pPr>
            <w:r>
              <w:rPr>
                <w:rFonts w:ascii="Arial" w:eastAsia="宋体" w:hAnsi="Arial" w:cs="Arial"/>
                <w:color w:val="000000"/>
                <w:sz w:val="20"/>
                <w:szCs w:val="20"/>
              </w:rPr>
              <w:t>68 </w:t>
            </w:r>
          </w:p>
        </w:tc>
        <w:tc>
          <w:tcPr>
            <w:tcW w:w="0" w:type="auto"/>
            <w:shd w:val="clear" w:color="auto" w:fill="CCEEFF"/>
            <w:tcMar>
              <w:top w:w="40" w:type="dxa"/>
              <w:left w:w="0" w:type="dxa"/>
              <w:bottom w:w="40" w:type="dxa"/>
              <w:right w:w="20" w:type="dxa"/>
            </w:tcMar>
            <w:vAlign w:val="bottom"/>
          </w:tcPr>
          <w:p w14:paraId="1426F669"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6A"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6B" w14:textId="77777777" w:rsidR="00A74A1E" w:rsidRDefault="00807990">
            <w:pPr>
              <w:jc w:val="right"/>
              <w:textAlignment w:val="bottom"/>
            </w:pPr>
            <w:r>
              <w:rPr>
                <w:rFonts w:ascii="Arial" w:eastAsia="宋体" w:hAnsi="Arial" w:cs="Arial"/>
                <w:color w:val="000000"/>
                <w:sz w:val="20"/>
                <w:szCs w:val="20"/>
              </w:rPr>
              <w:t>43 </w:t>
            </w:r>
          </w:p>
        </w:tc>
        <w:tc>
          <w:tcPr>
            <w:tcW w:w="0" w:type="auto"/>
            <w:shd w:val="clear" w:color="auto" w:fill="CCEEFF"/>
            <w:tcMar>
              <w:top w:w="40" w:type="dxa"/>
              <w:left w:w="0" w:type="dxa"/>
              <w:bottom w:w="40" w:type="dxa"/>
              <w:right w:w="20" w:type="dxa"/>
            </w:tcMar>
            <w:vAlign w:val="bottom"/>
          </w:tcPr>
          <w:p w14:paraId="1426F66C" w14:textId="77777777" w:rsidR="00A74A1E" w:rsidRDefault="00A74A1E">
            <w:pPr>
              <w:jc w:val="right"/>
              <w:rPr>
                <w:rFonts w:ascii="宋体"/>
              </w:rPr>
            </w:pPr>
          </w:p>
        </w:tc>
      </w:tr>
      <w:tr w:rsidR="00A74A1E" w14:paraId="1426F67E" w14:textId="77777777">
        <w:trPr>
          <w:jc w:val="center"/>
        </w:trPr>
        <w:tc>
          <w:tcPr>
            <w:tcW w:w="0" w:type="auto"/>
            <w:gridSpan w:val="3"/>
            <w:shd w:val="clear" w:color="auto" w:fill="FFFFFF"/>
            <w:tcMar>
              <w:top w:w="40" w:type="dxa"/>
              <w:left w:w="20" w:type="dxa"/>
              <w:bottom w:w="40" w:type="dxa"/>
              <w:right w:w="20" w:type="dxa"/>
            </w:tcMar>
            <w:vAlign w:val="bottom"/>
          </w:tcPr>
          <w:p w14:paraId="1426F66E" w14:textId="77777777" w:rsidR="00A74A1E" w:rsidRDefault="00807990">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6F"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670" w14:textId="77777777" w:rsidR="00A74A1E" w:rsidRDefault="00807990">
            <w:pPr>
              <w:jc w:val="right"/>
              <w:textAlignment w:val="bottom"/>
            </w:pPr>
            <w:r>
              <w:rPr>
                <w:rFonts w:ascii="Arial" w:eastAsia="宋体" w:hAnsi="Arial" w:cs="Arial"/>
                <w:color w:val="000000"/>
                <w:sz w:val="20"/>
                <w:szCs w:val="20"/>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7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72"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73"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674" w14:textId="77777777" w:rsidR="00A74A1E" w:rsidRDefault="00807990">
            <w:pPr>
              <w:jc w:val="right"/>
              <w:textAlignment w:val="bottom"/>
            </w:pPr>
            <w:r>
              <w:rPr>
                <w:rFonts w:ascii="Arial" w:eastAsia="宋体" w:hAnsi="Arial" w:cs="Arial"/>
                <w:color w:val="000000"/>
                <w:sz w:val="20"/>
                <w:szCs w:val="20"/>
              </w:rPr>
              <w:t>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7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76"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77"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678" w14:textId="77777777" w:rsidR="00A74A1E" w:rsidRDefault="00807990">
            <w:pPr>
              <w:jc w:val="right"/>
              <w:textAlignment w:val="bottom"/>
            </w:pPr>
            <w:r>
              <w:rPr>
                <w:rFonts w:ascii="Arial" w:eastAsia="宋体" w:hAnsi="Arial" w:cs="Arial"/>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7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7A" w14:textId="77777777" w:rsidR="00A74A1E" w:rsidRDefault="00A74A1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426F67B"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426F67C" w14:textId="77777777" w:rsidR="00A74A1E" w:rsidRDefault="00807990">
            <w:pPr>
              <w:jc w:val="right"/>
              <w:textAlignment w:val="bottom"/>
            </w:pPr>
            <w:r>
              <w:rPr>
                <w:rFonts w:ascii="Arial" w:eastAsia="宋体" w:hAnsi="Arial" w:cs="Arial"/>
                <w:color w:val="000000"/>
                <w:sz w:val="20"/>
                <w:szCs w:val="20"/>
              </w:rPr>
              <w:t>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426F67D" w14:textId="77777777" w:rsidR="00A74A1E" w:rsidRDefault="00A74A1E">
            <w:pPr>
              <w:jc w:val="right"/>
              <w:rPr>
                <w:rFonts w:ascii="宋体"/>
              </w:rPr>
            </w:pPr>
          </w:p>
        </w:tc>
      </w:tr>
    </w:tbl>
    <w:p w14:paraId="1426F67F" w14:textId="77777777" w:rsidR="00A74A1E" w:rsidRDefault="00A74A1E">
      <w:pPr>
        <w:jc w:val="center"/>
      </w:pPr>
    </w:p>
    <w:p w14:paraId="1426F680" w14:textId="77777777" w:rsidR="00A74A1E" w:rsidRDefault="00807990">
      <w:pPr>
        <w:jc w:val="both"/>
      </w:pPr>
      <w:r>
        <w:rPr>
          <w:rFonts w:ascii="Arial" w:eastAsia="宋体" w:hAnsi="Arial" w:cs="Arial"/>
          <w:b/>
          <w:bCs/>
          <w:color w:val="000000"/>
          <w:sz w:val="20"/>
          <w:szCs w:val="20"/>
        </w:rPr>
        <w:t>NOTE 9. Income Taxes</w:t>
      </w:r>
    </w:p>
    <w:p w14:paraId="1426F681" w14:textId="77777777" w:rsidR="00A74A1E" w:rsidRDefault="00A74A1E">
      <w:pPr>
        <w:jc w:val="both"/>
      </w:pPr>
    </w:p>
    <w:p w14:paraId="1426F682" w14:textId="77777777" w:rsidR="00A74A1E" w:rsidRDefault="00807990">
      <w:pPr>
        <w:ind w:firstLine="450"/>
        <w:jc w:val="both"/>
      </w:pPr>
      <w:r>
        <w:rPr>
          <w:rFonts w:ascii="Arial" w:eastAsia="宋体" w:hAnsi="Arial" w:cs="Arial"/>
          <w:color w:val="000000"/>
          <w:sz w:val="20"/>
          <w:szCs w:val="20"/>
        </w:rPr>
        <w:t>For the three months ended September 26, 2020, the Company recorded an income</w:t>
      </w:r>
      <w:r>
        <w:rPr>
          <w:rFonts w:ascii="Arial" w:eastAsia="宋体" w:hAnsi="Arial" w:cs="Arial"/>
          <w:color w:val="000000"/>
          <w:sz w:val="20"/>
          <w:szCs w:val="20"/>
        </w:rPr>
        <w:t xml:space="preserve"> tax provision of $12 million associated primarily with foreign income taxes. For the three months ended September 28, 2019, the Company recorded an income tax provision of $7 million, consisting primarily of $4 million of withholding taxes and $3 million </w:t>
      </w:r>
      <w:r>
        <w:rPr>
          <w:rFonts w:ascii="Arial" w:eastAsia="宋体" w:hAnsi="Arial" w:cs="Arial"/>
          <w:color w:val="000000"/>
          <w:sz w:val="20"/>
          <w:szCs w:val="20"/>
        </w:rPr>
        <w:t xml:space="preserve">of foreign income taxes in profitable locations. </w:t>
      </w:r>
    </w:p>
    <w:p w14:paraId="1426F683" w14:textId="77777777" w:rsidR="00A74A1E" w:rsidRDefault="00A74A1E">
      <w:pPr>
        <w:ind w:firstLine="450"/>
        <w:jc w:val="both"/>
      </w:pPr>
    </w:p>
    <w:p w14:paraId="1426F684" w14:textId="77777777" w:rsidR="00A74A1E" w:rsidRDefault="00807990">
      <w:pPr>
        <w:ind w:firstLine="450"/>
        <w:jc w:val="both"/>
      </w:pPr>
      <w:r>
        <w:rPr>
          <w:rFonts w:ascii="Arial" w:eastAsia="宋体" w:hAnsi="Arial" w:cs="Arial"/>
          <w:color w:val="000000"/>
          <w:sz w:val="20"/>
          <w:szCs w:val="20"/>
        </w:rPr>
        <w:t>For the nine months ended September 26, 2020, the Company recorded an income tax provision of $22 million associated primarily with foreign income taxes and withholding taxes. For the nine months ended Sep</w:t>
      </w:r>
      <w:r>
        <w:rPr>
          <w:rFonts w:ascii="Arial" w:eastAsia="宋体" w:hAnsi="Arial" w:cs="Arial"/>
          <w:color w:val="000000"/>
          <w:sz w:val="20"/>
          <w:szCs w:val="20"/>
        </w:rPr>
        <w:t>tember 28, 2019, the Company recorded an income tax benefit of $4 million, consisting primarily of a $13 million credit to U.S. income taxes due to the completion of certain internal tax structuring partially offset by $5 million of withholding taxes and $</w:t>
      </w:r>
      <w:r>
        <w:rPr>
          <w:rFonts w:ascii="Arial" w:eastAsia="宋体" w:hAnsi="Arial" w:cs="Arial"/>
          <w:color w:val="000000"/>
          <w:sz w:val="20"/>
          <w:szCs w:val="20"/>
        </w:rPr>
        <w:t>4 million of foreign income taxes in profitable locations.</w:t>
      </w:r>
    </w:p>
    <w:p w14:paraId="1426F685" w14:textId="77777777" w:rsidR="00A74A1E" w:rsidRDefault="00A74A1E">
      <w:pPr>
        <w:ind w:firstLine="450"/>
        <w:jc w:val="both"/>
      </w:pPr>
    </w:p>
    <w:p w14:paraId="1426F686" w14:textId="77777777" w:rsidR="00A74A1E" w:rsidRDefault="00807990">
      <w:pPr>
        <w:ind w:firstLine="450"/>
        <w:jc w:val="both"/>
      </w:pPr>
      <w:r>
        <w:rPr>
          <w:rFonts w:ascii="Arial" w:eastAsia="宋体" w:hAnsi="Arial" w:cs="Arial"/>
          <w:color w:val="000000"/>
          <w:sz w:val="20"/>
          <w:szCs w:val="20"/>
        </w:rPr>
        <w:t>As of September 26, 2020, substantially all the Company’s U.S. and foreign deferred tax assets, net of deferred tax liabilities, were subject to valuation allowances. After considering all availab</w:t>
      </w:r>
      <w:r>
        <w:rPr>
          <w:rFonts w:ascii="Arial" w:eastAsia="宋体" w:hAnsi="Arial" w:cs="Arial"/>
          <w:color w:val="000000"/>
          <w:sz w:val="20"/>
          <w:szCs w:val="20"/>
        </w:rPr>
        <w:t>le evidence, the Company determined that the valuation allowances should be maintaine</w:t>
      </w:r>
      <w:r>
        <w:rPr>
          <w:rFonts w:ascii="Times New Roman" w:eastAsia="宋体" w:hAnsi="Times New Roman"/>
          <w:color w:val="000000"/>
          <w:sz w:val="20"/>
          <w:szCs w:val="20"/>
        </w:rPr>
        <w:t>d.</w:t>
      </w:r>
    </w:p>
    <w:p w14:paraId="1426F687" w14:textId="77777777" w:rsidR="00A74A1E" w:rsidRDefault="00A74A1E">
      <w:pPr>
        <w:ind w:firstLine="450"/>
        <w:jc w:val="both"/>
      </w:pPr>
    </w:p>
    <w:p w14:paraId="1426F688" w14:textId="77777777" w:rsidR="00A74A1E" w:rsidRDefault="00807990">
      <w:pPr>
        <w:ind w:firstLine="450"/>
        <w:jc w:val="both"/>
      </w:pPr>
      <w:r>
        <w:rPr>
          <w:rFonts w:ascii="Arial" w:eastAsia="宋体" w:hAnsi="Arial" w:cs="Arial"/>
          <w:color w:val="000000"/>
          <w:sz w:val="20"/>
          <w:szCs w:val="20"/>
        </w:rPr>
        <w:t xml:space="preserve">The Company’s total gross unrecognized tax benefits were $84 million as of September 26, 2020. The Company has foreign and U.S. state tax audits in process at any one </w:t>
      </w:r>
      <w:r>
        <w:rPr>
          <w:rFonts w:ascii="Arial" w:eastAsia="宋体" w:hAnsi="Arial" w:cs="Arial"/>
          <w:color w:val="000000"/>
          <w:sz w:val="20"/>
          <w:szCs w:val="20"/>
        </w:rPr>
        <w:t xml:space="preserve">point in time. It is reasonably possible the Company may have tax audits close in the next 12 months that could materially change the balance of the uncertain tax benefits; however, the timing of tax audit closures and settlements are uncertain. </w:t>
      </w:r>
    </w:p>
    <w:p w14:paraId="1426F689" w14:textId="77777777" w:rsidR="00A74A1E" w:rsidRDefault="00A74A1E">
      <w:pPr>
        <w:ind w:firstLine="450"/>
        <w:jc w:val="both"/>
      </w:pPr>
    </w:p>
    <w:p w14:paraId="1426F68A" w14:textId="77777777" w:rsidR="00A74A1E" w:rsidRDefault="00807990">
      <w:pPr>
        <w:jc w:val="both"/>
      </w:pPr>
      <w:r>
        <w:rPr>
          <w:rFonts w:ascii="Arial" w:eastAsia="宋体" w:hAnsi="Arial" w:cs="Arial"/>
          <w:b/>
          <w:bCs/>
          <w:color w:val="000000"/>
          <w:sz w:val="20"/>
          <w:szCs w:val="20"/>
        </w:rPr>
        <w:t>NOTE 10.</w:t>
      </w:r>
      <w:r>
        <w:rPr>
          <w:rFonts w:ascii="Arial" w:eastAsia="宋体" w:hAnsi="Arial" w:cs="Arial"/>
          <w:b/>
          <w:bCs/>
          <w:color w:val="000000"/>
          <w:sz w:val="20"/>
          <w:szCs w:val="20"/>
        </w:rPr>
        <w:t xml:space="preserve"> Segment Reporting</w:t>
      </w:r>
    </w:p>
    <w:p w14:paraId="1426F68B" w14:textId="77777777" w:rsidR="00A74A1E" w:rsidRDefault="00807990">
      <w:pPr>
        <w:spacing w:before="180" w:after="100"/>
        <w:ind w:firstLine="450"/>
        <w:jc w:val="both"/>
      </w:pPr>
      <w:r>
        <w:rPr>
          <w:rFonts w:ascii="Arial" w:eastAsia="宋体" w:hAnsi="Arial" w:cs="Arial"/>
          <w:color w:val="000000"/>
          <w:sz w:val="20"/>
          <w:szCs w:val="20"/>
        </w:rPr>
        <w:t xml:space="preserve">Management, including the Chief Operating Decision Maker, who is the Company’s Chief Executive Officer, reviews and assesses operating performance using segment net revenue and operating income (loss). These performance measures include </w:t>
      </w:r>
      <w:r>
        <w:rPr>
          <w:rFonts w:ascii="Arial" w:eastAsia="宋体" w:hAnsi="Arial" w:cs="Arial"/>
          <w:color w:val="000000"/>
          <w:sz w:val="20"/>
          <w:szCs w:val="20"/>
        </w:rPr>
        <w:t>the allocation of expenses to the operating segments based on management’s judgment. The Company has the following two reportable segments:</w:t>
      </w:r>
    </w:p>
    <w:p w14:paraId="1426F68C" w14:textId="77777777" w:rsidR="00A74A1E" w:rsidRDefault="00807990">
      <w:pPr>
        <w:ind w:hanging="360"/>
        <w:jc w:val="both"/>
      </w:pPr>
      <w:r>
        <w:rPr>
          <w:rFonts w:ascii="Arial" w:eastAsia="宋体" w:hAnsi="Arial" w:cs="Arial"/>
          <w:color w:val="000000"/>
          <w:sz w:val="20"/>
          <w:szCs w:val="20"/>
        </w:rPr>
        <w:t xml:space="preserve">•the Computing and Graphics segment, which primarily includes desktop and notebook processors and chipsets, </w:t>
      </w:r>
      <w:r>
        <w:rPr>
          <w:rFonts w:ascii="Arial" w:eastAsia="宋体" w:hAnsi="Arial" w:cs="Arial"/>
          <w:color w:val="000000"/>
          <w:sz w:val="20"/>
          <w:szCs w:val="20"/>
        </w:rPr>
        <w:t>discrete and integrated graphics processing units (GPUs), data center and professional GPUs and development services. From time to time, the Company may also sell or license portions of its IP portfolio; and</w:t>
      </w:r>
    </w:p>
    <w:p w14:paraId="1426F68D" w14:textId="77777777" w:rsidR="00A74A1E" w:rsidRDefault="00A74A1E">
      <w:pPr>
        <w:jc w:val="both"/>
      </w:pPr>
    </w:p>
    <w:p w14:paraId="1426F68E" w14:textId="77777777" w:rsidR="00A74A1E" w:rsidRDefault="00807990">
      <w:pPr>
        <w:ind w:hanging="360"/>
        <w:jc w:val="both"/>
      </w:pPr>
      <w:r>
        <w:rPr>
          <w:rFonts w:ascii="Arial" w:eastAsia="宋体" w:hAnsi="Arial" w:cs="Arial"/>
          <w:color w:val="000000"/>
          <w:sz w:val="20"/>
          <w:szCs w:val="20"/>
        </w:rPr>
        <w:t>•the Enterprise, Embedded and Semi-Custom segme</w:t>
      </w:r>
      <w:r>
        <w:rPr>
          <w:rFonts w:ascii="Arial" w:eastAsia="宋体" w:hAnsi="Arial" w:cs="Arial"/>
          <w:color w:val="000000"/>
          <w:sz w:val="20"/>
          <w:szCs w:val="20"/>
        </w:rPr>
        <w:t>nt, which primarily includes server and embedded processors, semi-custom System-on-Chip (SoC) products, development services and technology for game consoles. From time to time, the Company may also sell or license portions of its IP portfolio.</w:t>
      </w:r>
    </w:p>
    <w:p w14:paraId="1426F68F" w14:textId="77777777" w:rsidR="00A74A1E" w:rsidRDefault="00807990">
      <w:pPr>
        <w:spacing w:before="180" w:after="100"/>
        <w:ind w:firstLine="450"/>
        <w:jc w:val="both"/>
      </w:pPr>
      <w:r>
        <w:rPr>
          <w:rFonts w:ascii="Arial" w:eastAsia="宋体" w:hAnsi="Arial" w:cs="Arial"/>
          <w:color w:val="000000"/>
          <w:sz w:val="20"/>
          <w:szCs w:val="20"/>
        </w:rPr>
        <w:t>In addition</w:t>
      </w:r>
      <w:r>
        <w:rPr>
          <w:rFonts w:ascii="Arial" w:eastAsia="宋体" w:hAnsi="Arial" w:cs="Arial"/>
          <w:color w:val="000000"/>
          <w:sz w:val="20"/>
          <w:szCs w:val="20"/>
        </w:rPr>
        <w:t xml:space="preserve"> to these reportable segments, the Company has an All Other category, which is not a reportable segment. This category primarily includes certain expenses and credits that are not allocated to any of the reportable segments because management does not cons</w:t>
      </w:r>
      <w:r>
        <w:rPr>
          <w:rFonts w:ascii="Arial" w:eastAsia="宋体" w:hAnsi="Arial" w:cs="Arial"/>
          <w:color w:val="000000"/>
          <w:sz w:val="20"/>
          <w:szCs w:val="20"/>
        </w:rPr>
        <w:t xml:space="preserve">ider these expenses and credits in evaluating the performance of the reportable segments. This category primarily includes stock-based compensation expense. </w:t>
      </w:r>
    </w:p>
    <w:p w14:paraId="1426F690" w14:textId="77777777" w:rsidR="00A74A1E" w:rsidRDefault="00807990">
      <w:pPr>
        <w:jc w:val="center"/>
      </w:pPr>
      <w:r>
        <w:rPr>
          <w:rFonts w:ascii="Arial" w:eastAsia="宋体" w:hAnsi="Arial" w:cs="Arial"/>
          <w:color w:val="000000"/>
          <w:sz w:val="20"/>
          <w:szCs w:val="20"/>
        </w:rPr>
        <w:t>16</w:t>
      </w:r>
    </w:p>
    <w:p w14:paraId="1426F691" w14:textId="77777777" w:rsidR="00A74A1E" w:rsidRDefault="00807990">
      <w:r>
        <w:pict w14:anchorId="1426FC1B">
          <v:rect id="_x0000_i1040" style="width:415.3pt;height:1.5pt" o:hralign="center" o:hrstd="t" o:hr="t" fillcolor="#a0a0a0" stroked="f"/>
        </w:pict>
      </w:r>
    </w:p>
    <w:p w14:paraId="1426F692" w14:textId="77777777" w:rsidR="00A74A1E" w:rsidRDefault="00A74A1E">
      <w:pPr>
        <w:spacing w:before="60"/>
      </w:pPr>
    </w:p>
    <w:p w14:paraId="1426F693" w14:textId="77777777" w:rsidR="00A74A1E" w:rsidRDefault="00807990">
      <w:pPr>
        <w:ind w:firstLine="450"/>
        <w:jc w:val="both"/>
      </w:pPr>
      <w:r>
        <w:rPr>
          <w:rFonts w:ascii="Arial" w:eastAsia="宋体" w:hAnsi="Arial" w:cs="Arial"/>
          <w:color w:val="000000"/>
          <w:sz w:val="20"/>
          <w:szCs w:val="20"/>
        </w:rPr>
        <w:t xml:space="preserve">The following table provides a summary of net revenue and operating income by </w:t>
      </w:r>
      <w:r>
        <w:rPr>
          <w:rFonts w:ascii="Arial" w:eastAsia="宋体" w:hAnsi="Arial" w:cs="Arial"/>
          <w:color w:val="000000"/>
          <w:sz w:val="20"/>
          <w:szCs w:val="20"/>
        </w:rPr>
        <w:t>segment:</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087"/>
        <w:gridCol w:w="37"/>
        <w:gridCol w:w="133"/>
        <w:gridCol w:w="812"/>
        <w:gridCol w:w="36"/>
        <w:gridCol w:w="36"/>
        <w:gridCol w:w="36"/>
        <w:gridCol w:w="36"/>
        <w:gridCol w:w="133"/>
        <w:gridCol w:w="785"/>
        <w:gridCol w:w="36"/>
        <w:gridCol w:w="36"/>
        <w:gridCol w:w="36"/>
        <w:gridCol w:w="36"/>
        <w:gridCol w:w="133"/>
        <w:gridCol w:w="791"/>
        <w:gridCol w:w="36"/>
        <w:gridCol w:w="36"/>
        <w:gridCol w:w="36"/>
        <w:gridCol w:w="36"/>
        <w:gridCol w:w="133"/>
        <w:gridCol w:w="785"/>
        <w:gridCol w:w="36"/>
      </w:tblGrid>
      <w:tr w:rsidR="00A74A1E" w14:paraId="1426F6AC" w14:textId="77777777">
        <w:tc>
          <w:tcPr>
            <w:tcW w:w="50" w:type="pct"/>
            <w:shd w:val="clear" w:color="auto" w:fill="auto"/>
          </w:tcPr>
          <w:p w14:paraId="1426F694" w14:textId="77777777" w:rsidR="00A74A1E" w:rsidRDefault="00A74A1E">
            <w:pPr>
              <w:rPr>
                <w:rFonts w:ascii="宋体"/>
              </w:rPr>
            </w:pPr>
          </w:p>
        </w:tc>
        <w:tc>
          <w:tcPr>
            <w:tcW w:w="2503" w:type="pct"/>
            <w:shd w:val="clear" w:color="auto" w:fill="auto"/>
          </w:tcPr>
          <w:p w14:paraId="1426F695" w14:textId="77777777" w:rsidR="00A74A1E" w:rsidRDefault="00A74A1E">
            <w:pPr>
              <w:rPr>
                <w:rFonts w:ascii="宋体"/>
              </w:rPr>
            </w:pPr>
          </w:p>
        </w:tc>
        <w:tc>
          <w:tcPr>
            <w:tcW w:w="5" w:type="pct"/>
            <w:shd w:val="clear" w:color="auto" w:fill="auto"/>
          </w:tcPr>
          <w:p w14:paraId="1426F696" w14:textId="77777777" w:rsidR="00A74A1E" w:rsidRDefault="00A74A1E">
            <w:pPr>
              <w:rPr>
                <w:rFonts w:ascii="宋体"/>
              </w:rPr>
            </w:pPr>
          </w:p>
        </w:tc>
        <w:tc>
          <w:tcPr>
            <w:tcW w:w="50" w:type="pct"/>
            <w:shd w:val="clear" w:color="auto" w:fill="auto"/>
          </w:tcPr>
          <w:p w14:paraId="1426F697" w14:textId="77777777" w:rsidR="00A74A1E" w:rsidRDefault="00A74A1E">
            <w:pPr>
              <w:rPr>
                <w:rFonts w:ascii="宋体"/>
              </w:rPr>
            </w:pPr>
          </w:p>
        </w:tc>
        <w:tc>
          <w:tcPr>
            <w:tcW w:w="529" w:type="pct"/>
            <w:shd w:val="clear" w:color="auto" w:fill="auto"/>
          </w:tcPr>
          <w:p w14:paraId="1426F698" w14:textId="77777777" w:rsidR="00A74A1E" w:rsidRDefault="00A74A1E">
            <w:pPr>
              <w:rPr>
                <w:rFonts w:ascii="宋体"/>
              </w:rPr>
            </w:pPr>
          </w:p>
        </w:tc>
        <w:tc>
          <w:tcPr>
            <w:tcW w:w="5" w:type="pct"/>
            <w:shd w:val="clear" w:color="auto" w:fill="auto"/>
          </w:tcPr>
          <w:p w14:paraId="1426F699" w14:textId="77777777" w:rsidR="00A74A1E" w:rsidRDefault="00A74A1E">
            <w:pPr>
              <w:rPr>
                <w:rFonts w:ascii="宋体"/>
              </w:rPr>
            </w:pPr>
          </w:p>
        </w:tc>
        <w:tc>
          <w:tcPr>
            <w:tcW w:w="5" w:type="pct"/>
            <w:shd w:val="clear" w:color="auto" w:fill="auto"/>
          </w:tcPr>
          <w:p w14:paraId="1426F69A" w14:textId="77777777" w:rsidR="00A74A1E" w:rsidRDefault="00A74A1E">
            <w:pPr>
              <w:rPr>
                <w:rFonts w:ascii="宋体"/>
              </w:rPr>
            </w:pPr>
          </w:p>
        </w:tc>
        <w:tc>
          <w:tcPr>
            <w:tcW w:w="26" w:type="pct"/>
            <w:shd w:val="clear" w:color="auto" w:fill="auto"/>
          </w:tcPr>
          <w:p w14:paraId="1426F69B" w14:textId="77777777" w:rsidR="00A74A1E" w:rsidRDefault="00A74A1E">
            <w:pPr>
              <w:rPr>
                <w:rFonts w:ascii="宋体"/>
              </w:rPr>
            </w:pPr>
          </w:p>
        </w:tc>
        <w:tc>
          <w:tcPr>
            <w:tcW w:w="5" w:type="pct"/>
            <w:shd w:val="clear" w:color="auto" w:fill="auto"/>
          </w:tcPr>
          <w:p w14:paraId="1426F69C" w14:textId="77777777" w:rsidR="00A74A1E" w:rsidRDefault="00A74A1E">
            <w:pPr>
              <w:rPr>
                <w:rFonts w:ascii="宋体"/>
              </w:rPr>
            </w:pPr>
          </w:p>
        </w:tc>
        <w:tc>
          <w:tcPr>
            <w:tcW w:w="50" w:type="pct"/>
            <w:shd w:val="clear" w:color="auto" w:fill="auto"/>
          </w:tcPr>
          <w:p w14:paraId="1426F69D" w14:textId="77777777" w:rsidR="00A74A1E" w:rsidRDefault="00A74A1E">
            <w:pPr>
              <w:rPr>
                <w:rFonts w:ascii="宋体"/>
              </w:rPr>
            </w:pPr>
          </w:p>
        </w:tc>
        <w:tc>
          <w:tcPr>
            <w:tcW w:w="529" w:type="pct"/>
            <w:shd w:val="clear" w:color="auto" w:fill="auto"/>
          </w:tcPr>
          <w:p w14:paraId="1426F69E" w14:textId="77777777" w:rsidR="00A74A1E" w:rsidRDefault="00A74A1E">
            <w:pPr>
              <w:rPr>
                <w:rFonts w:ascii="宋体"/>
              </w:rPr>
            </w:pPr>
          </w:p>
        </w:tc>
        <w:tc>
          <w:tcPr>
            <w:tcW w:w="5" w:type="pct"/>
            <w:shd w:val="clear" w:color="auto" w:fill="auto"/>
          </w:tcPr>
          <w:p w14:paraId="1426F69F" w14:textId="77777777" w:rsidR="00A74A1E" w:rsidRDefault="00A74A1E">
            <w:pPr>
              <w:rPr>
                <w:rFonts w:ascii="宋体"/>
              </w:rPr>
            </w:pPr>
          </w:p>
        </w:tc>
        <w:tc>
          <w:tcPr>
            <w:tcW w:w="5" w:type="pct"/>
            <w:shd w:val="clear" w:color="auto" w:fill="auto"/>
          </w:tcPr>
          <w:p w14:paraId="1426F6A0" w14:textId="77777777" w:rsidR="00A74A1E" w:rsidRDefault="00A74A1E">
            <w:pPr>
              <w:rPr>
                <w:rFonts w:ascii="宋体"/>
              </w:rPr>
            </w:pPr>
          </w:p>
        </w:tc>
        <w:tc>
          <w:tcPr>
            <w:tcW w:w="19" w:type="pct"/>
            <w:shd w:val="clear" w:color="auto" w:fill="auto"/>
          </w:tcPr>
          <w:p w14:paraId="1426F6A1" w14:textId="77777777" w:rsidR="00A74A1E" w:rsidRDefault="00A74A1E">
            <w:pPr>
              <w:rPr>
                <w:rFonts w:ascii="宋体"/>
              </w:rPr>
            </w:pPr>
          </w:p>
        </w:tc>
        <w:tc>
          <w:tcPr>
            <w:tcW w:w="5" w:type="pct"/>
            <w:shd w:val="clear" w:color="auto" w:fill="auto"/>
          </w:tcPr>
          <w:p w14:paraId="1426F6A2" w14:textId="77777777" w:rsidR="00A74A1E" w:rsidRDefault="00A74A1E">
            <w:pPr>
              <w:rPr>
                <w:rFonts w:ascii="宋体"/>
              </w:rPr>
            </w:pPr>
          </w:p>
        </w:tc>
        <w:tc>
          <w:tcPr>
            <w:tcW w:w="50" w:type="pct"/>
            <w:shd w:val="clear" w:color="auto" w:fill="auto"/>
          </w:tcPr>
          <w:p w14:paraId="1426F6A3" w14:textId="77777777" w:rsidR="00A74A1E" w:rsidRDefault="00A74A1E">
            <w:pPr>
              <w:rPr>
                <w:rFonts w:ascii="宋体"/>
              </w:rPr>
            </w:pPr>
          </w:p>
        </w:tc>
        <w:tc>
          <w:tcPr>
            <w:tcW w:w="529" w:type="pct"/>
            <w:shd w:val="clear" w:color="auto" w:fill="auto"/>
          </w:tcPr>
          <w:p w14:paraId="1426F6A4" w14:textId="77777777" w:rsidR="00A74A1E" w:rsidRDefault="00A74A1E">
            <w:pPr>
              <w:rPr>
                <w:rFonts w:ascii="宋体"/>
              </w:rPr>
            </w:pPr>
          </w:p>
        </w:tc>
        <w:tc>
          <w:tcPr>
            <w:tcW w:w="5" w:type="pct"/>
            <w:shd w:val="clear" w:color="auto" w:fill="auto"/>
          </w:tcPr>
          <w:p w14:paraId="1426F6A5" w14:textId="77777777" w:rsidR="00A74A1E" w:rsidRDefault="00A74A1E">
            <w:pPr>
              <w:rPr>
                <w:rFonts w:ascii="宋体"/>
              </w:rPr>
            </w:pPr>
          </w:p>
        </w:tc>
        <w:tc>
          <w:tcPr>
            <w:tcW w:w="5" w:type="pct"/>
            <w:shd w:val="clear" w:color="auto" w:fill="auto"/>
          </w:tcPr>
          <w:p w14:paraId="1426F6A6" w14:textId="77777777" w:rsidR="00A74A1E" w:rsidRDefault="00A74A1E">
            <w:pPr>
              <w:rPr>
                <w:rFonts w:ascii="宋体"/>
              </w:rPr>
            </w:pPr>
          </w:p>
        </w:tc>
        <w:tc>
          <w:tcPr>
            <w:tcW w:w="26" w:type="pct"/>
            <w:shd w:val="clear" w:color="auto" w:fill="auto"/>
          </w:tcPr>
          <w:p w14:paraId="1426F6A7" w14:textId="77777777" w:rsidR="00A74A1E" w:rsidRDefault="00A74A1E">
            <w:pPr>
              <w:rPr>
                <w:rFonts w:ascii="宋体"/>
              </w:rPr>
            </w:pPr>
          </w:p>
        </w:tc>
        <w:tc>
          <w:tcPr>
            <w:tcW w:w="5" w:type="pct"/>
            <w:shd w:val="clear" w:color="auto" w:fill="auto"/>
          </w:tcPr>
          <w:p w14:paraId="1426F6A8" w14:textId="77777777" w:rsidR="00A74A1E" w:rsidRDefault="00A74A1E">
            <w:pPr>
              <w:rPr>
                <w:rFonts w:ascii="宋体"/>
              </w:rPr>
            </w:pPr>
          </w:p>
        </w:tc>
        <w:tc>
          <w:tcPr>
            <w:tcW w:w="50" w:type="pct"/>
            <w:shd w:val="clear" w:color="auto" w:fill="auto"/>
          </w:tcPr>
          <w:p w14:paraId="1426F6A9" w14:textId="77777777" w:rsidR="00A74A1E" w:rsidRDefault="00A74A1E">
            <w:pPr>
              <w:rPr>
                <w:rFonts w:ascii="宋体"/>
              </w:rPr>
            </w:pPr>
          </w:p>
        </w:tc>
        <w:tc>
          <w:tcPr>
            <w:tcW w:w="530" w:type="pct"/>
            <w:shd w:val="clear" w:color="auto" w:fill="auto"/>
          </w:tcPr>
          <w:p w14:paraId="1426F6AA" w14:textId="77777777" w:rsidR="00A74A1E" w:rsidRDefault="00A74A1E">
            <w:pPr>
              <w:rPr>
                <w:rFonts w:ascii="宋体"/>
              </w:rPr>
            </w:pPr>
          </w:p>
        </w:tc>
        <w:tc>
          <w:tcPr>
            <w:tcW w:w="5" w:type="pct"/>
            <w:shd w:val="clear" w:color="auto" w:fill="auto"/>
          </w:tcPr>
          <w:p w14:paraId="1426F6AB" w14:textId="77777777" w:rsidR="00A74A1E" w:rsidRDefault="00A74A1E">
            <w:pPr>
              <w:rPr>
                <w:rFonts w:ascii="宋体"/>
              </w:rPr>
            </w:pPr>
          </w:p>
        </w:tc>
      </w:tr>
      <w:tr w:rsidR="00A74A1E" w14:paraId="1426F6B1" w14:textId="77777777">
        <w:tc>
          <w:tcPr>
            <w:tcW w:w="0" w:type="auto"/>
            <w:gridSpan w:val="3"/>
            <w:shd w:val="clear" w:color="auto" w:fill="auto"/>
            <w:tcMar>
              <w:top w:w="0" w:type="dxa"/>
              <w:left w:w="20" w:type="dxa"/>
              <w:bottom w:w="0" w:type="dxa"/>
              <w:right w:w="20" w:type="dxa"/>
            </w:tcMar>
          </w:tcPr>
          <w:p w14:paraId="1426F6AD"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6AE"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6AF"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6B0"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6BA" w14:textId="77777777">
        <w:tc>
          <w:tcPr>
            <w:tcW w:w="0" w:type="auto"/>
            <w:gridSpan w:val="3"/>
            <w:shd w:val="clear" w:color="auto" w:fill="auto"/>
            <w:tcMar>
              <w:top w:w="0" w:type="dxa"/>
              <w:left w:w="20" w:type="dxa"/>
              <w:bottom w:w="0" w:type="dxa"/>
              <w:right w:w="20" w:type="dxa"/>
            </w:tcMar>
          </w:tcPr>
          <w:p w14:paraId="1426F6B2"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6B3"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6B4"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B5"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6B6"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B7"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6B8"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6B9"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6BD" w14:textId="77777777">
        <w:tc>
          <w:tcPr>
            <w:tcW w:w="0" w:type="auto"/>
            <w:gridSpan w:val="3"/>
            <w:shd w:val="clear" w:color="auto" w:fill="auto"/>
            <w:tcMar>
              <w:top w:w="0" w:type="dxa"/>
              <w:left w:w="20" w:type="dxa"/>
              <w:bottom w:w="0" w:type="dxa"/>
              <w:right w:w="20" w:type="dxa"/>
            </w:tcMar>
          </w:tcPr>
          <w:p w14:paraId="1426F6BB" w14:textId="77777777" w:rsidR="00A74A1E" w:rsidRDefault="00A74A1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F6BC"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6C6" w14:textId="77777777">
        <w:tc>
          <w:tcPr>
            <w:tcW w:w="0" w:type="auto"/>
            <w:gridSpan w:val="3"/>
            <w:shd w:val="clear" w:color="auto" w:fill="CCEEFF"/>
            <w:tcMar>
              <w:top w:w="40" w:type="dxa"/>
              <w:left w:w="20" w:type="dxa"/>
              <w:bottom w:w="40" w:type="dxa"/>
              <w:right w:w="20" w:type="dxa"/>
            </w:tcMar>
            <w:vAlign w:val="bottom"/>
          </w:tcPr>
          <w:p w14:paraId="1426F6BE" w14:textId="77777777" w:rsidR="00A74A1E" w:rsidRDefault="00807990">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tcPr>
          <w:p w14:paraId="1426F6B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6C5" w14:textId="77777777" w:rsidR="00A74A1E" w:rsidRDefault="00A74A1E">
            <w:pPr>
              <w:rPr>
                <w:rFonts w:ascii="宋体"/>
              </w:rPr>
            </w:pPr>
          </w:p>
        </w:tc>
      </w:tr>
      <w:tr w:rsidR="00A74A1E" w14:paraId="1426F6D7" w14:textId="77777777">
        <w:tc>
          <w:tcPr>
            <w:tcW w:w="0" w:type="auto"/>
            <w:gridSpan w:val="3"/>
            <w:shd w:val="clear" w:color="auto" w:fill="FFFFFF"/>
            <w:tcMar>
              <w:top w:w="40" w:type="dxa"/>
              <w:left w:w="360" w:type="dxa"/>
              <w:bottom w:w="40" w:type="dxa"/>
              <w:right w:w="20" w:type="dxa"/>
            </w:tcMar>
            <w:vAlign w:val="bottom"/>
          </w:tcPr>
          <w:p w14:paraId="1426F6C7" w14:textId="77777777" w:rsidR="00A74A1E" w:rsidRDefault="00807990">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1426F6C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6C9" w14:textId="77777777" w:rsidR="00A74A1E" w:rsidRDefault="00807990">
            <w:pPr>
              <w:jc w:val="right"/>
              <w:textAlignment w:val="bottom"/>
            </w:pPr>
            <w:r>
              <w:rPr>
                <w:rFonts w:ascii="Arial" w:eastAsia="宋体" w:hAnsi="Arial" w:cs="Arial"/>
                <w:color w:val="000000"/>
                <w:sz w:val="20"/>
                <w:szCs w:val="20"/>
              </w:rPr>
              <w:t>1,667 </w:t>
            </w:r>
          </w:p>
        </w:tc>
        <w:tc>
          <w:tcPr>
            <w:tcW w:w="0" w:type="auto"/>
            <w:shd w:val="clear" w:color="auto" w:fill="FFFFFF"/>
            <w:tcMar>
              <w:top w:w="40" w:type="dxa"/>
              <w:left w:w="0" w:type="dxa"/>
              <w:bottom w:w="40" w:type="dxa"/>
              <w:right w:w="20" w:type="dxa"/>
            </w:tcMar>
            <w:vAlign w:val="bottom"/>
          </w:tcPr>
          <w:p w14:paraId="1426F6C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CB"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6C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6CD" w14:textId="77777777" w:rsidR="00A74A1E" w:rsidRDefault="00807990">
            <w:pPr>
              <w:jc w:val="right"/>
              <w:textAlignment w:val="bottom"/>
            </w:pPr>
            <w:r>
              <w:rPr>
                <w:rFonts w:ascii="Arial" w:eastAsia="宋体" w:hAnsi="Arial" w:cs="Arial"/>
                <w:color w:val="000000"/>
                <w:sz w:val="20"/>
                <w:szCs w:val="20"/>
              </w:rPr>
              <w:t>1,276 </w:t>
            </w:r>
          </w:p>
        </w:tc>
        <w:tc>
          <w:tcPr>
            <w:tcW w:w="0" w:type="auto"/>
            <w:shd w:val="clear" w:color="auto" w:fill="FFFFFF"/>
            <w:tcMar>
              <w:top w:w="40" w:type="dxa"/>
              <w:left w:w="0" w:type="dxa"/>
              <w:bottom w:w="40" w:type="dxa"/>
              <w:right w:w="20" w:type="dxa"/>
            </w:tcMar>
            <w:vAlign w:val="bottom"/>
          </w:tcPr>
          <w:p w14:paraId="1426F6C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CF"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6D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6D1" w14:textId="77777777" w:rsidR="00A74A1E" w:rsidRDefault="00807990">
            <w:pPr>
              <w:jc w:val="right"/>
              <w:textAlignment w:val="bottom"/>
            </w:pPr>
            <w:r>
              <w:rPr>
                <w:rFonts w:ascii="Arial" w:eastAsia="宋体" w:hAnsi="Arial" w:cs="Arial"/>
                <w:color w:val="000000"/>
                <w:sz w:val="20"/>
                <w:szCs w:val="20"/>
              </w:rPr>
              <w:t>4,472 </w:t>
            </w:r>
          </w:p>
        </w:tc>
        <w:tc>
          <w:tcPr>
            <w:tcW w:w="0" w:type="auto"/>
            <w:shd w:val="clear" w:color="auto" w:fill="FFFFFF"/>
            <w:tcMar>
              <w:top w:w="40" w:type="dxa"/>
              <w:left w:w="0" w:type="dxa"/>
              <w:bottom w:w="40" w:type="dxa"/>
              <w:right w:w="20" w:type="dxa"/>
            </w:tcMar>
            <w:vAlign w:val="bottom"/>
          </w:tcPr>
          <w:p w14:paraId="1426F6D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D3"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6D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6D5" w14:textId="77777777" w:rsidR="00A74A1E" w:rsidRDefault="00807990">
            <w:pPr>
              <w:jc w:val="right"/>
              <w:textAlignment w:val="bottom"/>
            </w:pPr>
            <w:r>
              <w:rPr>
                <w:rFonts w:ascii="Arial" w:eastAsia="宋体" w:hAnsi="Arial" w:cs="Arial"/>
                <w:color w:val="000000"/>
                <w:sz w:val="20"/>
                <w:szCs w:val="20"/>
              </w:rPr>
              <w:t>3,047 </w:t>
            </w:r>
          </w:p>
        </w:tc>
        <w:tc>
          <w:tcPr>
            <w:tcW w:w="0" w:type="auto"/>
            <w:shd w:val="clear" w:color="auto" w:fill="FFFFFF"/>
            <w:tcMar>
              <w:top w:w="40" w:type="dxa"/>
              <w:left w:w="0" w:type="dxa"/>
              <w:bottom w:w="40" w:type="dxa"/>
              <w:right w:w="20" w:type="dxa"/>
            </w:tcMar>
            <w:vAlign w:val="bottom"/>
          </w:tcPr>
          <w:p w14:paraId="1426F6D6" w14:textId="77777777" w:rsidR="00A74A1E" w:rsidRDefault="00A74A1E">
            <w:pPr>
              <w:jc w:val="right"/>
              <w:rPr>
                <w:rFonts w:ascii="宋体"/>
              </w:rPr>
            </w:pPr>
          </w:p>
        </w:tc>
      </w:tr>
      <w:tr w:rsidR="00A74A1E" w14:paraId="1426F6E4" w14:textId="77777777">
        <w:tc>
          <w:tcPr>
            <w:tcW w:w="0" w:type="auto"/>
            <w:gridSpan w:val="3"/>
            <w:shd w:val="clear" w:color="auto" w:fill="CCEEFF"/>
            <w:tcMar>
              <w:top w:w="40" w:type="dxa"/>
              <w:left w:w="360" w:type="dxa"/>
              <w:bottom w:w="40" w:type="dxa"/>
              <w:right w:w="20" w:type="dxa"/>
            </w:tcMar>
            <w:vAlign w:val="bottom"/>
          </w:tcPr>
          <w:p w14:paraId="1426F6D8" w14:textId="77777777" w:rsidR="00A74A1E" w:rsidRDefault="00807990">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1426F6D9" w14:textId="77777777" w:rsidR="00A74A1E" w:rsidRDefault="00807990">
            <w:pPr>
              <w:jc w:val="right"/>
              <w:textAlignment w:val="bottom"/>
            </w:pPr>
            <w:r>
              <w:rPr>
                <w:rFonts w:ascii="Arial" w:eastAsia="宋体" w:hAnsi="Arial" w:cs="Arial"/>
                <w:color w:val="000000"/>
                <w:sz w:val="20"/>
                <w:szCs w:val="20"/>
              </w:rPr>
              <w:t>1,134 </w:t>
            </w:r>
          </w:p>
        </w:tc>
        <w:tc>
          <w:tcPr>
            <w:tcW w:w="0" w:type="auto"/>
            <w:shd w:val="clear" w:color="auto" w:fill="CCEEFF"/>
            <w:tcMar>
              <w:top w:w="40" w:type="dxa"/>
              <w:left w:w="0" w:type="dxa"/>
              <w:bottom w:w="40" w:type="dxa"/>
              <w:right w:w="20" w:type="dxa"/>
            </w:tcMar>
            <w:vAlign w:val="bottom"/>
          </w:tcPr>
          <w:p w14:paraId="1426F6D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D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DC" w14:textId="77777777" w:rsidR="00A74A1E" w:rsidRDefault="00807990">
            <w:pPr>
              <w:jc w:val="right"/>
              <w:textAlignment w:val="bottom"/>
            </w:pPr>
            <w:r>
              <w:rPr>
                <w:rFonts w:ascii="Arial" w:eastAsia="宋体" w:hAnsi="Arial" w:cs="Arial"/>
                <w:color w:val="000000"/>
                <w:sz w:val="20"/>
                <w:szCs w:val="20"/>
              </w:rPr>
              <w:t>525 </w:t>
            </w:r>
          </w:p>
        </w:tc>
        <w:tc>
          <w:tcPr>
            <w:tcW w:w="0" w:type="auto"/>
            <w:shd w:val="clear" w:color="auto" w:fill="CCEEFF"/>
            <w:tcMar>
              <w:top w:w="40" w:type="dxa"/>
              <w:left w:w="0" w:type="dxa"/>
              <w:bottom w:w="40" w:type="dxa"/>
              <w:right w:w="20" w:type="dxa"/>
            </w:tcMar>
            <w:vAlign w:val="bottom"/>
          </w:tcPr>
          <w:p w14:paraId="1426F6D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DE"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DF" w14:textId="77777777" w:rsidR="00A74A1E" w:rsidRDefault="00807990">
            <w:pPr>
              <w:jc w:val="right"/>
              <w:textAlignment w:val="bottom"/>
            </w:pPr>
            <w:r>
              <w:rPr>
                <w:rFonts w:ascii="Arial" w:eastAsia="宋体" w:hAnsi="Arial" w:cs="Arial"/>
                <w:color w:val="000000"/>
                <w:sz w:val="20"/>
                <w:szCs w:val="20"/>
              </w:rPr>
              <w:t>2,047 </w:t>
            </w:r>
          </w:p>
        </w:tc>
        <w:tc>
          <w:tcPr>
            <w:tcW w:w="0" w:type="auto"/>
            <w:shd w:val="clear" w:color="auto" w:fill="CCEEFF"/>
            <w:tcMar>
              <w:top w:w="40" w:type="dxa"/>
              <w:left w:w="0" w:type="dxa"/>
              <w:bottom w:w="40" w:type="dxa"/>
              <w:right w:w="20" w:type="dxa"/>
            </w:tcMar>
            <w:vAlign w:val="bottom"/>
          </w:tcPr>
          <w:p w14:paraId="1426F6E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6E1"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6E2" w14:textId="77777777" w:rsidR="00A74A1E" w:rsidRDefault="00807990">
            <w:pPr>
              <w:jc w:val="right"/>
              <w:textAlignment w:val="bottom"/>
            </w:pPr>
            <w:r>
              <w:rPr>
                <w:rFonts w:ascii="Arial" w:eastAsia="宋体" w:hAnsi="Arial" w:cs="Arial"/>
                <w:color w:val="000000"/>
                <w:sz w:val="20"/>
                <w:szCs w:val="20"/>
              </w:rPr>
              <w:t>1,557 </w:t>
            </w:r>
          </w:p>
        </w:tc>
        <w:tc>
          <w:tcPr>
            <w:tcW w:w="0" w:type="auto"/>
            <w:shd w:val="clear" w:color="auto" w:fill="CCEEFF"/>
            <w:tcMar>
              <w:top w:w="40" w:type="dxa"/>
              <w:left w:w="0" w:type="dxa"/>
              <w:bottom w:w="40" w:type="dxa"/>
              <w:right w:w="20" w:type="dxa"/>
            </w:tcMar>
            <w:vAlign w:val="bottom"/>
          </w:tcPr>
          <w:p w14:paraId="1426F6E3" w14:textId="77777777" w:rsidR="00A74A1E" w:rsidRDefault="00A74A1E">
            <w:pPr>
              <w:jc w:val="right"/>
              <w:rPr>
                <w:rFonts w:ascii="宋体"/>
              </w:rPr>
            </w:pPr>
          </w:p>
        </w:tc>
      </w:tr>
      <w:tr w:rsidR="00A74A1E" w14:paraId="1426F6ED" w14:textId="77777777">
        <w:trPr>
          <w:hidden/>
        </w:trPr>
        <w:tc>
          <w:tcPr>
            <w:tcW w:w="0" w:type="auto"/>
            <w:gridSpan w:val="3"/>
            <w:shd w:val="clear" w:color="auto" w:fill="auto"/>
          </w:tcPr>
          <w:p w14:paraId="1426F6E5" w14:textId="77777777" w:rsidR="00A74A1E" w:rsidRDefault="00A74A1E">
            <w:pPr>
              <w:rPr>
                <w:rFonts w:ascii="宋体"/>
                <w:vanish/>
              </w:rPr>
            </w:pPr>
          </w:p>
        </w:tc>
        <w:tc>
          <w:tcPr>
            <w:tcW w:w="0" w:type="auto"/>
            <w:gridSpan w:val="3"/>
            <w:shd w:val="clear" w:color="auto" w:fill="auto"/>
          </w:tcPr>
          <w:p w14:paraId="1426F6E6" w14:textId="77777777" w:rsidR="00A74A1E" w:rsidRDefault="00A74A1E">
            <w:pPr>
              <w:rPr>
                <w:rFonts w:ascii="宋体"/>
                <w:vanish/>
              </w:rPr>
            </w:pPr>
          </w:p>
        </w:tc>
        <w:tc>
          <w:tcPr>
            <w:tcW w:w="0" w:type="auto"/>
            <w:gridSpan w:val="3"/>
            <w:shd w:val="clear" w:color="auto" w:fill="auto"/>
          </w:tcPr>
          <w:p w14:paraId="1426F6E7" w14:textId="77777777" w:rsidR="00A74A1E" w:rsidRDefault="00A74A1E">
            <w:pPr>
              <w:rPr>
                <w:rFonts w:ascii="宋体"/>
                <w:vanish/>
              </w:rPr>
            </w:pPr>
          </w:p>
        </w:tc>
        <w:tc>
          <w:tcPr>
            <w:tcW w:w="0" w:type="auto"/>
            <w:gridSpan w:val="3"/>
            <w:shd w:val="clear" w:color="auto" w:fill="auto"/>
          </w:tcPr>
          <w:p w14:paraId="1426F6E8" w14:textId="77777777" w:rsidR="00A74A1E" w:rsidRDefault="00A74A1E">
            <w:pPr>
              <w:rPr>
                <w:rFonts w:ascii="宋体"/>
                <w:vanish/>
              </w:rPr>
            </w:pPr>
          </w:p>
        </w:tc>
        <w:tc>
          <w:tcPr>
            <w:tcW w:w="0" w:type="auto"/>
            <w:gridSpan w:val="3"/>
            <w:shd w:val="clear" w:color="auto" w:fill="auto"/>
          </w:tcPr>
          <w:p w14:paraId="1426F6E9" w14:textId="77777777" w:rsidR="00A74A1E" w:rsidRDefault="00A74A1E">
            <w:pPr>
              <w:rPr>
                <w:rFonts w:ascii="宋体"/>
                <w:vanish/>
              </w:rPr>
            </w:pPr>
          </w:p>
        </w:tc>
        <w:tc>
          <w:tcPr>
            <w:tcW w:w="0" w:type="auto"/>
            <w:gridSpan w:val="3"/>
            <w:shd w:val="clear" w:color="auto" w:fill="auto"/>
          </w:tcPr>
          <w:p w14:paraId="1426F6EA" w14:textId="77777777" w:rsidR="00A74A1E" w:rsidRDefault="00A74A1E">
            <w:pPr>
              <w:rPr>
                <w:rFonts w:ascii="宋体"/>
                <w:vanish/>
              </w:rPr>
            </w:pPr>
          </w:p>
        </w:tc>
        <w:tc>
          <w:tcPr>
            <w:tcW w:w="0" w:type="auto"/>
            <w:gridSpan w:val="3"/>
            <w:shd w:val="clear" w:color="auto" w:fill="auto"/>
          </w:tcPr>
          <w:p w14:paraId="1426F6EB" w14:textId="77777777" w:rsidR="00A74A1E" w:rsidRDefault="00A74A1E">
            <w:pPr>
              <w:rPr>
                <w:rFonts w:ascii="宋体"/>
                <w:vanish/>
              </w:rPr>
            </w:pPr>
          </w:p>
        </w:tc>
        <w:tc>
          <w:tcPr>
            <w:tcW w:w="0" w:type="auto"/>
            <w:gridSpan w:val="3"/>
            <w:shd w:val="clear" w:color="auto" w:fill="auto"/>
          </w:tcPr>
          <w:p w14:paraId="1426F6EC" w14:textId="77777777" w:rsidR="00A74A1E" w:rsidRDefault="00A74A1E">
            <w:pPr>
              <w:rPr>
                <w:rFonts w:ascii="宋体"/>
                <w:vanish/>
              </w:rPr>
            </w:pPr>
          </w:p>
        </w:tc>
      </w:tr>
      <w:tr w:rsidR="00A74A1E" w14:paraId="1426F6FE" w14:textId="77777777">
        <w:tc>
          <w:tcPr>
            <w:tcW w:w="0" w:type="auto"/>
            <w:gridSpan w:val="3"/>
            <w:shd w:val="clear" w:color="auto" w:fill="FFFFFF"/>
            <w:tcMar>
              <w:top w:w="40" w:type="dxa"/>
              <w:left w:w="20" w:type="dxa"/>
              <w:bottom w:w="40" w:type="dxa"/>
              <w:right w:w="20" w:type="dxa"/>
            </w:tcMar>
            <w:vAlign w:val="bottom"/>
          </w:tcPr>
          <w:p w14:paraId="1426F6EE" w14:textId="77777777" w:rsidR="00A74A1E" w:rsidRDefault="00807990">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1426F6EF"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6F0" w14:textId="77777777" w:rsidR="00A74A1E" w:rsidRDefault="00807990">
            <w:pPr>
              <w:jc w:val="right"/>
              <w:textAlignment w:val="bottom"/>
            </w:pPr>
            <w:r>
              <w:rPr>
                <w:rFonts w:ascii="Arial" w:eastAsia="宋体" w:hAnsi="Arial" w:cs="Arial"/>
                <w:color w:val="000000"/>
                <w:sz w:val="20"/>
                <w:szCs w:val="20"/>
              </w:rPr>
              <w:t>2,801 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6F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F2"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426F6F3" w14:textId="77777777" w:rsidR="00A74A1E" w:rsidRDefault="00807990">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426F6F4" w14:textId="77777777" w:rsidR="00A74A1E" w:rsidRDefault="00807990">
            <w:pPr>
              <w:jc w:val="right"/>
              <w:textAlignment w:val="center"/>
            </w:pPr>
            <w:r>
              <w:rPr>
                <w:rFonts w:ascii="Arial" w:eastAsia="宋体" w:hAnsi="Arial" w:cs="Arial"/>
                <w:color w:val="000000"/>
                <w:sz w:val="20"/>
                <w:szCs w:val="20"/>
              </w:rPr>
              <w:t>1,801 </w:t>
            </w:r>
          </w:p>
        </w:tc>
        <w:tc>
          <w:tcPr>
            <w:tcW w:w="0" w:type="auto"/>
            <w:tcBorders>
              <w:top w:val="single" w:sz="8" w:space="0" w:color="000000"/>
            </w:tcBorders>
            <w:shd w:val="clear" w:color="auto" w:fill="FFFFFF"/>
            <w:tcMar>
              <w:top w:w="40" w:type="dxa"/>
              <w:left w:w="0" w:type="dxa"/>
              <w:bottom w:w="40" w:type="dxa"/>
              <w:right w:w="20" w:type="dxa"/>
            </w:tcMar>
            <w:vAlign w:val="center"/>
          </w:tcPr>
          <w:p w14:paraId="1426F6F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F6"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426F6F7" w14:textId="77777777" w:rsidR="00A74A1E" w:rsidRDefault="00807990">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426F6F8" w14:textId="77777777" w:rsidR="00A74A1E" w:rsidRDefault="00807990">
            <w:pPr>
              <w:jc w:val="right"/>
              <w:textAlignment w:val="center"/>
            </w:pPr>
            <w:r>
              <w:rPr>
                <w:rFonts w:ascii="Arial" w:eastAsia="宋体" w:hAnsi="Arial" w:cs="Arial"/>
                <w:color w:val="000000"/>
                <w:sz w:val="20"/>
                <w:szCs w:val="20"/>
              </w:rPr>
              <w:t>6,519 </w:t>
            </w:r>
          </w:p>
        </w:tc>
        <w:tc>
          <w:tcPr>
            <w:tcW w:w="0" w:type="auto"/>
            <w:tcBorders>
              <w:top w:val="single" w:sz="8" w:space="0" w:color="000000"/>
            </w:tcBorders>
            <w:shd w:val="clear" w:color="auto" w:fill="FFFFFF"/>
            <w:tcMar>
              <w:top w:w="40" w:type="dxa"/>
              <w:left w:w="0" w:type="dxa"/>
              <w:bottom w:w="40" w:type="dxa"/>
              <w:right w:w="20" w:type="dxa"/>
            </w:tcMar>
            <w:vAlign w:val="center"/>
          </w:tcPr>
          <w:p w14:paraId="1426F6F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6FA"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426F6FB" w14:textId="77777777" w:rsidR="00A74A1E" w:rsidRDefault="00807990">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426F6FC" w14:textId="77777777" w:rsidR="00A74A1E" w:rsidRDefault="00807990">
            <w:pPr>
              <w:jc w:val="right"/>
              <w:textAlignment w:val="center"/>
            </w:pPr>
            <w:r>
              <w:rPr>
                <w:rFonts w:ascii="Arial" w:eastAsia="宋体" w:hAnsi="Arial" w:cs="Arial"/>
                <w:color w:val="000000"/>
                <w:sz w:val="20"/>
                <w:szCs w:val="20"/>
              </w:rPr>
              <w:t>4,604 </w:t>
            </w:r>
          </w:p>
        </w:tc>
        <w:tc>
          <w:tcPr>
            <w:tcW w:w="0" w:type="auto"/>
            <w:tcBorders>
              <w:top w:val="single" w:sz="8" w:space="0" w:color="000000"/>
            </w:tcBorders>
            <w:shd w:val="clear" w:color="auto" w:fill="FFFFFF"/>
            <w:tcMar>
              <w:top w:w="40" w:type="dxa"/>
              <w:left w:w="0" w:type="dxa"/>
              <w:bottom w:w="40" w:type="dxa"/>
              <w:right w:w="20" w:type="dxa"/>
            </w:tcMar>
            <w:vAlign w:val="center"/>
          </w:tcPr>
          <w:p w14:paraId="1426F6FD" w14:textId="77777777" w:rsidR="00A74A1E" w:rsidRDefault="00A74A1E">
            <w:pPr>
              <w:jc w:val="right"/>
              <w:rPr>
                <w:rFonts w:ascii="宋体"/>
              </w:rPr>
            </w:pPr>
          </w:p>
        </w:tc>
      </w:tr>
      <w:tr w:rsidR="00A74A1E" w14:paraId="1426F707" w14:textId="77777777">
        <w:tc>
          <w:tcPr>
            <w:tcW w:w="0" w:type="auto"/>
            <w:gridSpan w:val="3"/>
            <w:shd w:val="clear" w:color="auto" w:fill="CCEEFF"/>
            <w:tcMar>
              <w:top w:w="40" w:type="dxa"/>
              <w:left w:w="20" w:type="dxa"/>
              <w:bottom w:w="40" w:type="dxa"/>
              <w:right w:w="20" w:type="dxa"/>
            </w:tcMar>
            <w:vAlign w:val="bottom"/>
          </w:tcPr>
          <w:p w14:paraId="1426F6FF" w14:textId="77777777" w:rsidR="00A74A1E" w:rsidRDefault="00807990">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tcPr>
          <w:p w14:paraId="1426F70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01"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F70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03"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F70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05" w14:textId="77777777" w:rsidR="00A74A1E" w:rsidRDefault="00A74A1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426F706" w14:textId="77777777" w:rsidR="00A74A1E" w:rsidRDefault="00807990">
            <w:pPr>
              <w:textAlignment w:val="bottom"/>
            </w:pPr>
            <w:r>
              <w:rPr>
                <w:rFonts w:ascii="Arial" w:eastAsia="宋体" w:hAnsi="Arial" w:cs="Arial"/>
                <w:color w:val="000000"/>
                <w:sz w:val="20"/>
                <w:szCs w:val="20"/>
              </w:rPr>
              <w:t> </w:t>
            </w:r>
          </w:p>
        </w:tc>
      </w:tr>
      <w:tr w:rsidR="00A74A1E" w14:paraId="1426F718" w14:textId="77777777">
        <w:tc>
          <w:tcPr>
            <w:tcW w:w="0" w:type="auto"/>
            <w:gridSpan w:val="3"/>
            <w:shd w:val="clear" w:color="auto" w:fill="FFFFFF"/>
            <w:tcMar>
              <w:top w:w="40" w:type="dxa"/>
              <w:left w:w="360" w:type="dxa"/>
              <w:bottom w:w="40" w:type="dxa"/>
              <w:right w:w="20" w:type="dxa"/>
            </w:tcMar>
            <w:vAlign w:val="bottom"/>
          </w:tcPr>
          <w:p w14:paraId="1426F708" w14:textId="77777777" w:rsidR="00A74A1E" w:rsidRDefault="00807990">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1426F70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0A" w14:textId="77777777" w:rsidR="00A74A1E" w:rsidRDefault="00807990">
            <w:pPr>
              <w:jc w:val="right"/>
              <w:textAlignment w:val="bottom"/>
            </w:pPr>
            <w:r>
              <w:rPr>
                <w:rFonts w:ascii="Arial" w:eastAsia="宋体" w:hAnsi="Arial" w:cs="Arial"/>
                <w:color w:val="000000"/>
                <w:sz w:val="20"/>
                <w:szCs w:val="20"/>
              </w:rPr>
              <w:t>384 </w:t>
            </w:r>
          </w:p>
        </w:tc>
        <w:tc>
          <w:tcPr>
            <w:tcW w:w="0" w:type="auto"/>
            <w:shd w:val="clear" w:color="auto" w:fill="FFFFFF"/>
            <w:tcMar>
              <w:top w:w="40" w:type="dxa"/>
              <w:left w:w="0" w:type="dxa"/>
              <w:bottom w:w="40" w:type="dxa"/>
              <w:right w:w="20" w:type="dxa"/>
            </w:tcMar>
            <w:vAlign w:val="bottom"/>
          </w:tcPr>
          <w:p w14:paraId="1426F70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0C"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0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0E" w14:textId="77777777" w:rsidR="00A74A1E" w:rsidRDefault="00807990">
            <w:pPr>
              <w:jc w:val="right"/>
              <w:textAlignment w:val="bottom"/>
            </w:pPr>
            <w:r>
              <w:rPr>
                <w:rFonts w:ascii="Arial" w:eastAsia="宋体" w:hAnsi="Arial" w:cs="Arial"/>
                <w:color w:val="000000"/>
                <w:sz w:val="20"/>
                <w:szCs w:val="20"/>
              </w:rPr>
              <w:t>179 </w:t>
            </w:r>
          </w:p>
        </w:tc>
        <w:tc>
          <w:tcPr>
            <w:tcW w:w="0" w:type="auto"/>
            <w:shd w:val="clear" w:color="auto" w:fill="FFFFFF"/>
            <w:tcMar>
              <w:top w:w="40" w:type="dxa"/>
              <w:left w:w="0" w:type="dxa"/>
              <w:bottom w:w="40" w:type="dxa"/>
              <w:right w:w="20" w:type="dxa"/>
            </w:tcMar>
            <w:vAlign w:val="bottom"/>
          </w:tcPr>
          <w:p w14:paraId="1426F70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10"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1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12" w14:textId="77777777" w:rsidR="00A74A1E" w:rsidRDefault="00807990">
            <w:pPr>
              <w:jc w:val="right"/>
              <w:textAlignment w:val="bottom"/>
            </w:pPr>
            <w:r>
              <w:rPr>
                <w:rFonts w:ascii="Arial" w:eastAsia="宋体" w:hAnsi="Arial" w:cs="Arial"/>
                <w:color w:val="000000"/>
                <w:sz w:val="20"/>
                <w:szCs w:val="20"/>
              </w:rPr>
              <w:t>846 </w:t>
            </w:r>
          </w:p>
        </w:tc>
        <w:tc>
          <w:tcPr>
            <w:tcW w:w="0" w:type="auto"/>
            <w:shd w:val="clear" w:color="auto" w:fill="FFFFFF"/>
            <w:tcMar>
              <w:top w:w="40" w:type="dxa"/>
              <w:left w:w="0" w:type="dxa"/>
              <w:bottom w:w="40" w:type="dxa"/>
              <w:right w:w="20" w:type="dxa"/>
            </w:tcMar>
            <w:vAlign w:val="bottom"/>
          </w:tcPr>
          <w:p w14:paraId="1426F71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14"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1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16" w14:textId="77777777" w:rsidR="00A74A1E" w:rsidRDefault="00807990">
            <w:pPr>
              <w:jc w:val="right"/>
              <w:textAlignment w:val="bottom"/>
            </w:pPr>
            <w:r>
              <w:rPr>
                <w:rFonts w:ascii="Arial" w:eastAsia="宋体" w:hAnsi="Arial" w:cs="Arial"/>
                <w:color w:val="000000"/>
                <w:sz w:val="20"/>
                <w:szCs w:val="20"/>
              </w:rPr>
              <w:t>217 </w:t>
            </w:r>
          </w:p>
        </w:tc>
        <w:tc>
          <w:tcPr>
            <w:tcW w:w="0" w:type="auto"/>
            <w:shd w:val="clear" w:color="auto" w:fill="FFFFFF"/>
            <w:tcMar>
              <w:top w:w="40" w:type="dxa"/>
              <w:left w:w="0" w:type="dxa"/>
              <w:bottom w:w="40" w:type="dxa"/>
              <w:right w:w="20" w:type="dxa"/>
            </w:tcMar>
            <w:vAlign w:val="bottom"/>
          </w:tcPr>
          <w:p w14:paraId="1426F717" w14:textId="77777777" w:rsidR="00A74A1E" w:rsidRDefault="00A74A1E">
            <w:pPr>
              <w:jc w:val="right"/>
              <w:rPr>
                <w:rFonts w:ascii="宋体"/>
              </w:rPr>
            </w:pPr>
          </w:p>
        </w:tc>
      </w:tr>
      <w:tr w:rsidR="00A74A1E" w14:paraId="1426F725" w14:textId="77777777">
        <w:tc>
          <w:tcPr>
            <w:tcW w:w="0" w:type="auto"/>
            <w:gridSpan w:val="3"/>
            <w:shd w:val="clear" w:color="auto" w:fill="CCEEFF"/>
            <w:tcMar>
              <w:top w:w="40" w:type="dxa"/>
              <w:left w:w="360" w:type="dxa"/>
              <w:bottom w:w="40" w:type="dxa"/>
              <w:right w:w="20" w:type="dxa"/>
            </w:tcMar>
            <w:vAlign w:val="bottom"/>
          </w:tcPr>
          <w:p w14:paraId="1426F719" w14:textId="77777777" w:rsidR="00A74A1E" w:rsidRDefault="00807990">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1426F71A" w14:textId="77777777" w:rsidR="00A74A1E" w:rsidRDefault="00807990">
            <w:pPr>
              <w:jc w:val="right"/>
              <w:textAlignment w:val="bottom"/>
            </w:pPr>
            <w:r>
              <w:rPr>
                <w:rFonts w:ascii="Arial" w:eastAsia="宋体" w:hAnsi="Arial" w:cs="Arial"/>
                <w:color w:val="000000"/>
                <w:sz w:val="20"/>
                <w:szCs w:val="20"/>
              </w:rPr>
              <w:t>141 </w:t>
            </w:r>
          </w:p>
        </w:tc>
        <w:tc>
          <w:tcPr>
            <w:tcW w:w="0" w:type="auto"/>
            <w:shd w:val="clear" w:color="auto" w:fill="CCEEFF"/>
            <w:tcMar>
              <w:top w:w="40" w:type="dxa"/>
              <w:left w:w="0" w:type="dxa"/>
              <w:bottom w:w="40" w:type="dxa"/>
              <w:right w:w="20" w:type="dxa"/>
            </w:tcMar>
            <w:vAlign w:val="bottom"/>
          </w:tcPr>
          <w:p w14:paraId="1426F71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1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1D" w14:textId="77777777" w:rsidR="00A74A1E" w:rsidRDefault="00807990">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1426F71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1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20" w14:textId="77777777" w:rsidR="00A74A1E" w:rsidRDefault="00807990">
            <w:pPr>
              <w:jc w:val="right"/>
              <w:textAlignment w:val="bottom"/>
            </w:pPr>
            <w:r>
              <w:rPr>
                <w:rFonts w:ascii="Arial" w:eastAsia="宋体" w:hAnsi="Arial" w:cs="Arial"/>
                <w:color w:val="000000"/>
                <w:sz w:val="20"/>
                <w:szCs w:val="20"/>
              </w:rPr>
              <w:t>148 </w:t>
            </w:r>
          </w:p>
        </w:tc>
        <w:tc>
          <w:tcPr>
            <w:tcW w:w="0" w:type="auto"/>
            <w:shd w:val="clear" w:color="auto" w:fill="CCEEFF"/>
            <w:tcMar>
              <w:top w:w="40" w:type="dxa"/>
              <w:left w:w="0" w:type="dxa"/>
              <w:bottom w:w="40" w:type="dxa"/>
              <w:right w:w="20" w:type="dxa"/>
            </w:tcMar>
            <w:vAlign w:val="bottom"/>
          </w:tcPr>
          <w:p w14:paraId="1426F72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2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23" w14:textId="77777777" w:rsidR="00A74A1E" w:rsidRDefault="00807990">
            <w:pPr>
              <w:jc w:val="right"/>
              <w:textAlignment w:val="bottom"/>
            </w:pPr>
            <w:r>
              <w:rPr>
                <w:rFonts w:ascii="Arial" w:eastAsia="宋体" w:hAnsi="Arial" w:cs="Arial"/>
                <w:color w:val="000000"/>
                <w:sz w:val="20"/>
                <w:szCs w:val="20"/>
              </w:rPr>
              <w:t>218 </w:t>
            </w:r>
          </w:p>
        </w:tc>
        <w:tc>
          <w:tcPr>
            <w:tcW w:w="0" w:type="auto"/>
            <w:shd w:val="clear" w:color="auto" w:fill="CCEEFF"/>
            <w:tcMar>
              <w:top w:w="40" w:type="dxa"/>
              <w:left w:w="0" w:type="dxa"/>
              <w:bottom w:w="40" w:type="dxa"/>
              <w:right w:w="20" w:type="dxa"/>
            </w:tcMar>
            <w:vAlign w:val="bottom"/>
          </w:tcPr>
          <w:p w14:paraId="1426F724" w14:textId="77777777" w:rsidR="00A74A1E" w:rsidRDefault="00A74A1E">
            <w:pPr>
              <w:jc w:val="right"/>
              <w:rPr>
                <w:rFonts w:ascii="宋体"/>
              </w:rPr>
            </w:pPr>
          </w:p>
        </w:tc>
      </w:tr>
      <w:tr w:rsidR="00A74A1E" w14:paraId="1426F732" w14:textId="77777777">
        <w:tc>
          <w:tcPr>
            <w:tcW w:w="0" w:type="auto"/>
            <w:gridSpan w:val="3"/>
            <w:shd w:val="clear" w:color="auto" w:fill="FFFFFF"/>
            <w:tcMar>
              <w:top w:w="40" w:type="dxa"/>
              <w:left w:w="20" w:type="dxa"/>
              <w:bottom w:w="40" w:type="dxa"/>
              <w:right w:w="20" w:type="dxa"/>
            </w:tcMar>
            <w:vAlign w:val="bottom"/>
          </w:tcPr>
          <w:p w14:paraId="1426F726" w14:textId="77777777" w:rsidR="00A74A1E" w:rsidRDefault="00807990">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426F727" w14:textId="77777777" w:rsidR="00A74A1E" w:rsidRDefault="00807990">
            <w:pPr>
              <w:jc w:val="right"/>
              <w:textAlignment w:val="bottom"/>
            </w:pPr>
            <w:r>
              <w:rPr>
                <w:rFonts w:ascii="Arial" w:eastAsia="宋体"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1426F72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29"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72A" w14:textId="77777777" w:rsidR="00A74A1E" w:rsidRDefault="00807990">
            <w:pPr>
              <w:jc w:val="right"/>
              <w:textAlignment w:val="bottom"/>
            </w:pPr>
            <w:r>
              <w:rPr>
                <w:rFonts w:ascii="Arial" w:eastAsia="宋体" w:hAnsi="Arial" w:cs="Arial"/>
                <w:color w:val="000000"/>
                <w:sz w:val="20"/>
                <w:szCs w:val="20"/>
              </w:rPr>
              <w:t>(54)</w:t>
            </w:r>
          </w:p>
        </w:tc>
        <w:tc>
          <w:tcPr>
            <w:tcW w:w="0" w:type="auto"/>
            <w:shd w:val="clear" w:color="auto" w:fill="FFFFFF"/>
            <w:tcMar>
              <w:top w:w="40" w:type="dxa"/>
              <w:left w:w="0" w:type="dxa"/>
              <w:bottom w:w="40" w:type="dxa"/>
              <w:right w:w="20" w:type="dxa"/>
            </w:tcMar>
            <w:vAlign w:val="bottom"/>
          </w:tcPr>
          <w:p w14:paraId="1426F72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2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72D" w14:textId="77777777" w:rsidR="00A74A1E" w:rsidRDefault="00807990">
            <w:pPr>
              <w:jc w:val="right"/>
              <w:textAlignment w:val="bottom"/>
            </w:pPr>
            <w:r>
              <w:rPr>
                <w:rFonts w:ascii="Arial" w:eastAsia="宋体" w:hAnsi="Arial" w:cs="Arial"/>
                <w:color w:val="000000"/>
                <w:sz w:val="20"/>
                <w:szCs w:val="20"/>
              </w:rPr>
              <w:t>(195)</w:t>
            </w:r>
          </w:p>
        </w:tc>
        <w:tc>
          <w:tcPr>
            <w:tcW w:w="0" w:type="auto"/>
            <w:shd w:val="clear" w:color="auto" w:fill="FFFFFF"/>
            <w:tcMar>
              <w:top w:w="40" w:type="dxa"/>
              <w:left w:w="0" w:type="dxa"/>
              <w:bottom w:w="40" w:type="dxa"/>
              <w:right w:w="20" w:type="dxa"/>
            </w:tcMar>
            <w:vAlign w:val="bottom"/>
          </w:tcPr>
          <w:p w14:paraId="1426F72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2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730" w14:textId="77777777" w:rsidR="00A74A1E" w:rsidRDefault="00807990">
            <w:pPr>
              <w:jc w:val="right"/>
              <w:textAlignment w:val="bottom"/>
            </w:pPr>
            <w:r>
              <w:rPr>
                <w:rFonts w:ascii="Arial" w:eastAsia="宋体" w:hAnsi="Arial" w:cs="Arial"/>
                <w:color w:val="000000"/>
                <w:sz w:val="20"/>
                <w:szCs w:val="20"/>
              </w:rPr>
              <w:t>(152)</w:t>
            </w:r>
          </w:p>
        </w:tc>
        <w:tc>
          <w:tcPr>
            <w:tcW w:w="0" w:type="auto"/>
            <w:shd w:val="clear" w:color="auto" w:fill="FFFFFF"/>
            <w:tcMar>
              <w:top w:w="40" w:type="dxa"/>
              <w:left w:w="0" w:type="dxa"/>
              <w:bottom w:w="40" w:type="dxa"/>
              <w:right w:w="20" w:type="dxa"/>
            </w:tcMar>
            <w:vAlign w:val="bottom"/>
          </w:tcPr>
          <w:p w14:paraId="1426F731" w14:textId="77777777" w:rsidR="00A74A1E" w:rsidRDefault="00A74A1E">
            <w:pPr>
              <w:jc w:val="right"/>
              <w:rPr>
                <w:rFonts w:ascii="宋体"/>
              </w:rPr>
            </w:pPr>
          </w:p>
        </w:tc>
      </w:tr>
      <w:tr w:rsidR="00A74A1E" w14:paraId="1426F743" w14:textId="77777777">
        <w:tc>
          <w:tcPr>
            <w:tcW w:w="0" w:type="auto"/>
            <w:gridSpan w:val="3"/>
            <w:shd w:val="clear" w:color="auto" w:fill="CCEEFF"/>
            <w:tcMar>
              <w:top w:w="40" w:type="dxa"/>
              <w:left w:w="20" w:type="dxa"/>
              <w:bottom w:w="40" w:type="dxa"/>
              <w:right w:w="20" w:type="dxa"/>
            </w:tcMar>
            <w:vAlign w:val="bottom"/>
          </w:tcPr>
          <w:p w14:paraId="1426F733" w14:textId="77777777" w:rsidR="00A74A1E" w:rsidRDefault="00807990">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73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735" w14:textId="77777777" w:rsidR="00A74A1E" w:rsidRDefault="00807990">
            <w:pPr>
              <w:jc w:val="right"/>
              <w:textAlignment w:val="bottom"/>
            </w:pPr>
            <w:r>
              <w:rPr>
                <w:rFonts w:ascii="Arial" w:eastAsia="宋体" w:hAnsi="Arial" w:cs="Arial"/>
                <w:color w:val="000000"/>
                <w:sz w:val="20"/>
                <w:szCs w:val="20"/>
              </w:rPr>
              <w:t>449 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73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37"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73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739" w14:textId="77777777" w:rsidR="00A74A1E" w:rsidRDefault="00807990">
            <w:pPr>
              <w:jc w:val="right"/>
              <w:textAlignment w:val="bottom"/>
            </w:pPr>
            <w:r>
              <w:rPr>
                <w:rFonts w:ascii="Arial" w:eastAsia="宋体" w:hAnsi="Arial" w:cs="Arial"/>
                <w:color w:val="000000"/>
                <w:sz w:val="20"/>
                <w:szCs w:val="20"/>
              </w:rPr>
              <w:t>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73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3B"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73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73D" w14:textId="77777777" w:rsidR="00A74A1E" w:rsidRDefault="00807990">
            <w:pPr>
              <w:jc w:val="right"/>
              <w:textAlignment w:val="bottom"/>
            </w:pPr>
            <w:r>
              <w:rPr>
                <w:rFonts w:ascii="Arial" w:eastAsia="宋体" w:hAnsi="Arial" w:cs="Arial"/>
                <w:color w:val="000000"/>
                <w:sz w:val="20"/>
                <w:szCs w:val="20"/>
              </w:rPr>
              <w:t>799 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73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3F"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74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741" w14:textId="77777777" w:rsidR="00A74A1E" w:rsidRDefault="00807990">
            <w:pPr>
              <w:jc w:val="right"/>
              <w:textAlignment w:val="bottom"/>
            </w:pPr>
            <w:r>
              <w:rPr>
                <w:rFonts w:ascii="Arial" w:eastAsia="宋体" w:hAnsi="Arial" w:cs="Arial"/>
                <w:color w:val="000000"/>
                <w:sz w:val="20"/>
                <w:szCs w:val="20"/>
              </w:rPr>
              <w:t>283 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742" w14:textId="77777777" w:rsidR="00A74A1E" w:rsidRDefault="00A74A1E">
            <w:pPr>
              <w:jc w:val="right"/>
              <w:rPr>
                <w:rFonts w:ascii="宋体"/>
              </w:rPr>
            </w:pPr>
          </w:p>
        </w:tc>
      </w:tr>
    </w:tbl>
    <w:p w14:paraId="1426F744" w14:textId="77777777" w:rsidR="00A74A1E" w:rsidRDefault="00A74A1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A74A1E" w14:paraId="1426F74B" w14:textId="77777777">
        <w:tc>
          <w:tcPr>
            <w:tcW w:w="50" w:type="pct"/>
            <w:shd w:val="clear" w:color="auto" w:fill="auto"/>
          </w:tcPr>
          <w:p w14:paraId="1426F745" w14:textId="77777777" w:rsidR="00A74A1E" w:rsidRDefault="00A74A1E">
            <w:pPr>
              <w:rPr>
                <w:rFonts w:ascii="宋体"/>
              </w:rPr>
            </w:pPr>
          </w:p>
        </w:tc>
        <w:tc>
          <w:tcPr>
            <w:tcW w:w="171" w:type="pct"/>
            <w:shd w:val="clear" w:color="auto" w:fill="auto"/>
          </w:tcPr>
          <w:p w14:paraId="1426F746" w14:textId="77777777" w:rsidR="00A74A1E" w:rsidRDefault="00A74A1E">
            <w:pPr>
              <w:rPr>
                <w:rFonts w:ascii="宋体"/>
              </w:rPr>
            </w:pPr>
          </w:p>
        </w:tc>
        <w:tc>
          <w:tcPr>
            <w:tcW w:w="5" w:type="pct"/>
            <w:shd w:val="clear" w:color="auto" w:fill="auto"/>
          </w:tcPr>
          <w:p w14:paraId="1426F747" w14:textId="77777777" w:rsidR="00A74A1E" w:rsidRDefault="00A74A1E">
            <w:pPr>
              <w:rPr>
                <w:rFonts w:ascii="宋体"/>
              </w:rPr>
            </w:pPr>
          </w:p>
        </w:tc>
        <w:tc>
          <w:tcPr>
            <w:tcW w:w="50" w:type="pct"/>
            <w:shd w:val="clear" w:color="auto" w:fill="auto"/>
          </w:tcPr>
          <w:p w14:paraId="1426F748" w14:textId="77777777" w:rsidR="00A74A1E" w:rsidRDefault="00A74A1E">
            <w:pPr>
              <w:rPr>
                <w:rFonts w:ascii="宋体"/>
              </w:rPr>
            </w:pPr>
          </w:p>
        </w:tc>
        <w:tc>
          <w:tcPr>
            <w:tcW w:w="4718" w:type="pct"/>
            <w:shd w:val="clear" w:color="auto" w:fill="auto"/>
          </w:tcPr>
          <w:p w14:paraId="1426F749" w14:textId="77777777" w:rsidR="00A74A1E" w:rsidRDefault="00A74A1E">
            <w:pPr>
              <w:rPr>
                <w:rFonts w:ascii="宋体"/>
              </w:rPr>
            </w:pPr>
          </w:p>
        </w:tc>
        <w:tc>
          <w:tcPr>
            <w:tcW w:w="5" w:type="pct"/>
            <w:shd w:val="clear" w:color="auto" w:fill="auto"/>
          </w:tcPr>
          <w:p w14:paraId="1426F74A" w14:textId="77777777" w:rsidR="00A74A1E" w:rsidRDefault="00A74A1E">
            <w:pPr>
              <w:rPr>
                <w:rFonts w:ascii="宋体"/>
              </w:rPr>
            </w:pPr>
          </w:p>
        </w:tc>
      </w:tr>
      <w:tr w:rsidR="00A74A1E" w14:paraId="1426F750" w14:textId="77777777">
        <w:tc>
          <w:tcPr>
            <w:tcW w:w="0" w:type="auto"/>
            <w:gridSpan w:val="3"/>
            <w:shd w:val="clear" w:color="auto" w:fill="auto"/>
            <w:tcMar>
              <w:top w:w="40" w:type="dxa"/>
              <w:left w:w="20" w:type="dxa"/>
              <w:bottom w:w="40" w:type="dxa"/>
              <w:right w:w="20" w:type="dxa"/>
            </w:tcMar>
          </w:tcPr>
          <w:p w14:paraId="1426F74C" w14:textId="77777777" w:rsidR="00A74A1E" w:rsidRDefault="00807990">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1426F74D" w14:textId="77777777" w:rsidR="00A74A1E" w:rsidRDefault="00807990">
            <w:pPr>
              <w:jc w:val="both"/>
              <w:textAlignment w:val="top"/>
            </w:pPr>
            <w:r>
              <w:rPr>
                <w:rFonts w:ascii="Arial" w:eastAsia="宋体" w:hAnsi="Arial" w:cs="Arial"/>
                <w:color w:val="000000"/>
                <w:sz w:val="18"/>
                <w:szCs w:val="18"/>
              </w:rPr>
              <w:t xml:space="preserve">For both the three months ended September 26, 2020 and September 28, 2019, all Other </w:t>
            </w:r>
            <w:r>
              <w:rPr>
                <w:rFonts w:ascii="Arial" w:eastAsia="宋体" w:hAnsi="Arial" w:cs="Arial"/>
                <w:color w:val="000000"/>
                <w:sz w:val="18"/>
                <w:szCs w:val="18"/>
              </w:rPr>
              <w:t>operating losses were related to stock-based compensation expense.</w:t>
            </w:r>
          </w:p>
          <w:p w14:paraId="1426F74E" w14:textId="77777777" w:rsidR="00A74A1E" w:rsidRDefault="00A74A1E">
            <w:pPr>
              <w:jc w:val="both"/>
              <w:textAlignment w:val="top"/>
            </w:pPr>
          </w:p>
          <w:p w14:paraId="1426F74F" w14:textId="77777777" w:rsidR="00A74A1E" w:rsidRDefault="00807990">
            <w:pPr>
              <w:jc w:val="both"/>
              <w:textAlignment w:val="top"/>
            </w:pPr>
            <w:r>
              <w:rPr>
                <w:rFonts w:ascii="Arial" w:eastAsia="宋体" w:hAnsi="Arial" w:cs="Arial"/>
                <w:color w:val="000000"/>
                <w:sz w:val="18"/>
                <w:szCs w:val="18"/>
              </w:rPr>
              <w:t>For the nine months ended September 26, 2020, All Other operating loss was related to stock-based compensation expense. All Other operating loss of $152 million for the nine months ended S</w:t>
            </w:r>
            <w:r>
              <w:rPr>
                <w:rFonts w:ascii="Arial" w:eastAsia="宋体" w:hAnsi="Arial" w:cs="Arial"/>
                <w:color w:val="000000"/>
                <w:sz w:val="18"/>
                <w:szCs w:val="18"/>
              </w:rPr>
              <w:t xml:space="preserve">eptember 28, 2019 consisted of $140 million stock-based compensation expense and a $12 million contingent loss accrual on a legal matter. </w:t>
            </w:r>
          </w:p>
        </w:tc>
      </w:tr>
    </w:tbl>
    <w:p w14:paraId="1426F751" w14:textId="77777777" w:rsidR="00A74A1E" w:rsidRDefault="00A74A1E">
      <w:pPr>
        <w:jc w:val="both"/>
      </w:pPr>
    </w:p>
    <w:p w14:paraId="1426F752" w14:textId="77777777" w:rsidR="00A74A1E" w:rsidRDefault="00807990">
      <w:r>
        <w:rPr>
          <w:rFonts w:ascii="Arial" w:eastAsia="宋体" w:hAnsi="Arial" w:cs="Arial"/>
          <w:b/>
          <w:bCs/>
          <w:color w:val="000000"/>
          <w:sz w:val="20"/>
          <w:szCs w:val="20"/>
        </w:rPr>
        <w:t>NOTE 11. Contingencies</w:t>
      </w:r>
    </w:p>
    <w:p w14:paraId="1426F753" w14:textId="77777777" w:rsidR="00A74A1E" w:rsidRDefault="00807990">
      <w:pPr>
        <w:spacing w:before="180"/>
        <w:ind w:firstLine="450"/>
      </w:pPr>
      <w:r>
        <w:rPr>
          <w:rFonts w:ascii="Arial" w:eastAsia="宋体" w:hAnsi="Arial" w:cs="Arial"/>
          <w:b/>
          <w:bCs/>
          <w:i/>
          <w:iCs/>
          <w:color w:val="000000"/>
          <w:sz w:val="20"/>
          <w:szCs w:val="20"/>
        </w:rPr>
        <w:t>Shareholder Derivative Lawsuits (Wessels, Hamilton and Ha)</w:t>
      </w:r>
    </w:p>
    <w:p w14:paraId="1426F754" w14:textId="77777777" w:rsidR="00A74A1E" w:rsidRDefault="00A74A1E">
      <w:pPr>
        <w:ind w:firstLine="450"/>
        <w:jc w:val="both"/>
      </w:pPr>
    </w:p>
    <w:p w14:paraId="1426F755" w14:textId="77777777" w:rsidR="00A74A1E" w:rsidRDefault="00807990">
      <w:pPr>
        <w:ind w:firstLine="450"/>
        <w:jc w:val="both"/>
      </w:pPr>
      <w:r>
        <w:rPr>
          <w:rFonts w:ascii="Arial" w:eastAsia="宋体" w:hAnsi="Arial" w:cs="Arial"/>
          <w:color w:val="000000"/>
          <w:sz w:val="20"/>
          <w:szCs w:val="20"/>
        </w:rPr>
        <w:t xml:space="preserve">On March 20, 2014, a </w:t>
      </w:r>
      <w:r>
        <w:rPr>
          <w:rFonts w:ascii="Arial" w:eastAsia="宋体" w:hAnsi="Arial" w:cs="Arial"/>
          <w:color w:val="000000"/>
          <w:sz w:val="20"/>
          <w:szCs w:val="20"/>
        </w:rPr>
        <w:t xml:space="preserve">purported shareholder derivative lawsuit captioned Wessels v. Read, et al., Case No. 1:14 cv-262486 (Wessels) was filed against the Company (as a nominal defendant only) and certain of its directors and officers in the Santa Clara County Superior Court of </w:t>
      </w:r>
      <w:r>
        <w:rPr>
          <w:rFonts w:ascii="Arial" w:eastAsia="宋体" w:hAnsi="Arial" w:cs="Arial"/>
          <w:color w:val="000000"/>
          <w:sz w:val="20"/>
          <w:szCs w:val="20"/>
        </w:rPr>
        <w:t>the State of California. The complaint purports to assert claims against the Company and certain individual directors and officers for breach of fiduciary duty, waste of corporate assets and unjust enrichment. The complaint seeks damages allegedly caused b</w:t>
      </w:r>
      <w:r>
        <w:rPr>
          <w:rFonts w:ascii="Arial" w:eastAsia="宋体" w:hAnsi="Arial" w:cs="Arial"/>
          <w:color w:val="000000"/>
          <w:sz w:val="20"/>
          <w:szCs w:val="20"/>
        </w:rPr>
        <w:t>y alleged materially misleading statements and/or material omissions by the Company and the individual directors and officers regarding its 32nm technology and “Llano” product, which statements and omissions, the plaintiffs claim, allegedly operated to art</w:t>
      </w:r>
      <w:r>
        <w:rPr>
          <w:rFonts w:ascii="Arial" w:eastAsia="宋体" w:hAnsi="Arial" w:cs="Arial"/>
          <w:color w:val="000000"/>
          <w:sz w:val="20"/>
          <w:szCs w:val="20"/>
        </w:rPr>
        <w:t xml:space="preserve">ificially inflate the price paid for the Company’s common stock during the period. On April 27, 2015, a similar purported shareholder derivative lawsuit captioned Christopher Hamilton and David Hamilton v. Barnes, et al., Case No. 5:15-cv-01890 (Hamilton) </w:t>
      </w:r>
      <w:r>
        <w:rPr>
          <w:rFonts w:ascii="Arial" w:eastAsia="宋体" w:hAnsi="Arial" w:cs="Arial"/>
          <w:color w:val="000000"/>
          <w:sz w:val="20"/>
          <w:szCs w:val="20"/>
        </w:rPr>
        <w:t>was filed against the Company (as a nominal defendant only) and certain of its directors and officers in the United States District Court for the Northern District of California.</w:t>
      </w:r>
    </w:p>
    <w:p w14:paraId="1426F756" w14:textId="77777777" w:rsidR="00A74A1E" w:rsidRDefault="00A74A1E">
      <w:pPr>
        <w:ind w:firstLine="450"/>
        <w:jc w:val="both"/>
      </w:pPr>
    </w:p>
    <w:p w14:paraId="1426F757" w14:textId="77777777" w:rsidR="00A74A1E" w:rsidRDefault="00807990">
      <w:pPr>
        <w:ind w:firstLine="450"/>
        <w:jc w:val="both"/>
      </w:pPr>
      <w:r>
        <w:rPr>
          <w:rFonts w:ascii="Arial" w:eastAsia="宋体" w:hAnsi="Arial" w:cs="Arial"/>
          <w:color w:val="000000"/>
          <w:sz w:val="20"/>
          <w:szCs w:val="20"/>
        </w:rPr>
        <w:t>On September 29, 2015, a similar purported shareholder derivative lawsuit ca</w:t>
      </w:r>
      <w:r>
        <w:rPr>
          <w:rFonts w:ascii="Arial" w:eastAsia="宋体" w:hAnsi="Arial" w:cs="Arial"/>
          <w:color w:val="000000"/>
          <w:sz w:val="20"/>
          <w:szCs w:val="20"/>
        </w:rPr>
        <w:t>ptioned Jake Ha v Caldwell, et al., Case No. 3:15-cv-04485 (Ha) was filed against the Company (as a nominal defendant only) and certain of its directors and officers in the United States District Court for the Northern District of California. The lawsuit a</w:t>
      </w:r>
      <w:r>
        <w:rPr>
          <w:rFonts w:ascii="Arial" w:eastAsia="宋体" w:hAnsi="Arial" w:cs="Arial"/>
          <w:color w:val="000000"/>
          <w:sz w:val="20"/>
          <w:szCs w:val="20"/>
        </w:rPr>
        <w:t>lso seeks a court order voiding the stockholder vote on the Company’s 2015 proxy. The case was transferred to the judge handling the Hamilton Lawsuit and is now Case No. 4:15-cv-04485. The Wessels, Hamilton and Ha shareholder derivative lawsuits were staye</w:t>
      </w:r>
      <w:r>
        <w:rPr>
          <w:rFonts w:ascii="Arial" w:eastAsia="宋体" w:hAnsi="Arial" w:cs="Arial"/>
          <w:color w:val="000000"/>
          <w:sz w:val="20"/>
          <w:szCs w:val="20"/>
        </w:rPr>
        <w:t>d pending resolution of a class action lawsuit captioned Hatamian v. AMD, et al., C.A. No. 3:14-cv-00226 filed against the Company in the United States District Court for the Northern District of California (the Hatamian Lawsuit). The Hatamian Lawsuit asse</w:t>
      </w:r>
      <w:r>
        <w:rPr>
          <w:rFonts w:ascii="Arial" w:eastAsia="宋体" w:hAnsi="Arial" w:cs="Arial"/>
          <w:color w:val="000000"/>
          <w:sz w:val="20"/>
          <w:szCs w:val="20"/>
        </w:rPr>
        <w:t>rted claims against the Company and certain of its officers for alleged violations of Section 10(b) of the Exchange Act of 1934, as amended (the Exchange Act), and SEC Rule 10b-5 concerning certain statements regarding its 32nm technology and “Llano” produ</w:t>
      </w:r>
      <w:r>
        <w:rPr>
          <w:rFonts w:ascii="Arial" w:eastAsia="宋体" w:hAnsi="Arial" w:cs="Arial"/>
          <w:color w:val="000000"/>
          <w:sz w:val="20"/>
          <w:szCs w:val="20"/>
        </w:rPr>
        <w:t>cts. On October 9, 2017, the parties signed a definitive settlement agreement resolving the Hatamian Lawsuit and submitted it to the Court for approval. Under the terms of this agreement, the settlement was funded entirely by certain of the Company’s insur</w:t>
      </w:r>
      <w:r>
        <w:rPr>
          <w:rFonts w:ascii="Arial" w:eastAsia="宋体" w:hAnsi="Arial" w:cs="Arial"/>
          <w:color w:val="000000"/>
          <w:sz w:val="20"/>
          <w:szCs w:val="20"/>
        </w:rPr>
        <w:t>ance carriers and the defendants continued to deny any liability or wrongdoing. On March 2, 2018, the court approved the settlement and entered a final judgment in the Hatamian Lawsuit.</w:t>
      </w:r>
    </w:p>
    <w:p w14:paraId="1426F758" w14:textId="77777777" w:rsidR="00A74A1E" w:rsidRDefault="00A74A1E">
      <w:pPr>
        <w:ind w:firstLine="450"/>
        <w:jc w:val="both"/>
      </w:pPr>
    </w:p>
    <w:p w14:paraId="1426F759" w14:textId="77777777" w:rsidR="00A74A1E" w:rsidRDefault="00807990">
      <w:pPr>
        <w:ind w:firstLine="450"/>
        <w:jc w:val="both"/>
      </w:pPr>
      <w:r>
        <w:rPr>
          <w:rFonts w:ascii="Arial" w:eastAsia="宋体" w:hAnsi="Arial" w:cs="Arial"/>
          <w:color w:val="000000"/>
          <w:sz w:val="20"/>
          <w:szCs w:val="20"/>
        </w:rPr>
        <w:t>On January 30, 2018, the Wessels and Hamilton plaintiffs amended thei</w:t>
      </w:r>
      <w:r>
        <w:rPr>
          <w:rFonts w:ascii="Arial" w:eastAsia="宋体" w:hAnsi="Arial" w:cs="Arial"/>
          <w:color w:val="000000"/>
          <w:sz w:val="20"/>
          <w:szCs w:val="20"/>
        </w:rPr>
        <w:t>r complaints. On February 2, 2018, the Ha plaintiff also filed an amended complaint. On February 22, 2018, the Company filed motions to dismiss the Hamilton and Ha plaintiffs’ amended complaints. On April 2, 2018, the Company filed a demurrer seeking to di</w:t>
      </w:r>
      <w:r>
        <w:rPr>
          <w:rFonts w:ascii="Arial" w:eastAsia="宋体" w:hAnsi="Arial" w:cs="Arial"/>
          <w:color w:val="000000"/>
          <w:sz w:val="20"/>
          <w:szCs w:val="20"/>
        </w:rPr>
        <w:t xml:space="preserve">smiss </w:t>
      </w:r>
    </w:p>
    <w:p w14:paraId="1426F75A" w14:textId="77777777" w:rsidR="00A74A1E" w:rsidRDefault="00807990">
      <w:pPr>
        <w:jc w:val="center"/>
      </w:pPr>
      <w:r>
        <w:rPr>
          <w:rFonts w:ascii="Arial" w:eastAsia="宋体" w:hAnsi="Arial" w:cs="Arial"/>
          <w:color w:val="000000"/>
          <w:sz w:val="20"/>
          <w:szCs w:val="20"/>
        </w:rPr>
        <w:t>17</w:t>
      </w:r>
    </w:p>
    <w:p w14:paraId="1426F75B" w14:textId="77777777" w:rsidR="00A74A1E" w:rsidRDefault="00807990">
      <w:r>
        <w:pict w14:anchorId="1426FC1C">
          <v:rect id="_x0000_i1041" style="width:415.3pt;height:1.5pt" o:hralign="center" o:hrstd="t" o:hr="t" fillcolor="#a0a0a0" stroked="f"/>
        </w:pict>
      </w:r>
    </w:p>
    <w:p w14:paraId="1426F75C" w14:textId="77777777" w:rsidR="00A74A1E" w:rsidRDefault="00A74A1E">
      <w:pPr>
        <w:spacing w:before="60"/>
      </w:pPr>
    </w:p>
    <w:p w14:paraId="1426F75D" w14:textId="77777777" w:rsidR="00A74A1E" w:rsidRDefault="00807990">
      <w:pPr>
        <w:jc w:val="both"/>
      </w:pPr>
      <w:r>
        <w:rPr>
          <w:rFonts w:ascii="Arial" w:eastAsia="宋体" w:hAnsi="Arial" w:cs="Arial"/>
          <w:color w:val="000000"/>
          <w:sz w:val="20"/>
          <w:szCs w:val="20"/>
        </w:rPr>
        <w:t xml:space="preserve">the Wessels amended complaint. On July 23, 2018, the Santa Clara Superior Court sustained the Company’s demurrer in the Wessels case, dismissing all claims in that matter with prejudice. The Wessels plaintiff filed a Notice of Appeal on </w:t>
      </w:r>
      <w:r>
        <w:rPr>
          <w:rFonts w:ascii="Arial" w:eastAsia="宋体" w:hAnsi="Arial" w:cs="Arial"/>
          <w:color w:val="000000"/>
          <w:sz w:val="20"/>
          <w:szCs w:val="20"/>
        </w:rPr>
        <w:t xml:space="preserve">September 27, 2018. On October 4, 2018, the Federal Court issued an order dismissing the Hamilton and Ha amended complaints. The Hamilton plaintiffs filed a Notice of Appeal on October 8, 2018, and the Ha plaintiffs filed a Notice of Appeal on October 15, </w:t>
      </w:r>
      <w:r>
        <w:rPr>
          <w:rFonts w:ascii="Arial" w:eastAsia="宋体" w:hAnsi="Arial" w:cs="Arial"/>
          <w:color w:val="000000"/>
          <w:sz w:val="20"/>
          <w:szCs w:val="20"/>
        </w:rPr>
        <w:t xml:space="preserve">2018. On November 19, 2018, the Hamilton and Ha plaintiffs filed a motion seeking summary reversal of the order dismissing their claims. The Company opposed this motion on December 13, 2018, and the Court denied it on February 25, 2019. On March 16, 2020, </w:t>
      </w:r>
      <w:r>
        <w:rPr>
          <w:rFonts w:ascii="Arial" w:eastAsia="宋体" w:hAnsi="Arial" w:cs="Arial"/>
          <w:color w:val="000000"/>
          <w:sz w:val="20"/>
          <w:szCs w:val="20"/>
        </w:rPr>
        <w:t xml:space="preserve">the Ninth Circuit reversed and remanded the district court’s dismissal of the Hamilton complaint and affirmed the district court’s dismissal of the Ha complaint. On August 27, 2020, the California Court of Appeal affirmed the district court’s dismissal of </w:t>
      </w:r>
      <w:r>
        <w:rPr>
          <w:rFonts w:ascii="Arial" w:eastAsia="宋体" w:hAnsi="Arial" w:cs="Arial"/>
          <w:color w:val="000000"/>
          <w:sz w:val="20"/>
          <w:szCs w:val="20"/>
        </w:rPr>
        <w:t>the Wessels complaint.</w:t>
      </w:r>
    </w:p>
    <w:p w14:paraId="1426F75E" w14:textId="77777777" w:rsidR="00A74A1E" w:rsidRDefault="00A74A1E"/>
    <w:p w14:paraId="1426F75F" w14:textId="77777777" w:rsidR="00A74A1E" w:rsidRDefault="00807990">
      <w:pPr>
        <w:ind w:firstLine="450"/>
      </w:pPr>
      <w:r>
        <w:rPr>
          <w:rFonts w:ascii="Arial" w:eastAsia="宋体" w:hAnsi="Arial" w:cs="Arial"/>
          <w:b/>
          <w:bCs/>
          <w:i/>
          <w:iCs/>
          <w:color w:val="000000"/>
          <w:sz w:val="20"/>
          <w:szCs w:val="20"/>
        </w:rPr>
        <w:t>Hauck et al. Litigation</w:t>
      </w:r>
    </w:p>
    <w:p w14:paraId="1426F760" w14:textId="77777777" w:rsidR="00A74A1E" w:rsidRDefault="00A74A1E">
      <w:pPr>
        <w:ind w:firstLine="360"/>
        <w:jc w:val="both"/>
      </w:pPr>
    </w:p>
    <w:p w14:paraId="1426F761" w14:textId="77777777" w:rsidR="00A74A1E" w:rsidRDefault="00807990">
      <w:pPr>
        <w:ind w:firstLine="450"/>
        <w:jc w:val="both"/>
      </w:pPr>
      <w:r>
        <w:rPr>
          <w:rFonts w:ascii="Arial" w:eastAsia="宋体" w:hAnsi="Arial" w:cs="Arial"/>
          <w:color w:val="000000"/>
          <w:sz w:val="20"/>
          <w:szCs w:val="20"/>
        </w:rPr>
        <w:t xml:space="preserve">Since January 19, 2018, three putative class action complaints have been filed against the Company in the United States District Court for the Northern District of California: (1) Diana Hauck et al. v. AMD, </w:t>
      </w:r>
      <w:r>
        <w:rPr>
          <w:rFonts w:ascii="Arial" w:eastAsia="宋体" w:hAnsi="Arial" w:cs="Arial"/>
          <w:color w:val="000000"/>
          <w:sz w:val="20"/>
          <w:szCs w:val="20"/>
        </w:rPr>
        <w:t xml:space="preserve">Inc., Case No. 5:18-cv-0047, filed on January 19, 2018; (2) Brian Speck et al. v. AMD, Inc., Case No. 5:18-cv-0744, filed on February 4, 2018; and (3) Nathan Barnes and Jonathan Caskey-Medina, et al. v. AMD, Inc., Case No. 5:18-cv-00883, filed on February </w:t>
      </w:r>
      <w:r>
        <w:rPr>
          <w:rFonts w:ascii="Arial" w:eastAsia="宋体" w:hAnsi="Arial" w:cs="Arial"/>
          <w:color w:val="000000"/>
          <w:sz w:val="20"/>
          <w:szCs w:val="20"/>
        </w:rPr>
        <w:t>9, 2018. On April 9, 2018, the court consolidated these cases and ordered that Diana Hauck et al. v. AMD, Inc. serve as the lead case. On June 13, 2018, six plaintiffs (from California, Louisiana, Florida and Massachusetts) filed a consolidated amended com</w:t>
      </w:r>
      <w:r>
        <w:rPr>
          <w:rFonts w:ascii="Arial" w:eastAsia="宋体" w:hAnsi="Arial" w:cs="Arial"/>
          <w:color w:val="000000"/>
          <w:sz w:val="20"/>
          <w:szCs w:val="20"/>
        </w:rPr>
        <w:t>plaint alleging that the Company failed to disclose its processors’ alleged vulnerability to Spectre. Plaintiffs further allege that the Company’s processors cannot perform at their advertised processing speeds without exposing consumers to Spectre, and th</w:t>
      </w:r>
      <w:r>
        <w:rPr>
          <w:rFonts w:ascii="Arial" w:eastAsia="宋体" w:hAnsi="Arial" w:cs="Arial"/>
          <w:color w:val="000000"/>
          <w:sz w:val="20"/>
          <w:szCs w:val="20"/>
        </w:rPr>
        <w:t>at any “patches” to remedy this security vulnerability will result in degradation of processor performance. The plaintiffs seek damages under several causes of action on behalf of a nationwide class and four state subclasses (California, Florida, Massachus</w:t>
      </w:r>
      <w:r>
        <w:rPr>
          <w:rFonts w:ascii="Arial" w:eastAsia="宋体" w:hAnsi="Arial" w:cs="Arial"/>
          <w:color w:val="000000"/>
          <w:sz w:val="20"/>
          <w:szCs w:val="20"/>
        </w:rPr>
        <w:t>etts and Louisiana) of consumers who purchased the Company’s processors and/or devices containing AMD processors. The plaintiffs also seek attorneys’ fees, equitable relief and restitution. Pursuant to the court’s order directing the parties to litigate on</w:t>
      </w:r>
      <w:r>
        <w:rPr>
          <w:rFonts w:ascii="Arial" w:eastAsia="宋体" w:hAnsi="Arial" w:cs="Arial"/>
          <w:color w:val="000000"/>
          <w:sz w:val="20"/>
          <w:szCs w:val="20"/>
        </w:rPr>
        <w:t>ly eight of the causes of action in the consolidated amended complaint initially, the Company filed a motion to dismiss on July 13, 2018. On October 29, 2018, after the plaintiffs voluntarily dismissed one of their claims, the court granted the Company’s m</w:t>
      </w:r>
      <w:r>
        <w:rPr>
          <w:rFonts w:ascii="Arial" w:eastAsia="宋体" w:hAnsi="Arial" w:cs="Arial"/>
          <w:color w:val="000000"/>
          <w:sz w:val="20"/>
          <w:szCs w:val="20"/>
        </w:rPr>
        <w:t>otion and dismissed six causes of action with leave to amend. The plaintiffs filed their amended consolidated complaint on December 6, 2018. On January 3, 2019, the Company again moved to dismiss the subset of claims currently at issue. On April 4, 2019, t</w:t>
      </w:r>
      <w:r>
        <w:rPr>
          <w:rFonts w:ascii="Arial" w:eastAsia="宋体" w:hAnsi="Arial" w:cs="Arial"/>
          <w:color w:val="000000"/>
          <w:sz w:val="20"/>
          <w:szCs w:val="20"/>
        </w:rPr>
        <w:t>he court granted the Company’s motion and dismissed all claims currently at issue with prejudice. On May 6, 2019, the court granted the parties’ stipulation and request under Fed. R. Civ. P. 54(b) to enter a partial final judgment and certify for appeal th</w:t>
      </w:r>
      <w:r>
        <w:rPr>
          <w:rFonts w:ascii="Arial" w:eastAsia="宋体" w:hAnsi="Arial" w:cs="Arial"/>
          <w:color w:val="000000"/>
          <w:sz w:val="20"/>
          <w:szCs w:val="20"/>
        </w:rPr>
        <w:t xml:space="preserve">e court’s April 4, 2019 dismissal order, and on that same date, the plaintiffs voluntarily dismissed without prejudice their remaining claims pursuant to an agreement whereby, subject to certain terms and conditions, the Company agreed to toll the statute </w:t>
      </w:r>
      <w:r>
        <w:rPr>
          <w:rFonts w:ascii="Arial" w:eastAsia="宋体" w:hAnsi="Arial" w:cs="Arial"/>
          <w:color w:val="000000"/>
          <w:sz w:val="20"/>
          <w:szCs w:val="20"/>
        </w:rPr>
        <w:t xml:space="preserve">of limitations and/or statute of repose. On May 30, 2019, the plaintiffs filed a Notice of Appeal with the U.S. Court of Appeals for the Ninth Circuit. On May 15, 2020, the Ninth Circuit affirmed the district court’s ruling dismissing the subset of claims </w:t>
      </w:r>
      <w:r>
        <w:rPr>
          <w:rFonts w:ascii="Arial" w:eastAsia="宋体" w:hAnsi="Arial" w:cs="Arial"/>
          <w:color w:val="000000"/>
          <w:sz w:val="20"/>
          <w:szCs w:val="20"/>
        </w:rPr>
        <w:t>currently at issue against the Company. On August 14, 2020, the district court dismissed the remaining claims with prejudice.</w:t>
      </w:r>
    </w:p>
    <w:p w14:paraId="1426F762" w14:textId="77777777" w:rsidR="00A74A1E" w:rsidRDefault="00A74A1E">
      <w:pPr>
        <w:ind w:firstLine="450"/>
        <w:jc w:val="both"/>
      </w:pPr>
    </w:p>
    <w:p w14:paraId="1426F763" w14:textId="77777777" w:rsidR="00A74A1E" w:rsidRDefault="00807990">
      <w:pPr>
        <w:ind w:firstLine="450"/>
        <w:jc w:val="both"/>
      </w:pPr>
      <w:r>
        <w:rPr>
          <w:rFonts w:ascii="Arial" w:eastAsia="宋体" w:hAnsi="Arial" w:cs="Arial"/>
          <w:b/>
          <w:bCs/>
          <w:i/>
          <w:iCs/>
          <w:color w:val="000000"/>
          <w:sz w:val="20"/>
          <w:szCs w:val="20"/>
        </w:rPr>
        <w:t>Monterey Research Litigation</w:t>
      </w:r>
    </w:p>
    <w:p w14:paraId="1426F764" w14:textId="77777777" w:rsidR="00A74A1E" w:rsidRDefault="00A74A1E">
      <w:pPr>
        <w:ind w:firstLine="450"/>
        <w:jc w:val="both"/>
      </w:pPr>
    </w:p>
    <w:p w14:paraId="1426F765" w14:textId="77777777" w:rsidR="00A74A1E" w:rsidRDefault="00807990">
      <w:pPr>
        <w:ind w:firstLine="450"/>
        <w:jc w:val="both"/>
      </w:pPr>
      <w:r>
        <w:rPr>
          <w:rFonts w:ascii="Arial" w:eastAsia="宋体" w:hAnsi="Arial" w:cs="Arial"/>
          <w:color w:val="000000"/>
          <w:sz w:val="20"/>
          <w:szCs w:val="20"/>
        </w:rPr>
        <w:t>On November 15, 2019, Monterey Research, LLC filed a patent infringement complaint against the Comp</w:t>
      </w:r>
      <w:r>
        <w:rPr>
          <w:rFonts w:ascii="Arial" w:eastAsia="宋体" w:hAnsi="Arial" w:cs="Arial"/>
          <w:color w:val="000000"/>
          <w:sz w:val="20"/>
          <w:szCs w:val="20"/>
        </w:rPr>
        <w:t>any in the United States District Court for the District of Delaware. Monterey Research alleges that the Company infringes six U.S. patents: 6,534,805 (related to SRAM cell design); 6,629,226 (related to read interface protocols); 6,651,134 (related to mem</w:t>
      </w:r>
      <w:r>
        <w:rPr>
          <w:rFonts w:ascii="Arial" w:eastAsia="宋体" w:hAnsi="Arial" w:cs="Arial"/>
          <w:color w:val="000000"/>
          <w:sz w:val="20"/>
          <w:szCs w:val="20"/>
        </w:rPr>
        <w:t xml:space="preserve">ory devices); 6,765,407 (related to programmable digital circuits); 6,961,807 (related to integrated circuits and associated memory systems); and 8,373,455 (related to output buffer circuits). Monterey Research seeks unspecified monetary damages, enhanced </w:t>
      </w:r>
      <w:r>
        <w:rPr>
          <w:rFonts w:ascii="Arial" w:eastAsia="宋体" w:hAnsi="Arial" w:cs="Arial"/>
          <w:color w:val="000000"/>
          <w:sz w:val="20"/>
          <w:szCs w:val="20"/>
        </w:rPr>
        <w:t>damages, interest, fees, expenses, costs, and injunctive relief against the Company. On January 22, 2020, the Company filed a motion to dismiss part of Monterey Research’s complaint. On February 5, 2020, Monterey Research filed an amended complaint. On Feb</w:t>
      </w:r>
      <w:r>
        <w:rPr>
          <w:rFonts w:ascii="Arial" w:eastAsia="宋体" w:hAnsi="Arial" w:cs="Arial"/>
          <w:color w:val="000000"/>
          <w:sz w:val="20"/>
          <w:szCs w:val="20"/>
        </w:rPr>
        <w:t xml:space="preserve">ruary 19, 2020, the Company filed a renewed motion to dismiss part of Monterey Research’s complaint. On October 13, 2020, the district court granted in part, and denied in part, the Company’s motion to dismiss. </w:t>
      </w:r>
    </w:p>
    <w:p w14:paraId="1426F766" w14:textId="77777777" w:rsidR="00A74A1E" w:rsidRDefault="00A74A1E">
      <w:pPr>
        <w:ind w:firstLine="450"/>
        <w:jc w:val="both"/>
      </w:pPr>
    </w:p>
    <w:p w14:paraId="1426F767" w14:textId="77777777" w:rsidR="00A74A1E" w:rsidRDefault="00807990">
      <w:pPr>
        <w:ind w:firstLine="450"/>
        <w:jc w:val="both"/>
      </w:pPr>
      <w:r>
        <w:rPr>
          <w:rFonts w:ascii="Arial" w:eastAsia="宋体" w:hAnsi="Arial" w:cs="Arial"/>
          <w:color w:val="000000"/>
          <w:sz w:val="20"/>
          <w:szCs w:val="20"/>
        </w:rPr>
        <w:t>Based upon information presently known to m</w:t>
      </w:r>
      <w:r>
        <w:rPr>
          <w:rFonts w:ascii="Arial" w:eastAsia="宋体" w:hAnsi="Arial" w:cs="Arial"/>
          <w:color w:val="000000"/>
          <w:sz w:val="20"/>
          <w:szCs w:val="20"/>
        </w:rPr>
        <w:t>anagement, the Company believes that the potential liability, if any, will not have a material adverse effect on its financial condition, cash flows or results of operations.</w:t>
      </w:r>
    </w:p>
    <w:p w14:paraId="1426F768" w14:textId="77777777" w:rsidR="00A74A1E" w:rsidRDefault="00A74A1E">
      <w:pPr>
        <w:ind w:firstLine="450"/>
        <w:jc w:val="both"/>
      </w:pPr>
    </w:p>
    <w:p w14:paraId="1426F769" w14:textId="77777777" w:rsidR="00A74A1E" w:rsidRDefault="00807990">
      <w:pPr>
        <w:jc w:val="center"/>
      </w:pPr>
      <w:r>
        <w:rPr>
          <w:rFonts w:ascii="Arial" w:eastAsia="宋体" w:hAnsi="Arial" w:cs="Arial"/>
          <w:color w:val="000000"/>
          <w:sz w:val="20"/>
          <w:szCs w:val="20"/>
        </w:rPr>
        <w:t>18</w:t>
      </w:r>
    </w:p>
    <w:p w14:paraId="1426F76A" w14:textId="77777777" w:rsidR="00A74A1E" w:rsidRDefault="00807990">
      <w:r>
        <w:pict w14:anchorId="1426FC1D">
          <v:rect id="_x0000_i1042" style="width:415.3pt;height:1.5pt" o:hralign="center" o:hrstd="t" o:hr="t" fillcolor="#a0a0a0" stroked="f"/>
        </w:pict>
      </w:r>
    </w:p>
    <w:p w14:paraId="1426F76B" w14:textId="77777777" w:rsidR="00A74A1E" w:rsidRDefault="00A74A1E">
      <w:pPr>
        <w:spacing w:before="60"/>
      </w:pPr>
    </w:p>
    <w:p w14:paraId="1426F76C" w14:textId="77777777" w:rsidR="00A74A1E" w:rsidRDefault="00807990">
      <w:pPr>
        <w:jc w:val="both"/>
      </w:pPr>
      <w:r>
        <w:rPr>
          <w:rFonts w:ascii="Arial" w:eastAsia="宋体" w:hAnsi="Arial" w:cs="Arial"/>
          <w:b/>
          <w:bCs/>
          <w:i/>
          <w:iCs/>
          <w:color w:val="000000"/>
          <w:sz w:val="20"/>
          <w:szCs w:val="20"/>
        </w:rPr>
        <w:t>City of Pontiac Police and Fire Retirement System Litigation</w:t>
      </w:r>
    </w:p>
    <w:p w14:paraId="1426F76D" w14:textId="77777777" w:rsidR="00A74A1E" w:rsidRDefault="00A74A1E">
      <w:pPr>
        <w:ind w:firstLine="450"/>
        <w:jc w:val="both"/>
      </w:pPr>
    </w:p>
    <w:p w14:paraId="1426F76E" w14:textId="77777777" w:rsidR="00A74A1E" w:rsidRDefault="00807990">
      <w:pPr>
        <w:ind w:firstLine="450"/>
        <w:jc w:val="both"/>
      </w:pPr>
      <w:r>
        <w:rPr>
          <w:rFonts w:ascii="Arial" w:eastAsia="宋体" w:hAnsi="Arial" w:cs="Arial"/>
          <w:color w:val="000000"/>
          <w:sz w:val="20"/>
          <w:szCs w:val="20"/>
        </w:rPr>
        <w:t xml:space="preserve">On </w:t>
      </w:r>
      <w:r>
        <w:rPr>
          <w:rFonts w:ascii="Arial" w:eastAsia="宋体" w:hAnsi="Arial" w:cs="Arial"/>
          <w:color w:val="000000"/>
          <w:sz w:val="20"/>
          <w:szCs w:val="20"/>
        </w:rPr>
        <w:t>September 29, 2020, the City of Pontiac Police and Fire Retirement System, an AMD shareholder, filed a shareholder derivative complaint (the “Complaint”) against AMD and the members of its Board of Directors (collectively, “Defendants”) in the United State</w:t>
      </w:r>
      <w:r>
        <w:rPr>
          <w:rFonts w:ascii="Arial" w:eastAsia="宋体" w:hAnsi="Arial" w:cs="Arial"/>
          <w:color w:val="000000"/>
          <w:sz w:val="20"/>
          <w:szCs w:val="20"/>
        </w:rPr>
        <w:t>s District Court for the Northern District of California. See City of Pontiac Police and Fire Retirement System v. Caldwell, et al., No. 5:20-cv-6794 (N.D. Cal.). The Complaint alleges that Defendants breached their fiduciary duties, violated Section 14(a)</w:t>
      </w:r>
      <w:r>
        <w:rPr>
          <w:rFonts w:ascii="Arial" w:eastAsia="宋体" w:hAnsi="Arial" w:cs="Arial"/>
          <w:color w:val="000000"/>
          <w:sz w:val="20"/>
          <w:szCs w:val="20"/>
        </w:rPr>
        <w:t xml:space="preserve"> of the Exchange Act of 1934, and were unjustly enriched by misrepresenting the Company’s commitment to diversity, particularly with respect to the composition of the membership of AMD’s Board of Directors and senior leadership team. Defendants anticipate </w:t>
      </w:r>
      <w:r>
        <w:rPr>
          <w:rFonts w:ascii="Arial" w:eastAsia="宋体" w:hAnsi="Arial" w:cs="Arial"/>
          <w:color w:val="000000"/>
          <w:sz w:val="20"/>
          <w:szCs w:val="20"/>
        </w:rPr>
        <w:t>filing a motion to dismiss the Complaint.</w:t>
      </w:r>
    </w:p>
    <w:p w14:paraId="1426F76F" w14:textId="77777777" w:rsidR="00A74A1E" w:rsidRDefault="00A74A1E">
      <w:pPr>
        <w:ind w:firstLine="450"/>
        <w:jc w:val="both"/>
      </w:pPr>
    </w:p>
    <w:p w14:paraId="1426F770" w14:textId="77777777" w:rsidR="00A74A1E" w:rsidRDefault="00807990">
      <w:pPr>
        <w:ind w:firstLine="450"/>
        <w:jc w:val="both"/>
      </w:pPr>
      <w:r>
        <w:rPr>
          <w:rFonts w:ascii="Arial" w:eastAsia="宋体" w:hAnsi="Arial" w:cs="Arial"/>
          <w:color w:val="000000"/>
          <w:sz w:val="20"/>
          <w:szCs w:val="20"/>
        </w:rPr>
        <w:t>Based upon information presently known to management, the Company believes that the potential liability, if any, will not have a material adverse effect on its financial condition, cash flows or results of operati</w:t>
      </w:r>
      <w:r>
        <w:rPr>
          <w:rFonts w:ascii="Arial" w:eastAsia="宋体" w:hAnsi="Arial" w:cs="Arial"/>
          <w:color w:val="000000"/>
          <w:sz w:val="20"/>
          <w:szCs w:val="20"/>
        </w:rPr>
        <w:t>ons.</w:t>
      </w:r>
    </w:p>
    <w:p w14:paraId="1426F771" w14:textId="77777777" w:rsidR="00A74A1E" w:rsidRDefault="00A74A1E">
      <w:pPr>
        <w:ind w:firstLine="450"/>
        <w:jc w:val="both"/>
      </w:pPr>
    </w:p>
    <w:p w14:paraId="1426F772" w14:textId="77777777" w:rsidR="00A74A1E" w:rsidRDefault="00807990">
      <w:pPr>
        <w:ind w:firstLine="450"/>
        <w:jc w:val="both"/>
      </w:pPr>
      <w:r>
        <w:rPr>
          <w:rFonts w:ascii="Arial" w:eastAsia="宋体" w:hAnsi="Arial" w:cs="Arial"/>
          <w:b/>
          <w:bCs/>
          <w:i/>
          <w:iCs/>
          <w:color w:val="000000"/>
          <w:sz w:val="20"/>
          <w:szCs w:val="20"/>
        </w:rPr>
        <w:t>Other Legal Matters</w:t>
      </w:r>
    </w:p>
    <w:p w14:paraId="1426F773" w14:textId="77777777" w:rsidR="00A74A1E" w:rsidRDefault="00A74A1E">
      <w:pPr>
        <w:ind w:firstLine="450"/>
        <w:jc w:val="both"/>
      </w:pPr>
    </w:p>
    <w:p w14:paraId="1426F774" w14:textId="77777777" w:rsidR="00A74A1E" w:rsidRDefault="00807990">
      <w:pPr>
        <w:ind w:firstLine="450"/>
        <w:jc w:val="both"/>
      </w:pPr>
      <w:r>
        <w:rPr>
          <w:rFonts w:ascii="Arial" w:eastAsia="宋体" w:hAnsi="Arial" w:cs="Arial"/>
          <w:color w:val="000000"/>
          <w:sz w:val="20"/>
          <w:szCs w:val="20"/>
        </w:rPr>
        <w:t xml:space="preserve">The Company is a defendant or plaintiff in various actions that arose in the normal course of business. With respect to these matters, based on the management’s current knowledge, the Company believes that the amount or range of </w:t>
      </w:r>
      <w:r>
        <w:rPr>
          <w:rFonts w:ascii="Arial" w:eastAsia="宋体" w:hAnsi="Arial" w:cs="Arial"/>
          <w:color w:val="000000"/>
          <w:sz w:val="20"/>
          <w:szCs w:val="20"/>
        </w:rPr>
        <w:t>reasonably possible loss, if any, will not, either individually or in the aggregate, have a material adverse effect on the Company’s financial position, results of operations, or cash flows.</w:t>
      </w:r>
    </w:p>
    <w:p w14:paraId="1426F775" w14:textId="77777777" w:rsidR="00A74A1E" w:rsidRDefault="00A74A1E">
      <w:pPr>
        <w:ind w:firstLine="450"/>
      </w:pPr>
    </w:p>
    <w:p w14:paraId="1426F776" w14:textId="77777777" w:rsidR="00A74A1E" w:rsidRDefault="00807990">
      <w:r>
        <w:rPr>
          <w:rFonts w:ascii="Arial" w:eastAsia="宋体" w:hAnsi="Arial" w:cs="Arial"/>
          <w:b/>
          <w:bCs/>
          <w:color w:val="000000"/>
          <w:sz w:val="20"/>
          <w:szCs w:val="20"/>
        </w:rPr>
        <w:t>NOTE 12. Subsequent Event</w:t>
      </w:r>
    </w:p>
    <w:p w14:paraId="1426F777" w14:textId="77777777" w:rsidR="00A74A1E" w:rsidRDefault="00807990">
      <w:pPr>
        <w:spacing w:before="180"/>
        <w:ind w:firstLine="450"/>
        <w:jc w:val="both"/>
      </w:pPr>
      <w:r>
        <w:rPr>
          <w:rFonts w:ascii="Arial" w:eastAsia="宋体" w:hAnsi="Arial" w:cs="Arial"/>
          <w:color w:val="000000"/>
          <w:sz w:val="20"/>
          <w:szCs w:val="20"/>
        </w:rPr>
        <w:t>On October 26, 2020, the Company enter</w:t>
      </w:r>
      <w:r>
        <w:rPr>
          <w:rFonts w:ascii="Arial" w:eastAsia="宋体" w:hAnsi="Arial" w:cs="Arial"/>
          <w:color w:val="000000"/>
          <w:sz w:val="20"/>
          <w:szCs w:val="20"/>
        </w:rPr>
        <w:t>ed into an Agreement and Plan of Merger (the Merger Agreement), by and among the Company, Thrones Merger Sub, Inc. (Merger Sub), a Delaware corporation and wholly owned subsidiary of the Company and Xilinx, Inc., a Delaware corporation (Xilinx), pursuant t</w:t>
      </w:r>
      <w:r>
        <w:rPr>
          <w:rFonts w:ascii="Arial" w:eastAsia="宋体" w:hAnsi="Arial" w:cs="Arial"/>
          <w:color w:val="000000"/>
          <w:sz w:val="20"/>
          <w:szCs w:val="20"/>
        </w:rPr>
        <w:t>o which, subject to the terms and conditions set forth therein, Merger Sub will merge with and into Xilinx (the Merger), with Xilinx surviving such Merger as a wholly owned subsidiary of the Company. Under the Merger Agreement, at the effective time of the</w:t>
      </w:r>
      <w:r>
        <w:rPr>
          <w:rFonts w:ascii="Arial" w:eastAsia="宋体" w:hAnsi="Arial" w:cs="Arial"/>
          <w:color w:val="000000"/>
          <w:sz w:val="20"/>
          <w:szCs w:val="20"/>
        </w:rPr>
        <w:t xml:space="preserve"> Merger (the Effective Time), each share of common stock, par value $0.01 per share, of Xilinx (Xilinx Common Stock) issued and outstanding immediately prior to the Effective Time (other than treasury shares and any shares of Xilinx Common Stock held direc</w:t>
      </w:r>
      <w:r>
        <w:rPr>
          <w:rFonts w:ascii="Arial" w:eastAsia="宋体" w:hAnsi="Arial" w:cs="Arial"/>
          <w:color w:val="000000"/>
          <w:sz w:val="20"/>
          <w:szCs w:val="20"/>
        </w:rPr>
        <w:t>tly by the Company or Merger Sub) will be converted into the right to receive 1.7234 of a fully paid and non-assessable share of common stock, par value $0.01 per share, of the Company and, if applicable, cash in lieu of fractional shares, subject to any a</w:t>
      </w:r>
      <w:r>
        <w:rPr>
          <w:rFonts w:ascii="Arial" w:eastAsia="宋体" w:hAnsi="Arial" w:cs="Arial"/>
          <w:color w:val="000000"/>
          <w:sz w:val="20"/>
          <w:szCs w:val="20"/>
        </w:rPr>
        <w:t>pplicable withholding, which as of the signing of the Merger Agreement, the transaction was valued at $35 billion</w:t>
      </w:r>
      <w:r>
        <w:rPr>
          <w:rFonts w:ascii="sans-serif" w:eastAsia="宋体" w:hAnsi="sans-serif" w:cs="sans-serif"/>
          <w:color w:val="000000"/>
          <w:sz w:val="22"/>
          <w:szCs w:val="22"/>
        </w:rPr>
        <w:t xml:space="preserve">. </w:t>
      </w:r>
      <w:r>
        <w:rPr>
          <w:rFonts w:ascii="Arial" w:eastAsia="宋体" w:hAnsi="Arial" w:cs="Arial"/>
          <w:color w:val="000000"/>
          <w:sz w:val="20"/>
          <w:szCs w:val="20"/>
        </w:rPr>
        <w:t>The closing of the Merger is subject to customary conditions, including regulatory approval and approval by the stockholders of both the Comp</w:t>
      </w:r>
      <w:r>
        <w:rPr>
          <w:rFonts w:ascii="Arial" w:eastAsia="宋体" w:hAnsi="Arial" w:cs="Arial"/>
          <w:color w:val="000000"/>
          <w:sz w:val="20"/>
          <w:szCs w:val="20"/>
        </w:rPr>
        <w:t>any and Xilinx. The transaction is currently expected to close by the end of calendar year 2021.</w:t>
      </w:r>
    </w:p>
    <w:p w14:paraId="1426F778" w14:textId="77777777" w:rsidR="00A74A1E" w:rsidRDefault="00807990">
      <w:pPr>
        <w:jc w:val="center"/>
      </w:pPr>
      <w:r>
        <w:rPr>
          <w:rFonts w:ascii="Arial" w:eastAsia="宋体" w:hAnsi="Arial" w:cs="Arial"/>
          <w:color w:val="000000"/>
          <w:sz w:val="20"/>
          <w:szCs w:val="20"/>
        </w:rPr>
        <w:t>19</w:t>
      </w:r>
    </w:p>
    <w:p w14:paraId="1426F779" w14:textId="77777777" w:rsidR="00A74A1E" w:rsidRDefault="00807990">
      <w:r>
        <w:pict w14:anchorId="1426FC1E">
          <v:rect id="_x0000_i1043" style="width:415.3pt;height:1.5pt" o:hralign="center" o:hrstd="t" o:hr="t" fillcolor="#a0a0a0" stroked="f"/>
        </w:pict>
      </w:r>
    </w:p>
    <w:p w14:paraId="1426F77A" w14:textId="77777777" w:rsidR="00A74A1E" w:rsidRDefault="00A74A1E">
      <w:pPr>
        <w:spacing w:before="60"/>
      </w:pPr>
    </w:p>
    <w:p w14:paraId="1426F77B" w14:textId="77777777" w:rsidR="00A74A1E" w:rsidRDefault="00A74A1E">
      <w:pPr>
        <w:ind w:firstLine="450"/>
      </w:pP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A74A1E" w14:paraId="1426F782" w14:textId="77777777">
        <w:tc>
          <w:tcPr>
            <w:tcW w:w="50" w:type="pct"/>
            <w:shd w:val="clear" w:color="auto" w:fill="auto"/>
          </w:tcPr>
          <w:p w14:paraId="1426F77C" w14:textId="77777777" w:rsidR="00A74A1E" w:rsidRDefault="00A74A1E">
            <w:pPr>
              <w:rPr>
                <w:rFonts w:ascii="宋体"/>
              </w:rPr>
            </w:pPr>
          </w:p>
        </w:tc>
        <w:tc>
          <w:tcPr>
            <w:tcW w:w="494" w:type="pct"/>
            <w:shd w:val="clear" w:color="auto" w:fill="auto"/>
          </w:tcPr>
          <w:p w14:paraId="1426F77D" w14:textId="77777777" w:rsidR="00A74A1E" w:rsidRDefault="00A74A1E">
            <w:pPr>
              <w:rPr>
                <w:rFonts w:ascii="宋体"/>
              </w:rPr>
            </w:pPr>
          </w:p>
        </w:tc>
        <w:tc>
          <w:tcPr>
            <w:tcW w:w="5" w:type="pct"/>
            <w:shd w:val="clear" w:color="auto" w:fill="auto"/>
          </w:tcPr>
          <w:p w14:paraId="1426F77E" w14:textId="77777777" w:rsidR="00A74A1E" w:rsidRDefault="00A74A1E">
            <w:pPr>
              <w:rPr>
                <w:rFonts w:ascii="宋体"/>
              </w:rPr>
            </w:pPr>
          </w:p>
        </w:tc>
        <w:tc>
          <w:tcPr>
            <w:tcW w:w="50" w:type="pct"/>
            <w:shd w:val="clear" w:color="auto" w:fill="auto"/>
          </w:tcPr>
          <w:p w14:paraId="1426F77F" w14:textId="77777777" w:rsidR="00A74A1E" w:rsidRDefault="00A74A1E">
            <w:pPr>
              <w:rPr>
                <w:rFonts w:ascii="宋体"/>
              </w:rPr>
            </w:pPr>
          </w:p>
        </w:tc>
        <w:tc>
          <w:tcPr>
            <w:tcW w:w="4396" w:type="pct"/>
            <w:shd w:val="clear" w:color="auto" w:fill="auto"/>
          </w:tcPr>
          <w:p w14:paraId="1426F780" w14:textId="77777777" w:rsidR="00A74A1E" w:rsidRDefault="00A74A1E">
            <w:pPr>
              <w:rPr>
                <w:rFonts w:ascii="宋体"/>
              </w:rPr>
            </w:pPr>
          </w:p>
        </w:tc>
        <w:tc>
          <w:tcPr>
            <w:tcW w:w="5" w:type="pct"/>
            <w:shd w:val="clear" w:color="auto" w:fill="auto"/>
          </w:tcPr>
          <w:p w14:paraId="1426F781" w14:textId="77777777" w:rsidR="00A74A1E" w:rsidRDefault="00A74A1E">
            <w:pPr>
              <w:rPr>
                <w:rFonts w:ascii="宋体"/>
              </w:rPr>
            </w:pPr>
          </w:p>
        </w:tc>
      </w:tr>
      <w:tr w:rsidR="00A74A1E" w14:paraId="1426F785" w14:textId="77777777">
        <w:tc>
          <w:tcPr>
            <w:tcW w:w="0" w:type="auto"/>
            <w:gridSpan w:val="3"/>
            <w:shd w:val="clear" w:color="auto" w:fill="auto"/>
            <w:tcMar>
              <w:top w:w="40" w:type="dxa"/>
              <w:left w:w="20" w:type="dxa"/>
              <w:bottom w:w="40" w:type="dxa"/>
              <w:right w:w="20" w:type="dxa"/>
            </w:tcMar>
          </w:tcPr>
          <w:p w14:paraId="1426F783" w14:textId="77777777" w:rsidR="00A74A1E" w:rsidRDefault="00807990">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1426F784" w14:textId="77777777" w:rsidR="00A74A1E" w:rsidRDefault="00807990">
            <w:pPr>
              <w:textAlignment w:val="top"/>
            </w:pPr>
            <w:r>
              <w:rPr>
                <w:rFonts w:ascii="Arial" w:eastAsia="宋体" w:hAnsi="Arial" w:cs="Arial"/>
                <w:b/>
                <w:bCs/>
                <w:color w:val="000000"/>
                <w:sz w:val="20"/>
                <w:szCs w:val="20"/>
              </w:rPr>
              <w:t>MANAGEMENT’S DISCUSSION AND ANALYSIS OF FINANCIAL CONDITION AND RESULTS OF OPERATIONS</w:t>
            </w:r>
          </w:p>
        </w:tc>
      </w:tr>
    </w:tbl>
    <w:p w14:paraId="1426F786" w14:textId="77777777" w:rsidR="00A74A1E" w:rsidRDefault="00A74A1E"/>
    <w:p w14:paraId="1426F787" w14:textId="77777777" w:rsidR="00A74A1E" w:rsidRDefault="00807990">
      <w:pPr>
        <w:ind w:firstLine="450"/>
        <w:jc w:val="both"/>
      </w:pPr>
      <w:r>
        <w:rPr>
          <w:rFonts w:ascii="Arial" w:eastAsia="宋体" w:hAnsi="Arial" w:cs="Arial"/>
          <w:i/>
          <w:iCs/>
          <w:color w:val="000000"/>
          <w:sz w:val="20"/>
          <w:szCs w:val="20"/>
        </w:rPr>
        <w:t xml:space="preserve">The statements in this report include </w:t>
      </w:r>
      <w:r>
        <w:rPr>
          <w:rFonts w:ascii="Arial" w:eastAsia="宋体" w:hAnsi="Arial" w:cs="Arial"/>
          <w:i/>
          <w:iCs/>
          <w:color w:val="000000"/>
          <w:sz w:val="20"/>
          <w:szCs w:val="20"/>
        </w:rPr>
        <w:t>forward-looking statements within the meaning of the Private Securities Litigation Reform Act of 1995. These forward-looking statements are based on current expectations and beliefs and involve numerous risks and uncertainties that could cause actual resul</w:t>
      </w:r>
      <w:r>
        <w:rPr>
          <w:rFonts w:ascii="Arial" w:eastAsia="宋体" w:hAnsi="Arial" w:cs="Arial"/>
          <w:i/>
          <w:iCs/>
          <w:color w:val="000000"/>
          <w:sz w:val="20"/>
          <w:szCs w:val="20"/>
        </w:rPr>
        <w:t>ts to differ materially from expectations. These forward-looking statements speak only as of the date hereof or as of the dates indicated in the statements and should not be relied upon as predictions of future events, as we cannot assure you that the even</w:t>
      </w:r>
      <w:r>
        <w:rPr>
          <w:rFonts w:ascii="Arial" w:eastAsia="宋体" w:hAnsi="Arial" w:cs="Arial"/>
          <w:i/>
          <w:iCs/>
          <w:color w:val="000000"/>
          <w:sz w:val="20"/>
          <w:szCs w:val="20"/>
        </w:rPr>
        <w:t>ts or circumstances reflected in these statements will be achieved or will occur. You can identify forward-looking statements by the use of forward-looking terminology including “believes,” “expects,” “may,” “will,” “should,” “seeks,” “intends,” “plans,” “</w:t>
      </w:r>
      <w:r>
        <w:rPr>
          <w:rFonts w:ascii="Arial" w:eastAsia="宋体" w:hAnsi="Arial" w:cs="Arial"/>
          <w:i/>
          <w:iCs/>
          <w:color w:val="000000"/>
          <w:sz w:val="20"/>
          <w:szCs w:val="20"/>
        </w:rPr>
        <w:t>pro forma,” “estimates,” “anticipates,” “designed,” or the negative of these words and phrases, other variations of these words and phrases or comparable terminology. The forward-looking statements relate to, among other things: the proposed merger between</w:t>
      </w:r>
      <w:r>
        <w:rPr>
          <w:rFonts w:ascii="Arial" w:eastAsia="宋体" w:hAnsi="Arial" w:cs="Arial"/>
          <w:i/>
          <w:iCs/>
          <w:color w:val="000000"/>
          <w:sz w:val="20"/>
          <w:szCs w:val="20"/>
        </w:rPr>
        <w:t xml:space="preserve"> AMD and Xilinx, Inc. and the expected closing by the end of 2021; demand for AMD’s products; the growth, change and competitive landscape of the markets in which AMD participates; expected seasonality trends; that unbilled accounts receivables are expecte</w:t>
      </w:r>
      <w:r>
        <w:rPr>
          <w:rFonts w:ascii="Arial" w:eastAsia="宋体" w:hAnsi="Arial" w:cs="Arial"/>
          <w:i/>
          <w:iCs/>
          <w:color w:val="000000"/>
          <w:sz w:val="20"/>
          <w:szCs w:val="20"/>
        </w:rPr>
        <w:t>d to be billed and collected within twelve months; the expected amounts to be received by AMD under the IP licensing agreement and AMD’s expected royalty payments from future product sales of China JVs’ products to be developed on the basis of such license</w:t>
      </w:r>
      <w:r>
        <w:rPr>
          <w:rFonts w:ascii="Arial" w:eastAsia="宋体" w:hAnsi="Arial" w:cs="Arial"/>
          <w:i/>
          <w:iCs/>
          <w:color w:val="000000"/>
          <w:sz w:val="20"/>
          <w:szCs w:val="20"/>
        </w:rPr>
        <w:t xml:space="preserve">d IP; the level of international sales as compared to total sales; that AMD’s cash, cash equivalents and short-term investments balances together with the availability under that certain revolving credit facility (Revolving Facility) made available to AMD </w:t>
      </w:r>
      <w:r>
        <w:rPr>
          <w:rFonts w:ascii="Arial" w:eastAsia="宋体" w:hAnsi="Arial" w:cs="Arial"/>
          <w:i/>
          <w:iCs/>
          <w:color w:val="000000"/>
          <w:sz w:val="20"/>
          <w:szCs w:val="20"/>
        </w:rPr>
        <w:t xml:space="preserve">and certain of its subsidiaries under the Credit Agreement, will be sufficient to fund AMD’s operations including capital expenditures over the next 12 months; AMD’s ability to obtain sufficient external financing or external financing on favorable terms; </w:t>
      </w:r>
      <w:r>
        <w:rPr>
          <w:rFonts w:ascii="Arial" w:eastAsia="宋体" w:hAnsi="Arial" w:cs="Arial"/>
          <w:i/>
          <w:iCs/>
          <w:color w:val="000000"/>
          <w:sz w:val="20"/>
          <w:szCs w:val="20"/>
        </w:rPr>
        <w:t>AMD’s expectation that based on the information presently known to management, the potential liability related to AMD’s current litigation will not have a material adverse effect on its financial condition, cash flows or results of operations; that the COV</w:t>
      </w:r>
      <w:r>
        <w:rPr>
          <w:rFonts w:ascii="Arial" w:eastAsia="宋体" w:hAnsi="Arial" w:cs="Arial"/>
          <w:i/>
          <w:iCs/>
          <w:color w:val="000000"/>
          <w:sz w:val="20"/>
          <w:szCs w:val="20"/>
        </w:rPr>
        <w:t>ID-19 pandemic will continue to impact our business; ongoing and increase in costs related to IT network security; and a small number of customers will continue to account for a substantial part of AMD’s revenue in the future. These forward-looking stateme</w:t>
      </w:r>
      <w:r>
        <w:rPr>
          <w:rFonts w:ascii="Arial" w:eastAsia="宋体" w:hAnsi="Arial" w:cs="Arial"/>
          <w:i/>
          <w:iCs/>
          <w:color w:val="000000"/>
          <w:sz w:val="20"/>
          <w:szCs w:val="20"/>
        </w:rPr>
        <w:t>nts involve risks and uncertainties that could cause actual results to differ materially from current expectations. For a discussion of the factors that could cause actual results to differ materially from the forward-looking statements, see “Part II, Item</w:t>
      </w:r>
      <w:r>
        <w:rPr>
          <w:rFonts w:ascii="Arial" w:eastAsia="宋体" w:hAnsi="Arial" w:cs="Arial"/>
          <w:i/>
          <w:iCs/>
          <w:color w:val="000000"/>
          <w:sz w:val="20"/>
          <w:szCs w:val="20"/>
        </w:rPr>
        <w:t> 1A—Risk Factors and such other risks and uncertainties as set forth below in this report or detailed in our other Securities and Exchange Commission (SEC) reports and filings. Many of these risks and uncertainties may be exacerbated by the COVID-19 pandem</w:t>
      </w:r>
      <w:r>
        <w:rPr>
          <w:rFonts w:ascii="Arial" w:eastAsia="宋体" w:hAnsi="Arial" w:cs="Arial"/>
          <w:i/>
          <w:iCs/>
          <w:color w:val="000000"/>
          <w:sz w:val="20"/>
          <w:szCs w:val="20"/>
        </w:rPr>
        <w:t>ic and any worsening of the global business and economic environment as a result. We assume no obligation to update forward-looking statements, except as may be required by law.</w:t>
      </w:r>
    </w:p>
    <w:p w14:paraId="1426F788" w14:textId="77777777" w:rsidR="00A74A1E" w:rsidRDefault="00807990">
      <w:pPr>
        <w:spacing w:before="180" w:after="100"/>
        <w:ind w:firstLine="450"/>
        <w:jc w:val="both"/>
      </w:pPr>
      <w:r>
        <w:rPr>
          <w:rFonts w:ascii="Arial" w:eastAsia="宋体" w:hAnsi="Arial" w:cs="Arial"/>
          <w:color w:val="000000"/>
          <w:sz w:val="20"/>
          <w:szCs w:val="20"/>
        </w:rPr>
        <w:t>AMD, the AMD Arrow logo, ATI, and the ATI logo, Athlon, EPYC, Radeon, Ryzen, T</w:t>
      </w:r>
      <w:r>
        <w:rPr>
          <w:rFonts w:ascii="Arial" w:eastAsia="宋体" w:hAnsi="Arial" w:cs="Arial"/>
          <w:color w:val="000000"/>
          <w:sz w:val="20"/>
          <w:szCs w:val="20"/>
        </w:rPr>
        <w:t>hreadripper and combinations thereof, are trademarks of Advanced Micro Devices, Inc. Microsoft and Xbox One are trademarks or registered trademarks of Microsoft Corporation in the United States and other jurisdictions. Other names are for informational pur</w:t>
      </w:r>
      <w:r>
        <w:rPr>
          <w:rFonts w:ascii="Arial" w:eastAsia="宋体" w:hAnsi="Arial" w:cs="Arial"/>
          <w:color w:val="000000"/>
          <w:sz w:val="20"/>
          <w:szCs w:val="20"/>
        </w:rPr>
        <w:t>poses only and are used to identify companies and products and may be trademarks of their respective owners. “Zen” is a codename for an AMD architecture, and is not a product name.</w:t>
      </w:r>
    </w:p>
    <w:p w14:paraId="1426F789" w14:textId="77777777" w:rsidR="00A74A1E" w:rsidRDefault="00807990">
      <w:pPr>
        <w:spacing w:before="180" w:after="100"/>
        <w:ind w:firstLine="450"/>
        <w:jc w:val="both"/>
      </w:pPr>
      <w:r>
        <w:rPr>
          <w:rFonts w:ascii="Arial" w:eastAsia="宋体" w:hAnsi="Arial" w:cs="Arial"/>
          <w:color w:val="000000"/>
          <w:sz w:val="20"/>
          <w:szCs w:val="20"/>
        </w:rPr>
        <w:t>The following discussion should be read in conjunction with the unaudited c</w:t>
      </w:r>
      <w:r>
        <w:rPr>
          <w:rFonts w:ascii="Arial" w:eastAsia="宋体" w:hAnsi="Arial" w:cs="Arial"/>
          <w:color w:val="000000"/>
          <w:sz w:val="20"/>
          <w:szCs w:val="20"/>
        </w:rPr>
        <w:t>ondensed consolidated financial statements and related notes included in this report and our audited consolidated financial statements and related notes as of December 28, 2019 and December 30, 2018, and for each of the three years for the period ended Dec</w:t>
      </w:r>
      <w:r>
        <w:rPr>
          <w:rFonts w:ascii="Arial" w:eastAsia="宋体" w:hAnsi="Arial" w:cs="Arial"/>
          <w:color w:val="000000"/>
          <w:sz w:val="20"/>
          <w:szCs w:val="20"/>
        </w:rPr>
        <w:t>ember 28, 2019 as filed in our Annual Report on Form 10-K for the fiscal year ended December 28, 2019.</w:t>
      </w:r>
    </w:p>
    <w:p w14:paraId="1426F78A" w14:textId="77777777" w:rsidR="00A74A1E" w:rsidRDefault="00807990">
      <w:pPr>
        <w:spacing w:before="180" w:after="120"/>
        <w:jc w:val="both"/>
      </w:pPr>
      <w:r>
        <w:rPr>
          <w:rFonts w:ascii="Arial" w:eastAsia="宋体" w:hAnsi="Arial" w:cs="Arial"/>
          <w:b/>
          <w:bCs/>
          <w:color w:val="000000"/>
          <w:sz w:val="20"/>
          <w:szCs w:val="20"/>
        </w:rPr>
        <w:t>Overview</w:t>
      </w:r>
    </w:p>
    <w:p w14:paraId="1426F78B" w14:textId="77777777" w:rsidR="00A74A1E" w:rsidRDefault="00807990">
      <w:pPr>
        <w:spacing w:before="180" w:after="100"/>
        <w:ind w:firstLine="450"/>
        <w:jc w:val="both"/>
      </w:pPr>
      <w:r>
        <w:rPr>
          <w:rFonts w:ascii="Arial" w:eastAsia="宋体" w:hAnsi="Arial" w:cs="Arial"/>
          <w:color w:val="000000"/>
          <w:sz w:val="20"/>
          <w:szCs w:val="20"/>
        </w:rPr>
        <w:t>We are a global semiconductor company primarily offering:</w:t>
      </w:r>
    </w:p>
    <w:p w14:paraId="1426F78C" w14:textId="77777777" w:rsidR="00A74A1E" w:rsidRDefault="00807990">
      <w:pPr>
        <w:ind w:hanging="270"/>
        <w:jc w:val="both"/>
      </w:pPr>
      <w:r>
        <w:rPr>
          <w:rFonts w:ascii="Arial" w:eastAsia="宋体" w:hAnsi="Arial" w:cs="Arial"/>
          <w:color w:val="000000"/>
          <w:sz w:val="20"/>
          <w:szCs w:val="20"/>
        </w:rPr>
        <w:t xml:space="preserve">•x86 microprocessors, as standalone devices or as incorporated into an </w:t>
      </w:r>
      <w:r>
        <w:rPr>
          <w:rFonts w:ascii="Arial" w:eastAsia="宋体" w:hAnsi="Arial" w:cs="Arial"/>
          <w:color w:val="000000"/>
          <w:sz w:val="20"/>
          <w:szCs w:val="20"/>
        </w:rPr>
        <w:t>accelerated processing unit (APU), chipsets, discrete and integrated graphics processing units (GPUs), data center and professional GPUs, and development services; and</w:t>
      </w:r>
    </w:p>
    <w:p w14:paraId="1426F78D" w14:textId="77777777" w:rsidR="00A74A1E" w:rsidRDefault="00A74A1E">
      <w:pPr>
        <w:jc w:val="both"/>
      </w:pPr>
    </w:p>
    <w:p w14:paraId="1426F78E" w14:textId="77777777" w:rsidR="00A74A1E" w:rsidRDefault="00807990">
      <w:pPr>
        <w:ind w:hanging="270"/>
        <w:jc w:val="both"/>
      </w:pPr>
      <w:r>
        <w:rPr>
          <w:rFonts w:ascii="Arial" w:eastAsia="宋体" w:hAnsi="Arial" w:cs="Arial"/>
          <w:color w:val="000000"/>
          <w:sz w:val="20"/>
          <w:szCs w:val="20"/>
        </w:rPr>
        <w:t>•server and embedded processors, semi-custom System-on-Chip (SoC) products, development</w:t>
      </w:r>
      <w:r>
        <w:rPr>
          <w:rFonts w:ascii="Arial" w:eastAsia="宋体" w:hAnsi="Arial" w:cs="Arial"/>
          <w:color w:val="000000"/>
          <w:sz w:val="20"/>
          <w:szCs w:val="20"/>
        </w:rPr>
        <w:t xml:space="preserve"> services and technology for game consoles. </w:t>
      </w:r>
    </w:p>
    <w:p w14:paraId="1426F78F" w14:textId="77777777" w:rsidR="00A74A1E" w:rsidRDefault="00807990">
      <w:pPr>
        <w:spacing w:before="180" w:after="100"/>
        <w:ind w:firstLine="450"/>
        <w:jc w:val="both"/>
      </w:pPr>
      <w:r>
        <w:rPr>
          <w:rFonts w:ascii="Arial" w:eastAsia="宋体" w:hAnsi="Arial" w:cs="Arial"/>
          <w:color w:val="000000"/>
          <w:sz w:val="20"/>
          <w:szCs w:val="20"/>
        </w:rPr>
        <w:t>From time to time, we may also sell or license portions of our intellectual property (IP) portfolio.</w:t>
      </w:r>
    </w:p>
    <w:p w14:paraId="1426F790" w14:textId="77777777" w:rsidR="00A74A1E" w:rsidRDefault="00807990">
      <w:pPr>
        <w:jc w:val="center"/>
      </w:pPr>
      <w:r>
        <w:rPr>
          <w:rFonts w:ascii="Arial" w:eastAsia="宋体" w:hAnsi="Arial" w:cs="Arial"/>
          <w:color w:val="000000"/>
          <w:sz w:val="20"/>
          <w:szCs w:val="20"/>
        </w:rPr>
        <w:t>20</w:t>
      </w:r>
    </w:p>
    <w:p w14:paraId="1426F791" w14:textId="77777777" w:rsidR="00A74A1E" w:rsidRDefault="00807990">
      <w:r>
        <w:pict w14:anchorId="1426FC1F">
          <v:rect id="_x0000_i1044" style="width:415.3pt;height:1.5pt" o:hralign="center" o:hrstd="t" o:hr="t" fillcolor="#a0a0a0" stroked="f"/>
        </w:pict>
      </w:r>
    </w:p>
    <w:p w14:paraId="1426F792" w14:textId="77777777" w:rsidR="00A74A1E" w:rsidRDefault="00A74A1E"/>
    <w:p w14:paraId="1426F793" w14:textId="77777777" w:rsidR="00A74A1E" w:rsidRDefault="00807990">
      <w:pPr>
        <w:spacing w:before="180" w:after="100"/>
        <w:ind w:firstLine="450"/>
        <w:jc w:val="both"/>
      </w:pPr>
      <w:r>
        <w:rPr>
          <w:rFonts w:ascii="Arial" w:eastAsia="宋体" w:hAnsi="Arial" w:cs="Arial"/>
          <w:color w:val="000000"/>
          <w:sz w:val="20"/>
          <w:szCs w:val="20"/>
        </w:rPr>
        <w:t>In this section, we will describe the general financial condition and the results of operations of Advan</w:t>
      </w:r>
      <w:r>
        <w:rPr>
          <w:rFonts w:ascii="Arial" w:eastAsia="宋体" w:hAnsi="Arial" w:cs="Arial"/>
          <w:color w:val="000000"/>
          <w:sz w:val="20"/>
          <w:szCs w:val="20"/>
        </w:rPr>
        <w:t>ced Micro Devices, Inc. and its wholly-owned subsidiaries (collectively, “us,” “our” or “AMD”), including a discussion of our results of operations for the three and nine months ended September 26, 2020 compared to the prior year period, an analysis of cha</w:t>
      </w:r>
      <w:r>
        <w:rPr>
          <w:rFonts w:ascii="Arial" w:eastAsia="宋体" w:hAnsi="Arial" w:cs="Arial"/>
          <w:color w:val="000000"/>
          <w:sz w:val="20"/>
          <w:szCs w:val="20"/>
        </w:rPr>
        <w:t>nges in our financial condition and a discussion of our contractual obligations.</w:t>
      </w:r>
    </w:p>
    <w:p w14:paraId="1426F794" w14:textId="77777777" w:rsidR="00A74A1E" w:rsidRDefault="00807990">
      <w:pPr>
        <w:spacing w:before="100" w:after="180"/>
        <w:ind w:firstLine="450"/>
        <w:jc w:val="both"/>
      </w:pPr>
      <w:r>
        <w:rPr>
          <w:rFonts w:ascii="Arial" w:eastAsia="宋体" w:hAnsi="Arial" w:cs="Arial"/>
          <w:color w:val="000000"/>
          <w:sz w:val="20"/>
          <w:szCs w:val="20"/>
        </w:rPr>
        <w:t>Net revenue for the three months ended September 26, 2020 was $2.8 billion, a 56% increase compared to the prior year period. The increase was due to a 31% increase in Computi</w:t>
      </w:r>
      <w:r>
        <w:rPr>
          <w:rFonts w:ascii="Arial" w:eastAsia="宋体" w:hAnsi="Arial" w:cs="Arial"/>
          <w:color w:val="000000"/>
          <w:sz w:val="20"/>
          <w:szCs w:val="20"/>
        </w:rPr>
        <w:t>ng and Graphics net revenue and a 116% increase in Enterprise, Embedded and Semi-Custom net revenue. The increase in Computing and Graphics segment net revenue was primarily due to higher sales of our Ryzen™ processors. The increase in Enterprise, Embedded</w:t>
      </w:r>
      <w:r>
        <w:rPr>
          <w:rFonts w:ascii="Arial" w:eastAsia="宋体" w:hAnsi="Arial" w:cs="Arial"/>
          <w:color w:val="000000"/>
          <w:sz w:val="20"/>
          <w:szCs w:val="20"/>
        </w:rPr>
        <w:t xml:space="preserve"> and Semi-Custom net revenue was primarily due to higher semi-custom revenue and EPYC™ server processor revenue.</w:t>
      </w:r>
    </w:p>
    <w:p w14:paraId="1426F795" w14:textId="77777777" w:rsidR="00A74A1E" w:rsidRDefault="00807990">
      <w:pPr>
        <w:spacing w:before="100" w:after="180"/>
        <w:ind w:firstLine="450"/>
        <w:jc w:val="both"/>
      </w:pPr>
      <w:r>
        <w:rPr>
          <w:rFonts w:ascii="Arial" w:eastAsia="宋体" w:hAnsi="Arial" w:cs="Arial"/>
          <w:color w:val="000000"/>
          <w:sz w:val="20"/>
          <w:szCs w:val="20"/>
        </w:rPr>
        <w:t xml:space="preserve">Our operating income for the three months ended September 26, 2020 was $449 million compared to operating income of $186 million for the prior </w:t>
      </w:r>
      <w:r>
        <w:rPr>
          <w:rFonts w:ascii="Arial" w:eastAsia="宋体" w:hAnsi="Arial" w:cs="Arial"/>
          <w:color w:val="000000"/>
          <w:sz w:val="20"/>
          <w:szCs w:val="20"/>
        </w:rPr>
        <w:t>year period. Our net income for the three months ended September 26, 2020 was $390 million compared to net income of $120 million for the prior year period. The increase in operating income and net income was primarily driven by strong revenue growth which</w:t>
      </w:r>
      <w:r>
        <w:rPr>
          <w:rFonts w:ascii="Arial" w:eastAsia="宋体" w:hAnsi="Arial" w:cs="Arial"/>
          <w:color w:val="000000"/>
          <w:sz w:val="20"/>
          <w:szCs w:val="20"/>
        </w:rPr>
        <w:t xml:space="preserve"> more than offset higher operating expenses.</w:t>
      </w:r>
    </w:p>
    <w:p w14:paraId="1426F796" w14:textId="77777777" w:rsidR="00A74A1E" w:rsidRDefault="00807990">
      <w:pPr>
        <w:spacing w:before="100" w:after="180"/>
        <w:ind w:firstLine="450"/>
        <w:jc w:val="both"/>
      </w:pPr>
      <w:r>
        <w:rPr>
          <w:rFonts w:ascii="Arial" w:eastAsia="宋体" w:hAnsi="Arial" w:cs="Arial"/>
          <w:color w:val="000000"/>
          <w:sz w:val="20"/>
          <w:szCs w:val="20"/>
        </w:rPr>
        <w:t xml:space="preserve">Cash, cash equivalents and short-term investments as of September 26, 2020 were $1.8 billion, compared to $1.5 billion as of December 28, 2019. The aggregate principal amount of our outstanding debt obligations </w:t>
      </w:r>
      <w:r>
        <w:rPr>
          <w:rFonts w:ascii="Arial" w:eastAsia="宋体" w:hAnsi="Arial" w:cs="Arial"/>
          <w:color w:val="000000"/>
          <w:sz w:val="20"/>
          <w:szCs w:val="20"/>
        </w:rPr>
        <w:t>was $398 million and $563 million as of September 26, 2020 and December 28, 2019, respectively.</w:t>
      </w:r>
    </w:p>
    <w:p w14:paraId="1426F797" w14:textId="77777777" w:rsidR="00A74A1E" w:rsidRDefault="00807990">
      <w:pPr>
        <w:spacing w:before="100" w:after="180"/>
        <w:ind w:firstLine="450"/>
        <w:jc w:val="both"/>
      </w:pPr>
      <w:r>
        <w:rPr>
          <w:rFonts w:ascii="Arial" w:eastAsia="宋体" w:hAnsi="Arial" w:cs="Arial"/>
          <w:color w:val="000000"/>
          <w:sz w:val="20"/>
          <w:szCs w:val="20"/>
        </w:rPr>
        <w:t>During the third quarter of 2020, we expanded our desktop and mobile processor families. In July 2020, we introduced the AMD Ryzen Threadripper™ PRO Processor l</w:t>
      </w:r>
      <w:r>
        <w:rPr>
          <w:rFonts w:ascii="Arial" w:eastAsia="宋体" w:hAnsi="Arial" w:cs="Arial"/>
          <w:color w:val="000000"/>
          <w:sz w:val="20"/>
          <w:szCs w:val="20"/>
        </w:rPr>
        <w:t>ine-up designed for professional workstations from OEMs to system integrators and AMD Ryzen 4000 Series desktop processors with Radeon™ graphics for consumers, gamers, streamers and creators. We also introduced AMD Athlon™ 3000 Series desktop processors us</w:t>
      </w:r>
      <w:r>
        <w:rPr>
          <w:rFonts w:ascii="Arial" w:eastAsia="宋体" w:hAnsi="Arial" w:cs="Arial"/>
          <w:color w:val="000000"/>
          <w:sz w:val="20"/>
          <w:szCs w:val="20"/>
        </w:rPr>
        <w:t>ing the same Zen core architecture and built-in Radeon graphics as the AMD Ryzen desktop processor family. In August 2020, we announced the availability of the new AMD Radeon Pro 5000 series GPUs for the updated 27-inch iMac bringing a wide variety of grap</w:t>
      </w:r>
      <w:r>
        <w:rPr>
          <w:rFonts w:ascii="Arial" w:eastAsia="宋体" w:hAnsi="Arial" w:cs="Arial"/>
          <w:color w:val="000000"/>
          <w:sz w:val="20"/>
          <w:szCs w:val="20"/>
        </w:rPr>
        <w:t>hically intensive applications and workloads to consumer and professional users. Also, in September 2020, we announced the AMD Ryzen 3000 C-Series mobile processors and the AMD Athlon 3000 C-Series mobile processors for Chromebook platforms designed for mu</w:t>
      </w:r>
      <w:r>
        <w:rPr>
          <w:rFonts w:ascii="Arial" w:eastAsia="宋体" w:hAnsi="Arial" w:cs="Arial"/>
          <w:color w:val="000000"/>
          <w:sz w:val="20"/>
          <w:szCs w:val="20"/>
        </w:rPr>
        <w:t>lti-tasking and content creation in distance learning and remote working.</w:t>
      </w:r>
    </w:p>
    <w:p w14:paraId="1426F798" w14:textId="77777777" w:rsidR="00A74A1E" w:rsidRDefault="00807990">
      <w:pPr>
        <w:spacing w:before="100" w:after="180"/>
        <w:ind w:firstLine="450"/>
        <w:jc w:val="both"/>
      </w:pPr>
      <w:r>
        <w:rPr>
          <w:rFonts w:ascii="Arial" w:eastAsia="宋体" w:hAnsi="Arial" w:cs="Arial"/>
          <w:color w:val="000000"/>
          <w:sz w:val="20"/>
          <w:szCs w:val="20"/>
        </w:rPr>
        <w:t>During the third quarter of 2020, we continued to monitor the ongoing novel coronavirus (COVID-19) situation and to take measures to protect the health and safety of our employees. W</w:t>
      </w:r>
      <w:r>
        <w:rPr>
          <w:rFonts w:ascii="Arial" w:eastAsia="宋体" w:hAnsi="Arial" w:cs="Arial"/>
          <w:color w:val="000000"/>
          <w:sz w:val="20"/>
          <w:szCs w:val="20"/>
        </w:rPr>
        <w:t>hile many of our offices remained open to enable critical on-site business functions in accordance with local government guidelines, most of our employees worked from home during the third quarter of 2020. We continue to take measures to support our employ</w:t>
      </w:r>
      <w:r>
        <w:rPr>
          <w:rFonts w:ascii="Arial" w:eastAsia="宋体" w:hAnsi="Arial" w:cs="Arial"/>
          <w:color w:val="000000"/>
          <w:sz w:val="20"/>
          <w:szCs w:val="20"/>
        </w:rPr>
        <w:t>ees so that they can be productive as they work from home. During the third quarter of 2020, the majority of our employees in China worked at the office and we maintained normal business operations subject to local government health measures. While COVID-1</w:t>
      </w:r>
      <w:r>
        <w:rPr>
          <w:rFonts w:ascii="Arial" w:eastAsia="宋体" w:hAnsi="Arial" w:cs="Arial"/>
          <w:color w:val="000000"/>
          <w:sz w:val="20"/>
          <w:szCs w:val="20"/>
        </w:rPr>
        <w:t>9 has impacted our business operations and practices, and we expect that it may continue to impact our business, we experienced limited financial disruption during the third quarter of 2020 from COVID-19. We monitor demand signals as we adjust our supply c</w:t>
      </w:r>
      <w:r>
        <w:rPr>
          <w:rFonts w:ascii="Arial" w:eastAsia="宋体" w:hAnsi="Arial" w:cs="Arial"/>
          <w:color w:val="000000"/>
          <w:sz w:val="20"/>
          <w:szCs w:val="20"/>
        </w:rPr>
        <w:t>hain requirements based on changing customer needs and demands. We also assess our product schedules and roadmaps to make any adjustments that may be necessary to support remote working requirements and address the geographic and market demand shifts cause</w:t>
      </w:r>
      <w:r>
        <w:rPr>
          <w:rFonts w:ascii="Arial" w:eastAsia="宋体" w:hAnsi="Arial" w:cs="Arial"/>
          <w:color w:val="000000"/>
          <w:sz w:val="20"/>
          <w:szCs w:val="20"/>
        </w:rPr>
        <w:t>d by COVID-19.</w:t>
      </w:r>
    </w:p>
    <w:p w14:paraId="1426F799" w14:textId="77777777" w:rsidR="00A74A1E" w:rsidRDefault="00807990">
      <w:pPr>
        <w:spacing w:before="100" w:after="180"/>
        <w:ind w:firstLine="450"/>
        <w:jc w:val="both"/>
      </w:pPr>
      <w:r>
        <w:rPr>
          <w:rFonts w:ascii="Arial" w:eastAsia="宋体" w:hAnsi="Arial" w:cs="Arial"/>
          <w:color w:val="000000"/>
          <w:sz w:val="20"/>
          <w:szCs w:val="20"/>
        </w:rPr>
        <w:t>On October 26, 2020, we entered into an Agreement and Plan of Merger (the Merger Agreement), by and among us, Thrones Merger Sub, Inc. (Merger Sub), a Delaware corporation and wholly owned subsidiary of ours, and Xilinx, Inc., a Delaware cor</w:t>
      </w:r>
      <w:r>
        <w:rPr>
          <w:rFonts w:ascii="Arial" w:eastAsia="宋体" w:hAnsi="Arial" w:cs="Arial"/>
          <w:color w:val="000000"/>
          <w:sz w:val="20"/>
          <w:szCs w:val="20"/>
        </w:rPr>
        <w:t>poration (Xilinx), pursuant to which, subject to the terms and conditions set forth therein, Merger Sub will merge with and into Xilinx (the Merger), with Xilinx surviving such merger as a wholly owned subsidiary of ours. Under the Merger Agreement, at the</w:t>
      </w:r>
      <w:r>
        <w:rPr>
          <w:rFonts w:ascii="Arial" w:eastAsia="宋体" w:hAnsi="Arial" w:cs="Arial"/>
          <w:color w:val="000000"/>
          <w:sz w:val="20"/>
          <w:szCs w:val="20"/>
        </w:rPr>
        <w:t xml:space="preserve"> effective time of the Merger (the Effective Time), each share of common stock, par value $0.01 per share, of Xilinx (Xilinx Common Stock) issued and outstanding immediately prior to the Effective Time (other than treasury shares and any shares of Xilinx C</w:t>
      </w:r>
      <w:r>
        <w:rPr>
          <w:rFonts w:ascii="Arial" w:eastAsia="宋体" w:hAnsi="Arial" w:cs="Arial"/>
          <w:color w:val="000000"/>
          <w:sz w:val="20"/>
          <w:szCs w:val="20"/>
        </w:rPr>
        <w:t xml:space="preserve">ommon Stock held directly by us or Merger Sub) will be converted into the right to receive 1.7234 of a fully paid and non-assessable share of common stock, par value $0.01 per share, of AMD and, if applicable, cash in lieu of fractional shares, subject to </w:t>
      </w:r>
      <w:r>
        <w:rPr>
          <w:rFonts w:ascii="Arial" w:eastAsia="宋体" w:hAnsi="Arial" w:cs="Arial"/>
          <w:color w:val="000000"/>
          <w:sz w:val="20"/>
          <w:szCs w:val="20"/>
        </w:rPr>
        <w:t>any applicable withholding, which as of the signing of the Merger Agreement, the transaction was valued at $35 billion</w:t>
      </w:r>
      <w:r>
        <w:rPr>
          <w:rFonts w:ascii="sans-serif" w:eastAsia="宋体" w:hAnsi="sans-serif" w:cs="sans-serif"/>
          <w:color w:val="000000"/>
          <w:sz w:val="22"/>
          <w:szCs w:val="22"/>
        </w:rPr>
        <w:t xml:space="preserve">. </w:t>
      </w:r>
      <w:r>
        <w:rPr>
          <w:rFonts w:ascii="Arial" w:eastAsia="宋体" w:hAnsi="Arial" w:cs="Arial"/>
          <w:color w:val="000000"/>
          <w:sz w:val="20"/>
          <w:szCs w:val="20"/>
        </w:rPr>
        <w:t>The closing of the Merger is subject to customary conditions, including regulatory approval and approval by the stockholders of both AMD</w:t>
      </w:r>
      <w:r>
        <w:rPr>
          <w:rFonts w:ascii="Arial" w:eastAsia="宋体" w:hAnsi="Arial" w:cs="Arial"/>
          <w:color w:val="000000"/>
          <w:sz w:val="20"/>
          <w:szCs w:val="20"/>
        </w:rPr>
        <w:t xml:space="preserve"> and Xilinx. The transaction is currently expected to close by the end of calendar year 2021.</w:t>
      </w:r>
    </w:p>
    <w:p w14:paraId="1426F79A" w14:textId="77777777" w:rsidR="00A74A1E" w:rsidRDefault="00807990">
      <w:pPr>
        <w:jc w:val="center"/>
      </w:pPr>
      <w:r>
        <w:rPr>
          <w:rFonts w:ascii="Arial" w:eastAsia="宋体" w:hAnsi="Arial" w:cs="Arial"/>
          <w:color w:val="000000"/>
          <w:sz w:val="20"/>
          <w:szCs w:val="20"/>
        </w:rPr>
        <w:t>21</w:t>
      </w:r>
    </w:p>
    <w:p w14:paraId="1426F79B" w14:textId="77777777" w:rsidR="00A74A1E" w:rsidRDefault="00807990">
      <w:r>
        <w:pict w14:anchorId="1426FC20">
          <v:rect id="_x0000_i1045" style="width:415.3pt;height:1.5pt" o:hralign="center" o:hrstd="t" o:hr="t" fillcolor="#a0a0a0" stroked="f"/>
        </w:pict>
      </w:r>
    </w:p>
    <w:p w14:paraId="1426F79C" w14:textId="77777777" w:rsidR="00A74A1E" w:rsidRDefault="00A74A1E"/>
    <w:p w14:paraId="1426F79D" w14:textId="77777777" w:rsidR="00A74A1E" w:rsidRDefault="00807990">
      <w:pPr>
        <w:spacing w:before="100"/>
        <w:ind w:firstLine="450"/>
        <w:jc w:val="both"/>
      </w:pPr>
      <w:r>
        <w:rPr>
          <w:rFonts w:ascii="Arial" w:eastAsia="宋体" w:hAnsi="Arial" w:cs="Arial"/>
          <w:color w:val="000000"/>
          <w:sz w:val="20"/>
          <w:szCs w:val="20"/>
        </w:rPr>
        <w:t xml:space="preserve">We intend the discussion of our financial condition and results of operations that follows to provide information that will assist you in </w:t>
      </w:r>
      <w:r>
        <w:rPr>
          <w:rFonts w:ascii="Arial" w:eastAsia="宋体" w:hAnsi="Arial" w:cs="Arial"/>
          <w:color w:val="000000"/>
          <w:sz w:val="20"/>
          <w:szCs w:val="20"/>
        </w:rPr>
        <w:t>understanding our financial statements, the changes in certain key items in those financial statements from year to year and quarter to quarter, the primary factors that resulted in those changes, and how certain accounting principles, policies and estimat</w:t>
      </w:r>
      <w:r>
        <w:rPr>
          <w:rFonts w:ascii="Arial" w:eastAsia="宋体" w:hAnsi="Arial" w:cs="Arial"/>
          <w:color w:val="000000"/>
          <w:sz w:val="20"/>
          <w:szCs w:val="20"/>
        </w:rPr>
        <w:t>es affect our financial statements.</w:t>
      </w:r>
    </w:p>
    <w:p w14:paraId="1426F79E" w14:textId="77777777" w:rsidR="00A74A1E" w:rsidRDefault="00A74A1E">
      <w:pPr>
        <w:ind w:firstLine="450"/>
        <w:jc w:val="both"/>
      </w:pPr>
    </w:p>
    <w:p w14:paraId="1426F79F" w14:textId="77777777" w:rsidR="00A74A1E" w:rsidRDefault="00807990">
      <w:pPr>
        <w:jc w:val="both"/>
      </w:pPr>
      <w:r>
        <w:rPr>
          <w:rFonts w:ascii="Arial" w:eastAsia="宋体" w:hAnsi="Arial" w:cs="Arial"/>
          <w:b/>
          <w:bCs/>
          <w:color w:val="000000"/>
          <w:sz w:val="20"/>
          <w:szCs w:val="20"/>
        </w:rPr>
        <w:t xml:space="preserve">Results of </w:t>
      </w:r>
      <w:r>
        <w:rPr>
          <w:rFonts w:ascii="Arial" w:eastAsia="宋体" w:hAnsi="Arial" w:cs="Arial"/>
          <w:b/>
          <w:bCs/>
          <w:i/>
          <w:iCs/>
          <w:color w:val="000000"/>
          <w:sz w:val="20"/>
          <w:szCs w:val="20"/>
        </w:rPr>
        <w:t>Operations</w:t>
      </w:r>
    </w:p>
    <w:p w14:paraId="1426F7A0" w14:textId="77777777" w:rsidR="00A74A1E" w:rsidRDefault="00807990">
      <w:pPr>
        <w:spacing w:before="100" w:after="180"/>
        <w:ind w:firstLine="450"/>
        <w:jc w:val="both"/>
      </w:pPr>
      <w:r>
        <w:rPr>
          <w:rFonts w:ascii="Arial" w:eastAsia="宋体" w:hAnsi="Arial" w:cs="Arial"/>
          <w:color w:val="000000"/>
          <w:sz w:val="20"/>
          <w:szCs w:val="20"/>
        </w:rPr>
        <w:t>We report our financial performance based on the following two reportable segments: the Computing and Graphics segment and the Enterprise, Embedded and Semi-Custom segment.</w:t>
      </w:r>
    </w:p>
    <w:p w14:paraId="1426F7A1" w14:textId="77777777" w:rsidR="00A74A1E" w:rsidRDefault="00807990">
      <w:pPr>
        <w:spacing w:before="100" w:after="180"/>
        <w:ind w:firstLine="450"/>
        <w:jc w:val="both"/>
      </w:pPr>
      <w:r>
        <w:rPr>
          <w:rFonts w:ascii="Arial" w:eastAsia="宋体" w:hAnsi="Arial" w:cs="Arial"/>
          <w:color w:val="000000"/>
          <w:sz w:val="20"/>
          <w:szCs w:val="20"/>
        </w:rPr>
        <w:t>Additional information o</w:t>
      </w:r>
      <w:r>
        <w:rPr>
          <w:rFonts w:ascii="Arial" w:eastAsia="宋体" w:hAnsi="Arial" w:cs="Arial"/>
          <w:color w:val="000000"/>
          <w:sz w:val="20"/>
          <w:szCs w:val="20"/>
        </w:rPr>
        <w:t>n our reportable segments is contained in Note 10—Segment Reporting of the notes to condensed consolidated financial statements (Part I, Financial Information of this Form 10-Q).</w:t>
      </w:r>
    </w:p>
    <w:p w14:paraId="1426F7A2" w14:textId="77777777" w:rsidR="00A74A1E" w:rsidRDefault="00807990">
      <w:pPr>
        <w:spacing w:before="100" w:after="180"/>
        <w:ind w:firstLine="450"/>
        <w:jc w:val="both"/>
      </w:pPr>
      <w:r>
        <w:rPr>
          <w:rFonts w:ascii="Arial" w:eastAsia="宋体" w:hAnsi="Arial" w:cs="Arial"/>
          <w:color w:val="000000"/>
          <w:sz w:val="20"/>
          <w:szCs w:val="20"/>
        </w:rPr>
        <w:t xml:space="preserve">Our operating results tend to vary seasonally. Historically, our net revenue </w:t>
      </w:r>
      <w:r>
        <w:rPr>
          <w:rFonts w:ascii="Arial" w:eastAsia="宋体" w:hAnsi="Arial" w:cs="Arial"/>
          <w:color w:val="000000"/>
          <w:sz w:val="20"/>
          <w:szCs w:val="20"/>
        </w:rPr>
        <w:t>has been generally higher in the second half of the year than in the first half of the year, although market conditions and product transitions could impact these trends.</w:t>
      </w:r>
    </w:p>
    <w:p w14:paraId="1426F7A3" w14:textId="77777777" w:rsidR="00A74A1E" w:rsidRDefault="00807990">
      <w:pPr>
        <w:spacing w:before="180"/>
        <w:ind w:firstLine="495"/>
        <w:jc w:val="both"/>
      </w:pPr>
      <w:r>
        <w:rPr>
          <w:rFonts w:ascii="Arial" w:eastAsia="宋体" w:hAnsi="Arial" w:cs="Arial"/>
          <w:color w:val="000000"/>
          <w:sz w:val="20"/>
          <w:szCs w:val="20"/>
        </w:rPr>
        <w:t xml:space="preserve">The following table provides a summary of net revenue and operating income (loss) by </w:t>
      </w:r>
      <w:r>
        <w:rPr>
          <w:rFonts w:ascii="Arial" w:eastAsia="宋体" w:hAnsi="Arial" w:cs="Arial"/>
          <w:color w:val="000000"/>
          <w:sz w:val="20"/>
          <w:szCs w:val="20"/>
        </w:rPr>
        <w:t>segment: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4073"/>
        <w:gridCol w:w="37"/>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9"/>
        <w:gridCol w:w="36"/>
      </w:tblGrid>
      <w:tr w:rsidR="00A74A1E" w14:paraId="1426F7BC" w14:textId="77777777">
        <w:tc>
          <w:tcPr>
            <w:tcW w:w="50" w:type="pct"/>
            <w:shd w:val="clear" w:color="auto" w:fill="auto"/>
          </w:tcPr>
          <w:p w14:paraId="1426F7A4" w14:textId="77777777" w:rsidR="00A74A1E" w:rsidRDefault="00A74A1E">
            <w:pPr>
              <w:rPr>
                <w:rFonts w:ascii="宋体"/>
              </w:rPr>
            </w:pPr>
          </w:p>
        </w:tc>
        <w:tc>
          <w:tcPr>
            <w:tcW w:w="2518" w:type="pct"/>
            <w:shd w:val="clear" w:color="auto" w:fill="auto"/>
          </w:tcPr>
          <w:p w14:paraId="1426F7A5" w14:textId="77777777" w:rsidR="00A74A1E" w:rsidRDefault="00A74A1E">
            <w:pPr>
              <w:rPr>
                <w:rFonts w:ascii="宋体"/>
              </w:rPr>
            </w:pPr>
          </w:p>
        </w:tc>
        <w:tc>
          <w:tcPr>
            <w:tcW w:w="5" w:type="pct"/>
            <w:shd w:val="clear" w:color="auto" w:fill="auto"/>
          </w:tcPr>
          <w:p w14:paraId="1426F7A6" w14:textId="77777777" w:rsidR="00A74A1E" w:rsidRDefault="00A74A1E">
            <w:pPr>
              <w:rPr>
                <w:rFonts w:ascii="宋体"/>
              </w:rPr>
            </w:pPr>
          </w:p>
        </w:tc>
        <w:tc>
          <w:tcPr>
            <w:tcW w:w="50" w:type="pct"/>
            <w:shd w:val="clear" w:color="auto" w:fill="auto"/>
          </w:tcPr>
          <w:p w14:paraId="1426F7A7" w14:textId="77777777" w:rsidR="00A74A1E" w:rsidRDefault="00A74A1E">
            <w:pPr>
              <w:rPr>
                <w:rFonts w:ascii="宋体"/>
              </w:rPr>
            </w:pPr>
          </w:p>
        </w:tc>
        <w:tc>
          <w:tcPr>
            <w:tcW w:w="529" w:type="pct"/>
            <w:shd w:val="clear" w:color="auto" w:fill="auto"/>
          </w:tcPr>
          <w:p w14:paraId="1426F7A8" w14:textId="77777777" w:rsidR="00A74A1E" w:rsidRDefault="00A74A1E">
            <w:pPr>
              <w:rPr>
                <w:rFonts w:ascii="宋体"/>
              </w:rPr>
            </w:pPr>
          </w:p>
        </w:tc>
        <w:tc>
          <w:tcPr>
            <w:tcW w:w="5" w:type="pct"/>
            <w:shd w:val="clear" w:color="auto" w:fill="auto"/>
          </w:tcPr>
          <w:p w14:paraId="1426F7A9" w14:textId="77777777" w:rsidR="00A74A1E" w:rsidRDefault="00A74A1E">
            <w:pPr>
              <w:rPr>
                <w:rFonts w:ascii="宋体"/>
              </w:rPr>
            </w:pPr>
          </w:p>
        </w:tc>
        <w:tc>
          <w:tcPr>
            <w:tcW w:w="5" w:type="pct"/>
            <w:shd w:val="clear" w:color="auto" w:fill="auto"/>
          </w:tcPr>
          <w:p w14:paraId="1426F7AA" w14:textId="77777777" w:rsidR="00A74A1E" w:rsidRDefault="00A74A1E">
            <w:pPr>
              <w:rPr>
                <w:rFonts w:ascii="宋体"/>
              </w:rPr>
            </w:pPr>
          </w:p>
        </w:tc>
        <w:tc>
          <w:tcPr>
            <w:tcW w:w="19" w:type="pct"/>
            <w:shd w:val="clear" w:color="auto" w:fill="auto"/>
          </w:tcPr>
          <w:p w14:paraId="1426F7AB" w14:textId="77777777" w:rsidR="00A74A1E" w:rsidRDefault="00A74A1E">
            <w:pPr>
              <w:rPr>
                <w:rFonts w:ascii="宋体"/>
              </w:rPr>
            </w:pPr>
          </w:p>
        </w:tc>
        <w:tc>
          <w:tcPr>
            <w:tcW w:w="5" w:type="pct"/>
            <w:shd w:val="clear" w:color="auto" w:fill="auto"/>
          </w:tcPr>
          <w:p w14:paraId="1426F7AC" w14:textId="77777777" w:rsidR="00A74A1E" w:rsidRDefault="00A74A1E">
            <w:pPr>
              <w:rPr>
                <w:rFonts w:ascii="宋体"/>
              </w:rPr>
            </w:pPr>
          </w:p>
        </w:tc>
        <w:tc>
          <w:tcPr>
            <w:tcW w:w="50" w:type="pct"/>
            <w:shd w:val="clear" w:color="auto" w:fill="auto"/>
          </w:tcPr>
          <w:p w14:paraId="1426F7AD" w14:textId="77777777" w:rsidR="00A74A1E" w:rsidRDefault="00A74A1E">
            <w:pPr>
              <w:rPr>
                <w:rFonts w:ascii="宋体"/>
              </w:rPr>
            </w:pPr>
          </w:p>
        </w:tc>
        <w:tc>
          <w:tcPr>
            <w:tcW w:w="529" w:type="pct"/>
            <w:shd w:val="clear" w:color="auto" w:fill="auto"/>
          </w:tcPr>
          <w:p w14:paraId="1426F7AE" w14:textId="77777777" w:rsidR="00A74A1E" w:rsidRDefault="00A74A1E">
            <w:pPr>
              <w:rPr>
                <w:rFonts w:ascii="宋体"/>
              </w:rPr>
            </w:pPr>
          </w:p>
        </w:tc>
        <w:tc>
          <w:tcPr>
            <w:tcW w:w="5" w:type="pct"/>
            <w:shd w:val="clear" w:color="auto" w:fill="auto"/>
          </w:tcPr>
          <w:p w14:paraId="1426F7AF" w14:textId="77777777" w:rsidR="00A74A1E" w:rsidRDefault="00A74A1E">
            <w:pPr>
              <w:rPr>
                <w:rFonts w:ascii="宋体"/>
              </w:rPr>
            </w:pPr>
          </w:p>
        </w:tc>
        <w:tc>
          <w:tcPr>
            <w:tcW w:w="5" w:type="pct"/>
            <w:shd w:val="clear" w:color="auto" w:fill="auto"/>
          </w:tcPr>
          <w:p w14:paraId="1426F7B0" w14:textId="77777777" w:rsidR="00A74A1E" w:rsidRDefault="00A74A1E">
            <w:pPr>
              <w:rPr>
                <w:rFonts w:ascii="宋体"/>
              </w:rPr>
            </w:pPr>
          </w:p>
        </w:tc>
        <w:tc>
          <w:tcPr>
            <w:tcW w:w="19" w:type="pct"/>
            <w:shd w:val="clear" w:color="auto" w:fill="auto"/>
          </w:tcPr>
          <w:p w14:paraId="1426F7B1" w14:textId="77777777" w:rsidR="00A74A1E" w:rsidRDefault="00A74A1E">
            <w:pPr>
              <w:rPr>
                <w:rFonts w:ascii="宋体"/>
              </w:rPr>
            </w:pPr>
          </w:p>
        </w:tc>
        <w:tc>
          <w:tcPr>
            <w:tcW w:w="5" w:type="pct"/>
            <w:shd w:val="clear" w:color="auto" w:fill="auto"/>
          </w:tcPr>
          <w:p w14:paraId="1426F7B2" w14:textId="77777777" w:rsidR="00A74A1E" w:rsidRDefault="00A74A1E">
            <w:pPr>
              <w:rPr>
                <w:rFonts w:ascii="宋体"/>
              </w:rPr>
            </w:pPr>
          </w:p>
        </w:tc>
        <w:tc>
          <w:tcPr>
            <w:tcW w:w="50" w:type="pct"/>
            <w:shd w:val="clear" w:color="auto" w:fill="auto"/>
          </w:tcPr>
          <w:p w14:paraId="1426F7B3" w14:textId="77777777" w:rsidR="00A74A1E" w:rsidRDefault="00A74A1E">
            <w:pPr>
              <w:rPr>
                <w:rFonts w:ascii="宋体"/>
              </w:rPr>
            </w:pPr>
          </w:p>
        </w:tc>
        <w:tc>
          <w:tcPr>
            <w:tcW w:w="529" w:type="pct"/>
            <w:shd w:val="clear" w:color="auto" w:fill="auto"/>
          </w:tcPr>
          <w:p w14:paraId="1426F7B4" w14:textId="77777777" w:rsidR="00A74A1E" w:rsidRDefault="00A74A1E">
            <w:pPr>
              <w:rPr>
                <w:rFonts w:ascii="宋体"/>
              </w:rPr>
            </w:pPr>
          </w:p>
        </w:tc>
        <w:tc>
          <w:tcPr>
            <w:tcW w:w="5" w:type="pct"/>
            <w:shd w:val="clear" w:color="auto" w:fill="auto"/>
          </w:tcPr>
          <w:p w14:paraId="1426F7B5" w14:textId="77777777" w:rsidR="00A74A1E" w:rsidRDefault="00A74A1E">
            <w:pPr>
              <w:rPr>
                <w:rFonts w:ascii="宋体"/>
              </w:rPr>
            </w:pPr>
          </w:p>
        </w:tc>
        <w:tc>
          <w:tcPr>
            <w:tcW w:w="5" w:type="pct"/>
            <w:shd w:val="clear" w:color="auto" w:fill="auto"/>
          </w:tcPr>
          <w:p w14:paraId="1426F7B6" w14:textId="77777777" w:rsidR="00A74A1E" w:rsidRDefault="00A74A1E">
            <w:pPr>
              <w:rPr>
                <w:rFonts w:ascii="宋体"/>
              </w:rPr>
            </w:pPr>
          </w:p>
        </w:tc>
        <w:tc>
          <w:tcPr>
            <w:tcW w:w="19" w:type="pct"/>
            <w:shd w:val="clear" w:color="auto" w:fill="auto"/>
          </w:tcPr>
          <w:p w14:paraId="1426F7B7" w14:textId="77777777" w:rsidR="00A74A1E" w:rsidRDefault="00A74A1E">
            <w:pPr>
              <w:rPr>
                <w:rFonts w:ascii="宋体"/>
              </w:rPr>
            </w:pPr>
          </w:p>
        </w:tc>
        <w:tc>
          <w:tcPr>
            <w:tcW w:w="5" w:type="pct"/>
            <w:shd w:val="clear" w:color="auto" w:fill="auto"/>
          </w:tcPr>
          <w:p w14:paraId="1426F7B8" w14:textId="77777777" w:rsidR="00A74A1E" w:rsidRDefault="00A74A1E">
            <w:pPr>
              <w:rPr>
                <w:rFonts w:ascii="宋体"/>
              </w:rPr>
            </w:pPr>
          </w:p>
        </w:tc>
        <w:tc>
          <w:tcPr>
            <w:tcW w:w="50" w:type="pct"/>
            <w:shd w:val="clear" w:color="auto" w:fill="auto"/>
          </w:tcPr>
          <w:p w14:paraId="1426F7B9" w14:textId="77777777" w:rsidR="00A74A1E" w:rsidRDefault="00A74A1E">
            <w:pPr>
              <w:rPr>
                <w:rFonts w:ascii="宋体"/>
              </w:rPr>
            </w:pPr>
          </w:p>
        </w:tc>
        <w:tc>
          <w:tcPr>
            <w:tcW w:w="530" w:type="pct"/>
            <w:shd w:val="clear" w:color="auto" w:fill="auto"/>
          </w:tcPr>
          <w:p w14:paraId="1426F7BA" w14:textId="77777777" w:rsidR="00A74A1E" w:rsidRDefault="00A74A1E">
            <w:pPr>
              <w:rPr>
                <w:rFonts w:ascii="宋体"/>
              </w:rPr>
            </w:pPr>
          </w:p>
        </w:tc>
        <w:tc>
          <w:tcPr>
            <w:tcW w:w="5" w:type="pct"/>
            <w:shd w:val="clear" w:color="auto" w:fill="auto"/>
          </w:tcPr>
          <w:p w14:paraId="1426F7BB" w14:textId="77777777" w:rsidR="00A74A1E" w:rsidRDefault="00A74A1E">
            <w:pPr>
              <w:rPr>
                <w:rFonts w:ascii="宋体"/>
              </w:rPr>
            </w:pPr>
          </w:p>
        </w:tc>
      </w:tr>
      <w:tr w:rsidR="00A74A1E" w14:paraId="1426F7C1" w14:textId="77777777">
        <w:tc>
          <w:tcPr>
            <w:tcW w:w="0" w:type="auto"/>
            <w:gridSpan w:val="3"/>
            <w:shd w:val="clear" w:color="auto" w:fill="auto"/>
            <w:tcMar>
              <w:top w:w="0" w:type="dxa"/>
              <w:left w:w="20" w:type="dxa"/>
              <w:bottom w:w="0" w:type="dxa"/>
              <w:right w:w="20" w:type="dxa"/>
            </w:tcMar>
          </w:tcPr>
          <w:p w14:paraId="1426F7BD"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7BE" w14:textId="77777777" w:rsidR="00A74A1E" w:rsidRDefault="00807990">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7BF"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7C0"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7CA" w14:textId="77777777">
        <w:tc>
          <w:tcPr>
            <w:tcW w:w="0" w:type="auto"/>
            <w:gridSpan w:val="3"/>
            <w:shd w:val="clear" w:color="auto" w:fill="auto"/>
            <w:tcMar>
              <w:top w:w="0" w:type="dxa"/>
              <w:left w:w="20" w:type="dxa"/>
              <w:bottom w:w="0" w:type="dxa"/>
              <w:right w:w="20" w:type="dxa"/>
            </w:tcMar>
          </w:tcPr>
          <w:p w14:paraId="1426F7C2" w14:textId="77777777" w:rsidR="00A74A1E" w:rsidRDefault="00A74A1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7C3"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7C4"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7C5"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7C6"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7C7" w14:textId="77777777" w:rsidR="00A74A1E" w:rsidRDefault="00807990">
            <w:pPr>
              <w:jc w:val="center"/>
              <w:textAlignment w:val="bottom"/>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7C8"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426F7C9" w14:textId="77777777" w:rsidR="00A74A1E" w:rsidRDefault="00807990">
            <w:pPr>
              <w:jc w:val="center"/>
              <w:textAlignment w:val="bottom"/>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7CD" w14:textId="77777777">
        <w:tc>
          <w:tcPr>
            <w:tcW w:w="0" w:type="auto"/>
            <w:gridSpan w:val="3"/>
            <w:shd w:val="clear" w:color="auto" w:fill="auto"/>
            <w:tcMar>
              <w:top w:w="0" w:type="dxa"/>
              <w:left w:w="20" w:type="dxa"/>
              <w:bottom w:w="0" w:type="dxa"/>
              <w:right w:w="20" w:type="dxa"/>
            </w:tcMar>
          </w:tcPr>
          <w:p w14:paraId="1426F7CB" w14:textId="77777777" w:rsidR="00A74A1E" w:rsidRDefault="00A74A1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426F7CC" w14:textId="77777777" w:rsidR="00A74A1E" w:rsidRDefault="00807990">
            <w:pPr>
              <w:jc w:val="center"/>
              <w:textAlignment w:val="bottom"/>
            </w:pPr>
            <w:r>
              <w:rPr>
                <w:rFonts w:ascii="Arial" w:eastAsia="宋体" w:hAnsi="Arial" w:cs="Arial"/>
                <w:b/>
                <w:bCs/>
                <w:color w:val="000000"/>
                <w:sz w:val="16"/>
                <w:szCs w:val="16"/>
              </w:rPr>
              <w:t>(In millions)</w:t>
            </w:r>
          </w:p>
        </w:tc>
      </w:tr>
      <w:tr w:rsidR="00A74A1E" w14:paraId="1426F7D6" w14:textId="77777777">
        <w:tc>
          <w:tcPr>
            <w:tcW w:w="0" w:type="auto"/>
            <w:gridSpan w:val="3"/>
            <w:shd w:val="clear" w:color="auto" w:fill="CCEEFF"/>
            <w:tcMar>
              <w:top w:w="40" w:type="dxa"/>
              <w:left w:w="20" w:type="dxa"/>
              <w:bottom w:w="40" w:type="dxa"/>
              <w:right w:w="20" w:type="dxa"/>
            </w:tcMar>
            <w:vAlign w:val="bottom"/>
          </w:tcPr>
          <w:p w14:paraId="1426F7CE" w14:textId="77777777" w:rsidR="00A74A1E" w:rsidRDefault="00807990">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tcPr>
          <w:p w14:paraId="1426F7CF"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1"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7D5" w14:textId="77777777" w:rsidR="00A74A1E" w:rsidRDefault="00A74A1E">
            <w:pPr>
              <w:rPr>
                <w:rFonts w:ascii="宋体"/>
              </w:rPr>
            </w:pPr>
          </w:p>
        </w:tc>
      </w:tr>
      <w:tr w:rsidR="00A74A1E" w14:paraId="1426F7E7" w14:textId="77777777">
        <w:tc>
          <w:tcPr>
            <w:tcW w:w="0" w:type="auto"/>
            <w:gridSpan w:val="3"/>
            <w:shd w:val="clear" w:color="auto" w:fill="FFFFFF"/>
            <w:tcMar>
              <w:top w:w="40" w:type="dxa"/>
              <w:left w:w="360" w:type="dxa"/>
              <w:bottom w:w="40" w:type="dxa"/>
              <w:right w:w="20" w:type="dxa"/>
            </w:tcMar>
            <w:vAlign w:val="bottom"/>
          </w:tcPr>
          <w:p w14:paraId="1426F7D7" w14:textId="77777777" w:rsidR="00A74A1E" w:rsidRDefault="00807990">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1426F7D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D9" w14:textId="77777777" w:rsidR="00A74A1E" w:rsidRDefault="00807990">
            <w:pPr>
              <w:jc w:val="right"/>
              <w:textAlignment w:val="bottom"/>
            </w:pPr>
            <w:r>
              <w:rPr>
                <w:rFonts w:ascii="Arial" w:eastAsia="宋体" w:hAnsi="Arial" w:cs="Arial"/>
                <w:color w:val="000000"/>
                <w:sz w:val="20"/>
                <w:szCs w:val="20"/>
              </w:rPr>
              <w:t>1,667 </w:t>
            </w:r>
          </w:p>
        </w:tc>
        <w:tc>
          <w:tcPr>
            <w:tcW w:w="0" w:type="auto"/>
            <w:shd w:val="clear" w:color="auto" w:fill="FFFFFF"/>
            <w:tcMar>
              <w:top w:w="40" w:type="dxa"/>
              <w:left w:w="0" w:type="dxa"/>
              <w:bottom w:w="40" w:type="dxa"/>
              <w:right w:w="20" w:type="dxa"/>
            </w:tcMar>
            <w:vAlign w:val="bottom"/>
          </w:tcPr>
          <w:p w14:paraId="1426F7D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DB"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D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DD" w14:textId="77777777" w:rsidR="00A74A1E" w:rsidRDefault="00807990">
            <w:pPr>
              <w:jc w:val="right"/>
              <w:textAlignment w:val="bottom"/>
            </w:pPr>
            <w:r>
              <w:rPr>
                <w:rFonts w:ascii="Arial" w:eastAsia="宋体" w:hAnsi="Arial" w:cs="Arial"/>
                <w:color w:val="000000"/>
                <w:sz w:val="20"/>
                <w:szCs w:val="20"/>
              </w:rPr>
              <w:t>1,276 </w:t>
            </w:r>
          </w:p>
        </w:tc>
        <w:tc>
          <w:tcPr>
            <w:tcW w:w="0" w:type="auto"/>
            <w:shd w:val="clear" w:color="auto" w:fill="FFFFFF"/>
            <w:tcMar>
              <w:top w:w="40" w:type="dxa"/>
              <w:left w:w="0" w:type="dxa"/>
              <w:bottom w:w="40" w:type="dxa"/>
              <w:right w:w="20" w:type="dxa"/>
            </w:tcMar>
            <w:vAlign w:val="bottom"/>
          </w:tcPr>
          <w:p w14:paraId="1426F7D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DF"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E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E1" w14:textId="77777777" w:rsidR="00A74A1E" w:rsidRDefault="00807990">
            <w:pPr>
              <w:jc w:val="right"/>
              <w:textAlignment w:val="bottom"/>
            </w:pPr>
            <w:r>
              <w:rPr>
                <w:rFonts w:ascii="Arial" w:eastAsia="宋体" w:hAnsi="Arial" w:cs="Arial"/>
                <w:color w:val="000000"/>
                <w:sz w:val="20"/>
                <w:szCs w:val="20"/>
              </w:rPr>
              <w:t>4,472 </w:t>
            </w:r>
          </w:p>
        </w:tc>
        <w:tc>
          <w:tcPr>
            <w:tcW w:w="0" w:type="auto"/>
            <w:shd w:val="clear" w:color="auto" w:fill="FFFFFF"/>
            <w:tcMar>
              <w:top w:w="40" w:type="dxa"/>
              <w:left w:w="0" w:type="dxa"/>
              <w:bottom w:w="40" w:type="dxa"/>
              <w:right w:w="20" w:type="dxa"/>
            </w:tcMar>
            <w:vAlign w:val="bottom"/>
          </w:tcPr>
          <w:p w14:paraId="1426F7E2"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7E3"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7E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7E5" w14:textId="77777777" w:rsidR="00A74A1E" w:rsidRDefault="00807990">
            <w:pPr>
              <w:jc w:val="right"/>
              <w:textAlignment w:val="bottom"/>
            </w:pPr>
            <w:r>
              <w:rPr>
                <w:rFonts w:ascii="Arial" w:eastAsia="宋体" w:hAnsi="Arial" w:cs="Arial"/>
                <w:color w:val="000000"/>
                <w:sz w:val="20"/>
                <w:szCs w:val="20"/>
              </w:rPr>
              <w:t>3,047 </w:t>
            </w:r>
          </w:p>
        </w:tc>
        <w:tc>
          <w:tcPr>
            <w:tcW w:w="0" w:type="auto"/>
            <w:shd w:val="clear" w:color="auto" w:fill="FFFFFF"/>
            <w:tcMar>
              <w:top w:w="40" w:type="dxa"/>
              <w:left w:w="0" w:type="dxa"/>
              <w:bottom w:w="40" w:type="dxa"/>
              <w:right w:w="20" w:type="dxa"/>
            </w:tcMar>
            <w:vAlign w:val="bottom"/>
          </w:tcPr>
          <w:p w14:paraId="1426F7E6" w14:textId="77777777" w:rsidR="00A74A1E" w:rsidRDefault="00A74A1E">
            <w:pPr>
              <w:jc w:val="right"/>
              <w:rPr>
                <w:rFonts w:ascii="宋体"/>
              </w:rPr>
            </w:pPr>
          </w:p>
        </w:tc>
      </w:tr>
      <w:tr w:rsidR="00A74A1E" w14:paraId="1426F7F4" w14:textId="77777777">
        <w:tc>
          <w:tcPr>
            <w:tcW w:w="0" w:type="auto"/>
            <w:gridSpan w:val="3"/>
            <w:shd w:val="clear" w:color="auto" w:fill="CCEEFF"/>
            <w:tcMar>
              <w:top w:w="40" w:type="dxa"/>
              <w:left w:w="360" w:type="dxa"/>
              <w:bottom w:w="40" w:type="dxa"/>
              <w:right w:w="20" w:type="dxa"/>
            </w:tcMar>
            <w:vAlign w:val="bottom"/>
          </w:tcPr>
          <w:p w14:paraId="1426F7E8" w14:textId="77777777" w:rsidR="00A74A1E" w:rsidRDefault="00807990">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1426F7E9" w14:textId="77777777" w:rsidR="00A74A1E" w:rsidRDefault="00807990">
            <w:pPr>
              <w:jc w:val="right"/>
              <w:textAlignment w:val="bottom"/>
            </w:pPr>
            <w:r>
              <w:rPr>
                <w:rFonts w:ascii="Arial" w:eastAsia="宋体" w:hAnsi="Arial" w:cs="Arial"/>
                <w:color w:val="000000"/>
                <w:sz w:val="20"/>
                <w:szCs w:val="20"/>
              </w:rPr>
              <w:t>1,134 </w:t>
            </w:r>
          </w:p>
        </w:tc>
        <w:tc>
          <w:tcPr>
            <w:tcW w:w="0" w:type="auto"/>
            <w:shd w:val="clear" w:color="auto" w:fill="CCEEFF"/>
            <w:tcMar>
              <w:top w:w="40" w:type="dxa"/>
              <w:left w:w="0" w:type="dxa"/>
              <w:bottom w:w="40" w:type="dxa"/>
              <w:right w:w="20" w:type="dxa"/>
            </w:tcMar>
            <w:vAlign w:val="bottom"/>
          </w:tcPr>
          <w:p w14:paraId="1426F7E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E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EC" w14:textId="77777777" w:rsidR="00A74A1E" w:rsidRDefault="00807990">
            <w:pPr>
              <w:jc w:val="right"/>
              <w:textAlignment w:val="bottom"/>
            </w:pPr>
            <w:r>
              <w:rPr>
                <w:rFonts w:ascii="Arial" w:eastAsia="宋体" w:hAnsi="Arial" w:cs="Arial"/>
                <w:color w:val="000000"/>
                <w:sz w:val="20"/>
                <w:szCs w:val="20"/>
              </w:rPr>
              <w:t>525 </w:t>
            </w:r>
          </w:p>
        </w:tc>
        <w:tc>
          <w:tcPr>
            <w:tcW w:w="0" w:type="auto"/>
            <w:shd w:val="clear" w:color="auto" w:fill="CCEEFF"/>
            <w:tcMar>
              <w:top w:w="40" w:type="dxa"/>
              <w:left w:w="0" w:type="dxa"/>
              <w:bottom w:w="40" w:type="dxa"/>
              <w:right w:w="20" w:type="dxa"/>
            </w:tcMar>
            <w:vAlign w:val="bottom"/>
          </w:tcPr>
          <w:p w14:paraId="1426F7E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EE"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EF" w14:textId="77777777" w:rsidR="00A74A1E" w:rsidRDefault="00807990">
            <w:pPr>
              <w:jc w:val="right"/>
              <w:textAlignment w:val="bottom"/>
            </w:pPr>
            <w:r>
              <w:rPr>
                <w:rFonts w:ascii="Arial" w:eastAsia="宋体" w:hAnsi="Arial" w:cs="Arial"/>
                <w:color w:val="000000"/>
                <w:sz w:val="20"/>
                <w:szCs w:val="20"/>
              </w:rPr>
              <w:t>2,047 </w:t>
            </w:r>
          </w:p>
        </w:tc>
        <w:tc>
          <w:tcPr>
            <w:tcW w:w="0" w:type="auto"/>
            <w:shd w:val="clear" w:color="auto" w:fill="CCEEFF"/>
            <w:tcMar>
              <w:top w:w="40" w:type="dxa"/>
              <w:left w:w="0" w:type="dxa"/>
              <w:bottom w:w="40" w:type="dxa"/>
              <w:right w:w="20" w:type="dxa"/>
            </w:tcMar>
            <w:vAlign w:val="bottom"/>
          </w:tcPr>
          <w:p w14:paraId="1426F7F0"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7F1"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7F2" w14:textId="77777777" w:rsidR="00A74A1E" w:rsidRDefault="00807990">
            <w:pPr>
              <w:jc w:val="right"/>
              <w:textAlignment w:val="bottom"/>
            </w:pPr>
            <w:r>
              <w:rPr>
                <w:rFonts w:ascii="Arial" w:eastAsia="宋体" w:hAnsi="Arial" w:cs="Arial"/>
                <w:color w:val="000000"/>
                <w:sz w:val="20"/>
                <w:szCs w:val="20"/>
              </w:rPr>
              <w:t>1,557 </w:t>
            </w:r>
          </w:p>
        </w:tc>
        <w:tc>
          <w:tcPr>
            <w:tcW w:w="0" w:type="auto"/>
            <w:shd w:val="clear" w:color="auto" w:fill="CCEEFF"/>
            <w:tcMar>
              <w:top w:w="40" w:type="dxa"/>
              <w:left w:w="0" w:type="dxa"/>
              <w:bottom w:w="40" w:type="dxa"/>
              <w:right w:w="20" w:type="dxa"/>
            </w:tcMar>
            <w:vAlign w:val="bottom"/>
          </w:tcPr>
          <w:p w14:paraId="1426F7F3" w14:textId="77777777" w:rsidR="00A74A1E" w:rsidRDefault="00A74A1E">
            <w:pPr>
              <w:jc w:val="right"/>
              <w:rPr>
                <w:rFonts w:ascii="宋体"/>
              </w:rPr>
            </w:pPr>
          </w:p>
        </w:tc>
      </w:tr>
      <w:tr w:rsidR="00A74A1E" w14:paraId="1426F7FD" w14:textId="77777777">
        <w:trPr>
          <w:hidden/>
        </w:trPr>
        <w:tc>
          <w:tcPr>
            <w:tcW w:w="0" w:type="auto"/>
            <w:gridSpan w:val="3"/>
            <w:shd w:val="clear" w:color="auto" w:fill="auto"/>
          </w:tcPr>
          <w:p w14:paraId="1426F7F5" w14:textId="77777777" w:rsidR="00A74A1E" w:rsidRDefault="00A74A1E">
            <w:pPr>
              <w:rPr>
                <w:rFonts w:ascii="宋体"/>
                <w:vanish/>
              </w:rPr>
            </w:pPr>
          </w:p>
        </w:tc>
        <w:tc>
          <w:tcPr>
            <w:tcW w:w="0" w:type="auto"/>
            <w:gridSpan w:val="3"/>
            <w:shd w:val="clear" w:color="auto" w:fill="auto"/>
          </w:tcPr>
          <w:p w14:paraId="1426F7F6" w14:textId="77777777" w:rsidR="00A74A1E" w:rsidRDefault="00A74A1E">
            <w:pPr>
              <w:rPr>
                <w:rFonts w:ascii="宋体"/>
                <w:vanish/>
              </w:rPr>
            </w:pPr>
          </w:p>
        </w:tc>
        <w:tc>
          <w:tcPr>
            <w:tcW w:w="0" w:type="auto"/>
            <w:gridSpan w:val="3"/>
            <w:shd w:val="clear" w:color="auto" w:fill="auto"/>
          </w:tcPr>
          <w:p w14:paraId="1426F7F7" w14:textId="77777777" w:rsidR="00A74A1E" w:rsidRDefault="00A74A1E">
            <w:pPr>
              <w:rPr>
                <w:rFonts w:ascii="宋体"/>
                <w:vanish/>
              </w:rPr>
            </w:pPr>
          </w:p>
        </w:tc>
        <w:tc>
          <w:tcPr>
            <w:tcW w:w="0" w:type="auto"/>
            <w:gridSpan w:val="3"/>
            <w:shd w:val="clear" w:color="auto" w:fill="auto"/>
          </w:tcPr>
          <w:p w14:paraId="1426F7F8" w14:textId="77777777" w:rsidR="00A74A1E" w:rsidRDefault="00A74A1E">
            <w:pPr>
              <w:rPr>
                <w:rFonts w:ascii="宋体"/>
                <w:vanish/>
              </w:rPr>
            </w:pPr>
          </w:p>
        </w:tc>
        <w:tc>
          <w:tcPr>
            <w:tcW w:w="0" w:type="auto"/>
            <w:gridSpan w:val="3"/>
            <w:shd w:val="clear" w:color="auto" w:fill="auto"/>
          </w:tcPr>
          <w:p w14:paraId="1426F7F9" w14:textId="77777777" w:rsidR="00A74A1E" w:rsidRDefault="00A74A1E">
            <w:pPr>
              <w:rPr>
                <w:rFonts w:ascii="宋体"/>
                <w:vanish/>
              </w:rPr>
            </w:pPr>
          </w:p>
        </w:tc>
        <w:tc>
          <w:tcPr>
            <w:tcW w:w="0" w:type="auto"/>
            <w:gridSpan w:val="3"/>
            <w:shd w:val="clear" w:color="auto" w:fill="auto"/>
          </w:tcPr>
          <w:p w14:paraId="1426F7FA" w14:textId="77777777" w:rsidR="00A74A1E" w:rsidRDefault="00A74A1E">
            <w:pPr>
              <w:rPr>
                <w:rFonts w:ascii="宋体"/>
                <w:vanish/>
              </w:rPr>
            </w:pPr>
          </w:p>
        </w:tc>
        <w:tc>
          <w:tcPr>
            <w:tcW w:w="0" w:type="auto"/>
            <w:gridSpan w:val="3"/>
            <w:shd w:val="clear" w:color="auto" w:fill="auto"/>
          </w:tcPr>
          <w:p w14:paraId="1426F7FB" w14:textId="77777777" w:rsidR="00A74A1E" w:rsidRDefault="00A74A1E">
            <w:pPr>
              <w:rPr>
                <w:rFonts w:ascii="宋体"/>
                <w:vanish/>
              </w:rPr>
            </w:pPr>
          </w:p>
        </w:tc>
        <w:tc>
          <w:tcPr>
            <w:tcW w:w="0" w:type="auto"/>
            <w:gridSpan w:val="3"/>
            <w:shd w:val="clear" w:color="auto" w:fill="auto"/>
          </w:tcPr>
          <w:p w14:paraId="1426F7FC" w14:textId="77777777" w:rsidR="00A74A1E" w:rsidRDefault="00A74A1E">
            <w:pPr>
              <w:rPr>
                <w:rFonts w:ascii="宋体"/>
                <w:vanish/>
              </w:rPr>
            </w:pPr>
          </w:p>
        </w:tc>
      </w:tr>
      <w:tr w:rsidR="00A74A1E" w14:paraId="1426F80E" w14:textId="77777777">
        <w:tc>
          <w:tcPr>
            <w:tcW w:w="0" w:type="auto"/>
            <w:gridSpan w:val="3"/>
            <w:shd w:val="clear" w:color="auto" w:fill="FFFFFF"/>
            <w:tcMar>
              <w:top w:w="40" w:type="dxa"/>
              <w:left w:w="20" w:type="dxa"/>
              <w:bottom w:w="40" w:type="dxa"/>
              <w:right w:w="20" w:type="dxa"/>
            </w:tcMar>
            <w:vAlign w:val="bottom"/>
          </w:tcPr>
          <w:p w14:paraId="1426F7FE" w14:textId="77777777" w:rsidR="00A74A1E" w:rsidRDefault="00807990">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1426F7FF"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800" w14:textId="77777777" w:rsidR="00A74A1E" w:rsidRDefault="00807990">
            <w:pPr>
              <w:jc w:val="right"/>
              <w:textAlignment w:val="bottom"/>
            </w:pPr>
            <w:r>
              <w:rPr>
                <w:rFonts w:ascii="Arial" w:eastAsia="宋体" w:hAnsi="Arial" w:cs="Arial"/>
                <w:color w:val="000000"/>
                <w:sz w:val="20"/>
                <w:szCs w:val="20"/>
              </w:rPr>
              <w:t>2,801 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80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02"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803"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804" w14:textId="77777777" w:rsidR="00A74A1E" w:rsidRDefault="00807990">
            <w:pPr>
              <w:jc w:val="right"/>
              <w:textAlignment w:val="bottom"/>
            </w:pPr>
            <w:r>
              <w:rPr>
                <w:rFonts w:ascii="Arial" w:eastAsia="宋体" w:hAnsi="Arial" w:cs="Arial"/>
                <w:color w:val="000000"/>
                <w:sz w:val="20"/>
                <w:szCs w:val="20"/>
              </w:rPr>
              <w:t>1,801 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805"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06"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807"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808" w14:textId="77777777" w:rsidR="00A74A1E" w:rsidRDefault="00807990">
            <w:pPr>
              <w:jc w:val="right"/>
              <w:textAlignment w:val="bottom"/>
            </w:pPr>
            <w:r>
              <w:rPr>
                <w:rFonts w:ascii="Arial" w:eastAsia="宋体" w:hAnsi="Arial" w:cs="Arial"/>
                <w:color w:val="000000"/>
                <w:sz w:val="20"/>
                <w:szCs w:val="20"/>
              </w:rPr>
              <w:t>6,519 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809"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0A" w14:textId="77777777" w:rsidR="00A74A1E" w:rsidRDefault="00A74A1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426F80B"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426F80C" w14:textId="77777777" w:rsidR="00A74A1E" w:rsidRDefault="00807990">
            <w:pPr>
              <w:jc w:val="right"/>
              <w:textAlignment w:val="bottom"/>
            </w:pPr>
            <w:r>
              <w:rPr>
                <w:rFonts w:ascii="Arial" w:eastAsia="宋体" w:hAnsi="Arial" w:cs="Arial"/>
                <w:color w:val="000000"/>
                <w:sz w:val="20"/>
                <w:szCs w:val="20"/>
              </w:rPr>
              <w:t>4,604 </w:t>
            </w:r>
          </w:p>
        </w:tc>
        <w:tc>
          <w:tcPr>
            <w:tcW w:w="0" w:type="auto"/>
            <w:tcBorders>
              <w:top w:val="single" w:sz="8" w:space="0" w:color="000000"/>
            </w:tcBorders>
            <w:shd w:val="clear" w:color="auto" w:fill="FFFFFF"/>
            <w:tcMar>
              <w:top w:w="40" w:type="dxa"/>
              <w:left w:w="0" w:type="dxa"/>
              <w:bottom w:w="40" w:type="dxa"/>
              <w:right w:w="20" w:type="dxa"/>
            </w:tcMar>
            <w:vAlign w:val="bottom"/>
          </w:tcPr>
          <w:p w14:paraId="1426F80D" w14:textId="77777777" w:rsidR="00A74A1E" w:rsidRDefault="00A74A1E">
            <w:pPr>
              <w:jc w:val="right"/>
              <w:rPr>
                <w:rFonts w:ascii="宋体"/>
              </w:rPr>
            </w:pPr>
          </w:p>
        </w:tc>
      </w:tr>
      <w:tr w:rsidR="00A74A1E" w14:paraId="1426F817" w14:textId="77777777">
        <w:tc>
          <w:tcPr>
            <w:tcW w:w="0" w:type="auto"/>
            <w:gridSpan w:val="3"/>
            <w:shd w:val="clear" w:color="auto" w:fill="CCEEFF"/>
            <w:tcMar>
              <w:top w:w="40" w:type="dxa"/>
              <w:left w:w="20" w:type="dxa"/>
              <w:bottom w:w="40" w:type="dxa"/>
              <w:right w:w="20" w:type="dxa"/>
            </w:tcMar>
            <w:vAlign w:val="bottom"/>
          </w:tcPr>
          <w:p w14:paraId="1426F80F" w14:textId="77777777" w:rsidR="00A74A1E" w:rsidRDefault="00807990">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tcPr>
          <w:p w14:paraId="1426F810"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811"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F812"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813" w14:textId="77777777" w:rsidR="00A74A1E" w:rsidRDefault="00A74A1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426F814"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815" w14:textId="77777777" w:rsidR="00A74A1E" w:rsidRDefault="00A74A1E">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426F816" w14:textId="77777777" w:rsidR="00A74A1E" w:rsidRDefault="00807990">
            <w:pPr>
              <w:textAlignment w:val="bottom"/>
            </w:pPr>
            <w:r>
              <w:rPr>
                <w:rFonts w:ascii="Arial" w:eastAsia="宋体" w:hAnsi="Arial" w:cs="Arial"/>
                <w:color w:val="000000"/>
                <w:sz w:val="20"/>
                <w:szCs w:val="20"/>
              </w:rPr>
              <w:t> </w:t>
            </w:r>
          </w:p>
        </w:tc>
      </w:tr>
      <w:tr w:rsidR="00A74A1E" w14:paraId="1426F828" w14:textId="77777777">
        <w:tc>
          <w:tcPr>
            <w:tcW w:w="0" w:type="auto"/>
            <w:gridSpan w:val="3"/>
            <w:shd w:val="clear" w:color="auto" w:fill="FFFFFF"/>
            <w:tcMar>
              <w:top w:w="40" w:type="dxa"/>
              <w:left w:w="360" w:type="dxa"/>
              <w:bottom w:w="40" w:type="dxa"/>
              <w:right w:w="20" w:type="dxa"/>
            </w:tcMar>
            <w:vAlign w:val="bottom"/>
          </w:tcPr>
          <w:p w14:paraId="1426F818" w14:textId="77777777" w:rsidR="00A74A1E" w:rsidRDefault="00807990">
            <w:pPr>
              <w:textAlignment w:val="bottom"/>
            </w:pPr>
            <w:r>
              <w:rPr>
                <w:rFonts w:ascii="Arial" w:eastAsia="宋体"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1426F819"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81A" w14:textId="77777777" w:rsidR="00A74A1E" w:rsidRDefault="00807990">
            <w:pPr>
              <w:jc w:val="right"/>
              <w:textAlignment w:val="bottom"/>
            </w:pPr>
            <w:r>
              <w:rPr>
                <w:rFonts w:ascii="Arial" w:eastAsia="宋体" w:hAnsi="Arial" w:cs="Arial"/>
                <w:color w:val="000000"/>
                <w:sz w:val="20"/>
                <w:szCs w:val="20"/>
              </w:rPr>
              <w:t>384 </w:t>
            </w:r>
          </w:p>
        </w:tc>
        <w:tc>
          <w:tcPr>
            <w:tcW w:w="0" w:type="auto"/>
            <w:shd w:val="clear" w:color="auto" w:fill="FFFFFF"/>
            <w:tcMar>
              <w:top w:w="40" w:type="dxa"/>
              <w:left w:w="0" w:type="dxa"/>
              <w:bottom w:w="40" w:type="dxa"/>
              <w:right w:w="20" w:type="dxa"/>
            </w:tcMar>
            <w:vAlign w:val="bottom"/>
          </w:tcPr>
          <w:p w14:paraId="1426F81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1C"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81D"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81E" w14:textId="77777777" w:rsidR="00A74A1E" w:rsidRDefault="00807990">
            <w:pPr>
              <w:jc w:val="right"/>
              <w:textAlignment w:val="bottom"/>
            </w:pPr>
            <w:r>
              <w:rPr>
                <w:rFonts w:ascii="Arial" w:eastAsia="宋体" w:hAnsi="Arial" w:cs="Arial"/>
                <w:color w:val="000000"/>
                <w:sz w:val="20"/>
                <w:szCs w:val="20"/>
              </w:rPr>
              <w:t>179 </w:t>
            </w:r>
          </w:p>
        </w:tc>
        <w:tc>
          <w:tcPr>
            <w:tcW w:w="0" w:type="auto"/>
            <w:shd w:val="clear" w:color="auto" w:fill="FFFFFF"/>
            <w:tcMar>
              <w:top w:w="40" w:type="dxa"/>
              <w:left w:w="0" w:type="dxa"/>
              <w:bottom w:w="40" w:type="dxa"/>
              <w:right w:w="20" w:type="dxa"/>
            </w:tcMar>
            <w:vAlign w:val="bottom"/>
          </w:tcPr>
          <w:p w14:paraId="1426F81F"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20"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821"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822" w14:textId="77777777" w:rsidR="00A74A1E" w:rsidRDefault="00807990">
            <w:pPr>
              <w:jc w:val="right"/>
              <w:textAlignment w:val="bottom"/>
            </w:pPr>
            <w:r>
              <w:rPr>
                <w:rFonts w:ascii="Arial" w:eastAsia="宋体" w:hAnsi="Arial" w:cs="Arial"/>
                <w:color w:val="000000"/>
                <w:sz w:val="20"/>
                <w:szCs w:val="20"/>
              </w:rPr>
              <w:t>846 </w:t>
            </w:r>
          </w:p>
        </w:tc>
        <w:tc>
          <w:tcPr>
            <w:tcW w:w="0" w:type="auto"/>
            <w:shd w:val="clear" w:color="auto" w:fill="FFFFFF"/>
            <w:tcMar>
              <w:top w:w="40" w:type="dxa"/>
              <w:left w:w="0" w:type="dxa"/>
              <w:bottom w:w="40" w:type="dxa"/>
              <w:right w:w="20" w:type="dxa"/>
            </w:tcMar>
            <w:vAlign w:val="bottom"/>
          </w:tcPr>
          <w:p w14:paraId="1426F823"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24" w14:textId="77777777" w:rsidR="00A74A1E" w:rsidRDefault="00A74A1E">
            <w:pPr>
              <w:rPr>
                <w:rFonts w:ascii="宋体"/>
              </w:rPr>
            </w:pPr>
          </w:p>
        </w:tc>
        <w:tc>
          <w:tcPr>
            <w:tcW w:w="0" w:type="auto"/>
            <w:shd w:val="clear" w:color="auto" w:fill="FFFFFF"/>
            <w:tcMar>
              <w:top w:w="40" w:type="dxa"/>
              <w:left w:w="20" w:type="dxa"/>
              <w:bottom w:w="40" w:type="dxa"/>
              <w:right w:w="0" w:type="dxa"/>
            </w:tcMar>
            <w:vAlign w:val="bottom"/>
          </w:tcPr>
          <w:p w14:paraId="1426F825" w14:textId="77777777" w:rsidR="00A74A1E" w:rsidRDefault="00807990">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426F826" w14:textId="77777777" w:rsidR="00A74A1E" w:rsidRDefault="00807990">
            <w:pPr>
              <w:jc w:val="right"/>
              <w:textAlignment w:val="bottom"/>
            </w:pPr>
            <w:r>
              <w:rPr>
                <w:rFonts w:ascii="Arial" w:eastAsia="宋体" w:hAnsi="Arial" w:cs="Arial"/>
                <w:color w:val="000000"/>
                <w:sz w:val="20"/>
                <w:szCs w:val="20"/>
              </w:rPr>
              <w:t>217 </w:t>
            </w:r>
          </w:p>
        </w:tc>
        <w:tc>
          <w:tcPr>
            <w:tcW w:w="0" w:type="auto"/>
            <w:shd w:val="clear" w:color="auto" w:fill="FFFFFF"/>
            <w:tcMar>
              <w:top w:w="40" w:type="dxa"/>
              <w:left w:w="0" w:type="dxa"/>
              <w:bottom w:w="40" w:type="dxa"/>
              <w:right w:w="20" w:type="dxa"/>
            </w:tcMar>
            <w:vAlign w:val="bottom"/>
          </w:tcPr>
          <w:p w14:paraId="1426F827" w14:textId="77777777" w:rsidR="00A74A1E" w:rsidRDefault="00A74A1E">
            <w:pPr>
              <w:jc w:val="right"/>
              <w:rPr>
                <w:rFonts w:ascii="宋体"/>
              </w:rPr>
            </w:pPr>
          </w:p>
        </w:tc>
      </w:tr>
      <w:tr w:rsidR="00A74A1E" w14:paraId="1426F835" w14:textId="77777777">
        <w:tc>
          <w:tcPr>
            <w:tcW w:w="0" w:type="auto"/>
            <w:gridSpan w:val="3"/>
            <w:shd w:val="clear" w:color="auto" w:fill="CCEEFF"/>
            <w:tcMar>
              <w:top w:w="40" w:type="dxa"/>
              <w:left w:w="360" w:type="dxa"/>
              <w:bottom w:w="40" w:type="dxa"/>
              <w:right w:w="20" w:type="dxa"/>
            </w:tcMar>
            <w:vAlign w:val="bottom"/>
          </w:tcPr>
          <w:p w14:paraId="1426F829" w14:textId="77777777" w:rsidR="00A74A1E" w:rsidRDefault="00807990">
            <w:pPr>
              <w:textAlignment w:val="bottom"/>
            </w:pPr>
            <w:r>
              <w:rPr>
                <w:rFonts w:ascii="Arial" w:eastAsia="宋体"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1426F82A" w14:textId="77777777" w:rsidR="00A74A1E" w:rsidRDefault="00807990">
            <w:pPr>
              <w:jc w:val="right"/>
              <w:textAlignment w:val="bottom"/>
            </w:pPr>
            <w:r>
              <w:rPr>
                <w:rFonts w:ascii="Arial" w:eastAsia="宋体" w:hAnsi="Arial" w:cs="Arial"/>
                <w:color w:val="000000"/>
                <w:sz w:val="20"/>
                <w:szCs w:val="20"/>
              </w:rPr>
              <w:t>141 </w:t>
            </w:r>
          </w:p>
        </w:tc>
        <w:tc>
          <w:tcPr>
            <w:tcW w:w="0" w:type="auto"/>
            <w:shd w:val="clear" w:color="auto" w:fill="CCEEFF"/>
            <w:tcMar>
              <w:top w:w="40" w:type="dxa"/>
              <w:left w:w="0" w:type="dxa"/>
              <w:bottom w:w="40" w:type="dxa"/>
              <w:right w:w="20" w:type="dxa"/>
            </w:tcMar>
            <w:vAlign w:val="bottom"/>
          </w:tcPr>
          <w:p w14:paraId="1426F82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2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2D" w14:textId="77777777" w:rsidR="00A74A1E" w:rsidRDefault="00807990">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1426F82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2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30" w14:textId="77777777" w:rsidR="00A74A1E" w:rsidRDefault="00807990">
            <w:pPr>
              <w:jc w:val="right"/>
              <w:textAlignment w:val="bottom"/>
            </w:pPr>
            <w:r>
              <w:rPr>
                <w:rFonts w:ascii="Arial" w:eastAsia="宋体" w:hAnsi="Arial" w:cs="Arial"/>
                <w:color w:val="000000"/>
                <w:sz w:val="20"/>
                <w:szCs w:val="20"/>
              </w:rPr>
              <w:t>148 </w:t>
            </w:r>
          </w:p>
        </w:tc>
        <w:tc>
          <w:tcPr>
            <w:tcW w:w="0" w:type="auto"/>
            <w:shd w:val="clear" w:color="auto" w:fill="CCEEFF"/>
            <w:tcMar>
              <w:top w:w="40" w:type="dxa"/>
              <w:left w:w="0" w:type="dxa"/>
              <w:bottom w:w="40" w:type="dxa"/>
              <w:right w:w="20" w:type="dxa"/>
            </w:tcMar>
            <w:vAlign w:val="bottom"/>
          </w:tcPr>
          <w:p w14:paraId="1426F83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3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33" w14:textId="77777777" w:rsidR="00A74A1E" w:rsidRDefault="00807990">
            <w:pPr>
              <w:jc w:val="right"/>
              <w:textAlignment w:val="bottom"/>
            </w:pPr>
            <w:r>
              <w:rPr>
                <w:rFonts w:ascii="Arial" w:eastAsia="宋体" w:hAnsi="Arial" w:cs="Arial"/>
                <w:color w:val="000000"/>
                <w:sz w:val="20"/>
                <w:szCs w:val="20"/>
              </w:rPr>
              <w:t>218 </w:t>
            </w:r>
          </w:p>
        </w:tc>
        <w:tc>
          <w:tcPr>
            <w:tcW w:w="0" w:type="auto"/>
            <w:shd w:val="clear" w:color="auto" w:fill="CCEEFF"/>
            <w:tcMar>
              <w:top w:w="40" w:type="dxa"/>
              <w:left w:w="0" w:type="dxa"/>
              <w:bottom w:w="40" w:type="dxa"/>
              <w:right w:w="20" w:type="dxa"/>
            </w:tcMar>
            <w:vAlign w:val="bottom"/>
          </w:tcPr>
          <w:p w14:paraId="1426F834" w14:textId="77777777" w:rsidR="00A74A1E" w:rsidRDefault="00A74A1E">
            <w:pPr>
              <w:jc w:val="right"/>
              <w:rPr>
                <w:rFonts w:ascii="宋体"/>
              </w:rPr>
            </w:pPr>
          </w:p>
        </w:tc>
      </w:tr>
      <w:tr w:rsidR="00A74A1E" w14:paraId="1426F842" w14:textId="77777777">
        <w:tc>
          <w:tcPr>
            <w:tcW w:w="0" w:type="auto"/>
            <w:gridSpan w:val="3"/>
            <w:shd w:val="clear" w:color="auto" w:fill="FFFFFF"/>
            <w:tcMar>
              <w:top w:w="40" w:type="dxa"/>
              <w:left w:w="360" w:type="dxa"/>
              <w:bottom w:w="40" w:type="dxa"/>
              <w:right w:w="20" w:type="dxa"/>
            </w:tcMar>
            <w:vAlign w:val="bottom"/>
          </w:tcPr>
          <w:p w14:paraId="1426F836" w14:textId="77777777" w:rsidR="00A74A1E" w:rsidRDefault="00807990">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1426F837" w14:textId="77777777" w:rsidR="00A74A1E" w:rsidRDefault="00807990">
            <w:pPr>
              <w:jc w:val="right"/>
              <w:textAlignment w:val="bottom"/>
            </w:pPr>
            <w:r>
              <w:rPr>
                <w:rFonts w:ascii="Arial" w:eastAsia="宋体"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1426F838"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39"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3A" w14:textId="77777777" w:rsidR="00A74A1E" w:rsidRDefault="00807990">
            <w:pPr>
              <w:jc w:val="right"/>
              <w:textAlignment w:val="bottom"/>
            </w:pPr>
            <w:r>
              <w:rPr>
                <w:rFonts w:ascii="Arial" w:eastAsia="宋体" w:hAnsi="Arial" w:cs="Arial"/>
                <w:color w:val="000000"/>
                <w:sz w:val="20"/>
                <w:szCs w:val="20"/>
              </w:rPr>
              <w:t>(54)</w:t>
            </w:r>
          </w:p>
        </w:tc>
        <w:tc>
          <w:tcPr>
            <w:tcW w:w="0" w:type="auto"/>
            <w:shd w:val="clear" w:color="auto" w:fill="FFFFFF"/>
            <w:tcMar>
              <w:top w:w="40" w:type="dxa"/>
              <w:left w:w="0" w:type="dxa"/>
              <w:bottom w:w="40" w:type="dxa"/>
              <w:right w:w="20" w:type="dxa"/>
            </w:tcMar>
            <w:vAlign w:val="bottom"/>
          </w:tcPr>
          <w:p w14:paraId="1426F83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3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3D" w14:textId="77777777" w:rsidR="00A74A1E" w:rsidRDefault="00807990">
            <w:pPr>
              <w:jc w:val="right"/>
              <w:textAlignment w:val="bottom"/>
            </w:pPr>
            <w:r>
              <w:rPr>
                <w:rFonts w:ascii="Arial" w:eastAsia="宋体" w:hAnsi="Arial" w:cs="Arial"/>
                <w:color w:val="000000"/>
                <w:sz w:val="20"/>
                <w:szCs w:val="20"/>
              </w:rPr>
              <w:t>(195)</w:t>
            </w:r>
          </w:p>
        </w:tc>
        <w:tc>
          <w:tcPr>
            <w:tcW w:w="0" w:type="auto"/>
            <w:shd w:val="clear" w:color="auto" w:fill="FFFFFF"/>
            <w:tcMar>
              <w:top w:w="40" w:type="dxa"/>
              <w:left w:w="0" w:type="dxa"/>
              <w:bottom w:w="40" w:type="dxa"/>
              <w:right w:w="20" w:type="dxa"/>
            </w:tcMar>
            <w:vAlign w:val="bottom"/>
          </w:tcPr>
          <w:p w14:paraId="1426F83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3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40" w14:textId="77777777" w:rsidR="00A74A1E" w:rsidRDefault="00807990">
            <w:pPr>
              <w:jc w:val="right"/>
              <w:textAlignment w:val="bottom"/>
            </w:pPr>
            <w:r>
              <w:rPr>
                <w:rFonts w:ascii="Arial" w:eastAsia="宋体" w:hAnsi="Arial" w:cs="Arial"/>
                <w:color w:val="000000"/>
                <w:sz w:val="20"/>
                <w:szCs w:val="20"/>
              </w:rPr>
              <w:t>(152)</w:t>
            </w:r>
          </w:p>
        </w:tc>
        <w:tc>
          <w:tcPr>
            <w:tcW w:w="0" w:type="auto"/>
            <w:shd w:val="clear" w:color="auto" w:fill="FFFFFF"/>
            <w:tcMar>
              <w:top w:w="40" w:type="dxa"/>
              <w:left w:w="0" w:type="dxa"/>
              <w:bottom w:w="40" w:type="dxa"/>
              <w:right w:w="20" w:type="dxa"/>
            </w:tcMar>
            <w:vAlign w:val="bottom"/>
          </w:tcPr>
          <w:p w14:paraId="1426F841" w14:textId="77777777" w:rsidR="00A74A1E" w:rsidRDefault="00A74A1E">
            <w:pPr>
              <w:jc w:val="right"/>
              <w:rPr>
                <w:rFonts w:ascii="宋体"/>
              </w:rPr>
            </w:pPr>
          </w:p>
        </w:tc>
      </w:tr>
      <w:tr w:rsidR="00A74A1E" w14:paraId="1426F853" w14:textId="77777777">
        <w:tc>
          <w:tcPr>
            <w:tcW w:w="0" w:type="auto"/>
            <w:gridSpan w:val="3"/>
            <w:shd w:val="clear" w:color="auto" w:fill="CCEEFF"/>
            <w:tcMar>
              <w:top w:w="40" w:type="dxa"/>
              <w:left w:w="20" w:type="dxa"/>
              <w:bottom w:w="40" w:type="dxa"/>
              <w:right w:w="20" w:type="dxa"/>
            </w:tcMar>
            <w:vAlign w:val="bottom"/>
          </w:tcPr>
          <w:p w14:paraId="1426F843" w14:textId="77777777" w:rsidR="00A74A1E" w:rsidRDefault="00807990">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844"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845" w14:textId="77777777" w:rsidR="00A74A1E" w:rsidRDefault="00807990">
            <w:pPr>
              <w:jc w:val="right"/>
              <w:textAlignment w:val="bottom"/>
            </w:pPr>
            <w:r>
              <w:rPr>
                <w:rFonts w:ascii="Arial" w:eastAsia="宋体" w:hAnsi="Arial" w:cs="Arial"/>
                <w:color w:val="000000"/>
                <w:sz w:val="20"/>
                <w:szCs w:val="20"/>
              </w:rPr>
              <w:t>449 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846"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47"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848"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849" w14:textId="77777777" w:rsidR="00A74A1E" w:rsidRDefault="00807990">
            <w:pPr>
              <w:jc w:val="right"/>
              <w:textAlignment w:val="bottom"/>
            </w:pPr>
            <w:r>
              <w:rPr>
                <w:rFonts w:ascii="Arial" w:eastAsia="宋体" w:hAnsi="Arial" w:cs="Arial"/>
                <w:color w:val="000000"/>
                <w:sz w:val="20"/>
                <w:szCs w:val="20"/>
              </w:rPr>
              <w:t>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84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4B"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84C"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84D" w14:textId="77777777" w:rsidR="00A74A1E" w:rsidRDefault="00807990">
            <w:pPr>
              <w:jc w:val="right"/>
              <w:textAlignment w:val="bottom"/>
            </w:pPr>
            <w:r>
              <w:rPr>
                <w:rFonts w:ascii="Arial" w:eastAsia="宋体" w:hAnsi="Arial" w:cs="Arial"/>
                <w:color w:val="000000"/>
                <w:sz w:val="20"/>
                <w:szCs w:val="20"/>
              </w:rPr>
              <w:t>799 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84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4F" w14:textId="77777777" w:rsidR="00A74A1E" w:rsidRDefault="00A74A1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426F850" w14:textId="77777777" w:rsidR="00A74A1E" w:rsidRDefault="00807990">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426F851" w14:textId="77777777" w:rsidR="00A74A1E" w:rsidRDefault="00807990">
            <w:pPr>
              <w:jc w:val="right"/>
              <w:textAlignment w:val="bottom"/>
            </w:pPr>
            <w:r>
              <w:rPr>
                <w:rFonts w:ascii="Arial" w:eastAsia="宋体" w:hAnsi="Arial" w:cs="Arial"/>
                <w:color w:val="000000"/>
                <w:sz w:val="20"/>
                <w:szCs w:val="20"/>
              </w:rPr>
              <w:t>283 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426F852" w14:textId="77777777" w:rsidR="00A74A1E" w:rsidRDefault="00A74A1E">
            <w:pPr>
              <w:jc w:val="right"/>
              <w:rPr>
                <w:rFonts w:ascii="宋体"/>
              </w:rPr>
            </w:pPr>
          </w:p>
        </w:tc>
      </w:tr>
    </w:tbl>
    <w:p w14:paraId="1426F854" w14:textId="77777777" w:rsidR="00A74A1E" w:rsidRDefault="00A74A1E"/>
    <w:p w14:paraId="1426F855" w14:textId="77777777" w:rsidR="00A74A1E" w:rsidRDefault="00807990">
      <w:pPr>
        <w:jc w:val="both"/>
      </w:pPr>
      <w:r>
        <w:rPr>
          <w:rFonts w:ascii="Arial" w:eastAsia="宋体" w:hAnsi="Arial" w:cs="Arial"/>
          <w:b/>
          <w:bCs/>
          <w:i/>
          <w:iCs/>
          <w:color w:val="000000"/>
          <w:sz w:val="20"/>
          <w:szCs w:val="20"/>
        </w:rPr>
        <w:t>Computing and Graphics</w:t>
      </w:r>
    </w:p>
    <w:p w14:paraId="1426F856" w14:textId="77777777" w:rsidR="00A74A1E" w:rsidRDefault="00807990">
      <w:pPr>
        <w:spacing w:before="180"/>
        <w:ind w:firstLine="450"/>
        <w:jc w:val="both"/>
      </w:pPr>
      <w:r>
        <w:rPr>
          <w:rFonts w:ascii="Arial" w:eastAsia="宋体" w:hAnsi="Arial" w:cs="Arial"/>
          <w:color w:val="000000"/>
          <w:sz w:val="20"/>
          <w:szCs w:val="20"/>
        </w:rPr>
        <w:t xml:space="preserve">Computing and Graphics net revenue of $1.7 billion for the three months ended </w:t>
      </w:r>
      <w:r>
        <w:rPr>
          <w:rFonts w:ascii="Arial" w:eastAsia="宋体" w:hAnsi="Arial" w:cs="Arial"/>
          <w:color w:val="000000"/>
          <w:sz w:val="20"/>
          <w:szCs w:val="20"/>
        </w:rPr>
        <w:t>September 26, 2020 increased by 31%, compared to net revenue of $1.3 billion for the prior year period, primarily as a result of a 44% increase in unit shipments, partially offset by a 7% decrease in average selling price. The increase in unit shipments wa</w:t>
      </w:r>
      <w:r>
        <w:rPr>
          <w:rFonts w:ascii="Arial" w:eastAsia="宋体" w:hAnsi="Arial" w:cs="Arial"/>
          <w:color w:val="000000"/>
          <w:sz w:val="20"/>
          <w:szCs w:val="20"/>
        </w:rPr>
        <w:t>s primarily due to higher demand for our Ryzen processors. The decrease in average selling price was primarily driven by lower average selling price for our Radeon channel products due to product cycle timing.</w:t>
      </w:r>
    </w:p>
    <w:p w14:paraId="1426F857" w14:textId="77777777" w:rsidR="00A74A1E" w:rsidRDefault="00807990">
      <w:pPr>
        <w:spacing w:before="180"/>
        <w:ind w:firstLine="450"/>
        <w:jc w:val="both"/>
      </w:pPr>
      <w:r>
        <w:rPr>
          <w:rFonts w:ascii="Arial" w:eastAsia="宋体" w:hAnsi="Arial" w:cs="Arial"/>
          <w:color w:val="000000"/>
          <w:sz w:val="20"/>
          <w:szCs w:val="20"/>
        </w:rPr>
        <w:t>Computing and Graphics net revenue of $4.5 bil</w:t>
      </w:r>
      <w:r>
        <w:rPr>
          <w:rFonts w:ascii="Arial" w:eastAsia="宋体" w:hAnsi="Arial" w:cs="Arial"/>
          <w:color w:val="000000"/>
          <w:sz w:val="20"/>
          <w:szCs w:val="20"/>
        </w:rPr>
        <w:t>lion for the nine months ended September 26, 2020 increased by 47%, compared to net revenue of $3.0 billion for the prior year period, primarily as a result of a 39% increase in unit shipments and a 5% increase in average selling price. The increase in uni</w:t>
      </w:r>
      <w:r>
        <w:rPr>
          <w:rFonts w:ascii="Arial" w:eastAsia="宋体" w:hAnsi="Arial" w:cs="Arial"/>
          <w:color w:val="000000"/>
          <w:sz w:val="20"/>
          <w:szCs w:val="20"/>
        </w:rPr>
        <w:t>t shipments was primarily due to higher demand for our Ryzen processors. The increase in average selling price was primarily driven by a richer mix of client processors from higher sales of our Ryzen processors which have a higher average selling price, pa</w:t>
      </w:r>
      <w:r>
        <w:rPr>
          <w:rFonts w:ascii="Arial" w:eastAsia="宋体" w:hAnsi="Arial" w:cs="Arial"/>
          <w:color w:val="000000"/>
          <w:sz w:val="20"/>
          <w:szCs w:val="20"/>
        </w:rPr>
        <w:t xml:space="preserve">rtially offset by lower average selling price for our Radeon products due to product cycle timing. </w:t>
      </w:r>
    </w:p>
    <w:p w14:paraId="1426F858" w14:textId="77777777" w:rsidR="00A74A1E" w:rsidRDefault="00807990">
      <w:pPr>
        <w:spacing w:before="180"/>
        <w:ind w:firstLine="450"/>
        <w:jc w:val="both"/>
      </w:pPr>
      <w:r>
        <w:rPr>
          <w:rFonts w:ascii="Arial" w:eastAsia="宋体" w:hAnsi="Arial" w:cs="Arial"/>
          <w:color w:val="000000"/>
          <w:sz w:val="20"/>
          <w:szCs w:val="20"/>
        </w:rPr>
        <w:t>Computing and Graphics operating income was $384 million for the three months ended September 26, 2020, compared to operating income of $179 million for the</w:t>
      </w:r>
      <w:r>
        <w:rPr>
          <w:rFonts w:ascii="Arial" w:eastAsia="宋体" w:hAnsi="Arial" w:cs="Arial"/>
          <w:color w:val="000000"/>
          <w:sz w:val="20"/>
          <w:szCs w:val="20"/>
        </w:rPr>
        <w:t xml:space="preserve"> prior year period. Computing and Graphics operating income was $846 million for the nine months ended September 26, 2020, compared to operating income of $217 million for the prior year period. The increase in operating income for both periods was primari</w:t>
      </w:r>
      <w:r>
        <w:rPr>
          <w:rFonts w:ascii="Arial" w:eastAsia="宋体" w:hAnsi="Arial" w:cs="Arial"/>
          <w:color w:val="000000"/>
          <w:sz w:val="20"/>
          <w:szCs w:val="20"/>
        </w:rPr>
        <w:t>ly driven by the margin contribution from higher sales which more than offset higher operating expenses. Operating expenses increased for the reasons outlined under “Expenses” below.</w:t>
      </w:r>
    </w:p>
    <w:p w14:paraId="1426F859" w14:textId="77777777" w:rsidR="00A74A1E" w:rsidRDefault="00A74A1E">
      <w:pPr>
        <w:ind w:firstLine="450"/>
        <w:jc w:val="both"/>
      </w:pPr>
    </w:p>
    <w:p w14:paraId="1426F85A" w14:textId="77777777" w:rsidR="00A74A1E" w:rsidRDefault="00807990">
      <w:pPr>
        <w:jc w:val="both"/>
      </w:pPr>
      <w:r>
        <w:rPr>
          <w:rFonts w:ascii="Arial" w:eastAsia="宋体" w:hAnsi="Arial" w:cs="Arial"/>
          <w:b/>
          <w:bCs/>
          <w:i/>
          <w:iCs/>
          <w:color w:val="000000"/>
          <w:sz w:val="20"/>
          <w:szCs w:val="20"/>
        </w:rPr>
        <w:t>Enterprise, Embedded and Semi-Custom</w:t>
      </w:r>
    </w:p>
    <w:p w14:paraId="1426F85B" w14:textId="77777777" w:rsidR="00A74A1E" w:rsidRDefault="00807990">
      <w:pPr>
        <w:spacing w:before="180"/>
        <w:ind w:firstLine="450"/>
        <w:jc w:val="both"/>
      </w:pPr>
      <w:r>
        <w:rPr>
          <w:rFonts w:ascii="Arial" w:eastAsia="宋体" w:hAnsi="Arial" w:cs="Arial"/>
          <w:color w:val="000000"/>
          <w:sz w:val="20"/>
          <w:szCs w:val="20"/>
        </w:rPr>
        <w:t>Enterprise, Embedded and Semi-Custom net revenue of $1.1 billion for the three months ended September 26, 2020 increased by 116%, compared to net revenue of $525 million for the prior year period, primarily driven by higher semi-custom revenue and sales of</w:t>
      </w:r>
      <w:r>
        <w:rPr>
          <w:rFonts w:ascii="Arial" w:eastAsia="宋体" w:hAnsi="Arial" w:cs="Arial"/>
          <w:color w:val="000000"/>
          <w:sz w:val="20"/>
          <w:szCs w:val="20"/>
        </w:rPr>
        <w:t xml:space="preserve"> our EPYC server processors. </w:t>
      </w:r>
    </w:p>
    <w:p w14:paraId="1426F85C" w14:textId="77777777" w:rsidR="00A74A1E" w:rsidRDefault="00807990">
      <w:pPr>
        <w:jc w:val="center"/>
      </w:pPr>
      <w:r>
        <w:rPr>
          <w:rFonts w:ascii="Arial" w:eastAsia="宋体" w:hAnsi="Arial" w:cs="Arial"/>
          <w:color w:val="000000"/>
          <w:sz w:val="20"/>
          <w:szCs w:val="20"/>
        </w:rPr>
        <w:t>22</w:t>
      </w:r>
    </w:p>
    <w:p w14:paraId="1426F85D" w14:textId="77777777" w:rsidR="00A74A1E" w:rsidRDefault="00807990">
      <w:r>
        <w:pict w14:anchorId="1426FC21">
          <v:rect id="_x0000_i1046" style="width:415.3pt;height:1.5pt" o:hralign="center" o:hrstd="t" o:hr="t" fillcolor="#a0a0a0" stroked="f"/>
        </w:pict>
      </w:r>
    </w:p>
    <w:p w14:paraId="1426F85E" w14:textId="77777777" w:rsidR="00A74A1E" w:rsidRDefault="00A74A1E">
      <w:pPr>
        <w:spacing w:before="60"/>
      </w:pPr>
    </w:p>
    <w:p w14:paraId="1426F85F" w14:textId="77777777" w:rsidR="00A74A1E" w:rsidRDefault="00807990">
      <w:pPr>
        <w:spacing w:before="180"/>
        <w:ind w:firstLine="450"/>
        <w:jc w:val="both"/>
      </w:pPr>
      <w:r>
        <w:rPr>
          <w:rFonts w:ascii="Arial" w:eastAsia="宋体" w:hAnsi="Arial" w:cs="Arial"/>
          <w:color w:val="000000"/>
          <w:sz w:val="20"/>
          <w:szCs w:val="20"/>
        </w:rPr>
        <w:t>Enterprise, Embedded and Semi-Custom net revenue of $2.0 billion for the nine months ended September 26, 2020 increased by 31%, compared to net revenue of $1.6 billion for the prior year period, primarily driven by highe</w:t>
      </w:r>
      <w:r>
        <w:rPr>
          <w:rFonts w:ascii="Arial" w:eastAsia="宋体" w:hAnsi="Arial" w:cs="Arial"/>
          <w:color w:val="000000"/>
          <w:sz w:val="20"/>
          <w:szCs w:val="20"/>
        </w:rPr>
        <w:t>r sales of our EPYC server processors, partially offset by lower semi-custom revenue.</w:t>
      </w:r>
    </w:p>
    <w:p w14:paraId="1426F860" w14:textId="77777777" w:rsidR="00A74A1E" w:rsidRDefault="00807990">
      <w:pPr>
        <w:spacing w:before="180"/>
        <w:ind w:firstLine="450"/>
        <w:jc w:val="both"/>
      </w:pPr>
      <w:r>
        <w:rPr>
          <w:rFonts w:ascii="Arial" w:eastAsia="宋体" w:hAnsi="Arial" w:cs="Arial"/>
          <w:color w:val="000000"/>
          <w:sz w:val="20"/>
          <w:szCs w:val="20"/>
        </w:rPr>
        <w:t>Enterprise, Embedded and Semi-Custom operating income was $141 million for the three months ended September 26, 2020 compared to operating income of $61 million for the p</w:t>
      </w:r>
      <w:r>
        <w:rPr>
          <w:rFonts w:ascii="Arial" w:eastAsia="宋体" w:hAnsi="Arial" w:cs="Arial"/>
          <w:color w:val="000000"/>
          <w:sz w:val="20"/>
          <w:szCs w:val="20"/>
        </w:rPr>
        <w:t>rior year period. The increase in operating income was primarily driven by the margin contribution from higher revenue which more than offset higher operating expenses. Operating expenses increased for the reasons outlined under “Expenses” below.</w:t>
      </w:r>
    </w:p>
    <w:p w14:paraId="1426F861" w14:textId="77777777" w:rsidR="00A74A1E" w:rsidRDefault="00807990">
      <w:pPr>
        <w:spacing w:before="180"/>
        <w:ind w:firstLine="450"/>
        <w:jc w:val="both"/>
      </w:pPr>
      <w:r>
        <w:rPr>
          <w:rFonts w:ascii="Arial" w:eastAsia="宋体" w:hAnsi="Arial" w:cs="Arial"/>
          <w:color w:val="000000"/>
          <w:sz w:val="20"/>
          <w:szCs w:val="20"/>
        </w:rPr>
        <w:t>Enterpris</w:t>
      </w:r>
      <w:r>
        <w:rPr>
          <w:rFonts w:ascii="Arial" w:eastAsia="宋体" w:hAnsi="Arial" w:cs="Arial"/>
          <w:color w:val="000000"/>
          <w:sz w:val="20"/>
          <w:szCs w:val="20"/>
        </w:rPr>
        <w:t>e, Embedded and Semi-Custom operating income was $148 million for the nine months ended September 26, 2020 compared to operating income of $218 million for the prior year period. The decrease in operating income was primarily due to the recognition of a $6</w:t>
      </w:r>
      <w:r>
        <w:rPr>
          <w:rFonts w:ascii="Arial" w:eastAsia="宋体" w:hAnsi="Arial" w:cs="Arial"/>
          <w:color w:val="000000"/>
          <w:sz w:val="20"/>
          <w:szCs w:val="20"/>
        </w:rPr>
        <w:t>0 million licensing gain in the prior year period and higher operating expenses which more than offset the margin contribution from the increase in revenue. Operating expenses increased for the reasons outlined under “Expenses” below.</w:t>
      </w:r>
    </w:p>
    <w:p w14:paraId="1426F862" w14:textId="77777777" w:rsidR="00A74A1E" w:rsidRDefault="00A74A1E">
      <w:pPr>
        <w:ind w:firstLine="450"/>
        <w:jc w:val="both"/>
      </w:pPr>
    </w:p>
    <w:p w14:paraId="1426F863" w14:textId="77777777" w:rsidR="00A74A1E" w:rsidRDefault="00807990">
      <w:pPr>
        <w:jc w:val="both"/>
      </w:pPr>
      <w:r>
        <w:rPr>
          <w:rFonts w:ascii="Arial" w:eastAsia="宋体" w:hAnsi="Arial" w:cs="Arial"/>
          <w:b/>
          <w:bCs/>
          <w:i/>
          <w:iCs/>
          <w:color w:val="000000"/>
          <w:sz w:val="20"/>
          <w:szCs w:val="20"/>
        </w:rPr>
        <w:t>All Other</w:t>
      </w:r>
    </w:p>
    <w:p w14:paraId="1426F864" w14:textId="77777777" w:rsidR="00A74A1E" w:rsidRDefault="00807990">
      <w:pPr>
        <w:spacing w:before="180"/>
        <w:ind w:firstLine="450"/>
        <w:jc w:val="both"/>
      </w:pPr>
      <w:r>
        <w:rPr>
          <w:rFonts w:ascii="Arial" w:eastAsia="宋体" w:hAnsi="Arial" w:cs="Arial"/>
          <w:color w:val="000000"/>
          <w:sz w:val="20"/>
          <w:szCs w:val="20"/>
        </w:rPr>
        <w:t xml:space="preserve">All Other </w:t>
      </w:r>
      <w:r>
        <w:rPr>
          <w:rFonts w:ascii="Arial" w:eastAsia="宋体" w:hAnsi="Arial" w:cs="Arial"/>
          <w:color w:val="000000"/>
          <w:sz w:val="20"/>
          <w:szCs w:val="20"/>
        </w:rPr>
        <w:t>operating loss of $76 million and $54 million for the three months ended September 26, 2020 and prior year period, respectively, were related to stock-based compensation expense.</w:t>
      </w:r>
    </w:p>
    <w:p w14:paraId="1426F865" w14:textId="77777777" w:rsidR="00A74A1E" w:rsidRDefault="00807990">
      <w:pPr>
        <w:spacing w:before="180"/>
        <w:ind w:firstLine="450"/>
        <w:jc w:val="both"/>
      </w:pPr>
      <w:r>
        <w:rPr>
          <w:rFonts w:ascii="Arial" w:eastAsia="宋体" w:hAnsi="Arial" w:cs="Arial"/>
          <w:color w:val="000000"/>
          <w:sz w:val="20"/>
          <w:szCs w:val="20"/>
        </w:rPr>
        <w:t>All Other operating loss consisted of $195 million of stock-based compensatio</w:t>
      </w:r>
      <w:r>
        <w:rPr>
          <w:rFonts w:ascii="Arial" w:eastAsia="宋体" w:hAnsi="Arial" w:cs="Arial"/>
          <w:color w:val="000000"/>
          <w:sz w:val="20"/>
          <w:szCs w:val="20"/>
        </w:rPr>
        <w:t>n expense for the nine months ended September 26, 2020. All Other operating loss of $152 million for the prior year period consisted of $140 million stock-based compensation expense and $12 million contingent loss accrual on a legal matter.</w:t>
      </w:r>
    </w:p>
    <w:p w14:paraId="1426F866" w14:textId="77777777" w:rsidR="00A74A1E" w:rsidRDefault="00A74A1E">
      <w:pPr>
        <w:ind w:firstLine="450"/>
        <w:jc w:val="both"/>
      </w:pPr>
    </w:p>
    <w:p w14:paraId="1426F867" w14:textId="77777777" w:rsidR="00A74A1E" w:rsidRDefault="00807990">
      <w:pPr>
        <w:jc w:val="both"/>
      </w:pPr>
      <w:r>
        <w:rPr>
          <w:rFonts w:ascii="Arial" w:eastAsia="宋体" w:hAnsi="Arial" w:cs="Arial"/>
          <w:b/>
          <w:bCs/>
          <w:color w:val="000000"/>
          <w:sz w:val="20"/>
          <w:szCs w:val="20"/>
        </w:rPr>
        <w:t xml:space="preserve">International </w:t>
      </w:r>
      <w:r>
        <w:rPr>
          <w:rFonts w:ascii="Arial" w:eastAsia="宋体" w:hAnsi="Arial" w:cs="Arial"/>
          <w:b/>
          <w:bCs/>
          <w:color w:val="000000"/>
          <w:sz w:val="20"/>
          <w:szCs w:val="20"/>
        </w:rPr>
        <w:t>Sales</w:t>
      </w:r>
    </w:p>
    <w:p w14:paraId="1426F868" w14:textId="77777777" w:rsidR="00A74A1E" w:rsidRDefault="00807990">
      <w:pPr>
        <w:spacing w:before="180"/>
        <w:ind w:firstLine="450"/>
        <w:jc w:val="both"/>
      </w:pPr>
      <w:r>
        <w:rPr>
          <w:rFonts w:ascii="Arial" w:eastAsia="宋体" w:hAnsi="Arial" w:cs="Arial"/>
          <w:color w:val="000000"/>
          <w:sz w:val="20"/>
          <w:szCs w:val="20"/>
        </w:rPr>
        <w:t>International sales as a percentage of net revenue were 72% for both the three months ended September 26, 2020 and September 28,2019. International sales as a percentage of net revenue were 77% for the nine months ended September 26, 2020 and 73% for</w:t>
      </w:r>
      <w:r>
        <w:rPr>
          <w:rFonts w:ascii="Arial" w:eastAsia="宋体" w:hAnsi="Arial" w:cs="Arial"/>
          <w:color w:val="000000"/>
          <w:sz w:val="20"/>
          <w:szCs w:val="20"/>
        </w:rPr>
        <w:t xml:space="preserve"> the prior year period. </w:t>
      </w:r>
    </w:p>
    <w:p w14:paraId="1426F869" w14:textId="77777777" w:rsidR="00A74A1E" w:rsidRDefault="00807990">
      <w:pPr>
        <w:spacing w:before="180"/>
        <w:ind w:firstLine="450"/>
        <w:jc w:val="both"/>
      </w:pPr>
      <w:r>
        <w:rPr>
          <w:rFonts w:ascii="Arial" w:eastAsia="宋体" w:hAnsi="Arial" w:cs="Arial"/>
          <w:color w:val="000000"/>
          <w:sz w:val="20"/>
          <w:szCs w:val="20"/>
        </w:rPr>
        <w:t xml:space="preserve">We expect that international sales will continue to be a significant portion of total sales in the foreseeable future. Substantially all of our sales transactions were denominated in U.S. dollars. </w:t>
      </w:r>
    </w:p>
    <w:p w14:paraId="1426F86A" w14:textId="77777777" w:rsidR="00A74A1E" w:rsidRDefault="00A74A1E">
      <w:pPr>
        <w:ind w:firstLine="450"/>
        <w:jc w:val="both"/>
      </w:pPr>
    </w:p>
    <w:p w14:paraId="1426F86B" w14:textId="77777777" w:rsidR="00A74A1E" w:rsidRDefault="00807990">
      <w:pPr>
        <w:jc w:val="both"/>
      </w:pPr>
      <w:r>
        <w:rPr>
          <w:rFonts w:ascii="Arial" w:eastAsia="宋体" w:hAnsi="Arial" w:cs="Arial"/>
          <w:b/>
          <w:bCs/>
          <w:i/>
          <w:iCs/>
          <w:color w:val="000000"/>
          <w:sz w:val="20"/>
          <w:szCs w:val="20"/>
        </w:rPr>
        <w:t>Comparison of Gross Margin, Expe</w:t>
      </w:r>
      <w:r>
        <w:rPr>
          <w:rFonts w:ascii="Arial" w:eastAsia="宋体" w:hAnsi="Arial" w:cs="Arial"/>
          <w:b/>
          <w:bCs/>
          <w:i/>
          <w:iCs/>
          <w:color w:val="000000"/>
          <w:sz w:val="20"/>
          <w:szCs w:val="20"/>
        </w:rPr>
        <w:t xml:space="preserve">nses, Licensing Gain, Interest Expense, Other Expense and Income Taxes </w:t>
      </w:r>
    </w:p>
    <w:p w14:paraId="1426F86C" w14:textId="77777777" w:rsidR="00A74A1E" w:rsidRDefault="00807990">
      <w:pPr>
        <w:spacing w:before="180"/>
        <w:ind w:firstLine="45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132"/>
        <w:gridCol w:w="755"/>
        <w:gridCol w:w="198"/>
        <w:gridCol w:w="36"/>
        <w:gridCol w:w="36"/>
        <w:gridCol w:w="36"/>
        <w:gridCol w:w="132"/>
        <w:gridCol w:w="635"/>
        <w:gridCol w:w="198"/>
        <w:gridCol w:w="36"/>
        <w:gridCol w:w="36"/>
        <w:gridCol w:w="36"/>
        <w:gridCol w:w="132"/>
        <w:gridCol w:w="635"/>
        <w:gridCol w:w="198"/>
        <w:gridCol w:w="36"/>
        <w:gridCol w:w="36"/>
        <w:gridCol w:w="36"/>
        <w:gridCol w:w="132"/>
        <w:gridCol w:w="637"/>
        <w:gridCol w:w="198"/>
      </w:tblGrid>
      <w:tr w:rsidR="00A74A1E" w14:paraId="1426F885" w14:textId="77777777">
        <w:tc>
          <w:tcPr>
            <w:tcW w:w="50" w:type="pct"/>
            <w:shd w:val="clear" w:color="auto" w:fill="auto"/>
          </w:tcPr>
          <w:p w14:paraId="1426F86D" w14:textId="77777777" w:rsidR="00A74A1E" w:rsidRDefault="00A74A1E">
            <w:pPr>
              <w:rPr>
                <w:rFonts w:ascii="宋体"/>
              </w:rPr>
            </w:pPr>
          </w:p>
        </w:tc>
        <w:tc>
          <w:tcPr>
            <w:tcW w:w="2496" w:type="pct"/>
            <w:shd w:val="clear" w:color="auto" w:fill="auto"/>
          </w:tcPr>
          <w:p w14:paraId="1426F86E" w14:textId="77777777" w:rsidR="00A74A1E" w:rsidRDefault="00A74A1E">
            <w:pPr>
              <w:rPr>
                <w:rFonts w:ascii="宋体"/>
              </w:rPr>
            </w:pPr>
          </w:p>
        </w:tc>
        <w:tc>
          <w:tcPr>
            <w:tcW w:w="5" w:type="pct"/>
            <w:shd w:val="clear" w:color="auto" w:fill="auto"/>
          </w:tcPr>
          <w:p w14:paraId="1426F86F" w14:textId="77777777" w:rsidR="00A74A1E" w:rsidRDefault="00A74A1E">
            <w:pPr>
              <w:rPr>
                <w:rFonts w:ascii="宋体"/>
              </w:rPr>
            </w:pPr>
          </w:p>
        </w:tc>
        <w:tc>
          <w:tcPr>
            <w:tcW w:w="50" w:type="pct"/>
            <w:shd w:val="clear" w:color="auto" w:fill="auto"/>
          </w:tcPr>
          <w:p w14:paraId="1426F870" w14:textId="77777777" w:rsidR="00A74A1E" w:rsidRDefault="00A74A1E">
            <w:pPr>
              <w:rPr>
                <w:rFonts w:ascii="宋体"/>
              </w:rPr>
            </w:pPr>
          </w:p>
        </w:tc>
        <w:tc>
          <w:tcPr>
            <w:tcW w:w="529" w:type="pct"/>
            <w:shd w:val="clear" w:color="auto" w:fill="auto"/>
          </w:tcPr>
          <w:p w14:paraId="1426F871" w14:textId="77777777" w:rsidR="00A74A1E" w:rsidRDefault="00A74A1E">
            <w:pPr>
              <w:rPr>
                <w:rFonts w:ascii="宋体"/>
              </w:rPr>
            </w:pPr>
          </w:p>
        </w:tc>
        <w:tc>
          <w:tcPr>
            <w:tcW w:w="5" w:type="pct"/>
            <w:shd w:val="clear" w:color="auto" w:fill="auto"/>
          </w:tcPr>
          <w:p w14:paraId="1426F872" w14:textId="77777777" w:rsidR="00A74A1E" w:rsidRDefault="00A74A1E">
            <w:pPr>
              <w:rPr>
                <w:rFonts w:ascii="宋体"/>
              </w:rPr>
            </w:pPr>
          </w:p>
        </w:tc>
        <w:tc>
          <w:tcPr>
            <w:tcW w:w="5" w:type="pct"/>
            <w:shd w:val="clear" w:color="auto" w:fill="auto"/>
          </w:tcPr>
          <w:p w14:paraId="1426F873" w14:textId="77777777" w:rsidR="00A74A1E" w:rsidRDefault="00A74A1E">
            <w:pPr>
              <w:rPr>
                <w:rFonts w:ascii="宋体"/>
              </w:rPr>
            </w:pPr>
          </w:p>
        </w:tc>
        <w:tc>
          <w:tcPr>
            <w:tcW w:w="26" w:type="pct"/>
            <w:shd w:val="clear" w:color="auto" w:fill="auto"/>
          </w:tcPr>
          <w:p w14:paraId="1426F874" w14:textId="77777777" w:rsidR="00A74A1E" w:rsidRDefault="00A74A1E">
            <w:pPr>
              <w:rPr>
                <w:rFonts w:ascii="宋体"/>
              </w:rPr>
            </w:pPr>
          </w:p>
        </w:tc>
        <w:tc>
          <w:tcPr>
            <w:tcW w:w="5" w:type="pct"/>
            <w:shd w:val="clear" w:color="auto" w:fill="auto"/>
          </w:tcPr>
          <w:p w14:paraId="1426F875" w14:textId="77777777" w:rsidR="00A74A1E" w:rsidRDefault="00A74A1E">
            <w:pPr>
              <w:rPr>
                <w:rFonts w:ascii="宋体"/>
              </w:rPr>
            </w:pPr>
          </w:p>
        </w:tc>
        <w:tc>
          <w:tcPr>
            <w:tcW w:w="50" w:type="pct"/>
            <w:shd w:val="clear" w:color="auto" w:fill="auto"/>
          </w:tcPr>
          <w:p w14:paraId="1426F876" w14:textId="77777777" w:rsidR="00A74A1E" w:rsidRDefault="00A74A1E">
            <w:pPr>
              <w:rPr>
                <w:rFonts w:ascii="宋体"/>
              </w:rPr>
            </w:pPr>
          </w:p>
        </w:tc>
        <w:tc>
          <w:tcPr>
            <w:tcW w:w="529" w:type="pct"/>
            <w:shd w:val="clear" w:color="auto" w:fill="auto"/>
          </w:tcPr>
          <w:p w14:paraId="1426F877" w14:textId="77777777" w:rsidR="00A74A1E" w:rsidRDefault="00A74A1E">
            <w:pPr>
              <w:rPr>
                <w:rFonts w:ascii="宋体"/>
              </w:rPr>
            </w:pPr>
          </w:p>
        </w:tc>
        <w:tc>
          <w:tcPr>
            <w:tcW w:w="5" w:type="pct"/>
            <w:shd w:val="clear" w:color="auto" w:fill="auto"/>
          </w:tcPr>
          <w:p w14:paraId="1426F878" w14:textId="77777777" w:rsidR="00A74A1E" w:rsidRDefault="00A74A1E">
            <w:pPr>
              <w:rPr>
                <w:rFonts w:ascii="宋体"/>
              </w:rPr>
            </w:pPr>
          </w:p>
        </w:tc>
        <w:tc>
          <w:tcPr>
            <w:tcW w:w="5" w:type="pct"/>
            <w:shd w:val="clear" w:color="auto" w:fill="auto"/>
          </w:tcPr>
          <w:p w14:paraId="1426F879" w14:textId="77777777" w:rsidR="00A74A1E" w:rsidRDefault="00A74A1E">
            <w:pPr>
              <w:rPr>
                <w:rFonts w:ascii="宋体"/>
              </w:rPr>
            </w:pPr>
          </w:p>
        </w:tc>
        <w:tc>
          <w:tcPr>
            <w:tcW w:w="26" w:type="pct"/>
            <w:shd w:val="clear" w:color="auto" w:fill="auto"/>
          </w:tcPr>
          <w:p w14:paraId="1426F87A" w14:textId="77777777" w:rsidR="00A74A1E" w:rsidRDefault="00A74A1E">
            <w:pPr>
              <w:rPr>
                <w:rFonts w:ascii="宋体"/>
              </w:rPr>
            </w:pPr>
          </w:p>
        </w:tc>
        <w:tc>
          <w:tcPr>
            <w:tcW w:w="5" w:type="pct"/>
            <w:shd w:val="clear" w:color="auto" w:fill="auto"/>
          </w:tcPr>
          <w:p w14:paraId="1426F87B" w14:textId="77777777" w:rsidR="00A74A1E" w:rsidRDefault="00A74A1E">
            <w:pPr>
              <w:rPr>
                <w:rFonts w:ascii="宋体"/>
              </w:rPr>
            </w:pPr>
          </w:p>
        </w:tc>
        <w:tc>
          <w:tcPr>
            <w:tcW w:w="50" w:type="pct"/>
            <w:shd w:val="clear" w:color="auto" w:fill="auto"/>
          </w:tcPr>
          <w:p w14:paraId="1426F87C" w14:textId="77777777" w:rsidR="00A74A1E" w:rsidRDefault="00A74A1E">
            <w:pPr>
              <w:rPr>
                <w:rFonts w:ascii="宋体"/>
              </w:rPr>
            </w:pPr>
          </w:p>
        </w:tc>
        <w:tc>
          <w:tcPr>
            <w:tcW w:w="529" w:type="pct"/>
            <w:shd w:val="clear" w:color="auto" w:fill="auto"/>
          </w:tcPr>
          <w:p w14:paraId="1426F87D" w14:textId="77777777" w:rsidR="00A74A1E" w:rsidRDefault="00A74A1E">
            <w:pPr>
              <w:rPr>
                <w:rFonts w:ascii="宋体"/>
              </w:rPr>
            </w:pPr>
          </w:p>
        </w:tc>
        <w:tc>
          <w:tcPr>
            <w:tcW w:w="5" w:type="pct"/>
            <w:shd w:val="clear" w:color="auto" w:fill="auto"/>
          </w:tcPr>
          <w:p w14:paraId="1426F87E" w14:textId="77777777" w:rsidR="00A74A1E" w:rsidRDefault="00A74A1E">
            <w:pPr>
              <w:rPr>
                <w:rFonts w:ascii="宋体"/>
              </w:rPr>
            </w:pPr>
          </w:p>
        </w:tc>
        <w:tc>
          <w:tcPr>
            <w:tcW w:w="5" w:type="pct"/>
            <w:shd w:val="clear" w:color="auto" w:fill="auto"/>
          </w:tcPr>
          <w:p w14:paraId="1426F87F" w14:textId="77777777" w:rsidR="00A74A1E" w:rsidRDefault="00A74A1E">
            <w:pPr>
              <w:rPr>
                <w:rFonts w:ascii="宋体"/>
              </w:rPr>
            </w:pPr>
          </w:p>
        </w:tc>
        <w:tc>
          <w:tcPr>
            <w:tcW w:w="26" w:type="pct"/>
            <w:shd w:val="clear" w:color="auto" w:fill="auto"/>
          </w:tcPr>
          <w:p w14:paraId="1426F880" w14:textId="77777777" w:rsidR="00A74A1E" w:rsidRDefault="00A74A1E">
            <w:pPr>
              <w:rPr>
                <w:rFonts w:ascii="宋体"/>
              </w:rPr>
            </w:pPr>
          </w:p>
        </w:tc>
        <w:tc>
          <w:tcPr>
            <w:tcW w:w="5" w:type="pct"/>
            <w:shd w:val="clear" w:color="auto" w:fill="auto"/>
          </w:tcPr>
          <w:p w14:paraId="1426F881" w14:textId="77777777" w:rsidR="00A74A1E" w:rsidRDefault="00A74A1E">
            <w:pPr>
              <w:rPr>
                <w:rFonts w:ascii="宋体"/>
              </w:rPr>
            </w:pPr>
          </w:p>
        </w:tc>
        <w:tc>
          <w:tcPr>
            <w:tcW w:w="50" w:type="pct"/>
            <w:shd w:val="clear" w:color="auto" w:fill="auto"/>
          </w:tcPr>
          <w:p w14:paraId="1426F882" w14:textId="77777777" w:rsidR="00A74A1E" w:rsidRDefault="00A74A1E">
            <w:pPr>
              <w:rPr>
                <w:rFonts w:ascii="宋体"/>
              </w:rPr>
            </w:pPr>
          </w:p>
        </w:tc>
        <w:tc>
          <w:tcPr>
            <w:tcW w:w="530" w:type="pct"/>
            <w:shd w:val="clear" w:color="auto" w:fill="auto"/>
          </w:tcPr>
          <w:p w14:paraId="1426F883" w14:textId="77777777" w:rsidR="00A74A1E" w:rsidRDefault="00A74A1E">
            <w:pPr>
              <w:rPr>
                <w:rFonts w:ascii="宋体"/>
              </w:rPr>
            </w:pPr>
          </w:p>
        </w:tc>
        <w:tc>
          <w:tcPr>
            <w:tcW w:w="5" w:type="pct"/>
            <w:shd w:val="clear" w:color="auto" w:fill="auto"/>
          </w:tcPr>
          <w:p w14:paraId="1426F884" w14:textId="77777777" w:rsidR="00A74A1E" w:rsidRDefault="00A74A1E">
            <w:pPr>
              <w:rPr>
                <w:rFonts w:ascii="宋体"/>
              </w:rPr>
            </w:pPr>
          </w:p>
        </w:tc>
      </w:tr>
      <w:tr w:rsidR="00A74A1E" w14:paraId="1426F88A" w14:textId="77777777">
        <w:tc>
          <w:tcPr>
            <w:tcW w:w="0" w:type="auto"/>
            <w:gridSpan w:val="3"/>
            <w:shd w:val="clear" w:color="auto" w:fill="auto"/>
            <w:tcMar>
              <w:top w:w="40" w:type="dxa"/>
              <w:left w:w="20" w:type="dxa"/>
              <w:bottom w:w="40" w:type="dxa"/>
              <w:right w:w="20" w:type="dxa"/>
            </w:tcMar>
            <w:vAlign w:val="center"/>
          </w:tcPr>
          <w:p w14:paraId="1426F886" w14:textId="77777777" w:rsidR="00A74A1E" w:rsidRDefault="00807990">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1426F887" w14:textId="77777777" w:rsidR="00A74A1E" w:rsidRDefault="00807990">
            <w:pPr>
              <w:jc w:val="center"/>
              <w:textAlignment w:val="center"/>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tcPr>
          <w:p w14:paraId="1426F888" w14:textId="77777777" w:rsidR="00A74A1E" w:rsidRDefault="00A74A1E">
            <w:pPr>
              <w:rPr>
                <w:rFonts w:ascii="宋体"/>
              </w:rPr>
            </w:pPr>
          </w:p>
        </w:tc>
        <w:tc>
          <w:tcPr>
            <w:tcW w:w="0" w:type="auto"/>
            <w:gridSpan w:val="9"/>
            <w:shd w:val="clear" w:color="auto" w:fill="auto"/>
            <w:tcMar>
              <w:top w:w="40" w:type="dxa"/>
              <w:left w:w="20" w:type="dxa"/>
              <w:bottom w:w="40" w:type="dxa"/>
              <w:right w:w="20" w:type="dxa"/>
            </w:tcMar>
            <w:vAlign w:val="bottom"/>
          </w:tcPr>
          <w:p w14:paraId="1426F889" w14:textId="77777777" w:rsidR="00A74A1E" w:rsidRDefault="00807990">
            <w:pPr>
              <w:jc w:val="center"/>
              <w:textAlignment w:val="bottom"/>
            </w:pPr>
            <w:r>
              <w:rPr>
                <w:rFonts w:ascii="Arial" w:eastAsia="宋体" w:hAnsi="Arial" w:cs="Arial"/>
                <w:b/>
                <w:bCs/>
                <w:color w:val="000000"/>
                <w:sz w:val="16"/>
                <w:szCs w:val="16"/>
              </w:rPr>
              <w:t>Nine Months Ended</w:t>
            </w:r>
          </w:p>
        </w:tc>
      </w:tr>
      <w:tr w:rsidR="00A74A1E" w14:paraId="1426F893" w14:textId="77777777">
        <w:tc>
          <w:tcPr>
            <w:tcW w:w="0" w:type="auto"/>
            <w:gridSpan w:val="3"/>
            <w:shd w:val="clear" w:color="auto" w:fill="auto"/>
            <w:tcMar>
              <w:top w:w="40" w:type="dxa"/>
              <w:left w:w="20" w:type="dxa"/>
              <w:bottom w:w="40" w:type="dxa"/>
              <w:right w:w="20" w:type="dxa"/>
            </w:tcMar>
            <w:vAlign w:val="center"/>
          </w:tcPr>
          <w:p w14:paraId="1426F88B" w14:textId="77777777" w:rsidR="00A74A1E" w:rsidRDefault="00807990">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426F88C"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88D"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88E" w14:textId="77777777" w:rsidR="00A74A1E" w:rsidRDefault="00807990">
            <w:pPr>
              <w:jc w:val="center"/>
              <w:textAlignment w:val="center"/>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Mar>
              <w:top w:w="0" w:type="dxa"/>
              <w:left w:w="20" w:type="dxa"/>
              <w:bottom w:w="0" w:type="dxa"/>
              <w:right w:w="20" w:type="dxa"/>
            </w:tcMar>
          </w:tcPr>
          <w:p w14:paraId="1426F88F"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890"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891" w14:textId="77777777" w:rsidR="00A74A1E" w:rsidRDefault="00A74A1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892" w14:textId="77777777" w:rsidR="00A74A1E" w:rsidRDefault="00807990">
            <w:pPr>
              <w:jc w:val="center"/>
              <w:textAlignment w:val="center"/>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r>
      <w:tr w:rsidR="00A74A1E" w14:paraId="1426F896" w14:textId="77777777">
        <w:tc>
          <w:tcPr>
            <w:tcW w:w="0" w:type="auto"/>
            <w:gridSpan w:val="3"/>
            <w:shd w:val="clear" w:color="auto" w:fill="auto"/>
            <w:tcMar>
              <w:top w:w="40" w:type="dxa"/>
              <w:left w:w="20" w:type="dxa"/>
              <w:bottom w:w="40" w:type="dxa"/>
              <w:right w:w="20" w:type="dxa"/>
            </w:tcMar>
            <w:vAlign w:val="center"/>
          </w:tcPr>
          <w:p w14:paraId="1426F894" w14:textId="77777777" w:rsidR="00A74A1E" w:rsidRDefault="00807990">
            <w:pPr>
              <w:jc w:val="right"/>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1426F895" w14:textId="77777777" w:rsidR="00A74A1E" w:rsidRDefault="00807990">
            <w:pPr>
              <w:jc w:val="center"/>
              <w:textAlignment w:val="center"/>
            </w:pPr>
            <w:r>
              <w:rPr>
                <w:rFonts w:ascii="Arial" w:eastAsia="宋体" w:hAnsi="Arial" w:cs="Arial"/>
                <w:b/>
                <w:bCs/>
                <w:color w:val="000000"/>
                <w:sz w:val="16"/>
                <w:szCs w:val="16"/>
              </w:rPr>
              <w:t>(In millions except for percentages)</w:t>
            </w:r>
          </w:p>
        </w:tc>
      </w:tr>
      <w:tr w:rsidR="00A74A1E" w14:paraId="1426F8A7" w14:textId="77777777">
        <w:tc>
          <w:tcPr>
            <w:tcW w:w="0" w:type="auto"/>
            <w:gridSpan w:val="3"/>
            <w:shd w:val="clear" w:color="auto" w:fill="CCEEFF"/>
            <w:tcMar>
              <w:top w:w="40" w:type="dxa"/>
              <w:left w:w="20" w:type="dxa"/>
              <w:bottom w:w="40" w:type="dxa"/>
              <w:right w:w="20" w:type="dxa"/>
            </w:tcMar>
            <w:vAlign w:val="center"/>
          </w:tcPr>
          <w:p w14:paraId="1426F897" w14:textId="77777777" w:rsidR="00A74A1E" w:rsidRDefault="00807990">
            <w:pPr>
              <w:textAlignment w:val="center"/>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1426F898"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899" w14:textId="77777777" w:rsidR="00A74A1E" w:rsidRDefault="00807990">
            <w:pPr>
              <w:jc w:val="right"/>
              <w:textAlignment w:val="bottom"/>
            </w:pPr>
            <w:r>
              <w:rPr>
                <w:rFonts w:ascii="Arial" w:eastAsia="宋体" w:hAnsi="Arial" w:cs="Arial"/>
                <w:color w:val="000000"/>
                <w:sz w:val="20"/>
                <w:szCs w:val="20"/>
              </w:rPr>
              <w:t>2,801 </w:t>
            </w:r>
          </w:p>
        </w:tc>
        <w:tc>
          <w:tcPr>
            <w:tcW w:w="0" w:type="auto"/>
            <w:shd w:val="clear" w:color="auto" w:fill="CCEEFF"/>
            <w:tcMar>
              <w:top w:w="40" w:type="dxa"/>
              <w:left w:w="0" w:type="dxa"/>
              <w:bottom w:w="40" w:type="dxa"/>
              <w:right w:w="20" w:type="dxa"/>
            </w:tcMar>
            <w:vAlign w:val="bottom"/>
          </w:tcPr>
          <w:p w14:paraId="1426F89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9B"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89C"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89D" w14:textId="77777777" w:rsidR="00A74A1E" w:rsidRDefault="00807990">
            <w:pPr>
              <w:jc w:val="right"/>
              <w:textAlignment w:val="bottom"/>
            </w:pPr>
            <w:r>
              <w:rPr>
                <w:rFonts w:ascii="Arial" w:eastAsia="宋体" w:hAnsi="Arial" w:cs="Arial"/>
                <w:color w:val="000000"/>
                <w:sz w:val="20"/>
                <w:szCs w:val="20"/>
              </w:rPr>
              <w:t>1,801 </w:t>
            </w:r>
          </w:p>
        </w:tc>
        <w:tc>
          <w:tcPr>
            <w:tcW w:w="0" w:type="auto"/>
            <w:shd w:val="clear" w:color="auto" w:fill="CCEEFF"/>
            <w:tcMar>
              <w:top w:w="40" w:type="dxa"/>
              <w:left w:w="0" w:type="dxa"/>
              <w:bottom w:w="40" w:type="dxa"/>
              <w:right w:w="20" w:type="dxa"/>
            </w:tcMar>
            <w:vAlign w:val="bottom"/>
          </w:tcPr>
          <w:p w14:paraId="1426F89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9F"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8A0"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8A1" w14:textId="77777777" w:rsidR="00A74A1E" w:rsidRDefault="00807990">
            <w:pPr>
              <w:jc w:val="right"/>
              <w:textAlignment w:val="bottom"/>
            </w:pPr>
            <w:r>
              <w:rPr>
                <w:rFonts w:ascii="Arial" w:eastAsia="宋体" w:hAnsi="Arial" w:cs="Arial"/>
                <w:color w:val="000000"/>
                <w:sz w:val="20"/>
                <w:szCs w:val="20"/>
              </w:rPr>
              <w:t>6,519 </w:t>
            </w:r>
          </w:p>
        </w:tc>
        <w:tc>
          <w:tcPr>
            <w:tcW w:w="0" w:type="auto"/>
            <w:shd w:val="clear" w:color="auto" w:fill="CCEEFF"/>
            <w:tcMar>
              <w:top w:w="40" w:type="dxa"/>
              <w:left w:w="0" w:type="dxa"/>
              <w:bottom w:w="40" w:type="dxa"/>
              <w:right w:w="20" w:type="dxa"/>
            </w:tcMar>
            <w:vAlign w:val="bottom"/>
          </w:tcPr>
          <w:p w14:paraId="1426F8A2"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A3" w14:textId="77777777" w:rsidR="00A74A1E" w:rsidRDefault="00A74A1E">
            <w:pPr>
              <w:rPr>
                <w:rFonts w:ascii="宋体"/>
              </w:rPr>
            </w:pPr>
          </w:p>
        </w:tc>
        <w:tc>
          <w:tcPr>
            <w:tcW w:w="0" w:type="auto"/>
            <w:shd w:val="clear" w:color="auto" w:fill="CCEEFF"/>
            <w:tcMar>
              <w:top w:w="40" w:type="dxa"/>
              <w:left w:w="20" w:type="dxa"/>
              <w:bottom w:w="40" w:type="dxa"/>
              <w:right w:w="0" w:type="dxa"/>
            </w:tcMar>
            <w:vAlign w:val="bottom"/>
          </w:tcPr>
          <w:p w14:paraId="1426F8A4" w14:textId="77777777" w:rsidR="00A74A1E" w:rsidRDefault="00807990">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426F8A5" w14:textId="77777777" w:rsidR="00A74A1E" w:rsidRDefault="00807990">
            <w:pPr>
              <w:jc w:val="right"/>
              <w:textAlignment w:val="bottom"/>
            </w:pPr>
            <w:r>
              <w:rPr>
                <w:rFonts w:ascii="Arial" w:eastAsia="宋体" w:hAnsi="Arial" w:cs="Arial"/>
                <w:color w:val="000000"/>
                <w:sz w:val="20"/>
                <w:szCs w:val="20"/>
              </w:rPr>
              <w:t>4,604 </w:t>
            </w:r>
          </w:p>
        </w:tc>
        <w:tc>
          <w:tcPr>
            <w:tcW w:w="0" w:type="auto"/>
            <w:shd w:val="clear" w:color="auto" w:fill="CCEEFF"/>
            <w:tcMar>
              <w:top w:w="40" w:type="dxa"/>
              <w:left w:w="0" w:type="dxa"/>
              <w:bottom w:w="40" w:type="dxa"/>
              <w:right w:w="20" w:type="dxa"/>
            </w:tcMar>
            <w:vAlign w:val="bottom"/>
          </w:tcPr>
          <w:p w14:paraId="1426F8A6" w14:textId="77777777" w:rsidR="00A74A1E" w:rsidRDefault="00A74A1E">
            <w:pPr>
              <w:jc w:val="right"/>
              <w:rPr>
                <w:rFonts w:ascii="宋体"/>
              </w:rPr>
            </w:pPr>
          </w:p>
        </w:tc>
      </w:tr>
      <w:tr w:rsidR="00A74A1E" w14:paraId="1426F8B4" w14:textId="77777777">
        <w:tc>
          <w:tcPr>
            <w:tcW w:w="0" w:type="auto"/>
            <w:gridSpan w:val="3"/>
            <w:shd w:val="clear" w:color="auto" w:fill="FFFFFF"/>
            <w:tcMar>
              <w:top w:w="40" w:type="dxa"/>
              <w:left w:w="20" w:type="dxa"/>
              <w:bottom w:w="40" w:type="dxa"/>
              <w:right w:w="20" w:type="dxa"/>
            </w:tcMar>
            <w:vAlign w:val="center"/>
          </w:tcPr>
          <w:p w14:paraId="1426F8A8" w14:textId="77777777" w:rsidR="00A74A1E" w:rsidRDefault="00807990">
            <w:pPr>
              <w:textAlignment w:val="center"/>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1426F8A9" w14:textId="77777777" w:rsidR="00A74A1E" w:rsidRDefault="00807990">
            <w:pPr>
              <w:jc w:val="right"/>
              <w:textAlignment w:val="bottom"/>
            </w:pPr>
            <w:r>
              <w:rPr>
                <w:rFonts w:ascii="Arial" w:eastAsia="宋体" w:hAnsi="Arial" w:cs="Arial"/>
                <w:color w:val="000000"/>
                <w:sz w:val="20"/>
                <w:szCs w:val="20"/>
              </w:rPr>
              <w:t>1,571 </w:t>
            </w:r>
          </w:p>
        </w:tc>
        <w:tc>
          <w:tcPr>
            <w:tcW w:w="0" w:type="auto"/>
            <w:shd w:val="clear" w:color="auto" w:fill="FFFFFF"/>
            <w:tcMar>
              <w:top w:w="40" w:type="dxa"/>
              <w:left w:w="0" w:type="dxa"/>
              <w:bottom w:w="40" w:type="dxa"/>
              <w:right w:w="20" w:type="dxa"/>
            </w:tcMar>
            <w:vAlign w:val="bottom"/>
          </w:tcPr>
          <w:p w14:paraId="1426F8AA"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A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AC" w14:textId="77777777" w:rsidR="00A74A1E" w:rsidRDefault="00807990">
            <w:pPr>
              <w:jc w:val="right"/>
              <w:textAlignment w:val="bottom"/>
            </w:pPr>
            <w:r>
              <w:rPr>
                <w:rFonts w:ascii="Arial" w:eastAsia="宋体" w:hAnsi="Arial" w:cs="Arial"/>
                <w:color w:val="000000"/>
                <w:sz w:val="20"/>
                <w:szCs w:val="20"/>
              </w:rPr>
              <w:t>1,024 </w:t>
            </w:r>
          </w:p>
        </w:tc>
        <w:tc>
          <w:tcPr>
            <w:tcW w:w="0" w:type="auto"/>
            <w:shd w:val="clear" w:color="auto" w:fill="FFFFFF"/>
            <w:tcMar>
              <w:top w:w="40" w:type="dxa"/>
              <w:left w:w="0" w:type="dxa"/>
              <w:bottom w:w="40" w:type="dxa"/>
              <w:right w:w="20" w:type="dxa"/>
            </w:tcMar>
            <w:vAlign w:val="bottom"/>
          </w:tcPr>
          <w:p w14:paraId="1426F8AD"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AE"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AF" w14:textId="77777777" w:rsidR="00A74A1E" w:rsidRDefault="00807990">
            <w:pPr>
              <w:jc w:val="right"/>
              <w:textAlignment w:val="bottom"/>
            </w:pPr>
            <w:r>
              <w:rPr>
                <w:rFonts w:ascii="Arial" w:eastAsia="宋体" w:hAnsi="Arial" w:cs="Arial"/>
                <w:color w:val="000000"/>
                <w:sz w:val="20"/>
                <w:szCs w:val="20"/>
              </w:rPr>
              <w:t>3,623 </w:t>
            </w:r>
          </w:p>
        </w:tc>
        <w:tc>
          <w:tcPr>
            <w:tcW w:w="0" w:type="auto"/>
            <w:shd w:val="clear" w:color="auto" w:fill="FFFFFF"/>
            <w:tcMar>
              <w:top w:w="40" w:type="dxa"/>
              <w:left w:w="0" w:type="dxa"/>
              <w:bottom w:w="40" w:type="dxa"/>
              <w:right w:w="20" w:type="dxa"/>
            </w:tcMar>
            <w:vAlign w:val="bottom"/>
          </w:tcPr>
          <w:p w14:paraId="1426F8B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B1"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B2" w14:textId="77777777" w:rsidR="00A74A1E" w:rsidRDefault="00807990">
            <w:pPr>
              <w:jc w:val="right"/>
              <w:textAlignment w:val="bottom"/>
            </w:pPr>
            <w:r>
              <w:rPr>
                <w:rFonts w:ascii="Arial" w:eastAsia="宋体" w:hAnsi="Arial" w:cs="Arial"/>
                <w:color w:val="000000"/>
                <w:sz w:val="20"/>
                <w:szCs w:val="20"/>
              </w:rPr>
              <w:t>2,685 </w:t>
            </w:r>
          </w:p>
        </w:tc>
        <w:tc>
          <w:tcPr>
            <w:tcW w:w="0" w:type="auto"/>
            <w:shd w:val="clear" w:color="auto" w:fill="FFFFFF"/>
            <w:tcMar>
              <w:top w:w="40" w:type="dxa"/>
              <w:left w:w="0" w:type="dxa"/>
              <w:bottom w:w="40" w:type="dxa"/>
              <w:right w:w="20" w:type="dxa"/>
            </w:tcMar>
            <w:vAlign w:val="bottom"/>
          </w:tcPr>
          <w:p w14:paraId="1426F8B3" w14:textId="77777777" w:rsidR="00A74A1E" w:rsidRDefault="00A74A1E">
            <w:pPr>
              <w:jc w:val="right"/>
              <w:rPr>
                <w:rFonts w:ascii="宋体"/>
              </w:rPr>
            </w:pPr>
          </w:p>
        </w:tc>
      </w:tr>
      <w:tr w:rsidR="00A74A1E" w14:paraId="1426F8C1" w14:textId="77777777">
        <w:tc>
          <w:tcPr>
            <w:tcW w:w="0" w:type="auto"/>
            <w:gridSpan w:val="3"/>
            <w:shd w:val="clear" w:color="auto" w:fill="CCEEFF"/>
            <w:tcMar>
              <w:top w:w="40" w:type="dxa"/>
              <w:left w:w="20" w:type="dxa"/>
              <w:bottom w:w="40" w:type="dxa"/>
              <w:right w:w="20" w:type="dxa"/>
            </w:tcMar>
            <w:vAlign w:val="center"/>
          </w:tcPr>
          <w:p w14:paraId="1426F8B5" w14:textId="77777777" w:rsidR="00A74A1E" w:rsidRDefault="00807990">
            <w:pPr>
              <w:textAlignment w:val="center"/>
            </w:pPr>
            <w:r>
              <w:rPr>
                <w:rFonts w:ascii="Arial" w:eastAsia="宋体" w:hAnsi="Arial" w:cs="Arial"/>
                <w:color w:val="000000"/>
                <w:sz w:val="20"/>
                <w:szCs w:val="20"/>
              </w:rPr>
              <w:t>Gross profit</w:t>
            </w:r>
          </w:p>
        </w:tc>
        <w:tc>
          <w:tcPr>
            <w:tcW w:w="0" w:type="auto"/>
            <w:gridSpan w:val="2"/>
            <w:shd w:val="clear" w:color="auto" w:fill="CCEEFF"/>
            <w:tcMar>
              <w:top w:w="40" w:type="dxa"/>
              <w:left w:w="20" w:type="dxa"/>
              <w:bottom w:w="40" w:type="dxa"/>
              <w:right w:w="0" w:type="dxa"/>
            </w:tcMar>
            <w:vAlign w:val="bottom"/>
          </w:tcPr>
          <w:p w14:paraId="1426F8B6" w14:textId="77777777" w:rsidR="00A74A1E" w:rsidRDefault="00807990">
            <w:pPr>
              <w:jc w:val="right"/>
              <w:textAlignment w:val="bottom"/>
            </w:pPr>
            <w:r>
              <w:rPr>
                <w:rFonts w:ascii="Arial" w:eastAsia="宋体" w:hAnsi="Arial" w:cs="Arial"/>
                <w:color w:val="000000"/>
                <w:sz w:val="20"/>
                <w:szCs w:val="20"/>
              </w:rPr>
              <w:t>1,230 </w:t>
            </w:r>
          </w:p>
        </w:tc>
        <w:tc>
          <w:tcPr>
            <w:tcW w:w="0" w:type="auto"/>
            <w:shd w:val="clear" w:color="auto" w:fill="CCEEFF"/>
            <w:tcMar>
              <w:top w:w="40" w:type="dxa"/>
              <w:left w:w="0" w:type="dxa"/>
              <w:bottom w:w="40" w:type="dxa"/>
              <w:right w:w="20" w:type="dxa"/>
            </w:tcMar>
            <w:vAlign w:val="bottom"/>
          </w:tcPr>
          <w:p w14:paraId="1426F8B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B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B9" w14:textId="77777777" w:rsidR="00A74A1E" w:rsidRDefault="00807990">
            <w:pPr>
              <w:jc w:val="right"/>
              <w:textAlignment w:val="bottom"/>
            </w:pPr>
            <w:r>
              <w:rPr>
                <w:rFonts w:ascii="Arial" w:eastAsia="宋体" w:hAnsi="Arial" w:cs="Arial"/>
                <w:color w:val="000000"/>
                <w:sz w:val="20"/>
                <w:szCs w:val="20"/>
              </w:rPr>
              <w:t>777 </w:t>
            </w:r>
          </w:p>
        </w:tc>
        <w:tc>
          <w:tcPr>
            <w:tcW w:w="0" w:type="auto"/>
            <w:shd w:val="clear" w:color="auto" w:fill="CCEEFF"/>
            <w:tcMar>
              <w:top w:w="40" w:type="dxa"/>
              <w:left w:w="0" w:type="dxa"/>
              <w:bottom w:w="40" w:type="dxa"/>
              <w:right w:w="20" w:type="dxa"/>
            </w:tcMar>
            <w:vAlign w:val="bottom"/>
          </w:tcPr>
          <w:p w14:paraId="1426F8B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B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BC" w14:textId="77777777" w:rsidR="00A74A1E" w:rsidRDefault="00807990">
            <w:pPr>
              <w:jc w:val="right"/>
              <w:textAlignment w:val="bottom"/>
            </w:pPr>
            <w:r>
              <w:rPr>
                <w:rFonts w:ascii="Arial" w:eastAsia="宋体" w:hAnsi="Arial" w:cs="Arial"/>
                <w:color w:val="000000"/>
                <w:sz w:val="20"/>
                <w:szCs w:val="20"/>
              </w:rPr>
              <w:t>2,896 </w:t>
            </w:r>
          </w:p>
        </w:tc>
        <w:tc>
          <w:tcPr>
            <w:tcW w:w="0" w:type="auto"/>
            <w:shd w:val="clear" w:color="auto" w:fill="CCEEFF"/>
            <w:tcMar>
              <w:top w:w="40" w:type="dxa"/>
              <w:left w:w="0" w:type="dxa"/>
              <w:bottom w:w="40" w:type="dxa"/>
              <w:right w:w="20" w:type="dxa"/>
            </w:tcMar>
            <w:vAlign w:val="bottom"/>
          </w:tcPr>
          <w:p w14:paraId="1426F8BD"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BE"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BF" w14:textId="77777777" w:rsidR="00A74A1E" w:rsidRDefault="00807990">
            <w:pPr>
              <w:jc w:val="right"/>
              <w:textAlignment w:val="bottom"/>
            </w:pPr>
            <w:r>
              <w:rPr>
                <w:rFonts w:ascii="Arial" w:eastAsia="宋体" w:hAnsi="Arial" w:cs="Arial"/>
                <w:color w:val="000000"/>
                <w:sz w:val="20"/>
                <w:szCs w:val="20"/>
              </w:rPr>
              <w:t>1,919 </w:t>
            </w:r>
          </w:p>
        </w:tc>
        <w:tc>
          <w:tcPr>
            <w:tcW w:w="0" w:type="auto"/>
            <w:shd w:val="clear" w:color="auto" w:fill="CCEEFF"/>
            <w:tcMar>
              <w:top w:w="40" w:type="dxa"/>
              <w:left w:w="0" w:type="dxa"/>
              <w:bottom w:w="40" w:type="dxa"/>
              <w:right w:w="20" w:type="dxa"/>
            </w:tcMar>
            <w:vAlign w:val="bottom"/>
          </w:tcPr>
          <w:p w14:paraId="1426F8C0" w14:textId="77777777" w:rsidR="00A74A1E" w:rsidRDefault="00A74A1E">
            <w:pPr>
              <w:jc w:val="right"/>
              <w:rPr>
                <w:rFonts w:ascii="宋体"/>
              </w:rPr>
            </w:pPr>
          </w:p>
        </w:tc>
      </w:tr>
      <w:tr w:rsidR="00A74A1E" w14:paraId="1426F8CE" w14:textId="77777777">
        <w:tc>
          <w:tcPr>
            <w:tcW w:w="0" w:type="auto"/>
            <w:gridSpan w:val="3"/>
            <w:shd w:val="clear" w:color="auto" w:fill="FFFFFF"/>
            <w:tcMar>
              <w:top w:w="40" w:type="dxa"/>
              <w:left w:w="20" w:type="dxa"/>
              <w:bottom w:w="40" w:type="dxa"/>
              <w:right w:w="20" w:type="dxa"/>
            </w:tcMar>
            <w:vAlign w:val="center"/>
          </w:tcPr>
          <w:p w14:paraId="1426F8C2" w14:textId="77777777" w:rsidR="00A74A1E" w:rsidRDefault="00807990">
            <w:pPr>
              <w:textAlignment w:val="center"/>
            </w:pPr>
            <w:r>
              <w:rPr>
                <w:rFonts w:ascii="Arial" w:eastAsia="宋体" w:hAnsi="Arial" w:cs="Arial"/>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1426F8C3" w14:textId="77777777" w:rsidR="00A74A1E" w:rsidRDefault="00807990">
            <w:pPr>
              <w:jc w:val="right"/>
              <w:textAlignment w:val="bottom"/>
            </w:pPr>
            <w:r>
              <w:rPr>
                <w:rFonts w:ascii="Arial" w:eastAsia="宋体"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1426F8C4" w14:textId="77777777" w:rsidR="00A74A1E" w:rsidRDefault="00807990">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1426F8C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C6" w14:textId="77777777" w:rsidR="00A74A1E" w:rsidRDefault="00807990">
            <w:pPr>
              <w:jc w:val="right"/>
              <w:textAlignment w:val="bottom"/>
            </w:pPr>
            <w:r>
              <w:rPr>
                <w:rFonts w:ascii="Arial" w:eastAsia="宋体" w:hAnsi="Arial" w:cs="Arial"/>
                <w:color w:val="000000"/>
                <w:sz w:val="20"/>
                <w:szCs w:val="20"/>
              </w:rPr>
              <w:t>43 </w:t>
            </w:r>
          </w:p>
        </w:tc>
        <w:tc>
          <w:tcPr>
            <w:tcW w:w="0" w:type="auto"/>
            <w:shd w:val="clear" w:color="auto" w:fill="FFFFFF"/>
            <w:tcMar>
              <w:top w:w="40" w:type="dxa"/>
              <w:left w:w="0" w:type="dxa"/>
              <w:bottom w:w="40" w:type="dxa"/>
              <w:right w:w="20" w:type="dxa"/>
            </w:tcMar>
            <w:vAlign w:val="bottom"/>
          </w:tcPr>
          <w:p w14:paraId="1426F8C7" w14:textId="77777777" w:rsidR="00A74A1E" w:rsidRDefault="00807990">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1426F8C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C9" w14:textId="77777777" w:rsidR="00A74A1E" w:rsidRDefault="00807990">
            <w:pPr>
              <w:jc w:val="right"/>
              <w:textAlignment w:val="bottom"/>
            </w:pPr>
            <w:r>
              <w:rPr>
                <w:rFonts w:ascii="Arial" w:eastAsia="宋体"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1426F8CA" w14:textId="77777777" w:rsidR="00A74A1E" w:rsidRDefault="00807990">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1426F8CB"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CC" w14:textId="77777777" w:rsidR="00A74A1E" w:rsidRDefault="00807990">
            <w:pPr>
              <w:jc w:val="right"/>
              <w:textAlignment w:val="bottom"/>
            </w:pPr>
            <w:r>
              <w:rPr>
                <w:rFonts w:ascii="Arial" w:eastAsia="宋体" w:hAnsi="Arial" w:cs="Arial"/>
                <w:color w:val="000000"/>
                <w:sz w:val="20"/>
                <w:szCs w:val="20"/>
              </w:rPr>
              <w:t>42 </w:t>
            </w:r>
          </w:p>
        </w:tc>
        <w:tc>
          <w:tcPr>
            <w:tcW w:w="0" w:type="auto"/>
            <w:shd w:val="clear" w:color="auto" w:fill="FFFFFF"/>
            <w:tcMar>
              <w:top w:w="40" w:type="dxa"/>
              <w:left w:w="0" w:type="dxa"/>
              <w:bottom w:w="40" w:type="dxa"/>
              <w:right w:w="20" w:type="dxa"/>
            </w:tcMar>
            <w:vAlign w:val="bottom"/>
          </w:tcPr>
          <w:p w14:paraId="1426F8CD" w14:textId="77777777" w:rsidR="00A74A1E" w:rsidRDefault="00807990">
            <w:pPr>
              <w:jc w:val="right"/>
              <w:textAlignment w:val="bottom"/>
            </w:pPr>
            <w:r>
              <w:rPr>
                <w:rFonts w:ascii="Arial" w:eastAsia="宋体" w:hAnsi="Arial" w:cs="Arial"/>
                <w:color w:val="000000"/>
                <w:sz w:val="20"/>
                <w:szCs w:val="20"/>
              </w:rPr>
              <w:t>%</w:t>
            </w:r>
          </w:p>
        </w:tc>
      </w:tr>
      <w:tr w:rsidR="00A74A1E" w14:paraId="1426F8DB" w14:textId="77777777">
        <w:tc>
          <w:tcPr>
            <w:tcW w:w="0" w:type="auto"/>
            <w:gridSpan w:val="3"/>
            <w:shd w:val="clear" w:color="auto" w:fill="CCEEFF"/>
            <w:tcMar>
              <w:top w:w="40" w:type="dxa"/>
              <w:left w:w="20" w:type="dxa"/>
              <w:bottom w:w="40" w:type="dxa"/>
              <w:right w:w="20" w:type="dxa"/>
            </w:tcMar>
            <w:vAlign w:val="center"/>
          </w:tcPr>
          <w:p w14:paraId="1426F8CF" w14:textId="77777777" w:rsidR="00A74A1E" w:rsidRDefault="00807990">
            <w:pPr>
              <w:textAlignment w:val="center"/>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1426F8D0" w14:textId="77777777" w:rsidR="00A74A1E" w:rsidRDefault="00807990">
            <w:pPr>
              <w:jc w:val="right"/>
              <w:textAlignment w:val="bottom"/>
            </w:pPr>
            <w:r>
              <w:rPr>
                <w:rFonts w:ascii="Arial" w:eastAsia="宋体" w:hAnsi="Arial" w:cs="Arial"/>
                <w:color w:val="000000"/>
                <w:sz w:val="20"/>
                <w:szCs w:val="20"/>
              </w:rPr>
              <w:t>508 </w:t>
            </w:r>
          </w:p>
        </w:tc>
        <w:tc>
          <w:tcPr>
            <w:tcW w:w="0" w:type="auto"/>
            <w:shd w:val="clear" w:color="auto" w:fill="CCEEFF"/>
            <w:tcMar>
              <w:top w:w="40" w:type="dxa"/>
              <w:left w:w="0" w:type="dxa"/>
              <w:bottom w:w="40" w:type="dxa"/>
              <w:right w:w="20" w:type="dxa"/>
            </w:tcMar>
            <w:vAlign w:val="bottom"/>
          </w:tcPr>
          <w:p w14:paraId="1426F8D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D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D3" w14:textId="77777777" w:rsidR="00A74A1E" w:rsidRDefault="00807990">
            <w:pPr>
              <w:jc w:val="right"/>
              <w:textAlignment w:val="bottom"/>
            </w:pPr>
            <w:r>
              <w:rPr>
                <w:rFonts w:ascii="Arial" w:eastAsia="宋体" w:hAnsi="Arial" w:cs="Arial"/>
                <w:color w:val="000000"/>
                <w:sz w:val="20"/>
                <w:szCs w:val="20"/>
              </w:rPr>
              <w:t>406 </w:t>
            </w:r>
          </w:p>
        </w:tc>
        <w:tc>
          <w:tcPr>
            <w:tcW w:w="0" w:type="auto"/>
            <w:shd w:val="clear" w:color="auto" w:fill="CCEEFF"/>
            <w:tcMar>
              <w:top w:w="40" w:type="dxa"/>
              <w:left w:w="0" w:type="dxa"/>
              <w:bottom w:w="40" w:type="dxa"/>
              <w:right w:w="20" w:type="dxa"/>
            </w:tcMar>
            <w:vAlign w:val="bottom"/>
          </w:tcPr>
          <w:p w14:paraId="1426F8D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D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D6" w14:textId="77777777" w:rsidR="00A74A1E" w:rsidRDefault="00807990">
            <w:pPr>
              <w:jc w:val="right"/>
              <w:textAlignment w:val="bottom"/>
            </w:pPr>
            <w:r>
              <w:rPr>
                <w:rFonts w:ascii="Arial" w:eastAsia="宋体" w:hAnsi="Arial" w:cs="Arial"/>
                <w:color w:val="000000"/>
                <w:sz w:val="20"/>
                <w:szCs w:val="20"/>
              </w:rPr>
              <w:t>1,410 </w:t>
            </w:r>
          </w:p>
        </w:tc>
        <w:tc>
          <w:tcPr>
            <w:tcW w:w="0" w:type="auto"/>
            <w:shd w:val="clear" w:color="auto" w:fill="CCEEFF"/>
            <w:tcMar>
              <w:top w:w="40" w:type="dxa"/>
              <w:left w:w="0" w:type="dxa"/>
              <w:bottom w:w="40" w:type="dxa"/>
              <w:right w:w="20" w:type="dxa"/>
            </w:tcMar>
            <w:vAlign w:val="bottom"/>
          </w:tcPr>
          <w:p w14:paraId="1426F8D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D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D9" w14:textId="77777777" w:rsidR="00A74A1E" w:rsidRDefault="00807990">
            <w:pPr>
              <w:jc w:val="right"/>
              <w:textAlignment w:val="bottom"/>
            </w:pPr>
            <w:r>
              <w:rPr>
                <w:rFonts w:ascii="Arial" w:eastAsia="宋体" w:hAnsi="Arial" w:cs="Arial"/>
                <w:color w:val="000000"/>
                <w:sz w:val="20"/>
                <w:szCs w:val="20"/>
              </w:rPr>
              <w:t>1,152 </w:t>
            </w:r>
          </w:p>
        </w:tc>
        <w:tc>
          <w:tcPr>
            <w:tcW w:w="0" w:type="auto"/>
            <w:shd w:val="clear" w:color="auto" w:fill="CCEEFF"/>
            <w:tcMar>
              <w:top w:w="40" w:type="dxa"/>
              <w:left w:w="0" w:type="dxa"/>
              <w:bottom w:w="40" w:type="dxa"/>
              <w:right w:w="20" w:type="dxa"/>
            </w:tcMar>
            <w:vAlign w:val="bottom"/>
          </w:tcPr>
          <w:p w14:paraId="1426F8DA" w14:textId="77777777" w:rsidR="00A74A1E" w:rsidRDefault="00A74A1E">
            <w:pPr>
              <w:jc w:val="right"/>
              <w:rPr>
                <w:rFonts w:ascii="宋体"/>
              </w:rPr>
            </w:pPr>
          </w:p>
        </w:tc>
      </w:tr>
      <w:tr w:rsidR="00A74A1E" w14:paraId="1426F8E8" w14:textId="77777777">
        <w:tc>
          <w:tcPr>
            <w:tcW w:w="0" w:type="auto"/>
            <w:gridSpan w:val="3"/>
            <w:shd w:val="clear" w:color="auto" w:fill="FFFFFF"/>
            <w:tcMar>
              <w:top w:w="40" w:type="dxa"/>
              <w:left w:w="20" w:type="dxa"/>
              <w:bottom w:w="40" w:type="dxa"/>
              <w:right w:w="20" w:type="dxa"/>
            </w:tcMar>
            <w:vAlign w:val="center"/>
          </w:tcPr>
          <w:p w14:paraId="1426F8DC" w14:textId="77777777" w:rsidR="00A74A1E" w:rsidRDefault="00807990">
            <w:pPr>
              <w:textAlignment w:val="center"/>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1426F8DD" w14:textId="77777777" w:rsidR="00A74A1E" w:rsidRDefault="00807990">
            <w:pPr>
              <w:jc w:val="right"/>
              <w:textAlignment w:val="bottom"/>
            </w:pPr>
            <w:r>
              <w:rPr>
                <w:rFonts w:ascii="Arial" w:eastAsia="宋体" w:hAnsi="Arial" w:cs="Arial"/>
                <w:color w:val="000000"/>
                <w:sz w:val="20"/>
                <w:szCs w:val="20"/>
              </w:rPr>
              <w:t>273 </w:t>
            </w:r>
          </w:p>
        </w:tc>
        <w:tc>
          <w:tcPr>
            <w:tcW w:w="0" w:type="auto"/>
            <w:shd w:val="clear" w:color="auto" w:fill="FFFFFF"/>
            <w:tcMar>
              <w:top w:w="40" w:type="dxa"/>
              <w:left w:w="0" w:type="dxa"/>
              <w:bottom w:w="40" w:type="dxa"/>
              <w:right w:w="20" w:type="dxa"/>
            </w:tcMar>
            <w:vAlign w:val="bottom"/>
          </w:tcPr>
          <w:p w14:paraId="1426F8D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D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E0" w14:textId="77777777" w:rsidR="00A74A1E" w:rsidRDefault="00807990">
            <w:pPr>
              <w:jc w:val="right"/>
              <w:textAlignment w:val="bottom"/>
            </w:pPr>
            <w:r>
              <w:rPr>
                <w:rFonts w:ascii="Arial" w:eastAsia="宋体" w:hAnsi="Arial" w:cs="Arial"/>
                <w:color w:val="000000"/>
                <w:sz w:val="20"/>
                <w:szCs w:val="20"/>
              </w:rPr>
              <w:t>185 </w:t>
            </w:r>
          </w:p>
        </w:tc>
        <w:tc>
          <w:tcPr>
            <w:tcW w:w="0" w:type="auto"/>
            <w:shd w:val="clear" w:color="auto" w:fill="FFFFFF"/>
            <w:tcMar>
              <w:top w:w="40" w:type="dxa"/>
              <w:left w:w="0" w:type="dxa"/>
              <w:bottom w:w="40" w:type="dxa"/>
              <w:right w:w="20" w:type="dxa"/>
            </w:tcMar>
            <w:vAlign w:val="bottom"/>
          </w:tcPr>
          <w:p w14:paraId="1426F8E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E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E3" w14:textId="77777777" w:rsidR="00A74A1E" w:rsidRDefault="00807990">
            <w:pPr>
              <w:jc w:val="right"/>
              <w:textAlignment w:val="bottom"/>
            </w:pPr>
            <w:r>
              <w:rPr>
                <w:rFonts w:ascii="Arial" w:eastAsia="宋体"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1426F8E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8E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8E6" w14:textId="77777777" w:rsidR="00A74A1E" w:rsidRDefault="00807990">
            <w:pPr>
              <w:jc w:val="right"/>
              <w:textAlignment w:val="bottom"/>
            </w:pPr>
            <w:r>
              <w:rPr>
                <w:rFonts w:ascii="Arial" w:eastAsia="宋体" w:hAnsi="Arial" w:cs="Arial"/>
                <w:color w:val="000000"/>
                <w:sz w:val="20"/>
                <w:szCs w:val="20"/>
              </w:rPr>
              <w:t>544 </w:t>
            </w:r>
          </w:p>
        </w:tc>
        <w:tc>
          <w:tcPr>
            <w:tcW w:w="0" w:type="auto"/>
            <w:shd w:val="clear" w:color="auto" w:fill="FFFFFF"/>
            <w:tcMar>
              <w:top w:w="40" w:type="dxa"/>
              <w:left w:w="0" w:type="dxa"/>
              <w:bottom w:w="40" w:type="dxa"/>
              <w:right w:w="20" w:type="dxa"/>
            </w:tcMar>
            <w:vAlign w:val="bottom"/>
          </w:tcPr>
          <w:p w14:paraId="1426F8E7" w14:textId="77777777" w:rsidR="00A74A1E" w:rsidRDefault="00A74A1E">
            <w:pPr>
              <w:jc w:val="right"/>
              <w:rPr>
                <w:rFonts w:ascii="宋体"/>
              </w:rPr>
            </w:pPr>
          </w:p>
        </w:tc>
      </w:tr>
      <w:tr w:rsidR="00A74A1E" w14:paraId="1426F8F1" w14:textId="77777777">
        <w:trPr>
          <w:hidden/>
        </w:trPr>
        <w:tc>
          <w:tcPr>
            <w:tcW w:w="0" w:type="auto"/>
            <w:gridSpan w:val="3"/>
            <w:shd w:val="clear" w:color="auto" w:fill="auto"/>
          </w:tcPr>
          <w:p w14:paraId="1426F8E9" w14:textId="77777777" w:rsidR="00A74A1E" w:rsidRDefault="00A74A1E">
            <w:pPr>
              <w:rPr>
                <w:rFonts w:ascii="宋体"/>
                <w:vanish/>
              </w:rPr>
            </w:pPr>
          </w:p>
        </w:tc>
        <w:tc>
          <w:tcPr>
            <w:tcW w:w="0" w:type="auto"/>
            <w:gridSpan w:val="3"/>
            <w:shd w:val="clear" w:color="auto" w:fill="auto"/>
          </w:tcPr>
          <w:p w14:paraId="1426F8EA" w14:textId="77777777" w:rsidR="00A74A1E" w:rsidRDefault="00A74A1E">
            <w:pPr>
              <w:rPr>
                <w:rFonts w:ascii="宋体"/>
                <w:vanish/>
              </w:rPr>
            </w:pPr>
          </w:p>
        </w:tc>
        <w:tc>
          <w:tcPr>
            <w:tcW w:w="0" w:type="auto"/>
            <w:gridSpan w:val="3"/>
            <w:shd w:val="clear" w:color="auto" w:fill="auto"/>
          </w:tcPr>
          <w:p w14:paraId="1426F8EB" w14:textId="77777777" w:rsidR="00A74A1E" w:rsidRDefault="00A74A1E">
            <w:pPr>
              <w:rPr>
                <w:rFonts w:ascii="宋体"/>
                <w:vanish/>
              </w:rPr>
            </w:pPr>
          </w:p>
        </w:tc>
        <w:tc>
          <w:tcPr>
            <w:tcW w:w="0" w:type="auto"/>
            <w:gridSpan w:val="3"/>
            <w:shd w:val="clear" w:color="auto" w:fill="auto"/>
          </w:tcPr>
          <w:p w14:paraId="1426F8EC" w14:textId="77777777" w:rsidR="00A74A1E" w:rsidRDefault="00A74A1E">
            <w:pPr>
              <w:rPr>
                <w:rFonts w:ascii="宋体"/>
                <w:vanish/>
              </w:rPr>
            </w:pPr>
          </w:p>
        </w:tc>
        <w:tc>
          <w:tcPr>
            <w:tcW w:w="0" w:type="auto"/>
            <w:gridSpan w:val="3"/>
            <w:shd w:val="clear" w:color="auto" w:fill="auto"/>
          </w:tcPr>
          <w:p w14:paraId="1426F8ED" w14:textId="77777777" w:rsidR="00A74A1E" w:rsidRDefault="00A74A1E">
            <w:pPr>
              <w:rPr>
                <w:rFonts w:ascii="宋体"/>
                <w:vanish/>
              </w:rPr>
            </w:pPr>
          </w:p>
        </w:tc>
        <w:tc>
          <w:tcPr>
            <w:tcW w:w="0" w:type="auto"/>
            <w:gridSpan w:val="3"/>
            <w:shd w:val="clear" w:color="auto" w:fill="auto"/>
          </w:tcPr>
          <w:p w14:paraId="1426F8EE" w14:textId="77777777" w:rsidR="00A74A1E" w:rsidRDefault="00A74A1E">
            <w:pPr>
              <w:rPr>
                <w:rFonts w:ascii="宋体"/>
                <w:vanish/>
              </w:rPr>
            </w:pPr>
          </w:p>
        </w:tc>
        <w:tc>
          <w:tcPr>
            <w:tcW w:w="0" w:type="auto"/>
            <w:gridSpan w:val="3"/>
            <w:shd w:val="clear" w:color="auto" w:fill="auto"/>
          </w:tcPr>
          <w:p w14:paraId="1426F8EF" w14:textId="77777777" w:rsidR="00A74A1E" w:rsidRDefault="00A74A1E">
            <w:pPr>
              <w:rPr>
                <w:rFonts w:ascii="宋体"/>
                <w:vanish/>
              </w:rPr>
            </w:pPr>
          </w:p>
        </w:tc>
        <w:tc>
          <w:tcPr>
            <w:tcW w:w="0" w:type="auto"/>
            <w:gridSpan w:val="3"/>
            <w:shd w:val="clear" w:color="auto" w:fill="auto"/>
          </w:tcPr>
          <w:p w14:paraId="1426F8F0" w14:textId="77777777" w:rsidR="00A74A1E" w:rsidRDefault="00A74A1E">
            <w:pPr>
              <w:rPr>
                <w:rFonts w:ascii="宋体"/>
                <w:vanish/>
              </w:rPr>
            </w:pPr>
          </w:p>
        </w:tc>
      </w:tr>
      <w:tr w:rsidR="00A74A1E" w14:paraId="1426F8FE" w14:textId="77777777">
        <w:tc>
          <w:tcPr>
            <w:tcW w:w="0" w:type="auto"/>
            <w:gridSpan w:val="3"/>
            <w:shd w:val="clear" w:color="auto" w:fill="CCEEFF"/>
            <w:tcMar>
              <w:top w:w="40" w:type="dxa"/>
              <w:left w:w="20" w:type="dxa"/>
              <w:bottom w:w="40" w:type="dxa"/>
              <w:right w:w="20" w:type="dxa"/>
            </w:tcMar>
            <w:vAlign w:val="center"/>
          </w:tcPr>
          <w:p w14:paraId="1426F8F2" w14:textId="77777777" w:rsidR="00A74A1E" w:rsidRDefault="00807990">
            <w:pPr>
              <w:textAlignment w:val="center"/>
            </w:pPr>
            <w:r>
              <w:rPr>
                <w:rFonts w:ascii="Arial" w:eastAsia="宋体"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1426F8F3"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8F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F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F6"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8F7"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F8"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F9"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8FA"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8FB"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8FC" w14:textId="77777777" w:rsidR="00A74A1E" w:rsidRDefault="00807990">
            <w:pPr>
              <w:jc w:val="right"/>
              <w:textAlignment w:val="bottom"/>
            </w:pPr>
            <w:r>
              <w:rPr>
                <w:rFonts w:ascii="Arial" w:eastAsia="宋体" w:hAnsi="Arial" w:cs="Arial"/>
                <w:color w:val="000000"/>
                <w:sz w:val="20"/>
                <w:szCs w:val="20"/>
              </w:rPr>
              <w:t>(60)</w:t>
            </w:r>
          </w:p>
        </w:tc>
        <w:tc>
          <w:tcPr>
            <w:tcW w:w="0" w:type="auto"/>
            <w:shd w:val="clear" w:color="auto" w:fill="CCEEFF"/>
            <w:tcMar>
              <w:top w:w="40" w:type="dxa"/>
              <w:left w:w="0" w:type="dxa"/>
              <w:bottom w:w="40" w:type="dxa"/>
              <w:right w:w="20" w:type="dxa"/>
            </w:tcMar>
            <w:vAlign w:val="bottom"/>
          </w:tcPr>
          <w:p w14:paraId="1426F8FD" w14:textId="77777777" w:rsidR="00A74A1E" w:rsidRDefault="00A74A1E">
            <w:pPr>
              <w:jc w:val="right"/>
              <w:rPr>
                <w:rFonts w:ascii="宋体"/>
              </w:rPr>
            </w:pPr>
          </w:p>
        </w:tc>
      </w:tr>
      <w:tr w:rsidR="00A74A1E" w14:paraId="1426F90B" w14:textId="77777777">
        <w:tc>
          <w:tcPr>
            <w:tcW w:w="0" w:type="auto"/>
            <w:gridSpan w:val="3"/>
            <w:shd w:val="clear" w:color="auto" w:fill="FFFFFF"/>
            <w:tcMar>
              <w:top w:w="40" w:type="dxa"/>
              <w:left w:w="20" w:type="dxa"/>
              <w:bottom w:w="40" w:type="dxa"/>
              <w:right w:w="20" w:type="dxa"/>
            </w:tcMar>
            <w:vAlign w:val="center"/>
          </w:tcPr>
          <w:p w14:paraId="1426F8FF" w14:textId="77777777" w:rsidR="00A74A1E" w:rsidRDefault="00807990">
            <w:pPr>
              <w:textAlignment w:val="center"/>
            </w:pPr>
            <w:r>
              <w:rPr>
                <w:rFonts w:ascii="Arial" w:eastAsia="宋体"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426F900" w14:textId="77777777" w:rsidR="00A74A1E" w:rsidRDefault="00807990">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1426F90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0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03" w14:textId="77777777" w:rsidR="00A74A1E" w:rsidRDefault="00807990">
            <w:pPr>
              <w:jc w:val="right"/>
              <w:textAlignment w:val="bottom"/>
            </w:pPr>
            <w:r>
              <w:rPr>
                <w:rFonts w:ascii="Arial" w:eastAsia="宋体" w:hAnsi="Arial" w:cs="Arial"/>
                <w:color w:val="000000"/>
                <w:sz w:val="20"/>
                <w:szCs w:val="20"/>
              </w:rPr>
              <w:t>(24)</w:t>
            </w:r>
          </w:p>
        </w:tc>
        <w:tc>
          <w:tcPr>
            <w:tcW w:w="0" w:type="auto"/>
            <w:shd w:val="clear" w:color="auto" w:fill="FFFFFF"/>
            <w:tcMar>
              <w:top w:w="40" w:type="dxa"/>
              <w:left w:w="0" w:type="dxa"/>
              <w:bottom w:w="40" w:type="dxa"/>
              <w:right w:w="20" w:type="dxa"/>
            </w:tcMar>
            <w:vAlign w:val="bottom"/>
          </w:tcPr>
          <w:p w14:paraId="1426F904"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05"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06" w14:textId="77777777" w:rsidR="00A74A1E" w:rsidRDefault="00807990">
            <w:pPr>
              <w:jc w:val="right"/>
              <w:textAlignment w:val="bottom"/>
            </w:pPr>
            <w:r>
              <w:rPr>
                <w:rFonts w:ascii="Arial" w:eastAsia="宋体" w:hAnsi="Arial" w:cs="Arial"/>
                <w:color w:val="000000"/>
                <w:sz w:val="20"/>
                <w:szCs w:val="20"/>
              </w:rPr>
              <w:t>(38)</w:t>
            </w:r>
          </w:p>
        </w:tc>
        <w:tc>
          <w:tcPr>
            <w:tcW w:w="0" w:type="auto"/>
            <w:shd w:val="clear" w:color="auto" w:fill="FFFFFF"/>
            <w:tcMar>
              <w:top w:w="40" w:type="dxa"/>
              <w:left w:w="0" w:type="dxa"/>
              <w:bottom w:w="40" w:type="dxa"/>
              <w:right w:w="20" w:type="dxa"/>
            </w:tcMar>
            <w:vAlign w:val="bottom"/>
          </w:tcPr>
          <w:p w14:paraId="1426F907"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08"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09" w14:textId="77777777" w:rsidR="00A74A1E" w:rsidRDefault="00807990">
            <w:pPr>
              <w:jc w:val="right"/>
              <w:textAlignment w:val="bottom"/>
            </w:pPr>
            <w:r>
              <w:rPr>
                <w:rFonts w:ascii="Arial" w:eastAsia="宋体"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1426F90A" w14:textId="77777777" w:rsidR="00A74A1E" w:rsidRDefault="00A74A1E">
            <w:pPr>
              <w:jc w:val="right"/>
              <w:rPr>
                <w:rFonts w:ascii="宋体"/>
              </w:rPr>
            </w:pPr>
          </w:p>
        </w:tc>
      </w:tr>
      <w:tr w:rsidR="00A74A1E" w14:paraId="1426F918" w14:textId="77777777">
        <w:tc>
          <w:tcPr>
            <w:tcW w:w="0" w:type="auto"/>
            <w:gridSpan w:val="3"/>
            <w:shd w:val="clear" w:color="auto" w:fill="CCEEFF"/>
            <w:tcMar>
              <w:top w:w="40" w:type="dxa"/>
              <w:left w:w="20" w:type="dxa"/>
              <w:bottom w:w="40" w:type="dxa"/>
              <w:right w:w="20" w:type="dxa"/>
            </w:tcMar>
            <w:vAlign w:val="center"/>
          </w:tcPr>
          <w:p w14:paraId="1426F90C" w14:textId="77777777" w:rsidR="00A74A1E" w:rsidRDefault="00807990">
            <w:pPr>
              <w:textAlignment w:val="center"/>
            </w:pPr>
            <w:r>
              <w:rPr>
                <w:rFonts w:ascii="Arial" w:eastAsia="宋体" w:hAnsi="Arial" w:cs="Arial"/>
                <w:color w:val="000000"/>
                <w:sz w:val="20"/>
                <w:szCs w:val="20"/>
              </w:rPr>
              <w:t>Other expense, net</w:t>
            </w:r>
          </w:p>
        </w:tc>
        <w:tc>
          <w:tcPr>
            <w:tcW w:w="0" w:type="auto"/>
            <w:gridSpan w:val="2"/>
            <w:shd w:val="clear" w:color="auto" w:fill="CCEEFF"/>
            <w:tcMar>
              <w:top w:w="40" w:type="dxa"/>
              <w:left w:w="20" w:type="dxa"/>
              <w:bottom w:w="40" w:type="dxa"/>
              <w:right w:w="0" w:type="dxa"/>
            </w:tcMar>
            <w:vAlign w:val="bottom"/>
          </w:tcPr>
          <w:p w14:paraId="1426F90D" w14:textId="77777777" w:rsidR="00A74A1E" w:rsidRDefault="00807990">
            <w:pPr>
              <w:jc w:val="right"/>
              <w:textAlignment w:val="bottom"/>
            </w:pPr>
            <w:r>
              <w:rPr>
                <w:rFonts w:ascii="Arial" w:eastAsia="宋体" w:hAnsi="Arial" w:cs="Arial"/>
                <w:color w:val="000000"/>
                <w:sz w:val="20"/>
                <w:szCs w:val="20"/>
              </w:rPr>
              <w:t>(37)</w:t>
            </w:r>
          </w:p>
        </w:tc>
        <w:tc>
          <w:tcPr>
            <w:tcW w:w="0" w:type="auto"/>
            <w:shd w:val="clear" w:color="auto" w:fill="CCEEFF"/>
            <w:tcMar>
              <w:top w:w="40" w:type="dxa"/>
              <w:left w:w="0" w:type="dxa"/>
              <w:bottom w:w="40" w:type="dxa"/>
              <w:right w:w="20" w:type="dxa"/>
            </w:tcMar>
            <w:vAlign w:val="bottom"/>
          </w:tcPr>
          <w:p w14:paraId="1426F90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0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10" w14:textId="77777777" w:rsidR="00A74A1E" w:rsidRDefault="00807990">
            <w:pPr>
              <w:jc w:val="right"/>
              <w:textAlignment w:val="bottom"/>
            </w:pPr>
            <w:r>
              <w:rPr>
                <w:rFonts w:ascii="Arial" w:eastAsia="宋体" w:hAnsi="Arial" w:cs="Arial"/>
                <w:color w:val="000000"/>
                <w:sz w:val="20"/>
                <w:szCs w:val="20"/>
              </w:rPr>
              <w:t>(36)</w:t>
            </w:r>
          </w:p>
        </w:tc>
        <w:tc>
          <w:tcPr>
            <w:tcW w:w="0" w:type="auto"/>
            <w:shd w:val="clear" w:color="auto" w:fill="CCEEFF"/>
            <w:tcMar>
              <w:top w:w="40" w:type="dxa"/>
              <w:left w:w="0" w:type="dxa"/>
              <w:bottom w:w="40" w:type="dxa"/>
              <w:right w:w="20" w:type="dxa"/>
            </w:tcMar>
            <w:vAlign w:val="bottom"/>
          </w:tcPr>
          <w:p w14:paraId="1426F911"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12"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13" w14:textId="77777777" w:rsidR="00A74A1E" w:rsidRDefault="00807990">
            <w:pPr>
              <w:jc w:val="right"/>
              <w:textAlignment w:val="bottom"/>
            </w:pPr>
            <w:r>
              <w:rPr>
                <w:rFonts w:ascii="Arial" w:eastAsia="宋体" w:hAnsi="Arial" w:cs="Arial"/>
                <w:color w:val="000000"/>
                <w:sz w:val="20"/>
                <w:szCs w:val="20"/>
              </w:rPr>
              <w:t>(32)</w:t>
            </w:r>
          </w:p>
        </w:tc>
        <w:tc>
          <w:tcPr>
            <w:tcW w:w="0" w:type="auto"/>
            <w:shd w:val="clear" w:color="auto" w:fill="CCEEFF"/>
            <w:tcMar>
              <w:top w:w="40" w:type="dxa"/>
              <w:left w:w="0" w:type="dxa"/>
              <w:bottom w:w="40" w:type="dxa"/>
              <w:right w:w="20" w:type="dxa"/>
            </w:tcMar>
            <w:vAlign w:val="bottom"/>
          </w:tcPr>
          <w:p w14:paraId="1426F914"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15"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16" w14:textId="77777777" w:rsidR="00A74A1E" w:rsidRDefault="00807990">
            <w:pPr>
              <w:jc w:val="right"/>
              <w:textAlignment w:val="bottom"/>
            </w:pPr>
            <w:r>
              <w:rPr>
                <w:rFonts w:ascii="Arial" w:eastAsia="宋体" w:hAnsi="Arial" w:cs="Arial"/>
                <w:color w:val="000000"/>
                <w:sz w:val="20"/>
                <w:szCs w:val="20"/>
              </w:rPr>
              <w:t>(40)</w:t>
            </w:r>
          </w:p>
        </w:tc>
        <w:tc>
          <w:tcPr>
            <w:tcW w:w="0" w:type="auto"/>
            <w:shd w:val="clear" w:color="auto" w:fill="CCEEFF"/>
            <w:tcMar>
              <w:top w:w="40" w:type="dxa"/>
              <w:left w:w="0" w:type="dxa"/>
              <w:bottom w:w="40" w:type="dxa"/>
              <w:right w:w="20" w:type="dxa"/>
            </w:tcMar>
            <w:vAlign w:val="bottom"/>
          </w:tcPr>
          <w:p w14:paraId="1426F917" w14:textId="77777777" w:rsidR="00A74A1E" w:rsidRDefault="00A74A1E">
            <w:pPr>
              <w:jc w:val="right"/>
              <w:rPr>
                <w:rFonts w:ascii="宋体"/>
              </w:rPr>
            </w:pPr>
          </w:p>
        </w:tc>
      </w:tr>
      <w:tr w:rsidR="00A74A1E" w14:paraId="1426F925" w14:textId="77777777">
        <w:tc>
          <w:tcPr>
            <w:tcW w:w="0" w:type="auto"/>
            <w:gridSpan w:val="3"/>
            <w:shd w:val="clear" w:color="auto" w:fill="FFFFFF"/>
            <w:tcMar>
              <w:top w:w="40" w:type="dxa"/>
              <w:left w:w="20" w:type="dxa"/>
              <w:bottom w:w="40" w:type="dxa"/>
              <w:right w:w="20" w:type="dxa"/>
            </w:tcMar>
            <w:vAlign w:val="center"/>
          </w:tcPr>
          <w:p w14:paraId="1426F919" w14:textId="77777777" w:rsidR="00A74A1E" w:rsidRDefault="00807990">
            <w:pPr>
              <w:textAlignment w:val="center"/>
            </w:pPr>
            <w:r>
              <w:rPr>
                <w:rFonts w:ascii="Arial" w:eastAsia="宋体" w:hAnsi="Arial" w:cs="Arial"/>
                <w:color w:val="000000"/>
                <w:sz w:val="20"/>
                <w:szCs w:val="20"/>
              </w:rPr>
              <w:t xml:space="preserve">Income tax provision (benefit) </w:t>
            </w:r>
          </w:p>
        </w:tc>
        <w:tc>
          <w:tcPr>
            <w:tcW w:w="0" w:type="auto"/>
            <w:gridSpan w:val="2"/>
            <w:shd w:val="clear" w:color="auto" w:fill="FFFFFF"/>
            <w:tcMar>
              <w:top w:w="40" w:type="dxa"/>
              <w:left w:w="20" w:type="dxa"/>
              <w:bottom w:w="40" w:type="dxa"/>
              <w:right w:w="0" w:type="dxa"/>
            </w:tcMar>
            <w:vAlign w:val="bottom"/>
          </w:tcPr>
          <w:p w14:paraId="1426F91A" w14:textId="77777777" w:rsidR="00A74A1E" w:rsidRDefault="00807990">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1426F91B"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1C"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1D" w14:textId="77777777" w:rsidR="00A74A1E" w:rsidRDefault="00807990">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1426F91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1F"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20" w14:textId="77777777" w:rsidR="00A74A1E" w:rsidRDefault="00807990">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1426F921"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22" w14:textId="77777777" w:rsidR="00A74A1E" w:rsidRDefault="00A74A1E">
            <w:pPr>
              <w:rPr>
                <w:rFonts w:ascii="宋体"/>
              </w:rPr>
            </w:pPr>
          </w:p>
        </w:tc>
        <w:tc>
          <w:tcPr>
            <w:tcW w:w="0" w:type="auto"/>
            <w:gridSpan w:val="2"/>
            <w:shd w:val="clear" w:color="auto" w:fill="FFFFFF"/>
            <w:tcMar>
              <w:top w:w="40" w:type="dxa"/>
              <w:left w:w="20" w:type="dxa"/>
              <w:bottom w:w="40" w:type="dxa"/>
              <w:right w:w="0" w:type="dxa"/>
            </w:tcMar>
            <w:vAlign w:val="bottom"/>
          </w:tcPr>
          <w:p w14:paraId="1426F923" w14:textId="77777777" w:rsidR="00A74A1E" w:rsidRDefault="00807990">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1426F924" w14:textId="77777777" w:rsidR="00A74A1E" w:rsidRDefault="00A74A1E">
            <w:pPr>
              <w:jc w:val="right"/>
              <w:rPr>
                <w:rFonts w:ascii="宋体"/>
              </w:rPr>
            </w:pPr>
          </w:p>
        </w:tc>
      </w:tr>
      <w:tr w:rsidR="00A74A1E" w14:paraId="1426F932" w14:textId="77777777">
        <w:tc>
          <w:tcPr>
            <w:tcW w:w="0" w:type="auto"/>
            <w:gridSpan w:val="3"/>
            <w:shd w:val="clear" w:color="auto" w:fill="CCEEFF"/>
            <w:tcMar>
              <w:top w:w="40" w:type="dxa"/>
              <w:left w:w="20" w:type="dxa"/>
              <w:bottom w:w="40" w:type="dxa"/>
              <w:right w:w="20" w:type="dxa"/>
            </w:tcMar>
            <w:vAlign w:val="center"/>
          </w:tcPr>
          <w:p w14:paraId="1426F926" w14:textId="77777777" w:rsidR="00A74A1E" w:rsidRDefault="00807990">
            <w:pPr>
              <w:textAlignment w:val="center"/>
            </w:pPr>
            <w:r>
              <w:rPr>
                <w:rFonts w:ascii="Arial" w:eastAsia="宋体" w:hAnsi="Arial" w:cs="Arial"/>
                <w:color w:val="000000"/>
                <w:sz w:val="20"/>
                <w:szCs w:val="20"/>
              </w:rPr>
              <w:t>Equity income in investee</w:t>
            </w:r>
          </w:p>
        </w:tc>
        <w:tc>
          <w:tcPr>
            <w:tcW w:w="0" w:type="auto"/>
            <w:gridSpan w:val="2"/>
            <w:shd w:val="clear" w:color="auto" w:fill="CCEEFF"/>
            <w:tcMar>
              <w:top w:w="40" w:type="dxa"/>
              <w:left w:w="20" w:type="dxa"/>
              <w:bottom w:w="40" w:type="dxa"/>
              <w:right w:w="0" w:type="dxa"/>
            </w:tcMar>
            <w:vAlign w:val="bottom"/>
          </w:tcPr>
          <w:p w14:paraId="1426F927"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F928"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29"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2A" w14:textId="77777777" w:rsidR="00A74A1E" w:rsidRDefault="00807990">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426F92B"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2C"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2D" w14:textId="77777777" w:rsidR="00A74A1E" w:rsidRDefault="00807990">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426F92E"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2F" w14:textId="77777777" w:rsidR="00A74A1E" w:rsidRDefault="00A74A1E">
            <w:pPr>
              <w:rPr>
                <w:rFonts w:ascii="宋体"/>
              </w:rPr>
            </w:pPr>
          </w:p>
        </w:tc>
        <w:tc>
          <w:tcPr>
            <w:tcW w:w="0" w:type="auto"/>
            <w:gridSpan w:val="2"/>
            <w:shd w:val="clear" w:color="auto" w:fill="CCEEFF"/>
            <w:tcMar>
              <w:top w:w="40" w:type="dxa"/>
              <w:left w:w="20" w:type="dxa"/>
              <w:bottom w:w="40" w:type="dxa"/>
              <w:right w:w="0" w:type="dxa"/>
            </w:tcMar>
            <w:vAlign w:val="bottom"/>
          </w:tcPr>
          <w:p w14:paraId="1426F930" w14:textId="77777777" w:rsidR="00A74A1E" w:rsidRDefault="00807990">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426F931" w14:textId="77777777" w:rsidR="00A74A1E" w:rsidRDefault="00A74A1E">
            <w:pPr>
              <w:jc w:val="right"/>
              <w:rPr>
                <w:rFonts w:ascii="宋体"/>
              </w:rPr>
            </w:pPr>
          </w:p>
        </w:tc>
      </w:tr>
      <w:tr w:rsidR="00A74A1E" w14:paraId="1426F93B" w14:textId="77777777">
        <w:trPr>
          <w:hidden/>
        </w:trPr>
        <w:tc>
          <w:tcPr>
            <w:tcW w:w="0" w:type="auto"/>
            <w:gridSpan w:val="3"/>
            <w:shd w:val="clear" w:color="auto" w:fill="auto"/>
          </w:tcPr>
          <w:p w14:paraId="1426F933" w14:textId="77777777" w:rsidR="00A74A1E" w:rsidRDefault="00A74A1E">
            <w:pPr>
              <w:rPr>
                <w:rFonts w:ascii="宋体"/>
                <w:vanish/>
              </w:rPr>
            </w:pPr>
          </w:p>
        </w:tc>
        <w:tc>
          <w:tcPr>
            <w:tcW w:w="0" w:type="auto"/>
            <w:gridSpan w:val="3"/>
            <w:shd w:val="clear" w:color="auto" w:fill="auto"/>
          </w:tcPr>
          <w:p w14:paraId="1426F934" w14:textId="77777777" w:rsidR="00A74A1E" w:rsidRDefault="00A74A1E">
            <w:pPr>
              <w:rPr>
                <w:rFonts w:ascii="宋体"/>
                <w:vanish/>
              </w:rPr>
            </w:pPr>
          </w:p>
        </w:tc>
        <w:tc>
          <w:tcPr>
            <w:tcW w:w="0" w:type="auto"/>
            <w:gridSpan w:val="3"/>
            <w:shd w:val="clear" w:color="auto" w:fill="auto"/>
          </w:tcPr>
          <w:p w14:paraId="1426F935" w14:textId="77777777" w:rsidR="00A74A1E" w:rsidRDefault="00A74A1E">
            <w:pPr>
              <w:rPr>
                <w:rFonts w:ascii="宋体"/>
                <w:vanish/>
              </w:rPr>
            </w:pPr>
          </w:p>
        </w:tc>
        <w:tc>
          <w:tcPr>
            <w:tcW w:w="0" w:type="auto"/>
            <w:gridSpan w:val="3"/>
            <w:shd w:val="clear" w:color="auto" w:fill="auto"/>
          </w:tcPr>
          <w:p w14:paraId="1426F936" w14:textId="77777777" w:rsidR="00A74A1E" w:rsidRDefault="00A74A1E">
            <w:pPr>
              <w:rPr>
                <w:rFonts w:ascii="宋体"/>
                <w:vanish/>
              </w:rPr>
            </w:pPr>
          </w:p>
        </w:tc>
        <w:tc>
          <w:tcPr>
            <w:tcW w:w="0" w:type="auto"/>
            <w:gridSpan w:val="3"/>
            <w:shd w:val="clear" w:color="auto" w:fill="auto"/>
          </w:tcPr>
          <w:p w14:paraId="1426F937" w14:textId="77777777" w:rsidR="00A74A1E" w:rsidRDefault="00A74A1E">
            <w:pPr>
              <w:rPr>
                <w:rFonts w:ascii="宋体"/>
                <w:vanish/>
              </w:rPr>
            </w:pPr>
          </w:p>
        </w:tc>
        <w:tc>
          <w:tcPr>
            <w:tcW w:w="0" w:type="auto"/>
            <w:gridSpan w:val="3"/>
            <w:shd w:val="clear" w:color="auto" w:fill="auto"/>
          </w:tcPr>
          <w:p w14:paraId="1426F938" w14:textId="77777777" w:rsidR="00A74A1E" w:rsidRDefault="00A74A1E">
            <w:pPr>
              <w:rPr>
                <w:rFonts w:ascii="宋体"/>
                <w:vanish/>
              </w:rPr>
            </w:pPr>
          </w:p>
        </w:tc>
        <w:tc>
          <w:tcPr>
            <w:tcW w:w="0" w:type="auto"/>
            <w:gridSpan w:val="3"/>
            <w:shd w:val="clear" w:color="auto" w:fill="auto"/>
          </w:tcPr>
          <w:p w14:paraId="1426F939" w14:textId="77777777" w:rsidR="00A74A1E" w:rsidRDefault="00A74A1E">
            <w:pPr>
              <w:rPr>
                <w:rFonts w:ascii="宋体"/>
                <w:vanish/>
              </w:rPr>
            </w:pPr>
          </w:p>
        </w:tc>
        <w:tc>
          <w:tcPr>
            <w:tcW w:w="0" w:type="auto"/>
            <w:gridSpan w:val="3"/>
            <w:shd w:val="clear" w:color="auto" w:fill="auto"/>
          </w:tcPr>
          <w:p w14:paraId="1426F93A" w14:textId="77777777" w:rsidR="00A74A1E" w:rsidRDefault="00A74A1E">
            <w:pPr>
              <w:rPr>
                <w:rFonts w:ascii="宋体"/>
                <w:vanish/>
              </w:rPr>
            </w:pPr>
          </w:p>
        </w:tc>
      </w:tr>
    </w:tbl>
    <w:p w14:paraId="1426F93C" w14:textId="77777777" w:rsidR="00A74A1E" w:rsidRDefault="00807990">
      <w:pPr>
        <w:jc w:val="center"/>
      </w:pPr>
      <w:r>
        <w:rPr>
          <w:rFonts w:ascii="Arial" w:eastAsia="宋体" w:hAnsi="Arial" w:cs="Arial"/>
          <w:color w:val="000000"/>
          <w:sz w:val="20"/>
          <w:szCs w:val="20"/>
        </w:rPr>
        <w:t>23</w:t>
      </w:r>
    </w:p>
    <w:p w14:paraId="1426F93D" w14:textId="77777777" w:rsidR="00A74A1E" w:rsidRDefault="00807990">
      <w:r>
        <w:pict w14:anchorId="1426FC22">
          <v:rect id="_x0000_i1047" style="width:415.3pt;height:1.5pt" o:hralign="center" o:hrstd="t" o:hr="t" fillcolor="#a0a0a0" stroked="f"/>
        </w:pict>
      </w:r>
    </w:p>
    <w:p w14:paraId="1426F93E" w14:textId="77777777" w:rsidR="00A74A1E" w:rsidRDefault="00A74A1E">
      <w:pPr>
        <w:spacing w:before="60"/>
      </w:pPr>
    </w:p>
    <w:p w14:paraId="1426F93F" w14:textId="77777777" w:rsidR="00A74A1E" w:rsidRDefault="00807990">
      <w:pPr>
        <w:spacing w:before="280" w:after="120"/>
      </w:pPr>
      <w:r>
        <w:rPr>
          <w:rFonts w:ascii="Arial" w:eastAsia="宋体" w:hAnsi="Arial" w:cs="Arial"/>
          <w:b/>
          <w:bCs/>
          <w:i/>
          <w:iCs/>
          <w:color w:val="000000"/>
          <w:sz w:val="20"/>
          <w:szCs w:val="20"/>
        </w:rPr>
        <w:t>Gross Margin</w:t>
      </w:r>
    </w:p>
    <w:p w14:paraId="1426F940" w14:textId="77777777" w:rsidR="00A74A1E" w:rsidRDefault="00807990">
      <w:pPr>
        <w:spacing w:before="180"/>
        <w:ind w:firstLine="450"/>
        <w:jc w:val="both"/>
      </w:pPr>
      <w:r>
        <w:rPr>
          <w:rFonts w:ascii="Arial" w:eastAsia="宋体" w:hAnsi="Arial" w:cs="Arial"/>
          <w:color w:val="000000"/>
          <w:sz w:val="20"/>
          <w:szCs w:val="20"/>
        </w:rPr>
        <w:t xml:space="preserve">Gross margin was 44% for the three months ended September 26, 2020, compared to 43% for the prior year period. Gross margin was 44% for the nine months ended September 26, 2020, compared to </w:t>
      </w:r>
      <w:r>
        <w:rPr>
          <w:rFonts w:ascii="Arial" w:eastAsia="宋体" w:hAnsi="Arial" w:cs="Arial"/>
          <w:color w:val="000000"/>
          <w:sz w:val="20"/>
          <w:szCs w:val="20"/>
        </w:rPr>
        <w:t>42% for the prior year period. The increase in gross margin for both periods was primarily driven by sales of Ryzen and EPYC processors, which have a higher gross margin than the corporate average, partially offset by sales of semi-custom products which ha</w:t>
      </w:r>
      <w:r>
        <w:rPr>
          <w:rFonts w:ascii="Arial" w:eastAsia="宋体" w:hAnsi="Arial" w:cs="Arial"/>
          <w:color w:val="000000"/>
          <w:sz w:val="20"/>
          <w:szCs w:val="20"/>
        </w:rPr>
        <w:t>ve a lower gross margin than the corporate average.</w:t>
      </w:r>
    </w:p>
    <w:p w14:paraId="1426F941" w14:textId="77777777" w:rsidR="00A74A1E" w:rsidRDefault="00A74A1E">
      <w:pPr>
        <w:ind w:firstLine="450"/>
        <w:jc w:val="both"/>
      </w:pPr>
    </w:p>
    <w:p w14:paraId="1426F942" w14:textId="77777777" w:rsidR="00A74A1E" w:rsidRDefault="00807990">
      <w:pPr>
        <w:jc w:val="both"/>
      </w:pPr>
      <w:r>
        <w:rPr>
          <w:rFonts w:ascii="Arial" w:eastAsia="宋体" w:hAnsi="Arial" w:cs="Arial"/>
          <w:b/>
          <w:bCs/>
          <w:i/>
          <w:iCs/>
          <w:color w:val="000000"/>
          <w:sz w:val="20"/>
          <w:szCs w:val="20"/>
        </w:rPr>
        <w:t>Expenses</w:t>
      </w:r>
    </w:p>
    <w:p w14:paraId="1426F943" w14:textId="77777777" w:rsidR="00A74A1E" w:rsidRDefault="00807990">
      <w:pPr>
        <w:spacing w:before="120"/>
        <w:ind w:firstLine="450"/>
        <w:jc w:val="both"/>
      </w:pPr>
      <w:r>
        <w:rPr>
          <w:rFonts w:ascii="Arial" w:eastAsia="宋体" w:hAnsi="Arial" w:cs="Arial"/>
          <w:b/>
          <w:bCs/>
          <w:i/>
          <w:iCs/>
          <w:color w:val="000000"/>
          <w:sz w:val="20"/>
          <w:szCs w:val="20"/>
        </w:rPr>
        <w:t>Research and Development Expenses</w:t>
      </w:r>
    </w:p>
    <w:p w14:paraId="1426F944" w14:textId="77777777" w:rsidR="00A74A1E" w:rsidRDefault="00807990">
      <w:pPr>
        <w:spacing w:before="180"/>
        <w:ind w:firstLine="450"/>
        <w:jc w:val="both"/>
      </w:pPr>
      <w:r>
        <w:rPr>
          <w:rFonts w:ascii="Arial" w:eastAsia="宋体" w:hAnsi="Arial" w:cs="Arial"/>
          <w:color w:val="000000"/>
          <w:sz w:val="20"/>
          <w:szCs w:val="20"/>
        </w:rPr>
        <w:t xml:space="preserve">Research and development expenses of $508 million for the three months ended September 26, 2020 increased by $102 million, or 25%, compared to $406 million for </w:t>
      </w:r>
      <w:r>
        <w:rPr>
          <w:rFonts w:ascii="Arial" w:eastAsia="宋体" w:hAnsi="Arial" w:cs="Arial"/>
          <w:color w:val="000000"/>
          <w:sz w:val="20"/>
          <w:szCs w:val="20"/>
        </w:rPr>
        <w:t xml:space="preserve">the prior year period. Research and development expenses of $1.4 billion for the nine months ended September 26, 2020 increased by $0.2 billion, or 22%, compared to $1.2 billion for the prior year period. The increase for both periods was primarily driven </w:t>
      </w:r>
      <w:r>
        <w:rPr>
          <w:rFonts w:ascii="Arial" w:eastAsia="宋体" w:hAnsi="Arial" w:cs="Arial"/>
          <w:color w:val="000000"/>
          <w:sz w:val="20"/>
          <w:szCs w:val="20"/>
        </w:rPr>
        <w:t>by an increase in product development costs in both the Computing and Graphics and Enterprise and Embedded and Semi-Custom segments, due to an increase in headcount and higher annual employee incentives driven by improved financial performance.</w:t>
      </w:r>
    </w:p>
    <w:p w14:paraId="1426F945" w14:textId="77777777" w:rsidR="00A74A1E" w:rsidRDefault="00807990">
      <w:pPr>
        <w:spacing w:before="180"/>
        <w:ind w:firstLine="450"/>
        <w:jc w:val="both"/>
      </w:pPr>
      <w:r>
        <w:rPr>
          <w:rFonts w:ascii="Arial" w:eastAsia="宋体" w:hAnsi="Arial" w:cs="Arial"/>
          <w:b/>
          <w:bCs/>
          <w:i/>
          <w:iCs/>
          <w:color w:val="000000"/>
          <w:sz w:val="20"/>
          <w:szCs w:val="20"/>
        </w:rPr>
        <w:t xml:space="preserve">Marketing, </w:t>
      </w:r>
      <w:r>
        <w:rPr>
          <w:rFonts w:ascii="Arial" w:eastAsia="宋体" w:hAnsi="Arial" w:cs="Arial"/>
          <w:b/>
          <w:bCs/>
          <w:i/>
          <w:iCs/>
          <w:color w:val="000000"/>
          <w:sz w:val="20"/>
          <w:szCs w:val="20"/>
        </w:rPr>
        <w:t>General and Administrative Expenses</w:t>
      </w:r>
    </w:p>
    <w:p w14:paraId="1426F946" w14:textId="77777777" w:rsidR="00A74A1E" w:rsidRDefault="00807990">
      <w:pPr>
        <w:spacing w:before="180"/>
        <w:ind w:firstLine="450"/>
        <w:jc w:val="both"/>
      </w:pPr>
      <w:r>
        <w:rPr>
          <w:rFonts w:ascii="Arial" w:eastAsia="宋体" w:hAnsi="Arial" w:cs="Arial"/>
          <w:color w:val="000000"/>
          <w:sz w:val="20"/>
          <w:szCs w:val="20"/>
        </w:rPr>
        <w:t>Marketing, general and administrative expenses of $273 million for the three months ended September 26, 2020 increased by $88 million, or 48%, compared to $185 million for the prior year period. Marketing, general and ad</w:t>
      </w:r>
      <w:r>
        <w:rPr>
          <w:rFonts w:ascii="Arial" w:eastAsia="宋体" w:hAnsi="Arial" w:cs="Arial"/>
          <w:color w:val="000000"/>
          <w:sz w:val="20"/>
          <w:szCs w:val="20"/>
        </w:rPr>
        <w:t>ministrative expenses of $687 million for the nine months ended September 26, 2020 increased by $143 million, or 26%, compared to $544 million for the prior year period. The increase for both periods was primarily due to an increase in go to market activit</w:t>
      </w:r>
      <w:r>
        <w:rPr>
          <w:rFonts w:ascii="Arial" w:eastAsia="宋体" w:hAnsi="Arial" w:cs="Arial"/>
          <w:color w:val="000000"/>
          <w:sz w:val="20"/>
          <w:szCs w:val="20"/>
        </w:rPr>
        <w:t>ies in both the Computing and Graphics and Enterprise and Embedded and Semi-Custom segments, and an increase in headcount and higher annual employee incentives driven by improved financial performance.</w:t>
      </w:r>
    </w:p>
    <w:p w14:paraId="1426F947" w14:textId="77777777" w:rsidR="00A74A1E" w:rsidRDefault="00807990">
      <w:pPr>
        <w:spacing w:before="280"/>
        <w:jc w:val="both"/>
      </w:pPr>
      <w:r>
        <w:rPr>
          <w:rFonts w:ascii="Arial" w:eastAsia="宋体" w:hAnsi="Arial" w:cs="Arial"/>
          <w:b/>
          <w:bCs/>
          <w:i/>
          <w:iCs/>
          <w:color w:val="000000"/>
          <w:sz w:val="20"/>
          <w:szCs w:val="20"/>
        </w:rPr>
        <w:t>Licensing Gain</w:t>
      </w:r>
    </w:p>
    <w:p w14:paraId="1426F948" w14:textId="77777777" w:rsidR="00A74A1E" w:rsidRDefault="00807990">
      <w:pPr>
        <w:spacing w:before="180"/>
        <w:ind w:firstLine="450"/>
        <w:jc w:val="both"/>
      </w:pPr>
      <w:r>
        <w:rPr>
          <w:rFonts w:ascii="Arial" w:eastAsia="宋体" w:hAnsi="Arial" w:cs="Arial"/>
          <w:color w:val="000000"/>
          <w:sz w:val="20"/>
          <w:szCs w:val="20"/>
        </w:rPr>
        <w:t>During the nine months ended September 28, 2019, we recognized $60 million as licensing gain associated with licensed IP to the THATIC JV. See Note 3—Related Parties—Equity Joint Ventures of the Notes to Condensed Consolidated Financial Statements (Part 1,</w:t>
      </w:r>
      <w:r>
        <w:rPr>
          <w:rFonts w:ascii="Arial" w:eastAsia="宋体" w:hAnsi="Arial" w:cs="Arial"/>
          <w:color w:val="000000"/>
          <w:sz w:val="20"/>
          <w:szCs w:val="20"/>
        </w:rPr>
        <w:t xml:space="preserve"> Financial Information of this Form 10-Q) for additional information. We did not recognize a licensing gain in the three and nine months ended September 26, 2020. </w:t>
      </w:r>
    </w:p>
    <w:p w14:paraId="1426F949" w14:textId="77777777" w:rsidR="00A74A1E" w:rsidRDefault="00A74A1E">
      <w:pPr>
        <w:ind w:firstLine="450"/>
        <w:jc w:val="both"/>
      </w:pPr>
    </w:p>
    <w:p w14:paraId="1426F94A" w14:textId="77777777" w:rsidR="00A74A1E" w:rsidRDefault="00807990">
      <w:pPr>
        <w:jc w:val="both"/>
      </w:pPr>
      <w:r>
        <w:rPr>
          <w:rFonts w:ascii="Arial" w:eastAsia="宋体" w:hAnsi="Arial" w:cs="Arial"/>
          <w:b/>
          <w:bCs/>
          <w:i/>
          <w:iCs/>
          <w:color w:val="000000"/>
          <w:sz w:val="20"/>
          <w:szCs w:val="20"/>
        </w:rPr>
        <w:t>Interest Expense</w:t>
      </w:r>
    </w:p>
    <w:p w14:paraId="1426F94B" w14:textId="77777777" w:rsidR="00A74A1E" w:rsidRDefault="00807990">
      <w:pPr>
        <w:spacing w:before="180"/>
        <w:ind w:firstLine="450"/>
        <w:jc w:val="both"/>
      </w:pPr>
      <w:r>
        <w:rPr>
          <w:rFonts w:ascii="Arial" w:eastAsia="宋体" w:hAnsi="Arial" w:cs="Arial"/>
          <w:color w:val="000000"/>
          <w:sz w:val="20"/>
          <w:szCs w:val="20"/>
        </w:rPr>
        <w:t>Interest expense for the three months ended September 26, 2020 was $11 mil</w:t>
      </w:r>
      <w:r>
        <w:rPr>
          <w:rFonts w:ascii="Arial" w:eastAsia="宋体" w:hAnsi="Arial" w:cs="Arial"/>
          <w:color w:val="000000"/>
          <w:sz w:val="20"/>
          <w:szCs w:val="20"/>
        </w:rPr>
        <w:t>lion compared to $24 million for the prior year period. Interest expense for the nine months ended September 26, 2020 was $38 million compared to $76 million for the prior year period. The decrease for both periods was due to lower debt balances.</w:t>
      </w:r>
    </w:p>
    <w:p w14:paraId="1426F94C" w14:textId="77777777" w:rsidR="00A74A1E" w:rsidRDefault="00807990">
      <w:pPr>
        <w:spacing w:before="280"/>
        <w:jc w:val="both"/>
      </w:pPr>
      <w:r>
        <w:rPr>
          <w:rFonts w:ascii="Arial" w:eastAsia="宋体" w:hAnsi="Arial" w:cs="Arial"/>
          <w:b/>
          <w:bCs/>
          <w:i/>
          <w:iCs/>
          <w:color w:val="000000"/>
          <w:sz w:val="20"/>
          <w:szCs w:val="20"/>
        </w:rPr>
        <w:t>Other Exp</w:t>
      </w:r>
      <w:r>
        <w:rPr>
          <w:rFonts w:ascii="Arial" w:eastAsia="宋体" w:hAnsi="Arial" w:cs="Arial"/>
          <w:b/>
          <w:bCs/>
          <w:i/>
          <w:iCs/>
          <w:color w:val="000000"/>
          <w:sz w:val="20"/>
          <w:szCs w:val="20"/>
        </w:rPr>
        <w:t>ense, Net</w:t>
      </w:r>
    </w:p>
    <w:p w14:paraId="1426F94D" w14:textId="77777777" w:rsidR="00A74A1E" w:rsidRDefault="00807990">
      <w:pPr>
        <w:spacing w:before="180"/>
        <w:ind w:firstLine="450"/>
        <w:jc w:val="both"/>
      </w:pPr>
      <w:r>
        <w:rPr>
          <w:rFonts w:ascii="Arial" w:eastAsia="宋体" w:hAnsi="Arial" w:cs="Arial"/>
          <w:color w:val="000000"/>
          <w:sz w:val="20"/>
          <w:szCs w:val="20"/>
        </w:rPr>
        <w:t xml:space="preserve">Other expense, net was $37 million for the three months ended September 26, 2020, compared to Other income, net of $36 million for the prior year period. </w:t>
      </w:r>
    </w:p>
    <w:p w14:paraId="1426F94E" w14:textId="77777777" w:rsidR="00A74A1E" w:rsidRDefault="00807990">
      <w:pPr>
        <w:spacing w:before="180"/>
        <w:ind w:firstLine="450"/>
        <w:jc w:val="both"/>
      </w:pPr>
      <w:r>
        <w:rPr>
          <w:rFonts w:ascii="Arial" w:eastAsia="宋体" w:hAnsi="Arial" w:cs="Arial"/>
          <w:color w:val="000000"/>
          <w:sz w:val="20"/>
          <w:szCs w:val="20"/>
        </w:rPr>
        <w:t xml:space="preserve">Other expense, net was $32 million for the nine months ended September 26, 2020, compared to Other expense, net of $40 million for the prior year period. </w:t>
      </w:r>
    </w:p>
    <w:p w14:paraId="1426F94F" w14:textId="77777777" w:rsidR="00A74A1E" w:rsidRDefault="00807990">
      <w:pPr>
        <w:spacing w:before="180"/>
        <w:ind w:firstLine="450"/>
        <w:jc w:val="both"/>
      </w:pPr>
      <w:r>
        <w:rPr>
          <w:rFonts w:ascii="Arial" w:eastAsia="宋体" w:hAnsi="Arial" w:cs="Arial"/>
          <w:color w:val="000000"/>
          <w:sz w:val="20"/>
          <w:szCs w:val="20"/>
        </w:rPr>
        <w:t>Other expense, net for all periods primarily comprised of losses on redemptions, repurchases and conv</w:t>
      </w:r>
      <w:r>
        <w:rPr>
          <w:rFonts w:ascii="Arial" w:eastAsia="宋体" w:hAnsi="Arial" w:cs="Arial"/>
          <w:color w:val="000000"/>
          <w:sz w:val="20"/>
          <w:szCs w:val="20"/>
        </w:rPr>
        <w:t>ersions of our outstanding debt and convertible debt instruments.</w:t>
      </w:r>
    </w:p>
    <w:p w14:paraId="1426F950" w14:textId="77777777" w:rsidR="00A74A1E" w:rsidRDefault="00A74A1E">
      <w:pPr>
        <w:ind w:firstLine="450"/>
        <w:jc w:val="both"/>
      </w:pPr>
    </w:p>
    <w:p w14:paraId="1426F951" w14:textId="77777777" w:rsidR="00A74A1E" w:rsidRDefault="00807990">
      <w:pPr>
        <w:jc w:val="both"/>
      </w:pPr>
      <w:r>
        <w:rPr>
          <w:rFonts w:ascii="Arial" w:eastAsia="宋体" w:hAnsi="Arial" w:cs="Arial"/>
          <w:b/>
          <w:bCs/>
          <w:i/>
          <w:iCs/>
          <w:color w:val="000000"/>
          <w:sz w:val="20"/>
          <w:szCs w:val="20"/>
        </w:rPr>
        <w:t>Income Tax Provision (Benefit)</w:t>
      </w:r>
    </w:p>
    <w:p w14:paraId="1426F952" w14:textId="77777777" w:rsidR="00A74A1E" w:rsidRDefault="00807990">
      <w:pPr>
        <w:spacing w:before="180"/>
        <w:ind w:firstLine="450"/>
        <w:jc w:val="both"/>
      </w:pPr>
      <w:r>
        <w:rPr>
          <w:rFonts w:ascii="Arial" w:eastAsia="宋体" w:hAnsi="Arial" w:cs="Arial"/>
          <w:color w:val="000000"/>
          <w:sz w:val="20"/>
          <w:szCs w:val="20"/>
        </w:rPr>
        <w:t>For the three months ended September 26, 2020, we recorded an income tax provision of $12 million associated primarily with foreign income taxes. For the prio</w:t>
      </w:r>
      <w:r>
        <w:rPr>
          <w:rFonts w:ascii="Arial" w:eastAsia="宋体" w:hAnsi="Arial" w:cs="Arial"/>
          <w:color w:val="000000"/>
          <w:sz w:val="20"/>
          <w:szCs w:val="20"/>
        </w:rPr>
        <w:t xml:space="preserve">r year period, we recorded an income tax provision of $7 million, consisting primarily of $4 million of withholding taxes and $3 million of foreign income taxes in profitable locations. </w:t>
      </w:r>
    </w:p>
    <w:p w14:paraId="1426F953" w14:textId="77777777" w:rsidR="00A74A1E" w:rsidRDefault="00A74A1E">
      <w:pPr>
        <w:ind w:firstLine="450"/>
      </w:pPr>
    </w:p>
    <w:p w14:paraId="1426F954" w14:textId="77777777" w:rsidR="00A74A1E" w:rsidRDefault="00807990">
      <w:pPr>
        <w:jc w:val="center"/>
      </w:pPr>
      <w:r>
        <w:rPr>
          <w:rFonts w:ascii="Arial" w:eastAsia="宋体" w:hAnsi="Arial" w:cs="Arial"/>
          <w:color w:val="000000"/>
          <w:sz w:val="20"/>
          <w:szCs w:val="20"/>
        </w:rPr>
        <w:t>24</w:t>
      </w:r>
    </w:p>
    <w:p w14:paraId="1426F955" w14:textId="77777777" w:rsidR="00A74A1E" w:rsidRDefault="00807990">
      <w:r>
        <w:pict w14:anchorId="1426FC23">
          <v:rect id="_x0000_i1048" style="width:415.3pt;height:1.5pt" o:hralign="center" o:hrstd="t" o:hr="t" fillcolor="#a0a0a0" stroked="f"/>
        </w:pict>
      </w:r>
    </w:p>
    <w:p w14:paraId="1426F956" w14:textId="77777777" w:rsidR="00A74A1E" w:rsidRDefault="00A74A1E">
      <w:pPr>
        <w:spacing w:before="60"/>
      </w:pPr>
    </w:p>
    <w:p w14:paraId="1426F957" w14:textId="77777777" w:rsidR="00A74A1E" w:rsidRDefault="00807990">
      <w:pPr>
        <w:spacing w:after="180"/>
        <w:ind w:firstLine="450"/>
        <w:jc w:val="both"/>
      </w:pPr>
      <w:r>
        <w:rPr>
          <w:rFonts w:ascii="Arial" w:eastAsia="宋体" w:hAnsi="Arial" w:cs="Arial"/>
          <w:color w:val="000000"/>
          <w:sz w:val="20"/>
          <w:szCs w:val="20"/>
        </w:rPr>
        <w:t>For the nine months ended September 26, 2020, we recorded an i</w:t>
      </w:r>
      <w:r>
        <w:rPr>
          <w:rFonts w:ascii="Arial" w:eastAsia="宋体" w:hAnsi="Arial" w:cs="Arial"/>
          <w:color w:val="000000"/>
          <w:sz w:val="20"/>
          <w:szCs w:val="20"/>
        </w:rPr>
        <w:t>ncome tax provision of $22 million associated primarily with foreign income taxes and withholding taxes. For the prior year period, we recorded an income tax benefit of $4 million, consisting primarily of a $13 million credit to U.S. income taxes due to th</w:t>
      </w:r>
      <w:r>
        <w:rPr>
          <w:rFonts w:ascii="Arial" w:eastAsia="宋体" w:hAnsi="Arial" w:cs="Arial"/>
          <w:color w:val="000000"/>
          <w:sz w:val="20"/>
          <w:szCs w:val="20"/>
        </w:rPr>
        <w:t>e completion of certain internal tax structuring partially offset by $5 million of withholding taxes and $4 million of foreign income taxes in profitable locations.</w:t>
      </w:r>
    </w:p>
    <w:p w14:paraId="1426F958" w14:textId="77777777" w:rsidR="00A74A1E" w:rsidRDefault="00807990">
      <w:pPr>
        <w:ind w:firstLine="450"/>
        <w:jc w:val="both"/>
      </w:pPr>
      <w:r>
        <w:rPr>
          <w:rFonts w:ascii="Arial" w:eastAsia="宋体" w:hAnsi="Arial" w:cs="Arial"/>
          <w:color w:val="000000"/>
          <w:sz w:val="20"/>
          <w:szCs w:val="20"/>
        </w:rPr>
        <w:t>We regularly evaluate the realizability of our net deferred tax assets. As of September 26,</w:t>
      </w:r>
      <w:r>
        <w:rPr>
          <w:rFonts w:ascii="Arial" w:eastAsia="宋体" w:hAnsi="Arial" w:cs="Arial"/>
          <w:color w:val="000000"/>
          <w:sz w:val="20"/>
          <w:szCs w:val="20"/>
        </w:rPr>
        <w:t xml:space="preserve"> 2020, substantially all our U.S. and foreign deferred tax assets, net of deferred tax liabilities, were subject to valuation allowances. If our financial results continue to improve and we conclude that estimates of our future taxable income are objective</w:t>
      </w:r>
      <w:r>
        <w:rPr>
          <w:rFonts w:ascii="Arial" w:eastAsia="宋体" w:hAnsi="Arial" w:cs="Arial"/>
          <w:color w:val="000000"/>
          <w:sz w:val="20"/>
          <w:szCs w:val="20"/>
        </w:rPr>
        <w:t>ly verifiable, our assessment of the realization of our net deferred tax assets could result in the release of a significant portion of the valuation allowances, with the exception of net operating losses subject to potential limitation, including limitati</w:t>
      </w:r>
      <w:r>
        <w:rPr>
          <w:rFonts w:ascii="Arial" w:eastAsia="宋体" w:hAnsi="Arial" w:cs="Arial"/>
          <w:color w:val="000000"/>
          <w:sz w:val="20"/>
          <w:szCs w:val="20"/>
        </w:rPr>
        <w:t xml:space="preserve">ons under Internal Revenue Code Section 382 or 383, separate return loss year rules, or dual consolidated loss rules. Such a release would result in a material non-cash income tax benefit in our condensed consolidated statement of operations in the period </w:t>
      </w:r>
      <w:r>
        <w:rPr>
          <w:rFonts w:ascii="Arial" w:eastAsia="宋体" w:hAnsi="Arial" w:cs="Arial"/>
          <w:color w:val="000000"/>
          <w:sz w:val="20"/>
          <w:szCs w:val="20"/>
        </w:rPr>
        <w:t>of release and the recording of additional deferred tax assets on our condensed consolidated balance sheet. There is a reasonable possibility that within the next several quarters, sufficient positive evidence becomes available to reach a conclusion that a</w:t>
      </w:r>
      <w:r>
        <w:rPr>
          <w:rFonts w:ascii="Arial" w:eastAsia="宋体" w:hAnsi="Arial" w:cs="Arial"/>
          <w:color w:val="000000"/>
          <w:sz w:val="20"/>
          <w:szCs w:val="20"/>
        </w:rPr>
        <w:t xml:space="preserve"> significant portion of the valuation allowances against our U.S. net deferred tax assets would no longer be required. </w:t>
      </w:r>
    </w:p>
    <w:p w14:paraId="1426F959" w14:textId="77777777" w:rsidR="00A74A1E" w:rsidRDefault="00A74A1E">
      <w:pPr>
        <w:ind w:firstLine="450"/>
        <w:jc w:val="both"/>
      </w:pPr>
    </w:p>
    <w:p w14:paraId="1426F95A" w14:textId="77777777" w:rsidR="00A74A1E" w:rsidRDefault="00807990">
      <w:pPr>
        <w:jc w:val="both"/>
      </w:pPr>
      <w:r>
        <w:rPr>
          <w:rFonts w:ascii="Arial" w:eastAsia="宋体" w:hAnsi="Arial" w:cs="Arial"/>
          <w:b/>
          <w:bCs/>
          <w:color w:val="000000"/>
          <w:sz w:val="20"/>
          <w:szCs w:val="20"/>
        </w:rPr>
        <w:t>FINANCIAL CONDITION</w:t>
      </w:r>
    </w:p>
    <w:p w14:paraId="1426F95B" w14:textId="77777777" w:rsidR="00A74A1E" w:rsidRDefault="00807990">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1426F95C" w14:textId="77777777" w:rsidR="00A74A1E" w:rsidRDefault="00807990">
      <w:pPr>
        <w:spacing w:before="180"/>
        <w:ind w:firstLine="450"/>
        <w:jc w:val="both"/>
      </w:pPr>
      <w:r>
        <w:rPr>
          <w:rFonts w:ascii="Arial" w:eastAsia="宋体" w:hAnsi="Arial" w:cs="Arial"/>
          <w:color w:val="000000"/>
          <w:sz w:val="20"/>
          <w:szCs w:val="20"/>
        </w:rPr>
        <w:t xml:space="preserve">As of September 26, 2020, our cash, cash equivalents and short-term </w:t>
      </w:r>
      <w:r>
        <w:rPr>
          <w:rFonts w:ascii="Arial" w:eastAsia="宋体" w:hAnsi="Arial" w:cs="Arial"/>
          <w:color w:val="000000"/>
          <w:sz w:val="20"/>
          <w:szCs w:val="20"/>
        </w:rPr>
        <w:t>investments were $1.8 billion, compared to $1.5 billion as of December 28, 2019. The percentage of cash, cash equivalents and short-term investments held domestically was 91% as of September 26, 2020 and 90% as of December 28, 2019.</w:t>
      </w:r>
    </w:p>
    <w:p w14:paraId="1426F95D" w14:textId="77777777" w:rsidR="00A74A1E" w:rsidRDefault="00807990">
      <w:pPr>
        <w:spacing w:before="180"/>
        <w:ind w:firstLine="450"/>
        <w:jc w:val="both"/>
      </w:pPr>
      <w:r>
        <w:rPr>
          <w:rFonts w:ascii="Arial" w:eastAsia="宋体" w:hAnsi="Arial" w:cs="Arial"/>
          <w:color w:val="000000"/>
          <w:sz w:val="20"/>
          <w:szCs w:val="20"/>
        </w:rPr>
        <w:t>Our operating, investin</w:t>
      </w:r>
      <w:r>
        <w:rPr>
          <w:rFonts w:ascii="Arial" w:eastAsia="宋体" w:hAnsi="Arial" w:cs="Arial"/>
          <w:color w:val="000000"/>
          <w:sz w:val="20"/>
          <w:szCs w:val="20"/>
        </w:rPr>
        <w:t>g and financing activities for the nine months ended September 26, 2020 compared to the prior year period are as described below:</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4810"/>
        <w:gridCol w:w="37"/>
        <w:gridCol w:w="133"/>
        <w:gridCol w:w="1224"/>
        <w:gridCol w:w="37"/>
        <w:gridCol w:w="36"/>
        <w:gridCol w:w="36"/>
        <w:gridCol w:w="36"/>
        <w:gridCol w:w="36"/>
        <w:gridCol w:w="36"/>
        <w:gridCol w:w="36"/>
        <w:gridCol w:w="36"/>
        <w:gridCol w:w="133"/>
        <w:gridCol w:w="1179"/>
        <w:gridCol w:w="36"/>
        <w:gridCol w:w="36"/>
        <w:gridCol w:w="36"/>
        <w:gridCol w:w="36"/>
        <w:gridCol w:w="36"/>
        <w:gridCol w:w="36"/>
        <w:gridCol w:w="36"/>
        <w:gridCol w:w="36"/>
        <w:gridCol w:w="36"/>
        <w:gridCol w:w="36"/>
        <w:gridCol w:w="36"/>
        <w:gridCol w:w="36"/>
        <w:gridCol w:w="36"/>
      </w:tblGrid>
      <w:tr w:rsidR="00A74A1E" w14:paraId="1426F970" w14:textId="77777777">
        <w:trPr>
          <w:jc w:val="center"/>
        </w:trPr>
        <w:tc>
          <w:tcPr>
            <w:tcW w:w="50" w:type="pct"/>
            <w:shd w:val="clear" w:color="auto" w:fill="auto"/>
          </w:tcPr>
          <w:p w14:paraId="1426F95E" w14:textId="77777777" w:rsidR="00A74A1E" w:rsidRDefault="00A74A1E">
            <w:pPr>
              <w:rPr>
                <w:rFonts w:ascii="宋体"/>
              </w:rPr>
            </w:pPr>
          </w:p>
        </w:tc>
        <w:tc>
          <w:tcPr>
            <w:tcW w:w="3148" w:type="pct"/>
            <w:shd w:val="clear" w:color="auto" w:fill="auto"/>
          </w:tcPr>
          <w:p w14:paraId="1426F95F" w14:textId="77777777" w:rsidR="00A74A1E" w:rsidRDefault="00A74A1E">
            <w:pPr>
              <w:rPr>
                <w:rFonts w:ascii="宋体"/>
              </w:rPr>
            </w:pPr>
          </w:p>
        </w:tc>
        <w:tc>
          <w:tcPr>
            <w:tcW w:w="5" w:type="pct"/>
            <w:shd w:val="clear" w:color="auto" w:fill="auto"/>
          </w:tcPr>
          <w:p w14:paraId="1426F960" w14:textId="77777777" w:rsidR="00A74A1E" w:rsidRDefault="00A74A1E">
            <w:pPr>
              <w:rPr>
                <w:rFonts w:ascii="宋体"/>
              </w:rPr>
            </w:pPr>
          </w:p>
        </w:tc>
        <w:tc>
          <w:tcPr>
            <w:tcW w:w="50" w:type="pct"/>
            <w:shd w:val="clear" w:color="auto" w:fill="auto"/>
          </w:tcPr>
          <w:p w14:paraId="1426F961" w14:textId="77777777" w:rsidR="00A74A1E" w:rsidRDefault="00A74A1E">
            <w:pPr>
              <w:rPr>
                <w:rFonts w:ascii="宋体"/>
              </w:rPr>
            </w:pPr>
          </w:p>
        </w:tc>
        <w:tc>
          <w:tcPr>
            <w:tcW w:w="824" w:type="pct"/>
            <w:shd w:val="clear" w:color="auto" w:fill="auto"/>
          </w:tcPr>
          <w:p w14:paraId="1426F962" w14:textId="77777777" w:rsidR="00A74A1E" w:rsidRDefault="00A74A1E">
            <w:pPr>
              <w:rPr>
                <w:rFonts w:ascii="宋体"/>
              </w:rPr>
            </w:pPr>
          </w:p>
        </w:tc>
        <w:tc>
          <w:tcPr>
            <w:tcW w:w="5" w:type="pct"/>
            <w:shd w:val="clear" w:color="auto" w:fill="auto"/>
          </w:tcPr>
          <w:p w14:paraId="1426F963" w14:textId="77777777" w:rsidR="00A74A1E" w:rsidRDefault="00A74A1E">
            <w:pPr>
              <w:rPr>
                <w:rFonts w:ascii="宋体"/>
              </w:rPr>
            </w:pPr>
          </w:p>
        </w:tc>
        <w:tc>
          <w:tcPr>
            <w:tcW w:w="5" w:type="pct"/>
            <w:shd w:val="clear" w:color="auto" w:fill="auto"/>
          </w:tcPr>
          <w:p w14:paraId="1426F964" w14:textId="77777777" w:rsidR="00A74A1E" w:rsidRDefault="00A74A1E">
            <w:pPr>
              <w:rPr>
                <w:rFonts w:ascii="宋体"/>
              </w:rPr>
            </w:pPr>
          </w:p>
        </w:tc>
        <w:tc>
          <w:tcPr>
            <w:tcW w:w="26" w:type="pct"/>
            <w:shd w:val="clear" w:color="auto" w:fill="auto"/>
          </w:tcPr>
          <w:p w14:paraId="1426F965" w14:textId="77777777" w:rsidR="00A74A1E" w:rsidRDefault="00A74A1E">
            <w:pPr>
              <w:rPr>
                <w:rFonts w:ascii="宋体"/>
              </w:rPr>
            </w:pPr>
          </w:p>
        </w:tc>
        <w:tc>
          <w:tcPr>
            <w:tcW w:w="5" w:type="pct"/>
            <w:shd w:val="clear" w:color="auto" w:fill="auto"/>
          </w:tcPr>
          <w:p w14:paraId="1426F966" w14:textId="77777777" w:rsidR="00A74A1E" w:rsidRDefault="00A74A1E">
            <w:pPr>
              <w:rPr>
                <w:rFonts w:ascii="宋体"/>
              </w:rPr>
            </w:pPr>
          </w:p>
        </w:tc>
        <w:tc>
          <w:tcPr>
            <w:tcW w:w="0" w:type="auto"/>
            <w:shd w:val="clear" w:color="auto" w:fill="auto"/>
          </w:tcPr>
          <w:p w14:paraId="1426F967" w14:textId="77777777" w:rsidR="00A74A1E" w:rsidRDefault="00A74A1E">
            <w:pPr>
              <w:rPr>
                <w:rFonts w:ascii="宋体"/>
                <w:vanish/>
              </w:rPr>
            </w:pPr>
          </w:p>
        </w:tc>
        <w:tc>
          <w:tcPr>
            <w:tcW w:w="0" w:type="auto"/>
            <w:gridSpan w:val="3"/>
            <w:shd w:val="clear" w:color="auto" w:fill="auto"/>
          </w:tcPr>
          <w:p w14:paraId="1426F968" w14:textId="77777777" w:rsidR="00A74A1E" w:rsidRDefault="00A74A1E">
            <w:pPr>
              <w:rPr>
                <w:rFonts w:ascii="宋体"/>
                <w:vanish/>
              </w:rPr>
            </w:pPr>
          </w:p>
        </w:tc>
        <w:tc>
          <w:tcPr>
            <w:tcW w:w="50" w:type="pct"/>
            <w:shd w:val="clear" w:color="auto" w:fill="auto"/>
          </w:tcPr>
          <w:p w14:paraId="1426F969" w14:textId="77777777" w:rsidR="00A74A1E" w:rsidRDefault="00A74A1E">
            <w:pPr>
              <w:rPr>
                <w:rFonts w:ascii="宋体"/>
              </w:rPr>
            </w:pPr>
          </w:p>
        </w:tc>
        <w:tc>
          <w:tcPr>
            <w:tcW w:w="824" w:type="pct"/>
            <w:shd w:val="clear" w:color="auto" w:fill="auto"/>
          </w:tcPr>
          <w:p w14:paraId="1426F96A" w14:textId="77777777" w:rsidR="00A74A1E" w:rsidRDefault="00A74A1E">
            <w:pPr>
              <w:rPr>
                <w:rFonts w:ascii="宋体"/>
              </w:rPr>
            </w:pPr>
          </w:p>
        </w:tc>
        <w:tc>
          <w:tcPr>
            <w:tcW w:w="5" w:type="pct"/>
            <w:shd w:val="clear" w:color="auto" w:fill="auto"/>
          </w:tcPr>
          <w:p w14:paraId="1426F96B" w14:textId="77777777" w:rsidR="00A74A1E" w:rsidRDefault="00A74A1E">
            <w:pPr>
              <w:rPr>
                <w:rFonts w:ascii="宋体"/>
              </w:rPr>
            </w:pPr>
          </w:p>
        </w:tc>
        <w:tc>
          <w:tcPr>
            <w:tcW w:w="0" w:type="auto"/>
            <w:gridSpan w:val="3"/>
            <w:shd w:val="clear" w:color="auto" w:fill="auto"/>
          </w:tcPr>
          <w:p w14:paraId="1426F96C" w14:textId="77777777" w:rsidR="00A74A1E" w:rsidRDefault="00A74A1E">
            <w:pPr>
              <w:rPr>
                <w:rFonts w:ascii="宋体"/>
                <w:vanish/>
              </w:rPr>
            </w:pPr>
          </w:p>
        </w:tc>
        <w:tc>
          <w:tcPr>
            <w:tcW w:w="0" w:type="auto"/>
            <w:gridSpan w:val="3"/>
            <w:shd w:val="clear" w:color="auto" w:fill="auto"/>
          </w:tcPr>
          <w:p w14:paraId="1426F96D" w14:textId="77777777" w:rsidR="00A74A1E" w:rsidRDefault="00A74A1E">
            <w:pPr>
              <w:rPr>
                <w:rFonts w:ascii="宋体"/>
                <w:vanish/>
              </w:rPr>
            </w:pPr>
          </w:p>
        </w:tc>
        <w:tc>
          <w:tcPr>
            <w:tcW w:w="0" w:type="auto"/>
            <w:gridSpan w:val="3"/>
            <w:shd w:val="clear" w:color="auto" w:fill="auto"/>
          </w:tcPr>
          <w:p w14:paraId="1426F96E" w14:textId="77777777" w:rsidR="00A74A1E" w:rsidRDefault="00A74A1E">
            <w:pPr>
              <w:rPr>
                <w:rFonts w:ascii="宋体"/>
                <w:vanish/>
              </w:rPr>
            </w:pPr>
          </w:p>
        </w:tc>
        <w:tc>
          <w:tcPr>
            <w:tcW w:w="0" w:type="auto"/>
            <w:gridSpan w:val="3"/>
            <w:shd w:val="clear" w:color="auto" w:fill="auto"/>
          </w:tcPr>
          <w:p w14:paraId="1426F96F" w14:textId="77777777" w:rsidR="00A74A1E" w:rsidRDefault="00A74A1E">
            <w:pPr>
              <w:rPr>
                <w:rFonts w:ascii="宋体"/>
                <w:vanish/>
              </w:rPr>
            </w:pPr>
          </w:p>
        </w:tc>
      </w:tr>
      <w:tr w:rsidR="00A74A1E" w14:paraId="1426F981" w14:textId="77777777">
        <w:trPr>
          <w:jc w:val="center"/>
        </w:trPr>
        <w:tc>
          <w:tcPr>
            <w:tcW w:w="0" w:type="auto"/>
            <w:gridSpan w:val="3"/>
            <w:shd w:val="clear" w:color="auto" w:fill="auto"/>
            <w:tcMar>
              <w:top w:w="40" w:type="dxa"/>
              <w:left w:w="20" w:type="dxa"/>
              <w:bottom w:w="40" w:type="dxa"/>
              <w:right w:w="20" w:type="dxa"/>
            </w:tcMar>
            <w:vAlign w:val="center"/>
          </w:tcPr>
          <w:p w14:paraId="1426F971" w14:textId="77777777" w:rsidR="00A74A1E" w:rsidRDefault="00807990">
            <w:pPr>
              <w:textAlignment w:val="center"/>
            </w:pPr>
            <w:r>
              <w:rPr>
                <w:rFonts w:ascii="Arial" w:eastAsia="宋体" w:hAnsi="Arial" w:cs="Arial"/>
                <w:color w:val="000000"/>
                <w:sz w:val="16"/>
                <w:szCs w:val="16"/>
              </w:rPr>
              <w:t> </w:t>
            </w:r>
          </w:p>
        </w:tc>
        <w:tc>
          <w:tcPr>
            <w:tcW w:w="0" w:type="auto"/>
            <w:gridSpan w:val="7"/>
            <w:shd w:val="clear" w:color="auto" w:fill="auto"/>
            <w:tcMar>
              <w:top w:w="40" w:type="dxa"/>
              <w:left w:w="20" w:type="dxa"/>
              <w:bottom w:w="40" w:type="dxa"/>
              <w:right w:w="20" w:type="dxa"/>
            </w:tcMar>
            <w:vAlign w:val="center"/>
          </w:tcPr>
          <w:p w14:paraId="1426F972" w14:textId="77777777" w:rsidR="00A74A1E" w:rsidRDefault="00807990">
            <w:pPr>
              <w:jc w:val="center"/>
              <w:textAlignment w:val="center"/>
            </w:pPr>
            <w:r>
              <w:rPr>
                <w:rFonts w:ascii="Arial" w:eastAsia="宋体" w:hAnsi="Arial" w:cs="Arial"/>
                <w:b/>
                <w:bCs/>
                <w:color w:val="000000"/>
                <w:sz w:val="16"/>
                <w:szCs w:val="16"/>
              </w:rPr>
              <w:t>Nine Months Ended</w:t>
            </w:r>
          </w:p>
        </w:tc>
        <w:tc>
          <w:tcPr>
            <w:tcW w:w="0" w:type="auto"/>
            <w:gridSpan w:val="3"/>
            <w:shd w:val="clear" w:color="auto" w:fill="auto"/>
          </w:tcPr>
          <w:p w14:paraId="1426F973" w14:textId="77777777" w:rsidR="00A74A1E" w:rsidRDefault="00A74A1E">
            <w:pPr>
              <w:rPr>
                <w:rFonts w:ascii="宋体"/>
                <w:vanish/>
              </w:rPr>
            </w:pPr>
          </w:p>
        </w:tc>
        <w:tc>
          <w:tcPr>
            <w:tcW w:w="0" w:type="auto"/>
            <w:gridSpan w:val="3"/>
            <w:shd w:val="clear" w:color="auto" w:fill="auto"/>
          </w:tcPr>
          <w:p w14:paraId="1426F974" w14:textId="77777777" w:rsidR="00A74A1E" w:rsidRDefault="00A74A1E">
            <w:pPr>
              <w:rPr>
                <w:rFonts w:ascii="宋体"/>
                <w:vanish/>
              </w:rPr>
            </w:pPr>
          </w:p>
        </w:tc>
        <w:tc>
          <w:tcPr>
            <w:tcW w:w="0" w:type="auto"/>
            <w:shd w:val="clear" w:color="auto" w:fill="auto"/>
          </w:tcPr>
          <w:p w14:paraId="1426F975" w14:textId="77777777" w:rsidR="00A74A1E" w:rsidRDefault="00A74A1E">
            <w:pPr>
              <w:rPr>
                <w:rFonts w:ascii="宋体"/>
              </w:rPr>
            </w:pPr>
          </w:p>
        </w:tc>
        <w:tc>
          <w:tcPr>
            <w:tcW w:w="0" w:type="auto"/>
            <w:shd w:val="clear" w:color="auto" w:fill="auto"/>
          </w:tcPr>
          <w:p w14:paraId="1426F976" w14:textId="77777777" w:rsidR="00A74A1E" w:rsidRDefault="00A74A1E">
            <w:pPr>
              <w:rPr>
                <w:rFonts w:ascii="宋体"/>
              </w:rPr>
            </w:pPr>
          </w:p>
        </w:tc>
        <w:tc>
          <w:tcPr>
            <w:tcW w:w="0" w:type="auto"/>
            <w:shd w:val="clear" w:color="auto" w:fill="auto"/>
          </w:tcPr>
          <w:p w14:paraId="1426F977" w14:textId="77777777" w:rsidR="00A74A1E" w:rsidRDefault="00A74A1E">
            <w:pPr>
              <w:rPr>
                <w:rFonts w:ascii="宋体"/>
              </w:rPr>
            </w:pPr>
          </w:p>
        </w:tc>
        <w:tc>
          <w:tcPr>
            <w:tcW w:w="0" w:type="auto"/>
            <w:shd w:val="clear" w:color="auto" w:fill="auto"/>
          </w:tcPr>
          <w:p w14:paraId="1426F978" w14:textId="77777777" w:rsidR="00A74A1E" w:rsidRDefault="00A74A1E">
            <w:pPr>
              <w:rPr>
                <w:rFonts w:ascii="宋体"/>
              </w:rPr>
            </w:pPr>
          </w:p>
        </w:tc>
        <w:tc>
          <w:tcPr>
            <w:tcW w:w="0" w:type="auto"/>
            <w:shd w:val="clear" w:color="auto" w:fill="auto"/>
          </w:tcPr>
          <w:p w14:paraId="1426F979" w14:textId="77777777" w:rsidR="00A74A1E" w:rsidRDefault="00A74A1E">
            <w:pPr>
              <w:rPr>
                <w:rFonts w:ascii="宋体"/>
              </w:rPr>
            </w:pPr>
          </w:p>
        </w:tc>
        <w:tc>
          <w:tcPr>
            <w:tcW w:w="0" w:type="auto"/>
            <w:shd w:val="clear" w:color="auto" w:fill="auto"/>
          </w:tcPr>
          <w:p w14:paraId="1426F97A" w14:textId="77777777" w:rsidR="00A74A1E" w:rsidRDefault="00A74A1E">
            <w:pPr>
              <w:rPr>
                <w:rFonts w:ascii="宋体"/>
              </w:rPr>
            </w:pPr>
          </w:p>
        </w:tc>
        <w:tc>
          <w:tcPr>
            <w:tcW w:w="0" w:type="auto"/>
            <w:shd w:val="clear" w:color="auto" w:fill="auto"/>
          </w:tcPr>
          <w:p w14:paraId="1426F97B" w14:textId="77777777" w:rsidR="00A74A1E" w:rsidRDefault="00A74A1E">
            <w:pPr>
              <w:rPr>
                <w:rFonts w:ascii="宋体"/>
              </w:rPr>
            </w:pPr>
          </w:p>
        </w:tc>
        <w:tc>
          <w:tcPr>
            <w:tcW w:w="0" w:type="auto"/>
            <w:shd w:val="clear" w:color="auto" w:fill="auto"/>
          </w:tcPr>
          <w:p w14:paraId="1426F97C" w14:textId="77777777" w:rsidR="00A74A1E" w:rsidRDefault="00A74A1E">
            <w:pPr>
              <w:rPr>
                <w:rFonts w:ascii="宋体"/>
              </w:rPr>
            </w:pPr>
          </w:p>
        </w:tc>
        <w:tc>
          <w:tcPr>
            <w:tcW w:w="0" w:type="auto"/>
            <w:shd w:val="clear" w:color="auto" w:fill="auto"/>
          </w:tcPr>
          <w:p w14:paraId="1426F97D" w14:textId="77777777" w:rsidR="00A74A1E" w:rsidRDefault="00A74A1E">
            <w:pPr>
              <w:rPr>
                <w:rFonts w:ascii="宋体"/>
              </w:rPr>
            </w:pPr>
          </w:p>
        </w:tc>
        <w:tc>
          <w:tcPr>
            <w:tcW w:w="0" w:type="auto"/>
            <w:shd w:val="clear" w:color="auto" w:fill="auto"/>
          </w:tcPr>
          <w:p w14:paraId="1426F97E" w14:textId="77777777" w:rsidR="00A74A1E" w:rsidRDefault="00A74A1E">
            <w:pPr>
              <w:rPr>
                <w:rFonts w:ascii="宋体"/>
              </w:rPr>
            </w:pPr>
          </w:p>
        </w:tc>
        <w:tc>
          <w:tcPr>
            <w:tcW w:w="0" w:type="auto"/>
            <w:shd w:val="clear" w:color="auto" w:fill="auto"/>
          </w:tcPr>
          <w:p w14:paraId="1426F97F" w14:textId="77777777" w:rsidR="00A74A1E" w:rsidRDefault="00A74A1E">
            <w:pPr>
              <w:rPr>
                <w:rFonts w:ascii="宋体"/>
              </w:rPr>
            </w:pPr>
          </w:p>
        </w:tc>
        <w:tc>
          <w:tcPr>
            <w:tcW w:w="0" w:type="auto"/>
            <w:shd w:val="clear" w:color="auto" w:fill="auto"/>
          </w:tcPr>
          <w:p w14:paraId="1426F980" w14:textId="77777777" w:rsidR="00A74A1E" w:rsidRDefault="00A74A1E">
            <w:pPr>
              <w:rPr>
                <w:rFonts w:ascii="宋体"/>
              </w:rPr>
            </w:pPr>
          </w:p>
        </w:tc>
      </w:tr>
      <w:tr w:rsidR="00A74A1E" w14:paraId="1426F98C" w14:textId="77777777">
        <w:trPr>
          <w:jc w:val="center"/>
        </w:trPr>
        <w:tc>
          <w:tcPr>
            <w:tcW w:w="0" w:type="auto"/>
            <w:gridSpan w:val="3"/>
            <w:shd w:val="clear" w:color="auto" w:fill="auto"/>
            <w:tcMar>
              <w:top w:w="40" w:type="dxa"/>
              <w:left w:w="20" w:type="dxa"/>
              <w:bottom w:w="40" w:type="dxa"/>
              <w:right w:w="20" w:type="dxa"/>
            </w:tcMar>
            <w:vAlign w:val="center"/>
          </w:tcPr>
          <w:p w14:paraId="1426F982" w14:textId="77777777" w:rsidR="00A74A1E" w:rsidRDefault="00807990">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426F983" w14:textId="77777777" w:rsidR="00A74A1E" w:rsidRDefault="00807990">
            <w:pPr>
              <w:jc w:val="center"/>
              <w:textAlignment w:val="center"/>
            </w:pPr>
            <w:r>
              <w:rPr>
                <w:rFonts w:ascii="Arial" w:eastAsia="宋体" w:hAnsi="Arial" w:cs="Arial"/>
                <w:b/>
                <w:bCs/>
                <w:color w:val="000000"/>
                <w:sz w:val="16"/>
                <w:szCs w:val="16"/>
              </w:rPr>
              <w:t>September 26,</w:t>
            </w:r>
            <w:r>
              <w:rPr>
                <w:rFonts w:ascii="Arial" w:eastAsia="宋体" w:hAnsi="Arial" w:cs="Arial"/>
                <w:b/>
                <w:bCs/>
                <w:color w:val="000000"/>
                <w:sz w:val="16"/>
                <w:szCs w:val="16"/>
              </w:rPr>
              <w:br/>
              <w:t>2020</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426F984" w14:textId="77777777" w:rsidR="00A74A1E" w:rsidRDefault="00A74A1E">
            <w:pPr>
              <w:rPr>
                <w:rFonts w:ascii="宋体"/>
              </w:rPr>
            </w:pPr>
          </w:p>
        </w:tc>
        <w:tc>
          <w:tcPr>
            <w:tcW w:w="0" w:type="auto"/>
            <w:shd w:val="clear" w:color="auto" w:fill="auto"/>
          </w:tcPr>
          <w:p w14:paraId="1426F985" w14:textId="77777777" w:rsidR="00A74A1E" w:rsidRDefault="00A74A1E">
            <w:pPr>
              <w:rPr>
                <w:rFonts w:ascii="宋体"/>
                <w:vanish/>
              </w:rPr>
            </w:pPr>
          </w:p>
        </w:tc>
        <w:tc>
          <w:tcPr>
            <w:tcW w:w="0" w:type="auto"/>
            <w:gridSpan w:val="3"/>
            <w:shd w:val="clear" w:color="auto" w:fill="auto"/>
          </w:tcPr>
          <w:p w14:paraId="1426F986" w14:textId="77777777" w:rsidR="00A74A1E" w:rsidRDefault="00A74A1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426F987" w14:textId="77777777" w:rsidR="00A74A1E" w:rsidRDefault="00807990">
            <w:pPr>
              <w:jc w:val="center"/>
              <w:textAlignment w:val="center"/>
            </w:pPr>
            <w:r>
              <w:rPr>
                <w:rFonts w:ascii="Arial" w:eastAsia="宋体" w:hAnsi="Arial" w:cs="Arial"/>
                <w:b/>
                <w:bCs/>
                <w:color w:val="000000"/>
                <w:sz w:val="16"/>
                <w:szCs w:val="16"/>
              </w:rPr>
              <w:t>September 28,</w:t>
            </w:r>
            <w:r>
              <w:rPr>
                <w:rFonts w:ascii="Arial" w:eastAsia="宋体" w:hAnsi="Arial" w:cs="Arial"/>
                <w:b/>
                <w:bCs/>
                <w:color w:val="000000"/>
                <w:sz w:val="16"/>
                <w:szCs w:val="16"/>
              </w:rPr>
              <w:br/>
              <w:t>2019</w:t>
            </w:r>
          </w:p>
        </w:tc>
        <w:tc>
          <w:tcPr>
            <w:tcW w:w="0" w:type="auto"/>
            <w:gridSpan w:val="3"/>
            <w:shd w:val="clear" w:color="auto" w:fill="auto"/>
          </w:tcPr>
          <w:p w14:paraId="1426F988" w14:textId="77777777" w:rsidR="00A74A1E" w:rsidRDefault="00A74A1E">
            <w:pPr>
              <w:rPr>
                <w:rFonts w:ascii="宋体"/>
                <w:vanish/>
              </w:rPr>
            </w:pPr>
          </w:p>
        </w:tc>
        <w:tc>
          <w:tcPr>
            <w:tcW w:w="0" w:type="auto"/>
            <w:gridSpan w:val="3"/>
            <w:shd w:val="clear" w:color="auto" w:fill="auto"/>
          </w:tcPr>
          <w:p w14:paraId="1426F989" w14:textId="77777777" w:rsidR="00A74A1E" w:rsidRDefault="00A74A1E">
            <w:pPr>
              <w:rPr>
                <w:rFonts w:ascii="宋体"/>
                <w:vanish/>
              </w:rPr>
            </w:pPr>
          </w:p>
        </w:tc>
        <w:tc>
          <w:tcPr>
            <w:tcW w:w="0" w:type="auto"/>
            <w:gridSpan w:val="3"/>
            <w:shd w:val="clear" w:color="auto" w:fill="auto"/>
          </w:tcPr>
          <w:p w14:paraId="1426F98A" w14:textId="77777777" w:rsidR="00A74A1E" w:rsidRDefault="00A74A1E">
            <w:pPr>
              <w:rPr>
                <w:rFonts w:ascii="宋体"/>
                <w:vanish/>
              </w:rPr>
            </w:pPr>
          </w:p>
        </w:tc>
        <w:tc>
          <w:tcPr>
            <w:tcW w:w="0" w:type="auto"/>
            <w:gridSpan w:val="3"/>
            <w:shd w:val="clear" w:color="auto" w:fill="auto"/>
          </w:tcPr>
          <w:p w14:paraId="1426F98B" w14:textId="77777777" w:rsidR="00A74A1E" w:rsidRDefault="00A74A1E">
            <w:pPr>
              <w:rPr>
                <w:rFonts w:ascii="宋体"/>
                <w:vanish/>
              </w:rPr>
            </w:pPr>
          </w:p>
        </w:tc>
      </w:tr>
      <w:tr w:rsidR="00A74A1E" w14:paraId="1426F9A1" w14:textId="77777777">
        <w:trPr>
          <w:jc w:val="center"/>
        </w:trPr>
        <w:tc>
          <w:tcPr>
            <w:tcW w:w="0" w:type="auto"/>
            <w:gridSpan w:val="3"/>
            <w:shd w:val="clear" w:color="auto" w:fill="auto"/>
            <w:tcMar>
              <w:top w:w="40" w:type="dxa"/>
              <w:left w:w="20" w:type="dxa"/>
              <w:bottom w:w="40" w:type="dxa"/>
              <w:right w:w="20" w:type="dxa"/>
            </w:tcMar>
            <w:vAlign w:val="center"/>
          </w:tcPr>
          <w:p w14:paraId="1426F98D" w14:textId="77777777" w:rsidR="00A74A1E" w:rsidRDefault="00807990">
            <w:pPr>
              <w:textAlignment w:val="center"/>
            </w:pPr>
            <w:r>
              <w:rPr>
                <w:rFonts w:ascii="Arial" w:eastAsia="宋体" w:hAnsi="Arial" w:cs="Arial"/>
                <w:color w:val="000000"/>
                <w:sz w:val="16"/>
                <w:szCs w:val="16"/>
              </w:rPr>
              <w:t> </w:t>
            </w:r>
          </w:p>
        </w:tc>
        <w:tc>
          <w:tcPr>
            <w:tcW w:w="0" w:type="auto"/>
            <w:gridSpan w:val="7"/>
            <w:tcBorders>
              <w:top w:val="single" w:sz="8" w:space="0" w:color="000000"/>
            </w:tcBorders>
            <w:shd w:val="clear" w:color="auto" w:fill="auto"/>
            <w:tcMar>
              <w:top w:w="40" w:type="dxa"/>
              <w:left w:w="20" w:type="dxa"/>
              <w:bottom w:w="40" w:type="dxa"/>
              <w:right w:w="20" w:type="dxa"/>
            </w:tcMar>
            <w:vAlign w:val="center"/>
          </w:tcPr>
          <w:p w14:paraId="1426F98E" w14:textId="77777777" w:rsidR="00A74A1E" w:rsidRDefault="00807990">
            <w:pPr>
              <w:jc w:val="center"/>
              <w:textAlignment w:val="center"/>
            </w:pPr>
            <w:r>
              <w:rPr>
                <w:rFonts w:ascii="Arial" w:eastAsia="宋体" w:hAnsi="Arial" w:cs="Arial"/>
                <w:b/>
                <w:bCs/>
                <w:color w:val="000000"/>
                <w:sz w:val="16"/>
                <w:szCs w:val="16"/>
              </w:rPr>
              <w:t>(In millions)</w:t>
            </w:r>
          </w:p>
        </w:tc>
        <w:tc>
          <w:tcPr>
            <w:tcW w:w="0" w:type="auto"/>
            <w:shd w:val="clear" w:color="auto" w:fill="auto"/>
          </w:tcPr>
          <w:p w14:paraId="1426F98F" w14:textId="77777777" w:rsidR="00A74A1E" w:rsidRDefault="00A74A1E">
            <w:pPr>
              <w:rPr>
                <w:rFonts w:ascii="宋体"/>
              </w:rPr>
            </w:pPr>
          </w:p>
        </w:tc>
        <w:tc>
          <w:tcPr>
            <w:tcW w:w="0" w:type="auto"/>
            <w:shd w:val="clear" w:color="auto" w:fill="auto"/>
          </w:tcPr>
          <w:p w14:paraId="1426F990" w14:textId="77777777" w:rsidR="00A74A1E" w:rsidRDefault="00A74A1E">
            <w:pPr>
              <w:rPr>
                <w:rFonts w:ascii="宋体"/>
              </w:rPr>
            </w:pPr>
          </w:p>
        </w:tc>
        <w:tc>
          <w:tcPr>
            <w:tcW w:w="0" w:type="auto"/>
            <w:shd w:val="clear" w:color="auto" w:fill="auto"/>
          </w:tcPr>
          <w:p w14:paraId="1426F991" w14:textId="77777777" w:rsidR="00A74A1E" w:rsidRDefault="00A74A1E">
            <w:pPr>
              <w:rPr>
                <w:rFonts w:ascii="宋体"/>
              </w:rPr>
            </w:pPr>
          </w:p>
        </w:tc>
        <w:tc>
          <w:tcPr>
            <w:tcW w:w="0" w:type="auto"/>
            <w:shd w:val="clear" w:color="auto" w:fill="auto"/>
          </w:tcPr>
          <w:p w14:paraId="1426F992" w14:textId="77777777" w:rsidR="00A74A1E" w:rsidRDefault="00A74A1E">
            <w:pPr>
              <w:rPr>
                <w:rFonts w:ascii="宋体"/>
              </w:rPr>
            </w:pPr>
          </w:p>
        </w:tc>
        <w:tc>
          <w:tcPr>
            <w:tcW w:w="0" w:type="auto"/>
            <w:shd w:val="clear" w:color="auto" w:fill="auto"/>
          </w:tcPr>
          <w:p w14:paraId="1426F993" w14:textId="77777777" w:rsidR="00A74A1E" w:rsidRDefault="00A74A1E">
            <w:pPr>
              <w:rPr>
                <w:rFonts w:ascii="宋体"/>
              </w:rPr>
            </w:pPr>
          </w:p>
        </w:tc>
        <w:tc>
          <w:tcPr>
            <w:tcW w:w="0" w:type="auto"/>
            <w:shd w:val="clear" w:color="auto" w:fill="auto"/>
          </w:tcPr>
          <w:p w14:paraId="1426F994" w14:textId="77777777" w:rsidR="00A74A1E" w:rsidRDefault="00A74A1E">
            <w:pPr>
              <w:rPr>
                <w:rFonts w:ascii="宋体"/>
              </w:rPr>
            </w:pPr>
          </w:p>
        </w:tc>
        <w:tc>
          <w:tcPr>
            <w:tcW w:w="0" w:type="auto"/>
            <w:shd w:val="clear" w:color="auto" w:fill="auto"/>
          </w:tcPr>
          <w:p w14:paraId="1426F995" w14:textId="77777777" w:rsidR="00A74A1E" w:rsidRDefault="00A74A1E">
            <w:pPr>
              <w:rPr>
                <w:rFonts w:ascii="宋体"/>
              </w:rPr>
            </w:pPr>
          </w:p>
        </w:tc>
        <w:tc>
          <w:tcPr>
            <w:tcW w:w="0" w:type="auto"/>
            <w:shd w:val="clear" w:color="auto" w:fill="auto"/>
          </w:tcPr>
          <w:p w14:paraId="1426F996" w14:textId="77777777" w:rsidR="00A74A1E" w:rsidRDefault="00A74A1E">
            <w:pPr>
              <w:rPr>
                <w:rFonts w:ascii="宋体"/>
              </w:rPr>
            </w:pPr>
          </w:p>
        </w:tc>
        <w:tc>
          <w:tcPr>
            <w:tcW w:w="0" w:type="auto"/>
            <w:shd w:val="clear" w:color="auto" w:fill="auto"/>
          </w:tcPr>
          <w:p w14:paraId="1426F997" w14:textId="77777777" w:rsidR="00A74A1E" w:rsidRDefault="00A74A1E">
            <w:pPr>
              <w:rPr>
                <w:rFonts w:ascii="宋体"/>
              </w:rPr>
            </w:pPr>
          </w:p>
        </w:tc>
        <w:tc>
          <w:tcPr>
            <w:tcW w:w="0" w:type="auto"/>
            <w:shd w:val="clear" w:color="auto" w:fill="auto"/>
          </w:tcPr>
          <w:p w14:paraId="1426F998" w14:textId="77777777" w:rsidR="00A74A1E" w:rsidRDefault="00A74A1E">
            <w:pPr>
              <w:rPr>
                <w:rFonts w:ascii="宋体"/>
              </w:rPr>
            </w:pPr>
          </w:p>
        </w:tc>
        <w:tc>
          <w:tcPr>
            <w:tcW w:w="0" w:type="auto"/>
            <w:shd w:val="clear" w:color="auto" w:fill="auto"/>
          </w:tcPr>
          <w:p w14:paraId="1426F999" w14:textId="77777777" w:rsidR="00A74A1E" w:rsidRDefault="00A74A1E">
            <w:pPr>
              <w:rPr>
                <w:rFonts w:ascii="宋体"/>
              </w:rPr>
            </w:pPr>
          </w:p>
        </w:tc>
        <w:tc>
          <w:tcPr>
            <w:tcW w:w="0" w:type="auto"/>
            <w:shd w:val="clear" w:color="auto" w:fill="auto"/>
          </w:tcPr>
          <w:p w14:paraId="1426F99A" w14:textId="77777777" w:rsidR="00A74A1E" w:rsidRDefault="00A74A1E">
            <w:pPr>
              <w:rPr>
                <w:rFonts w:ascii="宋体"/>
              </w:rPr>
            </w:pPr>
          </w:p>
        </w:tc>
        <w:tc>
          <w:tcPr>
            <w:tcW w:w="0" w:type="auto"/>
            <w:shd w:val="clear" w:color="auto" w:fill="auto"/>
          </w:tcPr>
          <w:p w14:paraId="1426F99B" w14:textId="77777777" w:rsidR="00A74A1E" w:rsidRDefault="00A74A1E">
            <w:pPr>
              <w:rPr>
                <w:rFonts w:ascii="宋体"/>
              </w:rPr>
            </w:pPr>
          </w:p>
        </w:tc>
        <w:tc>
          <w:tcPr>
            <w:tcW w:w="0" w:type="auto"/>
            <w:shd w:val="clear" w:color="auto" w:fill="auto"/>
          </w:tcPr>
          <w:p w14:paraId="1426F99C" w14:textId="77777777" w:rsidR="00A74A1E" w:rsidRDefault="00A74A1E">
            <w:pPr>
              <w:rPr>
                <w:rFonts w:ascii="宋体"/>
              </w:rPr>
            </w:pPr>
          </w:p>
        </w:tc>
        <w:tc>
          <w:tcPr>
            <w:tcW w:w="0" w:type="auto"/>
            <w:shd w:val="clear" w:color="auto" w:fill="auto"/>
          </w:tcPr>
          <w:p w14:paraId="1426F99D" w14:textId="77777777" w:rsidR="00A74A1E" w:rsidRDefault="00A74A1E">
            <w:pPr>
              <w:rPr>
                <w:rFonts w:ascii="宋体"/>
              </w:rPr>
            </w:pPr>
          </w:p>
        </w:tc>
        <w:tc>
          <w:tcPr>
            <w:tcW w:w="0" w:type="auto"/>
            <w:shd w:val="clear" w:color="auto" w:fill="auto"/>
          </w:tcPr>
          <w:p w14:paraId="1426F99E" w14:textId="77777777" w:rsidR="00A74A1E" w:rsidRDefault="00A74A1E">
            <w:pPr>
              <w:rPr>
                <w:rFonts w:ascii="宋体"/>
              </w:rPr>
            </w:pPr>
          </w:p>
        </w:tc>
        <w:tc>
          <w:tcPr>
            <w:tcW w:w="0" w:type="auto"/>
            <w:shd w:val="clear" w:color="auto" w:fill="auto"/>
          </w:tcPr>
          <w:p w14:paraId="1426F99F" w14:textId="77777777" w:rsidR="00A74A1E" w:rsidRDefault="00A74A1E">
            <w:pPr>
              <w:rPr>
                <w:rFonts w:ascii="宋体"/>
              </w:rPr>
            </w:pPr>
          </w:p>
        </w:tc>
        <w:tc>
          <w:tcPr>
            <w:tcW w:w="0" w:type="auto"/>
            <w:shd w:val="clear" w:color="auto" w:fill="auto"/>
          </w:tcPr>
          <w:p w14:paraId="1426F9A0" w14:textId="77777777" w:rsidR="00A74A1E" w:rsidRDefault="00A74A1E">
            <w:pPr>
              <w:rPr>
                <w:rFonts w:ascii="宋体"/>
              </w:rPr>
            </w:pPr>
          </w:p>
        </w:tc>
      </w:tr>
      <w:tr w:rsidR="00A74A1E" w14:paraId="1426F9AC" w14:textId="77777777">
        <w:trPr>
          <w:jc w:val="center"/>
        </w:trPr>
        <w:tc>
          <w:tcPr>
            <w:tcW w:w="0" w:type="auto"/>
            <w:gridSpan w:val="3"/>
            <w:shd w:val="clear" w:color="auto" w:fill="CCEEFF"/>
            <w:tcMar>
              <w:top w:w="40" w:type="dxa"/>
              <w:left w:w="20" w:type="dxa"/>
              <w:bottom w:w="40" w:type="dxa"/>
              <w:right w:w="20" w:type="dxa"/>
            </w:tcMar>
            <w:vAlign w:val="center"/>
          </w:tcPr>
          <w:p w14:paraId="1426F9A2" w14:textId="77777777" w:rsidR="00A74A1E" w:rsidRDefault="00807990">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tcPr>
          <w:p w14:paraId="1426F9A3" w14:textId="77777777" w:rsidR="00A74A1E" w:rsidRDefault="00A74A1E">
            <w:pPr>
              <w:rPr>
                <w:rFonts w:ascii="宋体"/>
              </w:rPr>
            </w:pPr>
          </w:p>
        </w:tc>
        <w:tc>
          <w:tcPr>
            <w:tcW w:w="0" w:type="auto"/>
            <w:gridSpan w:val="3"/>
            <w:shd w:val="clear" w:color="auto" w:fill="CCEEFF"/>
            <w:tcMar>
              <w:top w:w="0" w:type="dxa"/>
              <w:left w:w="20" w:type="dxa"/>
              <w:bottom w:w="0" w:type="dxa"/>
              <w:right w:w="20" w:type="dxa"/>
            </w:tcMar>
          </w:tcPr>
          <w:p w14:paraId="1426F9A4" w14:textId="77777777" w:rsidR="00A74A1E" w:rsidRDefault="00A74A1E">
            <w:pPr>
              <w:rPr>
                <w:rFonts w:ascii="宋体"/>
              </w:rPr>
            </w:pPr>
          </w:p>
        </w:tc>
        <w:tc>
          <w:tcPr>
            <w:tcW w:w="0" w:type="auto"/>
            <w:shd w:val="clear" w:color="auto" w:fill="auto"/>
          </w:tcPr>
          <w:p w14:paraId="1426F9A5" w14:textId="77777777" w:rsidR="00A74A1E" w:rsidRDefault="00A74A1E">
            <w:pPr>
              <w:rPr>
                <w:rFonts w:ascii="宋体"/>
                <w:vanish/>
              </w:rPr>
            </w:pPr>
          </w:p>
        </w:tc>
        <w:tc>
          <w:tcPr>
            <w:tcW w:w="0" w:type="auto"/>
            <w:gridSpan w:val="3"/>
            <w:shd w:val="clear" w:color="auto" w:fill="auto"/>
          </w:tcPr>
          <w:p w14:paraId="1426F9A6" w14:textId="77777777" w:rsidR="00A74A1E" w:rsidRDefault="00A74A1E">
            <w:pPr>
              <w:rPr>
                <w:rFonts w:ascii="宋体"/>
                <w:vanish/>
              </w:rPr>
            </w:pPr>
          </w:p>
        </w:tc>
        <w:tc>
          <w:tcPr>
            <w:tcW w:w="0" w:type="auto"/>
            <w:gridSpan w:val="3"/>
            <w:shd w:val="clear" w:color="auto" w:fill="CCEEFF"/>
            <w:tcMar>
              <w:top w:w="0" w:type="dxa"/>
              <w:left w:w="20" w:type="dxa"/>
              <w:bottom w:w="0" w:type="dxa"/>
              <w:right w:w="20" w:type="dxa"/>
            </w:tcMar>
          </w:tcPr>
          <w:p w14:paraId="1426F9A7" w14:textId="77777777" w:rsidR="00A74A1E" w:rsidRDefault="00A74A1E">
            <w:pPr>
              <w:rPr>
                <w:rFonts w:ascii="宋体"/>
              </w:rPr>
            </w:pPr>
          </w:p>
        </w:tc>
        <w:tc>
          <w:tcPr>
            <w:tcW w:w="0" w:type="auto"/>
            <w:gridSpan w:val="3"/>
            <w:shd w:val="clear" w:color="auto" w:fill="auto"/>
          </w:tcPr>
          <w:p w14:paraId="1426F9A8" w14:textId="77777777" w:rsidR="00A74A1E" w:rsidRDefault="00A74A1E">
            <w:pPr>
              <w:rPr>
                <w:rFonts w:ascii="宋体"/>
                <w:vanish/>
              </w:rPr>
            </w:pPr>
          </w:p>
        </w:tc>
        <w:tc>
          <w:tcPr>
            <w:tcW w:w="0" w:type="auto"/>
            <w:gridSpan w:val="3"/>
            <w:shd w:val="clear" w:color="auto" w:fill="auto"/>
          </w:tcPr>
          <w:p w14:paraId="1426F9A9" w14:textId="77777777" w:rsidR="00A74A1E" w:rsidRDefault="00A74A1E">
            <w:pPr>
              <w:rPr>
                <w:rFonts w:ascii="宋体"/>
                <w:vanish/>
              </w:rPr>
            </w:pPr>
          </w:p>
        </w:tc>
        <w:tc>
          <w:tcPr>
            <w:tcW w:w="0" w:type="auto"/>
            <w:gridSpan w:val="3"/>
            <w:shd w:val="clear" w:color="auto" w:fill="auto"/>
          </w:tcPr>
          <w:p w14:paraId="1426F9AA" w14:textId="77777777" w:rsidR="00A74A1E" w:rsidRDefault="00A74A1E">
            <w:pPr>
              <w:rPr>
                <w:rFonts w:ascii="宋体"/>
                <w:vanish/>
              </w:rPr>
            </w:pPr>
          </w:p>
        </w:tc>
        <w:tc>
          <w:tcPr>
            <w:tcW w:w="0" w:type="auto"/>
            <w:gridSpan w:val="3"/>
            <w:shd w:val="clear" w:color="auto" w:fill="auto"/>
          </w:tcPr>
          <w:p w14:paraId="1426F9AB" w14:textId="77777777" w:rsidR="00A74A1E" w:rsidRDefault="00A74A1E">
            <w:pPr>
              <w:rPr>
                <w:rFonts w:ascii="宋体"/>
                <w:vanish/>
              </w:rPr>
            </w:pPr>
          </w:p>
        </w:tc>
      </w:tr>
      <w:tr w:rsidR="00A74A1E" w14:paraId="1426F9BB" w14:textId="77777777">
        <w:trPr>
          <w:jc w:val="center"/>
        </w:trPr>
        <w:tc>
          <w:tcPr>
            <w:tcW w:w="0" w:type="auto"/>
            <w:gridSpan w:val="3"/>
            <w:shd w:val="clear" w:color="auto" w:fill="FFFFFF"/>
            <w:tcMar>
              <w:top w:w="40" w:type="dxa"/>
              <w:left w:w="20" w:type="dxa"/>
              <w:bottom w:w="40" w:type="dxa"/>
              <w:right w:w="20" w:type="dxa"/>
            </w:tcMar>
            <w:vAlign w:val="center"/>
          </w:tcPr>
          <w:p w14:paraId="1426F9AD" w14:textId="77777777" w:rsidR="00A74A1E" w:rsidRDefault="00807990">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1426F9AE" w14:textId="77777777" w:rsidR="00A74A1E" w:rsidRDefault="00807990">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426F9AF" w14:textId="77777777" w:rsidR="00A74A1E" w:rsidRDefault="00807990">
            <w:pPr>
              <w:jc w:val="right"/>
              <w:textAlignment w:val="center"/>
            </w:pPr>
            <w:r>
              <w:rPr>
                <w:rFonts w:ascii="Arial" w:eastAsia="宋体" w:hAnsi="Arial" w:cs="Arial"/>
                <w:color w:val="000000"/>
                <w:sz w:val="20"/>
                <w:szCs w:val="20"/>
              </w:rPr>
              <w:t>517 </w:t>
            </w:r>
          </w:p>
        </w:tc>
        <w:tc>
          <w:tcPr>
            <w:tcW w:w="0" w:type="auto"/>
            <w:shd w:val="clear" w:color="auto" w:fill="FFFFFF"/>
            <w:tcMar>
              <w:top w:w="40" w:type="dxa"/>
              <w:left w:w="0" w:type="dxa"/>
              <w:bottom w:w="40" w:type="dxa"/>
              <w:right w:w="20" w:type="dxa"/>
            </w:tcMar>
            <w:vAlign w:val="center"/>
          </w:tcPr>
          <w:p w14:paraId="1426F9B0"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B1" w14:textId="77777777" w:rsidR="00A74A1E" w:rsidRDefault="00A74A1E">
            <w:pPr>
              <w:rPr>
                <w:rFonts w:ascii="宋体"/>
              </w:rPr>
            </w:pPr>
          </w:p>
        </w:tc>
        <w:tc>
          <w:tcPr>
            <w:tcW w:w="0" w:type="auto"/>
            <w:shd w:val="clear" w:color="auto" w:fill="auto"/>
          </w:tcPr>
          <w:p w14:paraId="1426F9B2" w14:textId="77777777" w:rsidR="00A74A1E" w:rsidRDefault="00A74A1E">
            <w:pPr>
              <w:rPr>
                <w:rFonts w:ascii="宋体"/>
                <w:vanish/>
              </w:rPr>
            </w:pPr>
          </w:p>
        </w:tc>
        <w:tc>
          <w:tcPr>
            <w:tcW w:w="0" w:type="auto"/>
            <w:gridSpan w:val="3"/>
            <w:shd w:val="clear" w:color="auto" w:fill="auto"/>
          </w:tcPr>
          <w:p w14:paraId="1426F9B3" w14:textId="77777777" w:rsidR="00A74A1E" w:rsidRDefault="00A74A1E">
            <w:pPr>
              <w:rPr>
                <w:rFonts w:ascii="宋体"/>
                <w:vanish/>
              </w:rPr>
            </w:pPr>
          </w:p>
        </w:tc>
        <w:tc>
          <w:tcPr>
            <w:tcW w:w="0" w:type="auto"/>
            <w:shd w:val="clear" w:color="auto" w:fill="FFFFFF"/>
            <w:tcMar>
              <w:top w:w="40" w:type="dxa"/>
              <w:left w:w="20" w:type="dxa"/>
              <w:bottom w:w="40" w:type="dxa"/>
              <w:right w:w="0" w:type="dxa"/>
            </w:tcMar>
            <w:vAlign w:val="center"/>
          </w:tcPr>
          <w:p w14:paraId="1426F9B4" w14:textId="77777777" w:rsidR="00A74A1E" w:rsidRDefault="00807990">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426F9B5" w14:textId="77777777" w:rsidR="00A74A1E" w:rsidRDefault="00807990">
            <w:pPr>
              <w:jc w:val="right"/>
              <w:textAlignment w:val="center"/>
            </w:pPr>
            <w:r>
              <w:rPr>
                <w:rFonts w:ascii="Arial" w:eastAsia="宋体" w:hAnsi="Arial" w:cs="Arial"/>
                <w:color w:val="000000"/>
                <w:sz w:val="20"/>
                <w:szCs w:val="20"/>
              </w:rPr>
              <w:t>51 </w:t>
            </w:r>
          </w:p>
        </w:tc>
        <w:tc>
          <w:tcPr>
            <w:tcW w:w="0" w:type="auto"/>
            <w:shd w:val="clear" w:color="auto" w:fill="FFFFFF"/>
            <w:tcMar>
              <w:top w:w="40" w:type="dxa"/>
              <w:left w:w="0" w:type="dxa"/>
              <w:bottom w:w="40" w:type="dxa"/>
              <w:right w:w="20" w:type="dxa"/>
            </w:tcMar>
            <w:vAlign w:val="center"/>
          </w:tcPr>
          <w:p w14:paraId="1426F9B6" w14:textId="77777777" w:rsidR="00A74A1E" w:rsidRDefault="00A74A1E">
            <w:pPr>
              <w:jc w:val="right"/>
              <w:rPr>
                <w:rFonts w:ascii="宋体"/>
              </w:rPr>
            </w:pPr>
          </w:p>
        </w:tc>
        <w:tc>
          <w:tcPr>
            <w:tcW w:w="0" w:type="auto"/>
            <w:gridSpan w:val="3"/>
            <w:shd w:val="clear" w:color="auto" w:fill="auto"/>
          </w:tcPr>
          <w:p w14:paraId="1426F9B7" w14:textId="77777777" w:rsidR="00A74A1E" w:rsidRDefault="00A74A1E">
            <w:pPr>
              <w:rPr>
                <w:rFonts w:ascii="宋体"/>
                <w:vanish/>
              </w:rPr>
            </w:pPr>
          </w:p>
        </w:tc>
        <w:tc>
          <w:tcPr>
            <w:tcW w:w="0" w:type="auto"/>
            <w:gridSpan w:val="3"/>
            <w:shd w:val="clear" w:color="auto" w:fill="auto"/>
          </w:tcPr>
          <w:p w14:paraId="1426F9B8" w14:textId="77777777" w:rsidR="00A74A1E" w:rsidRDefault="00A74A1E">
            <w:pPr>
              <w:rPr>
                <w:rFonts w:ascii="宋体"/>
                <w:vanish/>
              </w:rPr>
            </w:pPr>
          </w:p>
        </w:tc>
        <w:tc>
          <w:tcPr>
            <w:tcW w:w="0" w:type="auto"/>
            <w:gridSpan w:val="3"/>
            <w:shd w:val="clear" w:color="auto" w:fill="auto"/>
          </w:tcPr>
          <w:p w14:paraId="1426F9B9" w14:textId="77777777" w:rsidR="00A74A1E" w:rsidRDefault="00A74A1E">
            <w:pPr>
              <w:rPr>
                <w:rFonts w:ascii="宋体"/>
                <w:vanish/>
              </w:rPr>
            </w:pPr>
          </w:p>
        </w:tc>
        <w:tc>
          <w:tcPr>
            <w:tcW w:w="0" w:type="auto"/>
            <w:gridSpan w:val="3"/>
            <w:shd w:val="clear" w:color="auto" w:fill="auto"/>
          </w:tcPr>
          <w:p w14:paraId="1426F9BA" w14:textId="77777777" w:rsidR="00A74A1E" w:rsidRDefault="00A74A1E">
            <w:pPr>
              <w:rPr>
                <w:rFonts w:ascii="宋体"/>
                <w:vanish/>
              </w:rPr>
            </w:pPr>
          </w:p>
        </w:tc>
      </w:tr>
      <w:tr w:rsidR="00A74A1E" w14:paraId="1426F9CA" w14:textId="77777777">
        <w:trPr>
          <w:jc w:val="center"/>
        </w:trPr>
        <w:tc>
          <w:tcPr>
            <w:tcW w:w="0" w:type="auto"/>
            <w:gridSpan w:val="3"/>
            <w:shd w:val="clear" w:color="auto" w:fill="CCEEFF"/>
            <w:tcMar>
              <w:top w:w="40" w:type="dxa"/>
              <w:left w:w="20" w:type="dxa"/>
              <w:bottom w:w="40" w:type="dxa"/>
              <w:right w:w="20" w:type="dxa"/>
            </w:tcMar>
            <w:vAlign w:val="center"/>
          </w:tcPr>
          <w:p w14:paraId="1426F9BC" w14:textId="77777777" w:rsidR="00A74A1E" w:rsidRDefault="00807990">
            <w:pPr>
              <w:textAlignment w:val="center"/>
            </w:pPr>
            <w:r>
              <w:rPr>
                <w:rFonts w:ascii="Arial" w:eastAsia="宋体" w:hAnsi="Arial" w:cs="Arial"/>
                <w:color w:val="000000"/>
                <w:sz w:val="20"/>
                <w:szCs w:val="20"/>
              </w:rPr>
              <w:t>Investing activities</w:t>
            </w:r>
          </w:p>
        </w:tc>
        <w:tc>
          <w:tcPr>
            <w:tcW w:w="0" w:type="auto"/>
            <w:shd w:val="clear" w:color="auto" w:fill="CCEEFF"/>
            <w:tcMar>
              <w:top w:w="40" w:type="dxa"/>
              <w:left w:w="20" w:type="dxa"/>
              <w:bottom w:w="40" w:type="dxa"/>
              <w:right w:w="0" w:type="dxa"/>
            </w:tcMar>
            <w:vAlign w:val="center"/>
          </w:tcPr>
          <w:p w14:paraId="1426F9BD"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9BE" w14:textId="77777777" w:rsidR="00A74A1E" w:rsidRDefault="00807990">
            <w:pPr>
              <w:jc w:val="right"/>
              <w:textAlignment w:val="center"/>
            </w:pPr>
            <w:r>
              <w:rPr>
                <w:rFonts w:ascii="Arial" w:eastAsia="宋体" w:hAnsi="Arial" w:cs="Arial"/>
                <w:color w:val="000000"/>
                <w:sz w:val="20"/>
                <w:szCs w:val="20"/>
              </w:rPr>
              <w:t>(658)</w:t>
            </w:r>
          </w:p>
        </w:tc>
        <w:tc>
          <w:tcPr>
            <w:tcW w:w="0" w:type="auto"/>
            <w:shd w:val="clear" w:color="auto" w:fill="CCEEFF"/>
            <w:tcMar>
              <w:top w:w="40" w:type="dxa"/>
              <w:left w:w="0" w:type="dxa"/>
              <w:bottom w:w="40" w:type="dxa"/>
              <w:right w:w="20" w:type="dxa"/>
            </w:tcMar>
            <w:vAlign w:val="center"/>
          </w:tcPr>
          <w:p w14:paraId="1426F9BF" w14:textId="77777777" w:rsidR="00A74A1E" w:rsidRDefault="00A74A1E">
            <w:pPr>
              <w:jc w:val="right"/>
              <w:rPr>
                <w:rFonts w:ascii="宋体"/>
              </w:rPr>
            </w:pPr>
          </w:p>
        </w:tc>
        <w:tc>
          <w:tcPr>
            <w:tcW w:w="0" w:type="auto"/>
            <w:gridSpan w:val="3"/>
            <w:shd w:val="clear" w:color="auto" w:fill="CCEEFF"/>
            <w:tcMar>
              <w:top w:w="0" w:type="dxa"/>
              <w:left w:w="20" w:type="dxa"/>
              <w:bottom w:w="0" w:type="dxa"/>
              <w:right w:w="20" w:type="dxa"/>
            </w:tcMar>
          </w:tcPr>
          <w:p w14:paraId="1426F9C0" w14:textId="77777777" w:rsidR="00A74A1E" w:rsidRDefault="00A74A1E">
            <w:pPr>
              <w:rPr>
                <w:rFonts w:ascii="宋体"/>
              </w:rPr>
            </w:pPr>
          </w:p>
        </w:tc>
        <w:tc>
          <w:tcPr>
            <w:tcW w:w="0" w:type="auto"/>
            <w:shd w:val="clear" w:color="auto" w:fill="auto"/>
          </w:tcPr>
          <w:p w14:paraId="1426F9C1" w14:textId="77777777" w:rsidR="00A74A1E" w:rsidRDefault="00A74A1E">
            <w:pPr>
              <w:rPr>
                <w:rFonts w:ascii="宋体"/>
                <w:vanish/>
              </w:rPr>
            </w:pPr>
          </w:p>
        </w:tc>
        <w:tc>
          <w:tcPr>
            <w:tcW w:w="0" w:type="auto"/>
            <w:gridSpan w:val="3"/>
            <w:shd w:val="clear" w:color="auto" w:fill="auto"/>
          </w:tcPr>
          <w:p w14:paraId="1426F9C2" w14:textId="77777777" w:rsidR="00A74A1E" w:rsidRDefault="00A74A1E">
            <w:pPr>
              <w:rPr>
                <w:rFonts w:ascii="宋体"/>
                <w:vanish/>
              </w:rPr>
            </w:pPr>
          </w:p>
        </w:tc>
        <w:tc>
          <w:tcPr>
            <w:tcW w:w="0" w:type="auto"/>
            <w:shd w:val="clear" w:color="auto" w:fill="CCEEFF"/>
            <w:tcMar>
              <w:top w:w="40" w:type="dxa"/>
              <w:left w:w="20" w:type="dxa"/>
              <w:bottom w:w="40" w:type="dxa"/>
              <w:right w:w="0" w:type="dxa"/>
            </w:tcMar>
            <w:vAlign w:val="center"/>
          </w:tcPr>
          <w:p w14:paraId="1426F9C3" w14:textId="77777777" w:rsidR="00A74A1E" w:rsidRDefault="00807990">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426F9C4" w14:textId="77777777" w:rsidR="00A74A1E" w:rsidRDefault="00807990">
            <w:pPr>
              <w:jc w:val="right"/>
              <w:textAlignment w:val="center"/>
            </w:pPr>
            <w:r>
              <w:rPr>
                <w:rFonts w:ascii="Arial" w:eastAsia="宋体" w:hAnsi="Arial" w:cs="Arial"/>
                <w:color w:val="000000"/>
                <w:sz w:val="20"/>
                <w:szCs w:val="20"/>
              </w:rPr>
              <w:t>(123)</w:t>
            </w:r>
          </w:p>
        </w:tc>
        <w:tc>
          <w:tcPr>
            <w:tcW w:w="0" w:type="auto"/>
            <w:shd w:val="clear" w:color="auto" w:fill="CCEEFF"/>
            <w:tcMar>
              <w:top w:w="40" w:type="dxa"/>
              <w:left w:w="0" w:type="dxa"/>
              <w:bottom w:w="40" w:type="dxa"/>
              <w:right w:w="20" w:type="dxa"/>
            </w:tcMar>
            <w:vAlign w:val="center"/>
          </w:tcPr>
          <w:p w14:paraId="1426F9C5" w14:textId="77777777" w:rsidR="00A74A1E" w:rsidRDefault="00A74A1E">
            <w:pPr>
              <w:jc w:val="right"/>
              <w:rPr>
                <w:rFonts w:ascii="宋体"/>
              </w:rPr>
            </w:pPr>
          </w:p>
        </w:tc>
        <w:tc>
          <w:tcPr>
            <w:tcW w:w="0" w:type="auto"/>
            <w:gridSpan w:val="3"/>
            <w:shd w:val="clear" w:color="auto" w:fill="auto"/>
          </w:tcPr>
          <w:p w14:paraId="1426F9C6" w14:textId="77777777" w:rsidR="00A74A1E" w:rsidRDefault="00A74A1E">
            <w:pPr>
              <w:rPr>
                <w:rFonts w:ascii="宋体"/>
                <w:vanish/>
              </w:rPr>
            </w:pPr>
          </w:p>
        </w:tc>
        <w:tc>
          <w:tcPr>
            <w:tcW w:w="0" w:type="auto"/>
            <w:gridSpan w:val="3"/>
            <w:shd w:val="clear" w:color="auto" w:fill="auto"/>
          </w:tcPr>
          <w:p w14:paraId="1426F9C7" w14:textId="77777777" w:rsidR="00A74A1E" w:rsidRDefault="00A74A1E">
            <w:pPr>
              <w:rPr>
                <w:rFonts w:ascii="宋体"/>
                <w:vanish/>
              </w:rPr>
            </w:pPr>
          </w:p>
        </w:tc>
        <w:tc>
          <w:tcPr>
            <w:tcW w:w="0" w:type="auto"/>
            <w:gridSpan w:val="3"/>
            <w:shd w:val="clear" w:color="auto" w:fill="auto"/>
          </w:tcPr>
          <w:p w14:paraId="1426F9C8" w14:textId="77777777" w:rsidR="00A74A1E" w:rsidRDefault="00A74A1E">
            <w:pPr>
              <w:rPr>
                <w:rFonts w:ascii="宋体"/>
                <w:vanish/>
              </w:rPr>
            </w:pPr>
          </w:p>
        </w:tc>
        <w:tc>
          <w:tcPr>
            <w:tcW w:w="0" w:type="auto"/>
            <w:gridSpan w:val="3"/>
            <w:shd w:val="clear" w:color="auto" w:fill="auto"/>
          </w:tcPr>
          <w:p w14:paraId="1426F9C9" w14:textId="77777777" w:rsidR="00A74A1E" w:rsidRDefault="00A74A1E">
            <w:pPr>
              <w:rPr>
                <w:rFonts w:ascii="宋体"/>
                <w:vanish/>
              </w:rPr>
            </w:pPr>
          </w:p>
        </w:tc>
      </w:tr>
      <w:tr w:rsidR="00A74A1E" w14:paraId="1426F9D9" w14:textId="77777777">
        <w:trPr>
          <w:jc w:val="center"/>
        </w:trPr>
        <w:tc>
          <w:tcPr>
            <w:tcW w:w="0" w:type="auto"/>
            <w:gridSpan w:val="3"/>
            <w:shd w:val="clear" w:color="auto" w:fill="FFFFFF"/>
            <w:tcMar>
              <w:top w:w="40" w:type="dxa"/>
              <w:left w:w="20" w:type="dxa"/>
              <w:bottom w:w="40" w:type="dxa"/>
              <w:right w:w="20" w:type="dxa"/>
            </w:tcMar>
            <w:vAlign w:val="center"/>
          </w:tcPr>
          <w:p w14:paraId="1426F9CB" w14:textId="77777777" w:rsidR="00A74A1E" w:rsidRDefault="00807990">
            <w:pPr>
              <w:textAlignment w:val="center"/>
            </w:pPr>
            <w:r>
              <w:rPr>
                <w:rFonts w:ascii="Arial" w:eastAsia="宋体" w:hAnsi="Arial" w:cs="Arial"/>
                <w:color w:val="000000"/>
                <w:sz w:val="20"/>
                <w:szCs w:val="20"/>
              </w:rPr>
              <w:t>Financing activities</w:t>
            </w:r>
          </w:p>
        </w:tc>
        <w:tc>
          <w:tcPr>
            <w:tcW w:w="0" w:type="auto"/>
            <w:shd w:val="clear" w:color="auto" w:fill="FFFFFF"/>
            <w:tcMar>
              <w:top w:w="40" w:type="dxa"/>
              <w:left w:w="20" w:type="dxa"/>
              <w:bottom w:w="40" w:type="dxa"/>
              <w:right w:w="0" w:type="dxa"/>
            </w:tcMar>
            <w:vAlign w:val="center"/>
          </w:tcPr>
          <w:p w14:paraId="1426F9CC" w14:textId="77777777" w:rsidR="00A74A1E" w:rsidRDefault="00807990">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426F9CD" w14:textId="77777777" w:rsidR="00A74A1E" w:rsidRDefault="00807990">
            <w:pPr>
              <w:jc w:val="right"/>
              <w:textAlignment w:val="center"/>
            </w:pPr>
            <w:r>
              <w:rPr>
                <w:rFonts w:ascii="Arial" w:eastAsia="宋体" w:hAnsi="Arial" w:cs="Arial"/>
                <w:color w:val="000000"/>
                <w:sz w:val="20"/>
                <w:szCs w:val="20"/>
              </w:rPr>
              <w:t>(29)</w:t>
            </w:r>
          </w:p>
        </w:tc>
        <w:tc>
          <w:tcPr>
            <w:tcW w:w="0" w:type="auto"/>
            <w:shd w:val="clear" w:color="auto" w:fill="FFFFFF"/>
            <w:tcMar>
              <w:top w:w="40" w:type="dxa"/>
              <w:left w:w="0" w:type="dxa"/>
              <w:bottom w:w="40" w:type="dxa"/>
              <w:right w:w="20" w:type="dxa"/>
            </w:tcMar>
            <w:vAlign w:val="center"/>
          </w:tcPr>
          <w:p w14:paraId="1426F9CE" w14:textId="77777777" w:rsidR="00A74A1E" w:rsidRDefault="00A74A1E">
            <w:pPr>
              <w:jc w:val="right"/>
              <w:rPr>
                <w:rFonts w:ascii="宋体"/>
              </w:rPr>
            </w:pPr>
          </w:p>
        </w:tc>
        <w:tc>
          <w:tcPr>
            <w:tcW w:w="0" w:type="auto"/>
            <w:gridSpan w:val="3"/>
            <w:shd w:val="clear" w:color="auto" w:fill="FFFFFF"/>
            <w:tcMar>
              <w:top w:w="0" w:type="dxa"/>
              <w:left w:w="20" w:type="dxa"/>
              <w:bottom w:w="0" w:type="dxa"/>
              <w:right w:w="20" w:type="dxa"/>
            </w:tcMar>
          </w:tcPr>
          <w:p w14:paraId="1426F9CF" w14:textId="77777777" w:rsidR="00A74A1E" w:rsidRDefault="00A74A1E">
            <w:pPr>
              <w:rPr>
                <w:rFonts w:ascii="宋体"/>
              </w:rPr>
            </w:pPr>
          </w:p>
        </w:tc>
        <w:tc>
          <w:tcPr>
            <w:tcW w:w="0" w:type="auto"/>
            <w:shd w:val="clear" w:color="auto" w:fill="auto"/>
          </w:tcPr>
          <w:p w14:paraId="1426F9D0" w14:textId="77777777" w:rsidR="00A74A1E" w:rsidRDefault="00A74A1E">
            <w:pPr>
              <w:rPr>
                <w:rFonts w:ascii="宋体"/>
                <w:vanish/>
              </w:rPr>
            </w:pPr>
          </w:p>
        </w:tc>
        <w:tc>
          <w:tcPr>
            <w:tcW w:w="0" w:type="auto"/>
            <w:gridSpan w:val="3"/>
            <w:shd w:val="clear" w:color="auto" w:fill="auto"/>
          </w:tcPr>
          <w:p w14:paraId="1426F9D1" w14:textId="77777777" w:rsidR="00A74A1E" w:rsidRDefault="00A74A1E">
            <w:pPr>
              <w:rPr>
                <w:rFonts w:ascii="宋体"/>
                <w:vanish/>
              </w:rPr>
            </w:pPr>
          </w:p>
        </w:tc>
        <w:tc>
          <w:tcPr>
            <w:tcW w:w="0" w:type="auto"/>
            <w:shd w:val="clear" w:color="auto" w:fill="FFFFFF"/>
            <w:tcMar>
              <w:top w:w="40" w:type="dxa"/>
              <w:left w:w="20" w:type="dxa"/>
              <w:bottom w:w="40" w:type="dxa"/>
              <w:right w:w="0" w:type="dxa"/>
            </w:tcMar>
            <w:vAlign w:val="center"/>
          </w:tcPr>
          <w:p w14:paraId="1426F9D2" w14:textId="77777777" w:rsidR="00A74A1E" w:rsidRDefault="00807990">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426F9D3" w14:textId="77777777" w:rsidR="00A74A1E" w:rsidRDefault="00807990">
            <w:pPr>
              <w:jc w:val="right"/>
              <w:textAlignment w:val="center"/>
            </w:pPr>
            <w:r>
              <w:rPr>
                <w:rFonts w:ascii="Arial" w:eastAsia="宋体" w:hAnsi="Arial" w:cs="Arial"/>
                <w:color w:val="000000"/>
                <w:sz w:val="20"/>
                <w:szCs w:val="20"/>
              </w:rPr>
              <w:t>150 </w:t>
            </w:r>
          </w:p>
        </w:tc>
        <w:tc>
          <w:tcPr>
            <w:tcW w:w="0" w:type="auto"/>
            <w:shd w:val="clear" w:color="auto" w:fill="FFFFFF"/>
            <w:tcMar>
              <w:top w:w="40" w:type="dxa"/>
              <w:left w:w="0" w:type="dxa"/>
              <w:bottom w:w="40" w:type="dxa"/>
              <w:right w:w="20" w:type="dxa"/>
            </w:tcMar>
            <w:vAlign w:val="center"/>
          </w:tcPr>
          <w:p w14:paraId="1426F9D4" w14:textId="77777777" w:rsidR="00A74A1E" w:rsidRDefault="00A74A1E">
            <w:pPr>
              <w:jc w:val="right"/>
              <w:rPr>
                <w:rFonts w:ascii="宋体"/>
              </w:rPr>
            </w:pPr>
          </w:p>
        </w:tc>
        <w:tc>
          <w:tcPr>
            <w:tcW w:w="0" w:type="auto"/>
            <w:gridSpan w:val="3"/>
            <w:shd w:val="clear" w:color="auto" w:fill="auto"/>
          </w:tcPr>
          <w:p w14:paraId="1426F9D5" w14:textId="77777777" w:rsidR="00A74A1E" w:rsidRDefault="00A74A1E">
            <w:pPr>
              <w:rPr>
                <w:rFonts w:ascii="宋体"/>
                <w:vanish/>
              </w:rPr>
            </w:pPr>
          </w:p>
        </w:tc>
        <w:tc>
          <w:tcPr>
            <w:tcW w:w="0" w:type="auto"/>
            <w:gridSpan w:val="3"/>
            <w:shd w:val="clear" w:color="auto" w:fill="auto"/>
          </w:tcPr>
          <w:p w14:paraId="1426F9D6" w14:textId="77777777" w:rsidR="00A74A1E" w:rsidRDefault="00A74A1E">
            <w:pPr>
              <w:rPr>
                <w:rFonts w:ascii="宋体"/>
                <w:vanish/>
              </w:rPr>
            </w:pPr>
          </w:p>
        </w:tc>
        <w:tc>
          <w:tcPr>
            <w:tcW w:w="0" w:type="auto"/>
            <w:gridSpan w:val="3"/>
            <w:shd w:val="clear" w:color="auto" w:fill="auto"/>
          </w:tcPr>
          <w:p w14:paraId="1426F9D7" w14:textId="77777777" w:rsidR="00A74A1E" w:rsidRDefault="00A74A1E">
            <w:pPr>
              <w:rPr>
                <w:rFonts w:ascii="宋体"/>
                <w:vanish/>
              </w:rPr>
            </w:pPr>
          </w:p>
        </w:tc>
        <w:tc>
          <w:tcPr>
            <w:tcW w:w="0" w:type="auto"/>
            <w:gridSpan w:val="3"/>
            <w:shd w:val="clear" w:color="auto" w:fill="auto"/>
          </w:tcPr>
          <w:p w14:paraId="1426F9D8" w14:textId="77777777" w:rsidR="00A74A1E" w:rsidRDefault="00A74A1E">
            <w:pPr>
              <w:rPr>
                <w:rFonts w:ascii="宋体"/>
                <w:vanish/>
              </w:rPr>
            </w:pPr>
          </w:p>
        </w:tc>
      </w:tr>
    </w:tbl>
    <w:p w14:paraId="1426F9DA" w14:textId="77777777" w:rsidR="00A74A1E" w:rsidRDefault="00807990">
      <w:pPr>
        <w:spacing w:before="180"/>
        <w:ind w:firstLine="450"/>
        <w:jc w:val="both"/>
      </w:pPr>
      <w:r>
        <w:rPr>
          <w:rFonts w:ascii="Arial" w:eastAsia="宋体" w:hAnsi="Arial" w:cs="Arial"/>
          <w:color w:val="000000"/>
          <w:sz w:val="20"/>
          <w:szCs w:val="20"/>
        </w:rPr>
        <w:t xml:space="preserve">The aggregate principal amount of our outstanding debt </w:t>
      </w:r>
      <w:r>
        <w:rPr>
          <w:rFonts w:ascii="Arial" w:eastAsia="宋体" w:hAnsi="Arial" w:cs="Arial"/>
          <w:color w:val="000000"/>
          <w:sz w:val="20"/>
          <w:szCs w:val="20"/>
        </w:rPr>
        <w:t>obligations was $398 million and $563 million as of September 26, 2020 and December 28, 2019, respectively.</w:t>
      </w:r>
    </w:p>
    <w:p w14:paraId="1426F9DB" w14:textId="77777777" w:rsidR="00A74A1E" w:rsidRDefault="00807990">
      <w:pPr>
        <w:spacing w:before="180"/>
        <w:ind w:firstLine="450"/>
        <w:jc w:val="both"/>
      </w:pPr>
      <w:r>
        <w:rPr>
          <w:rFonts w:ascii="Arial" w:eastAsia="宋体" w:hAnsi="Arial" w:cs="Arial"/>
          <w:color w:val="000000"/>
          <w:sz w:val="20"/>
          <w:szCs w:val="20"/>
        </w:rPr>
        <w:t xml:space="preserve">We believe our cash, cash equivalents and short-term investments along with our Revolving Facility will be sufficient to fund operations, including </w:t>
      </w:r>
      <w:r>
        <w:rPr>
          <w:rFonts w:ascii="Arial" w:eastAsia="宋体" w:hAnsi="Arial" w:cs="Arial"/>
          <w:color w:val="000000"/>
          <w:sz w:val="20"/>
          <w:szCs w:val="20"/>
        </w:rPr>
        <w:t xml:space="preserve">capital expenditures, over the next 12 months. We believe we will be able to access the capital markets should we require additional funds. However, we cannot assure that such funds will be available on favorable terms, or at all. </w:t>
      </w:r>
    </w:p>
    <w:p w14:paraId="1426F9DC" w14:textId="77777777" w:rsidR="00A74A1E" w:rsidRDefault="00A74A1E">
      <w:pPr>
        <w:ind w:firstLine="450"/>
        <w:jc w:val="both"/>
      </w:pPr>
    </w:p>
    <w:p w14:paraId="1426F9DD" w14:textId="77777777" w:rsidR="00A74A1E" w:rsidRDefault="00807990">
      <w:pPr>
        <w:jc w:val="both"/>
      </w:pPr>
      <w:r>
        <w:rPr>
          <w:rFonts w:ascii="Arial" w:eastAsia="宋体" w:hAnsi="Arial" w:cs="Arial"/>
          <w:b/>
          <w:bCs/>
          <w:i/>
          <w:iCs/>
          <w:color w:val="000000"/>
          <w:sz w:val="20"/>
          <w:szCs w:val="20"/>
        </w:rPr>
        <w:t>Operating Activities</w:t>
      </w:r>
    </w:p>
    <w:p w14:paraId="1426F9DE" w14:textId="77777777" w:rsidR="00A74A1E" w:rsidRDefault="00807990">
      <w:pPr>
        <w:spacing w:before="180"/>
        <w:ind w:firstLine="450"/>
        <w:jc w:val="both"/>
      </w:pPr>
      <w:r>
        <w:rPr>
          <w:rFonts w:ascii="Arial" w:eastAsia="宋体" w:hAnsi="Arial" w:cs="Arial"/>
          <w:color w:val="000000"/>
          <w:sz w:val="20"/>
          <w:szCs w:val="20"/>
        </w:rPr>
        <w:t>Ou</w:t>
      </w:r>
      <w:r>
        <w:rPr>
          <w:rFonts w:ascii="Arial" w:eastAsia="宋体" w:hAnsi="Arial" w:cs="Arial"/>
          <w:color w:val="000000"/>
          <w:sz w:val="20"/>
          <w:szCs w:val="20"/>
        </w:rPr>
        <w:t xml:space="preserve">r working capital cash inflows and outflows from operations are primarily cash collections from our customers, payments for inventory purchases and payments for employee-related expenditures. </w:t>
      </w:r>
    </w:p>
    <w:p w14:paraId="1426F9DF" w14:textId="77777777" w:rsidR="00A74A1E" w:rsidRDefault="00807990">
      <w:pPr>
        <w:spacing w:before="180"/>
        <w:ind w:firstLine="450"/>
        <w:jc w:val="both"/>
      </w:pPr>
      <w:r>
        <w:rPr>
          <w:rFonts w:ascii="Arial" w:eastAsia="宋体" w:hAnsi="Arial" w:cs="Arial"/>
          <w:color w:val="000000"/>
          <w:sz w:val="20"/>
          <w:szCs w:val="20"/>
        </w:rPr>
        <w:t>Net cash provided by operating activities was $517 million in the nine months ended September 26, 2020, primarily due to our net income of $709 million, adjusted for non-cash and non-operating charges of $538 million and net cash outflows of $730 million f</w:t>
      </w:r>
      <w:r>
        <w:rPr>
          <w:rFonts w:ascii="Arial" w:eastAsia="宋体" w:hAnsi="Arial" w:cs="Arial"/>
          <w:color w:val="000000"/>
          <w:sz w:val="20"/>
          <w:szCs w:val="20"/>
        </w:rPr>
        <w:t xml:space="preserve">rom changes in our operating assets and liabilities. The primary drivers of the changes in operating assets and liabilities included a $287 million increase in accounts receivable driven primarily by higher revenue in the third quarter of 2020 compared to </w:t>
      </w:r>
      <w:r>
        <w:rPr>
          <w:rFonts w:ascii="Arial" w:eastAsia="宋体" w:hAnsi="Arial" w:cs="Arial"/>
          <w:color w:val="000000"/>
          <w:sz w:val="20"/>
          <w:szCs w:val="20"/>
        </w:rPr>
        <w:t xml:space="preserve">the fourth quarter of 2019, partially offset by higher collections due to better revenue linearity in the third quarter of 2020 </w:t>
      </w:r>
      <w:r>
        <w:rPr>
          <w:rFonts w:ascii="Arial" w:eastAsia="宋体" w:hAnsi="Arial" w:cs="Arial"/>
          <w:color w:val="000000"/>
          <w:sz w:val="20"/>
          <w:szCs w:val="20"/>
          <w:shd w:val="clear" w:color="auto" w:fill="FFFFFF"/>
        </w:rPr>
        <w:t xml:space="preserve">compared to the fourth quarter of 2019, </w:t>
      </w:r>
      <w:r>
        <w:rPr>
          <w:rFonts w:ascii="Arial" w:eastAsia="宋体" w:hAnsi="Arial" w:cs="Arial"/>
          <w:color w:val="000000"/>
          <w:sz w:val="20"/>
          <w:szCs w:val="20"/>
        </w:rPr>
        <w:t>a $310 million increase in inventories driven by an increase in product build, and a $17</w:t>
      </w:r>
      <w:r>
        <w:rPr>
          <w:rFonts w:ascii="Arial" w:eastAsia="宋体" w:hAnsi="Arial" w:cs="Arial"/>
          <w:color w:val="000000"/>
          <w:sz w:val="20"/>
          <w:szCs w:val="20"/>
        </w:rPr>
        <w:t>2 million increase in prepaid expenses and other assets due primarily to an increase in vendor credits.</w:t>
      </w:r>
    </w:p>
    <w:p w14:paraId="1426F9E0" w14:textId="77777777" w:rsidR="00A74A1E" w:rsidRDefault="00807990">
      <w:pPr>
        <w:jc w:val="center"/>
      </w:pPr>
      <w:r>
        <w:rPr>
          <w:rFonts w:ascii="Arial" w:eastAsia="宋体" w:hAnsi="Arial" w:cs="Arial"/>
          <w:color w:val="000000"/>
          <w:sz w:val="20"/>
          <w:szCs w:val="20"/>
        </w:rPr>
        <w:t>25</w:t>
      </w:r>
    </w:p>
    <w:p w14:paraId="1426F9E1" w14:textId="77777777" w:rsidR="00A74A1E" w:rsidRDefault="00807990">
      <w:r>
        <w:pict w14:anchorId="1426FC24">
          <v:rect id="_x0000_i1049" style="width:415.3pt;height:1.5pt" o:hralign="center" o:hrstd="t" o:hr="t" fillcolor="#a0a0a0" stroked="f"/>
        </w:pict>
      </w:r>
    </w:p>
    <w:p w14:paraId="1426F9E2" w14:textId="77777777" w:rsidR="00A74A1E" w:rsidRDefault="00A74A1E">
      <w:pPr>
        <w:spacing w:before="60"/>
      </w:pPr>
    </w:p>
    <w:p w14:paraId="1426F9E3" w14:textId="77777777" w:rsidR="00A74A1E" w:rsidRDefault="00807990">
      <w:pPr>
        <w:spacing w:before="180"/>
        <w:ind w:firstLine="450"/>
        <w:jc w:val="both"/>
      </w:pPr>
      <w:r>
        <w:rPr>
          <w:rFonts w:ascii="Arial" w:eastAsia="宋体" w:hAnsi="Arial" w:cs="Arial"/>
          <w:color w:val="000000"/>
          <w:sz w:val="20"/>
          <w:szCs w:val="20"/>
        </w:rPr>
        <w:t>Net cash provided by operating activities was $51 million for the nine months ended September 28, 2019, primarily due to our net income of $171 mi</w:t>
      </w:r>
      <w:r>
        <w:rPr>
          <w:rFonts w:ascii="Arial" w:eastAsia="宋体" w:hAnsi="Arial" w:cs="Arial"/>
          <w:color w:val="000000"/>
          <w:sz w:val="20"/>
          <w:szCs w:val="20"/>
        </w:rPr>
        <w:t>llion, adjusted for non-cash and non-operating charges of $419 million and net cash outflows of $539 million from changes in our operating assets and liabilities. The primary drivers of the changes in operating assets and liabilities included a $158 millio</w:t>
      </w:r>
      <w:r>
        <w:rPr>
          <w:rFonts w:ascii="Arial" w:eastAsia="宋体" w:hAnsi="Arial" w:cs="Arial"/>
          <w:color w:val="000000"/>
          <w:sz w:val="20"/>
          <w:szCs w:val="20"/>
        </w:rPr>
        <w:t xml:space="preserve">n increase in accounts receivable </w:t>
      </w:r>
      <w:r>
        <w:rPr>
          <w:rFonts w:ascii="Arial" w:eastAsia="宋体" w:hAnsi="Arial" w:cs="Arial"/>
          <w:color w:val="000000"/>
          <w:sz w:val="20"/>
          <w:szCs w:val="20"/>
          <w:shd w:val="clear" w:color="auto" w:fill="FFFFFF"/>
        </w:rPr>
        <w:t>driven primarily by higher revenue in the third quarter of 2019 compared to the fourth quarter of 2018 partially offset by lower unbilled receivables, and a $195 million increase in inventories primarily driven by an incre</w:t>
      </w:r>
      <w:r>
        <w:rPr>
          <w:rFonts w:ascii="Arial" w:eastAsia="宋体" w:hAnsi="Arial" w:cs="Arial"/>
          <w:color w:val="000000"/>
          <w:sz w:val="20"/>
          <w:szCs w:val="20"/>
          <w:shd w:val="clear" w:color="auto" w:fill="FFFFFF"/>
        </w:rPr>
        <w:t>ase in wafer purchases during the third quarter of 2019 compared to the fourth quarter of 2018,</w:t>
      </w:r>
      <w:r>
        <w:rPr>
          <w:rFonts w:ascii="Arial" w:eastAsia="宋体" w:hAnsi="Arial" w:cs="Arial"/>
          <w:color w:val="000000"/>
          <w:sz w:val="20"/>
          <w:szCs w:val="20"/>
        </w:rPr>
        <w:t xml:space="preserve"> a $179 million decrease in accounts payable, accrued liabilities and other </w:t>
      </w:r>
      <w:r>
        <w:rPr>
          <w:rFonts w:ascii="Arial" w:eastAsia="宋体" w:hAnsi="Arial" w:cs="Arial"/>
          <w:color w:val="000000"/>
          <w:sz w:val="20"/>
          <w:szCs w:val="20"/>
          <w:shd w:val="clear" w:color="auto" w:fill="FFFFFF"/>
        </w:rPr>
        <w:t xml:space="preserve">primarily </w:t>
      </w:r>
      <w:r>
        <w:rPr>
          <w:rFonts w:ascii="Arial" w:eastAsia="宋体" w:hAnsi="Arial" w:cs="Arial"/>
          <w:color w:val="000000"/>
          <w:sz w:val="20"/>
          <w:szCs w:val="20"/>
        </w:rPr>
        <w:t>driven by less inventory purchases in the latter half of</w:t>
      </w:r>
      <w:r>
        <w:rPr>
          <w:rFonts w:ascii="Arial" w:eastAsia="宋体" w:hAnsi="Arial" w:cs="Arial"/>
          <w:color w:val="000000"/>
          <w:sz w:val="20"/>
          <w:szCs w:val="20"/>
          <w:shd w:val="clear" w:color="auto" w:fill="FFFFFF"/>
        </w:rPr>
        <w:t xml:space="preserve"> the third quarter </w:t>
      </w:r>
      <w:r>
        <w:rPr>
          <w:rFonts w:ascii="Arial" w:eastAsia="宋体" w:hAnsi="Arial" w:cs="Arial"/>
          <w:color w:val="000000"/>
          <w:sz w:val="20"/>
          <w:szCs w:val="20"/>
          <w:shd w:val="clear" w:color="auto" w:fill="FFFFFF"/>
        </w:rPr>
        <w:t>of 2019</w:t>
      </w:r>
      <w:r>
        <w:rPr>
          <w:rFonts w:ascii="Arial" w:eastAsia="宋体" w:hAnsi="Arial" w:cs="Arial"/>
          <w:color w:val="000000"/>
          <w:sz w:val="20"/>
          <w:szCs w:val="20"/>
        </w:rPr>
        <w:t xml:space="preserve"> compared to </w:t>
      </w:r>
      <w:r>
        <w:rPr>
          <w:rFonts w:ascii="Arial" w:eastAsia="宋体" w:hAnsi="Arial" w:cs="Arial"/>
          <w:color w:val="000000"/>
          <w:sz w:val="20"/>
          <w:szCs w:val="20"/>
          <w:shd w:val="clear" w:color="auto" w:fill="FFFFFF"/>
        </w:rPr>
        <w:t>the fourth quarter of 2018</w:t>
      </w:r>
      <w:r>
        <w:rPr>
          <w:rFonts w:ascii="Arial" w:eastAsia="宋体" w:hAnsi="Arial" w:cs="Arial"/>
          <w:color w:val="000000"/>
          <w:sz w:val="20"/>
          <w:szCs w:val="20"/>
        </w:rPr>
        <w:t>.</w:t>
      </w:r>
    </w:p>
    <w:p w14:paraId="1426F9E4" w14:textId="77777777" w:rsidR="00A74A1E" w:rsidRDefault="00807990">
      <w:pPr>
        <w:spacing w:before="280"/>
        <w:jc w:val="both"/>
      </w:pPr>
      <w:r>
        <w:rPr>
          <w:rFonts w:ascii="Arial" w:eastAsia="宋体" w:hAnsi="Arial" w:cs="Arial"/>
          <w:b/>
          <w:bCs/>
          <w:i/>
          <w:iCs/>
          <w:color w:val="000000"/>
          <w:sz w:val="20"/>
          <w:szCs w:val="20"/>
        </w:rPr>
        <w:t>Investing Activities</w:t>
      </w:r>
    </w:p>
    <w:p w14:paraId="1426F9E5" w14:textId="77777777" w:rsidR="00A74A1E" w:rsidRDefault="00807990">
      <w:pPr>
        <w:spacing w:before="180" w:after="100"/>
        <w:ind w:firstLine="450"/>
        <w:jc w:val="both"/>
      </w:pPr>
      <w:r>
        <w:rPr>
          <w:rFonts w:ascii="Arial" w:eastAsia="宋体" w:hAnsi="Arial" w:cs="Arial"/>
          <w:color w:val="000000"/>
          <w:sz w:val="20"/>
          <w:szCs w:val="20"/>
        </w:rPr>
        <w:t xml:space="preserve">Net cash used in investing activities was $658 million for the nine months ended September 26, 2020, which primarily consisted of $530 million for purchases of short-term investments and </w:t>
      </w:r>
      <w:r>
        <w:rPr>
          <w:rFonts w:ascii="Arial" w:eastAsia="宋体" w:hAnsi="Arial" w:cs="Arial"/>
          <w:color w:val="000000"/>
          <w:sz w:val="20"/>
          <w:szCs w:val="20"/>
        </w:rPr>
        <w:t>$220 million for purchases of property and equipment, partially offset by $92 million for maturities of short-term investments.</w:t>
      </w:r>
    </w:p>
    <w:p w14:paraId="1426F9E6" w14:textId="77777777" w:rsidR="00A74A1E" w:rsidRDefault="00807990">
      <w:pPr>
        <w:spacing w:before="90"/>
        <w:ind w:firstLine="450"/>
        <w:jc w:val="both"/>
      </w:pPr>
      <w:r>
        <w:rPr>
          <w:rFonts w:ascii="Arial" w:eastAsia="宋体" w:hAnsi="Arial" w:cs="Arial"/>
          <w:color w:val="000000"/>
          <w:sz w:val="20"/>
          <w:szCs w:val="20"/>
        </w:rPr>
        <w:t>Net cash used in investing activities was $123 million for the nine months ended September 28, 2019, which primarily consisted o</w:t>
      </w:r>
      <w:r>
        <w:rPr>
          <w:rFonts w:ascii="Arial" w:eastAsia="宋体" w:hAnsi="Arial" w:cs="Arial"/>
          <w:color w:val="000000"/>
          <w:sz w:val="20"/>
          <w:szCs w:val="20"/>
        </w:rPr>
        <w:t>f $284 million for purchases of available-for-sale debt securities and $175 million for purchases of property and equipment, partially offset by $309 million for maturities of available-for-sale debt securities.</w:t>
      </w:r>
    </w:p>
    <w:p w14:paraId="1426F9E7" w14:textId="77777777" w:rsidR="00A74A1E" w:rsidRDefault="00807990">
      <w:pPr>
        <w:spacing w:before="280"/>
        <w:jc w:val="both"/>
      </w:pPr>
      <w:r>
        <w:rPr>
          <w:rFonts w:ascii="Arial" w:eastAsia="宋体" w:hAnsi="Arial" w:cs="Arial"/>
          <w:b/>
          <w:bCs/>
          <w:i/>
          <w:iCs/>
          <w:color w:val="000000"/>
          <w:sz w:val="20"/>
          <w:szCs w:val="20"/>
        </w:rPr>
        <w:t>Financing Activities</w:t>
      </w:r>
    </w:p>
    <w:p w14:paraId="1426F9E8" w14:textId="77777777" w:rsidR="00A74A1E" w:rsidRDefault="00807990">
      <w:pPr>
        <w:spacing w:before="180" w:after="100"/>
        <w:ind w:firstLine="450"/>
        <w:jc w:val="both"/>
      </w:pPr>
      <w:r>
        <w:rPr>
          <w:rFonts w:ascii="Arial" w:eastAsia="宋体" w:hAnsi="Arial" w:cs="Arial"/>
          <w:color w:val="000000"/>
          <w:sz w:val="20"/>
          <w:szCs w:val="20"/>
        </w:rPr>
        <w:t>Net cash used in financ</w:t>
      </w:r>
      <w:r>
        <w:rPr>
          <w:rFonts w:ascii="Arial" w:eastAsia="宋体" w:hAnsi="Arial" w:cs="Arial"/>
          <w:color w:val="000000"/>
          <w:sz w:val="20"/>
          <w:szCs w:val="20"/>
        </w:rPr>
        <w:t>ing activities was $29 million for the nine months ended September 26, 2020, which primarily consisted of common stock repurchased for tax withholding on employee equity plans of</w:t>
      </w:r>
      <w:r>
        <w:rPr>
          <w:rFonts w:ascii="Arial" w:eastAsia="宋体" w:hAnsi="Arial" w:cs="Arial"/>
          <w:color w:val="000000"/>
        </w:rPr>
        <w:t xml:space="preserve"> </w:t>
      </w:r>
      <w:r>
        <w:rPr>
          <w:rFonts w:ascii="Arial" w:eastAsia="宋体" w:hAnsi="Arial" w:cs="Arial"/>
          <w:color w:val="000000"/>
          <w:sz w:val="20"/>
          <w:szCs w:val="20"/>
        </w:rPr>
        <w:t>$73 million, partially offset by proceeds from the issuance of common stock u</w:t>
      </w:r>
      <w:r>
        <w:rPr>
          <w:rFonts w:ascii="Arial" w:eastAsia="宋体" w:hAnsi="Arial" w:cs="Arial"/>
          <w:color w:val="000000"/>
          <w:sz w:val="20"/>
          <w:szCs w:val="20"/>
        </w:rPr>
        <w:t>nder our employee equity plans of $45 million. We borrowed $200 million short-term debt and paid off the balance during the nine months ended September 26, 2020.</w:t>
      </w:r>
    </w:p>
    <w:p w14:paraId="1426F9E9" w14:textId="77777777" w:rsidR="00A74A1E" w:rsidRDefault="00807990">
      <w:pPr>
        <w:spacing w:before="90"/>
        <w:ind w:firstLine="450"/>
        <w:jc w:val="both"/>
      </w:pPr>
      <w:r>
        <w:rPr>
          <w:rFonts w:ascii="Arial" w:eastAsia="宋体" w:hAnsi="Arial" w:cs="Arial"/>
          <w:color w:val="000000"/>
          <w:sz w:val="20"/>
          <w:szCs w:val="20"/>
        </w:rPr>
        <w:t>Net cash provided by financing activities was $150 million for the nine months ended September</w:t>
      </w:r>
      <w:r>
        <w:rPr>
          <w:rFonts w:ascii="Arial" w:eastAsia="宋体" w:hAnsi="Arial" w:cs="Arial"/>
          <w:color w:val="000000"/>
          <w:sz w:val="20"/>
          <w:szCs w:val="20"/>
        </w:rPr>
        <w:t xml:space="preserve"> 28, 2019, which primarily consisted of a cash inflow of $449 million from the warrant exercised by West Coast Hitech L.P. and $38 million from the issuance of common stock under our employee equity plans, partially offset by $331 million cash outflows for</w:t>
      </w:r>
      <w:r>
        <w:rPr>
          <w:rFonts w:ascii="Arial" w:eastAsia="宋体" w:hAnsi="Arial" w:cs="Arial"/>
          <w:color w:val="000000"/>
          <w:sz w:val="20"/>
          <w:szCs w:val="20"/>
        </w:rPr>
        <w:t xml:space="preserve"> the redemption of our 6.75% Senior Notes due 2019, repurchase of some of our 7.50% Senior Notes due 2020 and 7.00% Senior Notes due 2024, and repayment of our outstanding loan balance of $70 million when we terminated our secured revolving line of credit </w:t>
      </w:r>
      <w:r>
        <w:rPr>
          <w:rFonts w:ascii="Arial" w:eastAsia="宋体" w:hAnsi="Arial" w:cs="Arial"/>
          <w:color w:val="000000"/>
          <w:sz w:val="20"/>
          <w:szCs w:val="20"/>
        </w:rPr>
        <w:t xml:space="preserve">under the Amended and Restated Loan and Security Agreement dated as of April 14, 2015. </w:t>
      </w:r>
    </w:p>
    <w:p w14:paraId="1426F9EA" w14:textId="77777777" w:rsidR="00A74A1E" w:rsidRDefault="00A74A1E">
      <w:pPr>
        <w:ind w:firstLine="450"/>
        <w:jc w:val="both"/>
      </w:pPr>
    </w:p>
    <w:p w14:paraId="1426F9EB" w14:textId="77777777" w:rsidR="00A74A1E" w:rsidRDefault="00807990">
      <w:pPr>
        <w:jc w:val="both"/>
      </w:pPr>
      <w:r>
        <w:rPr>
          <w:rFonts w:ascii="Arial" w:eastAsia="宋体" w:hAnsi="Arial" w:cs="Arial"/>
          <w:b/>
          <w:bCs/>
          <w:color w:val="000000"/>
          <w:sz w:val="20"/>
          <w:szCs w:val="20"/>
        </w:rPr>
        <w:t xml:space="preserve">Contractual Obligations </w:t>
      </w:r>
    </w:p>
    <w:p w14:paraId="1426F9EC" w14:textId="77777777" w:rsidR="00A74A1E" w:rsidRDefault="00807990">
      <w:pPr>
        <w:spacing w:before="180" w:after="100"/>
        <w:ind w:firstLine="450"/>
        <w:jc w:val="both"/>
      </w:pPr>
      <w:r>
        <w:rPr>
          <w:rFonts w:ascii="Arial" w:eastAsia="宋体" w:hAnsi="Arial" w:cs="Arial"/>
          <w:color w:val="000000"/>
          <w:sz w:val="20"/>
          <w:szCs w:val="20"/>
        </w:rPr>
        <w:t>Other than the conversion of $165 million principal amount of our 2.125% Notes, there were no other material changes outside the ordinary cour</w:t>
      </w:r>
      <w:r>
        <w:rPr>
          <w:rFonts w:ascii="Arial" w:eastAsia="宋体" w:hAnsi="Arial" w:cs="Arial"/>
          <w:color w:val="000000"/>
          <w:sz w:val="20"/>
          <w:szCs w:val="20"/>
        </w:rPr>
        <w:t xml:space="preserve">se of business in our contractual obligations from those disclosed in our Annual Report on Form 10-K for the fiscal year ended December 28, 2019. </w:t>
      </w:r>
    </w:p>
    <w:p w14:paraId="1426F9ED" w14:textId="77777777" w:rsidR="00A74A1E" w:rsidRDefault="00807990">
      <w:pPr>
        <w:spacing w:before="180"/>
        <w:ind w:firstLine="450"/>
        <w:jc w:val="both"/>
      </w:pPr>
      <w:r>
        <w:rPr>
          <w:rFonts w:ascii="Arial" w:eastAsia="宋体" w:hAnsi="Arial" w:cs="Arial"/>
          <w:color w:val="000000"/>
          <w:sz w:val="20"/>
          <w:szCs w:val="20"/>
        </w:rPr>
        <w:t>Refer to Item 7, “Management’s Discussion and Analysis of Financial Condition and Results of Operations - Liq</w:t>
      </w:r>
      <w:r>
        <w:rPr>
          <w:rFonts w:ascii="Arial" w:eastAsia="宋体" w:hAnsi="Arial" w:cs="Arial"/>
          <w:color w:val="000000"/>
          <w:sz w:val="20"/>
          <w:szCs w:val="20"/>
        </w:rPr>
        <w:t>uidity and Capital Resources” in our Annual Report on Form 10-K for the fiscal year ended December 28, 2019 for details of our contractual obligations.</w:t>
      </w:r>
    </w:p>
    <w:p w14:paraId="1426F9EE" w14:textId="77777777" w:rsidR="00A74A1E" w:rsidRDefault="00A74A1E">
      <w:pPr>
        <w:ind w:firstLine="450"/>
        <w:jc w:val="both"/>
      </w:pPr>
    </w:p>
    <w:p w14:paraId="1426F9EF" w14:textId="77777777" w:rsidR="00A74A1E" w:rsidRDefault="00807990">
      <w:pPr>
        <w:jc w:val="both"/>
      </w:pPr>
      <w:r>
        <w:rPr>
          <w:rFonts w:ascii="Arial" w:eastAsia="宋体" w:hAnsi="Arial" w:cs="Arial"/>
          <w:b/>
          <w:bCs/>
          <w:color w:val="000000"/>
          <w:sz w:val="20"/>
          <w:szCs w:val="20"/>
        </w:rPr>
        <w:t>Off-Balance Sheet Arrangements</w:t>
      </w:r>
    </w:p>
    <w:p w14:paraId="1426F9F0" w14:textId="77777777" w:rsidR="00A74A1E" w:rsidRDefault="00807990">
      <w:pPr>
        <w:spacing w:before="180"/>
        <w:ind w:firstLine="450"/>
        <w:jc w:val="both"/>
      </w:pPr>
      <w:r>
        <w:rPr>
          <w:rFonts w:ascii="Arial" w:eastAsia="宋体" w:hAnsi="Arial" w:cs="Arial"/>
          <w:color w:val="000000"/>
          <w:sz w:val="20"/>
          <w:szCs w:val="20"/>
        </w:rPr>
        <w:t xml:space="preserve">As of September 26, 2020, we had no off-balance sheet </w:t>
      </w:r>
      <w:r>
        <w:rPr>
          <w:rFonts w:ascii="Arial" w:eastAsia="宋体" w:hAnsi="Arial" w:cs="Arial"/>
          <w:color w:val="000000"/>
          <w:sz w:val="20"/>
          <w:szCs w:val="20"/>
        </w:rPr>
        <w:t>arrangements.</w:t>
      </w:r>
    </w:p>
    <w:p w14:paraId="1426F9F1" w14:textId="77777777" w:rsidR="00A74A1E" w:rsidRDefault="00A74A1E">
      <w:pPr>
        <w:ind w:firstLine="450"/>
        <w:jc w:val="both"/>
      </w:pPr>
    </w:p>
    <w:p w14:paraId="1426F9F2" w14:textId="77777777" w:rsidR="00A74A1E" w:rsidRDefault="00807990">
      <w:pPr>
        <w:jc w:val="center"/>
      </w:pPr>
      <w:r>
        <w:rPr>
          <w:rFonts w:ascii="Arial" w:eastAsia="宋体" w:hAnsi="Arial" w:cs="Arial"/>
          <w:color w:val="000000"/>
          <w:sz w:val="20"/>
          <w:szCs w:val="20"/>
        </w:rPr>
        <w:t>26</w:t>
      </w:r>
    </w:p>
    <w:p w14:paraId="1426F9F3" w14:textId="77777777" w:rsidR="00A74A1E" w:rsidRDefault="00807990">
      <w:r>
        <w:pict w14:anchorId="1426FC25">
          <v:rect id="_x0000_i1050" style="width:415.3pt;height:1.5pt" o:hralign="center" o:hrstd="t" o:hr="t" fillcolor="#a0a0a0" stroked="f"/>
        </w:pict>
      </w:r>
    </w:p>
    <w:p w14:paraId="1426F9F4" w14:textId="77777777" w:rsidR="00A74A1E" w:rsidRDefault="00A74A1E">
      <w:pPr>
        <w:spacing w:before="60"/>
      </w:pPr>
    </w:p>
    <w:p w14:paraId="1426F9F5" w14:textId="77777777" w:rsidR="00A74A1E" w:rsidRDefault="00807990">
      <w:pPr>
        <w:jc w:val="both"/>
      </w:pPr>
      <w:r>
        <w:rPr>
          <w:rFonts w:ascii="Arial" w:eastAsia="宋体" w:hAnsi="Arial" w:cs="Arial"/>
          <w:b/>
          <w:bCs/>
          <w:color w:val="000000"/>
          <w:sz w:val="20"/>
          <w:szCs w:val="20"/>
        </w:rPr>
        <w:t>Critical Accounting Estimates</w:t>
      </w:r>
    </w:p>
    <w:p w14:paraId="1426F9F6" w14:textId="77777777" w:rsidR="00A74A1E" w:rsidRDefault="00807990">
      <w:pPr>
        <w:spacing w:before="180"/>
        <w:ind w:firstLine="450"/>
        <w:jc w:val="both"/>
      </w:pPr>
      <w:r>
        <w:rPr>
          <w:rFonts w:ascii="Arial" w:eastAsia="宋体" w:hAnsi="Arial" w:cs="Arial"/>
          <w:color w:val="000000"/>
          <w:sz w:val="20"/>
          <w:szCs w:val="20"/>
        </w:rPr>
        <w:t>Our discussion and analysis of our financial condition and results of operations are based upon our condensed consolidated financial statements, which have been prepared in accordance with U.S. generally a</w:t>
      </w:r>
      <w:r>
        <w:rPr>
          <w:rFonts w:ascii="Arial" w:eastAsia="宋体" w:hAnsi="Arial" w:cs="Arial"/>
          <w:color w:val="000000"/>
          <w:sz w:val="20"/>
          <w:szCs w:val="20"/>
        </w:rPr>
        <w:t>ccepted accounting principles (U.S. GAAP). The preparation of our financial statements requires us to make estimates and judgments that affect the reported amounts in our condensed consolidated financial statements. We evaluate our estimates on an on-going</w:t>
      </w:r>
      <w:r>
        <w:rPr>
          <w:rFonts w:ascii="Arial" w:eastAsia="宋体" w:hAnsi="Arial" w:cs="Arial"/>
          <w:color w:val="000000"/>
          <w:sz w:val="20"/>
          <w:szCs w:val="20"/>
        </w:rPr>
        <w:t xml:space="preserve"> basis, including those related to our net revenue, inventories, asset impairments and income taxes. We base our estimates on historical experience and on various other assumptions that we believe to be reasonable under the circumstances, the results of wh</w:t>
      </w:r>
      <w:r>
        <w:rPr>
          <w:rFonts w:ascii="Arial" w:eastAsia="宋体" w:hAnsi="Arial" w:cs="Arial"/>
          <w:color w:val="000000"/>
          <w:sz w:val="20"/>
          <w:szCs w:val="20"/>
        </w:rPr>
        <w:t xml:space="preserve">ich form the basis for making judgments about the carrying values of our assets and liabilities. Although actual results have historically been reasonably consistent with management’s expectations, the actual results may differ from these estimates or our </w:t>
      </w:r>
      <w:r>
        <w:rPr>
          <w:rFonts w:ascii="Arial" w:eastAsia="宋体" w:hAnsi="Arial" w:cs="Arial"/>
          <w:color w:val="000000"/>
          <w:sz w:val="20"/>
          <w:szCs w:val="20"/>
        </w:rPr>
        <w:t>estimates may be affected by different assumptions or conditions.</w:t>
      </w:r>
    </w:p>
    <w:p w14:paraId="1426F9F7" w14:textId="77777777" w:rsidR="00A74A1E" w:rsidRDefault="00807990">
      <w:pPr>
        <w:spacing w:before="180"/>
        <w:ind w:firstLine="450"/>
        <w:jc w:val="both"/>
      </w:pPr>
      <w:r>
        <w:rPr>
          <w:rFonts w:ascii="Arial" w:eastAsia="宋体" w:hAnsi="Arial" w:cs="Arial"/>
          <w:color w:val="000000"/>
          <w:sz w:val="20"/>
          <w:szCs w:val="20"/>
        </w:rPr>
        <w:t>The following reflect updates to our disclosures of certain of our critical accounting estimates compared to the items that we disclosed as our critical accounting estimates in the Managemen</w:t>
      </w:r>
      <w:r>
        <w:rPr>
          <w:rFonts w:ascii="Arial" w:eastAsia="宋体" w:hAnsi="Arial" w:cs="Arial"/>
          <w:color w:val="000000"/>
          <w:sz w:val="20"/>
          <w:szCs w:val="20"/>
        </w:rPr>
        <w:t>t’s Discussion and Analysis of Financial Condition and Results of Operations section of our Annual Report on Form 10-K for the fiscal year ended December 28, 2019.</w:t>
      </w:r>
    </w:p>
    <w:p w14:paraId="1426F9F8" w14:textId="77777777" w:rsidR="00A74A1E" w:rsidRDefault="00807990">
      <w:pPr>
        <w:spacing w:before="180"/>
        <w:ind w:firstLine="450"/>
        <w:jc w:val="both"/>
      </w:pPr>
      <w:r>
        <w:rPr>
          <w:rFonts w:ascii="Arial" w:eastAsia="宋体" w:hAnsi="Arial" w:cs="Arial"/>
          <w:i/>
          <w:iCs/>
          <w:color w:val="000000"/>
          <w:sz w:val="20"/>
          <w:szCs w:val="20"/>
        </w:rPr>
        <w:t>Revenue Allowances.</w:t>
      </w:r>
      <w:r>
        <w:rPr>
          <w:rFonts w:ascii="Arial" w:eastAsia="宋体" w:hAnsi="Arial" w:cs="Arial"/>
          <w:color w:val="000000"/>
          <w:sz w:val="20"/>
          <w:szCs w:val="20"/>
        </w:rPr>
        <w:t xml:space="preserve"> Revenue contracts with our customers include variable amounts which we </w:t>
      </w:r>
      <w:r>
        <w:rPr>
          <w:rFonts w:ascii="Arial" w:eastAsia="宋体" w:hAnsi="Arial" w:cs="Arial"/>
          <w:color w:val="000000"/>
          <w:sz w:val="20"/>
          <w:szCs w:val="20"/>
        </w:rPr>
        <w:t xml:space="preserve">evaluate under ASC 606-10-32-8 through 14 in order to determine the net amount of consideration to which we are entitled and which we recognize as revenue. We determine the net amount of consideration to which we are entitled by estimating the most likely </w:t>
      </w:r>
      <w:r>
        <w:rPr>
          <w:rFonts w:ascii="Arial" w:eastAsia="宋体" w:hAnsi="Arial" w:cs="Arial"/>
          <w:color w:val="000000"/>
          <w:sz w:val="20"/>
          <w:szCs w:val="20"/>
        </w:rPr>
        <w:t>amount of consideration we expect to receive from the customer after adjustments to the contract price for rights of return and rebates to our OEM customers and rights of return, rebates and price protection on unsold merchandise to our distributor custome</w:t>
      </w:r>
      <w:r>
        <w:rPr>
          <w:rFonts w:ascii="Arial" w:eastAsia="宋体" w:hAnsi="Arial" w:cs="Arial"/>
          <w:color w:val="000000"/>
          <w:sz w:val="20"/>
          <w:szCs w:val="20"/>
        </w:rPr>
        <w:t>rs.</w:t>
      </w:r>
    </w:p>
    <w:p w14:paraId="1426F9F9" w14:textId="77777777" w:rsidR="00A74A1E" w:rsidRDefault="00807990">
      <w:pPr>
        <w:spacing w:before="180"/>
        <w:ind w:firstLine="450"/>
        <w:jc w:val="both"/>
      </w:pPr>
      <w:r>
        <w:rPr>
          <w:rFonts w:ascii="Arial" w:eastAsia="宋体" w:hAnsi="Arial" w:cs="Arial"/>
          <w:color w:val="000000"/>
          <w:sz w:val="20"/>
          <w:szCs w:val="20"/>
        </w:rPr>
        <w:t>We base our determination of necessary adjustments to the contract price by reference to actual historical activity and experience, including actual historical returns, rebates and credits issued to OEM and distributor customers adjusted, as applicable</w:t>
      </w:r>
      <w:r>
        <w:rPr>
          <w:rFonts w:ascii="Arial" w:eastAsia="宋体" w:hAnsi="Arial" w:cs="Arial"/>
          <w:color w:val="000000"/>
          <w:sz w:val="20"/>
          <w:szCs w:val="20"/>
        </w:rPr>
        <w:t>, to include adjustments, if any, for known events or current economic conditions, or both.</w:t>
      </w:r>
    </w:p>
    <w:p w14:paraId="1426F9FA" w14:textId="77777777" w:rsidR="00A74A1E" w:rsidRDefault="00807990">
      <w:pPr>
        <w:spacing w:before="180"/>
        <w:ind w:firstLine="450"/>
        <w:jc w:val="both"/>
      </w:pPr>
      <w:r>
        <w:rPr>
          <w:rFonts w:ascii="Arial" w:eastAsia="宋体" w:hAnsi="Arial" w:cs="Arial"/>
          <w:color w:val="000000"/>
          <w:sz w:val="20"/>
          <w:szCs w:val="20"/>
        </w:rPr>
        <w:t xml:space="preserve">Our estimates of necessary adjustments for distributor price incentives and price protection on unsold products held by distributors are based on actual historical </w:t>
      </w:r>
      <w:r>
        <w:rPr>
          <w:rFonts w:ascii="Arial" w:eastAsia="宋体" w:hAnsi="Arial" w:cs="Arial"/>
          <w:color w:val="000000"/>
          <w:sz w:val="20"/>
          <w:szCs w:val="20"/>
        </w:rPr>
        <w:t>incentives provided to distributor customers and known future price movements based on our internal and external market data analysis.</w:t>
      </w:r>
    </w:p>
    <w:p w14:paraId="1426F9FB" w14:textId="77777777" w:rsidR="00A74A1E" w:rsidRDefault="00807990">
      <w:pPr>
        <w:spacing w:before="180"/>
        <w:ind w:firstLine="450"/>
        <w:jc w:val="both"/>
      </w:pPr>
      <w:r>
        <w:rPr>
          <w:rFonts w:ascii="Arial" w:eastAsia="宋体" w:hAnsi="Arial" w:cs="Arial"/>
          <w:color w:val="000000"/>
          <w:sz w:val="20"/>
          <w:szCs w:val="20"/>
        </w:rPr>
        <w:t xml:space="preserve">Our estimates of necessary adjustments for OEM price incentives utilize, in addition to known pricing agreements, actual </w:t>
      </w:r>
      <w:r>
        <w:rPr>
          <w:rFonts w:ascii="Arial" w:eastAsia="宋体" w:hAnsi="Arial" w:cs="Arial"/>
          <w:color w:val="000000"/>
          <w:sz w:val="20"/>
          <w:szCs w:val="20"/>
        </w:rPr>
        <w:t>historical rebate attainment rates and estimates of future OEM rebate program attainment based on internal and external market data analysis.</w:t>
      </w:r>
    </w:p>
    <w:p w14:paraId="1426F9FC" w14:textId="77777777" w:rsidR="00A74A1E" w:rsidRDefault="00807990">
      <w:pPr>
        <w:spacing w:before="180"/>
        <w:ind w:firstLine="450"/>
        <w:jc w:val="both"/>
      </w:pPr>
      <w:r>
        <w:rPr>
          <w:rFonts w:ascii="Arial" w:eastAsia="宋体" w:hAnsi="Arial" w:cs="Arial"/>
          <w:color w:val="000000"/>
          <w:sz w:val="20"/>
          <w:szCs w:val="20"/>
        </w:rPr>
        <w:t>We also provide limited product return rights to certain OEMs and to most distribution customers. These return rig</w:t>
      </w:r>
      <w:r>
        <w:rPr>
          <w:rFonts w:ascii="Arial" w:eastAsia="宋体" w:hAnsi="Arial" w:cs="Arial"/>
          <w:color w:val="000000"/>
          <w:sz w:val="20"/>
          <w:szCs w:val="20"/>
        </w:rPr>
        <w:t>hts are generally limited to a contractual percentage of the customer’s prior quarter shipments, although, from time to time we may approve additional product returns beyond the contractual arrangements based on the applicable facts and circumstances. In o</w:t>
      </w:r>
      <w:r>
        <w:rPr>
          <w:rFonts w:ascii="Arial" w:eastAsia="宋体" w:hAnsi="Arial" w:cs="Arial"/>
          <w:color w:val="000000"/>
          <w:sz w:val="20"/>
          <w:szCs w:val="20"/>
        </w:rPr>
        <w:t>rder to estimate adjustments to revenue to account for these returns, including product restocking rights provided to distributor and OEM customers, we utilize relevant, trended actual historical product return rate information gathered, adjusted for actua</w:t>
      </w:r>
      <w:r>
        <w:rPr>
          <w:rFonts w:ascii="Arial" w:eastAsia="宋体" w:hAnsi="Arial" w:cs="Arial"/>
          <w:color w:val="000000"/>
          <w:sz w:val="20"/>
          <w:szCs w:val="20"/>
        </w:rPr>
        <w:t>l known information or events, as applicable.</w:t>
      </w:r>
    </w:p>
    <w:p w14:paraId="1426F9FD" w14:textId="77777777" w:rsidR="00A74A1E" w:rsidRDefault="00807990">
      <w:pPr>
        <w:spacing w:before="180"/>
        <w:ind w:firstLine="450"/>
        <w:jc w:val="both"/>
      </w:pPr>
      <w:r>
        <w:rPr>
          <w:rFonts w:ascii="Arial" w:eastAsia="宋体" w:hAnsi="Arial" w:cs="Arial"/>
          <w:color w:val="000000"/>
          <w:sz w:val="20"/>
          <w:szCs w:val="20"/>
        </w:rPr>
        <w:t>Overall our estimates of adjustments to contract price due to variable consideration under our contracts with OEM and distributor customers, based on our assumptions and include adjustments, if any, for known e</w:t>
      </w:r>
      <w:r>
        <w:rPr>
          <w:rFonts w:ascii="Arial" w:eastAsia="宋体" w:hAnsi="Arial" w:cs="Arial"/>
          <w:color w:val="000000"/>
          <w:sz w:val="20"/>
          <w:szCs w:val="20"/>
        </w:rPr>
        <w:t>vents, have been materially consistent with actual results; however, these estimates are subject to management’s judgment and actual provisions could be different from our estimates and current provisions, resulting in future adjustments to our revenue and</w:t>
      </w:r>
      <w:r>
        <w:rPr>
          <w:rFonts w:ascii="Arial" w:eastAsia="宋体" w:hAnsi="Arial" w:cs="Arial"/>
          <w:color w:val="000000"/>
          <w:sz w:val="20"/>
          <w:szCs w:val="20"/>
        </w:rPr>
        <w:t xml:space="preserve"> operating results.</w:t>
      </w:r>
    </w:p>
    <w:p w14:paraId="1426F9FE" w14:textId="77777777" w:rsidR="00A74A1E" w:rsidRDefault="00807990">
      <w:pPr>
        <w:spacing w:before="180"/>
        <w:ind w:firstLine="450"/>
        <w:jc w:val="both"/>
      </w:pPr>
      <w:r>
        <w:rPr>
          <w:rFonts w:ascii="Arial" w:eastAsia="宋体" w:hAnsi="Arial" w:cs="Arial"/>
          <w:i/>
          <w:iCs/>
          <w:color w:val="000000"/>
          <w:sz w:val="20"/>
          <w:szCs w:val="20"/>
        </w:rPr>
        <w:t>Inventory Valuation.</w:t>
      </w:r>
      <w:r>
        <w:rPr>
          <w:rFonts w:ascii="Arial" w:eastAsia="宋体" w:hAnsi="Arial" w:cs="Arial"/>
          <w:color w:val="000000"/>
          <w:sz w:val="20"/>
          <w:szCs w:val="20"/>
        </w:rPr>
        <w:t> We value inventory at standard cost, adjusted to approximate the lower of actual cost or estimated net realizable value using assumptions about future demand and market conditions. Material assumptions we use to est</w:t>
      </w:r>
      <w:r>
        <w:rPr>
          <w:rFonts w:ascii="Arial" w:eastAsia="宋体" w:hAnsi="Arial" w:cs="Arial"/>
          <w:color w:val="000000"/>
          <w:sz w:val="20"/>
          <w:szCs w:val="20"/>
        </w:rPr>
        <w:t>imate necessary inventory carrying value adjustments can be unique to each product and are based on specific facts and circumstances. In determining excess or obsolescence reserves for products, we consider assumptions such as changes in business and econo</w:t>
      </w:r>
      <w:r>
        <w:rPr>
          <w:rFonts w:ascii="Arial" w:eastAsia="宋体" w:hAnsi="Arial" w:cs="Arial"/>
          <w:color w:val="000000"/>
          <w:sz w:val="20"/>
          <w:szCs w:val="20"/>
        </w:rPr>
        <w:t>mic conditions, other-than-temporary decreases in demand for our products, and changes in technology or customer requirements. In determining the lower of cost or net realizable value reserves, we consider assumptions such as recent historical sales activi</w:t>
      </w:r>
      <w:r>
        <w:rPr>
          <w:rFonts w:ascii="Arial" w:eastAsia="宋体" w:hAnsi="Arial" w:cs="Arial"/>
          <w:color w:val="000000"/>
          <w:sz w:val="20"/>
          <w:szCs w:val="20"/>
        </w:rPr>
        <w:t>ty and selling prices, as well as estimates of future selling prices. If in any period we anticipate a change in assumptions such as future demand or market conditions to be less favorable than our previous estimates, additional inventory write-downs may b</w:t>
      </w:r>
      <w:r>
        <w:rPr>
          <w:rFonts w:ascii="Arial" w:eastAsia="宋体" w:hAnsi="Arial" w:cs="Arial"/>
          <w:color w:val="000000"/>
          <w:sz w:val="20"/>
          <w:szCs w:val="20"/>
        </w:rPr>
        <w:t xml:space="preserve">e required and would be reflected in cost of sales, resulting in a negative impact to our gross margin in that </w:t>
      </w:r>
    </w:p>
    <w:p w14:paraId="1426F9FF" w14:textId="77777777" w:rsidR="00A74A1E" w:rsidRDefault="00807990">
      <w:pPr>
        <w:jc w:val="center"/>
      </w:pPr>
      <w:r>
        <w:rPr>
          <w:rFonts w:ascii="Arial" w:eastAsia="宋体" w:hAnsi="Arial" w:cs="Arial"/>
          <w:color w:val="000000"/>
          <w:sz w:val="20"/>
          <w:szCs w:val="20"/>
        </w:rPr>
        <w:t>27</w:t>
      </w:r>
    </w:p>
    <w:p w14:paraId="1426FA00" w14:textId="77777777" w:rsidR="00A74A1E" w:rsidRDefault="00807990">
      <w:r>
        <w:pict w14:anchorId="1426FC26">
          <v:rect id="_x0000_i1051" style="width:415.3pt;height:1.5pt" o:hralign="center" o:hrstd="t" o:hr="t" fillcolor="#a0a0a0" stroked="f"/>
        </w:pict>
      </w:r>
    </w:p>
    <w:p w14:paraId="1426FA01" w14:textId="77777777" w:rsidR="00A74A1E" w:rsidRDefault="00A74A1E">
      <w:pPr>
        <w:spacing w:before="60"/>
      </w:pPr>
    </w:p>
    <w:p w14:paraId="1426FA02" w14:textId="77777777" w:rsidR="00A74A1E" w:rsidRDefault="00807990">
      <w:pPr>
        <w:spacing w:before="180"/>
        <w:jc w:val="both"/>
      </w:pPr>
      <w:r>
        <w:rPr>
          <w:rFonts w:ascii="Arial" w:eastAsia="宋体" w:hAnsi="Arial" w:cs="Arial"/>
          <w:color w:val="000000"/>
          <w:sz w:val="20"/>
          <w:szCs w:val="20"/>
        </w:rPr>
        <w:t>period. If in any period we are able to sell inventories that had been written down to a level below the ultimate realized selling price i</w:t>
      </w:r>
      <w:r>
        <w:rPr>
          <w:rFonts w:ascii="Arial" w:eastAsia="宋体" w:hAnsi="Arial" w:cs="Arial"/>
          <w:color w:val="000000"/>
          <w:sz w:val="20"/>
          <w:szCs w:val="20"/>
        </w:rPr>
        <w:t>n a previous period, related revenue would be recorded with a lower or no offsetting charge to cost of sales resulting in a net benefit to our gross margin in that period.</w:t>
      </w:r>
    </w:p>
    <w:p w14:paraId="1426FA03" w14:textId="77777777" w:rsidR="00A74A1E" w:rsidRDefault="00807990">
      <w:pPr>
        <w:spacing w:before="180"/>
        <w:ind w:firstLine="450"/>
        <w:jc w:val="both"/>
      </w:pPr>
      <w:r>
        <w:rPr>
          <w:rFonts w:ascii="Arial" w:eastAsia="宋体" w:hAnsi="Arial" w:cs="Arial"/>
          <w:color w:val="000000"/>
          <w:sz w:val="20"/>
          <w:szCs w:val="20"/>
        </w:rPr>
        <w:t>The impact from applying the above assumptions in calculating inventory carrying val</w:t>
      </w:r>
      <w:r>
        <w:rPr>
          <w:rFonts w:ascii="Arial" w:eastAsia="宋体" w:hAnsi="Arial" w:cs="Arial"/>
          <w:color w:val="000000"/>
          <w:sz w:val="20"/>
          <w:szCs w:val="20"/>
        </w:rPr>
        <w:t>ue adjustments was immaterial for each of the periods presented on the condensed consolidated statements of operations.</w:t>
      </w:r>
    </w:p>
    <w:p w14:paraId="1426FA04" w14:textId="77777777" w:rsidR="00A74A1E" w:rsidRDefault="00807990">
      <w:pPr>
        <w:spacing w:before="180"/>
        <w:ind w:firstLine="450"/>
        <w:jc w:val="both"/>
      </w:pPr>
      <w:r>
        <w:rPr>
          <w:rFonts w:ascii="Arial" w:eastAsia="宋体" w:hAnsi="Arial" w:cs="Arial"/>
          <w:i/>
          <w:iCs/>
          <w:color w:val="000000"/>
          <w:sz w:val="20"/>
          <w:szCs w:val="20"/>
        </w:rPr>
        <w:t>Income Taxes</w:t>
      </w:r>
      <w:r>
        <w:rPr>
          <w:rFonts w:ascii="Arial" w:eastAsia="宋体" w:hAnsi="Arial" w:cs="Arial"/>
          <w:color w:val="000000"/>
          <w:sz w:val="20"/>
          <w:szCs w:val="20"/>
        </w:rPr>
        <w:t>. In determining taxable income for financial statement reporting purposes, we must make certain estimates and judgments. Th</w:t>
      </w:r>
      <w:r>
        <w:rPr>
          <w:rFonts w:ascii="Arial" w:eastAsia="宋体" w:hAnsi="Arial" w:cs="Arial"/>
          <w:color w:val="000000"/>
          <w:sz w:val="20"/>
          <w:szCs w:val="20"/>
        </w:rPr>
        <w:t>ese estimates and judgments are applied in the calculation of certain tax liabilities and in the determination of the recoverability of deferred tax assets which arise from temporary differences between the recognition of assets and liabilities for tax and</w:t>
      </w:r>
      <w:r>
        <w:rPr>
          <w:rFonts w:ascii="Arial" w:eastAsia="宋体" w:hAnsi="Arial" w:cs="Arial"/>
          <w:color w:val="000000"/>
          <w:sz w:val="20"/>
          <w:szCs w:val="20"/>
        </w:rPr>
        <w:t xml:space="preserve"> financial statement reporting purposes.</w:t>
      </w:r>
    </w:p>
    <w:p w14:paraId="1426FA05" w14:textId="77777777" w:rsidR="00A74A1E" w:rsidRDefault="00807990">
      <w:pPr>
        <w:spacing w:before="180"/>
        <w:ind w:firstLine="450"/>
        <w:jc w:val="both"/>
      </w:pPr>
      <w:r>
        <w:rPr>
          <w:rFonts w:ascii="Arial" w:eastAsia="宋体" w:hAnsi="Arial" w:cs="Arial"/>
          <w:color w:val="000000"/>
          <w:sz w:val="20"/>
          <w:szCs w:val="20"/>
        </w:rPr>
        <w:t>We must assess the likelihood that we will be able to recover our deferred tax assets. Unless recovery is considered more-likely-than-not (a probability level of more than 50%), we will record a charge to income tax</w:t>
      </w:r>
      <w:r>
        <w:rPr>
          <w:rFonts w:ascii="Arial" w:eastAsia="宋体" w:hAnsi="Arial" w:cs="Arial"/>
          <w:color w:val="000000"/>
          <w:sz w:val="20"/>
          <w:szCs w:val="20"/>
        </w:rPr>
        <w:t xml:space="preserve"> expense in the form of a valuation allowance for the deferred tax assets that we estimate will not ultimately be recoverable or maintain the valuation allowance recorded in prior periods. When considering all available evidence, if we determine we can mor</w:t>
      </w:r>
      <w:r>
        <w:rPr>
          <w:rFonts w:ascii="Arial" w:eastAsia="宋体" w:hAnsi="Arial" w:cs="Arial"/>
          <w:color w:val="000000"/>
          <w:sz w:val="20"/>
          <w:szCs w:val="20"/>
        </w:rPr>
        <w:t>e-likely-than-not realize our deferred tax assets, we will reverse</w:t>
      </w:r>
      <w:r>
        <w:rPr>
          <w:rFonts w:ascii="Arial" w:eastAsia="宋体" w:hAnsi="Arial" w:cs="Arial"/>
          <w:color w:val="000000"/>
          <w:sz w:val="20"/>
          <w:szCs w:val="20"/>
          <w:shd w:val="clear" w:color="auto" w:fill="FFFFFF"/>
        </w:rPr>
        <w:t xml:space="preserve"> some or a significant portion </w:t>
      </w:r>
      <w:r>
        <w:rPr>
          <w:rFonts w:ascii="Arial" w:eastAsia="宋体" w:hAnsi="Arial" w:cs="Arial"/>
          <w:color w:val="000000"/>
          <w:sz w:val="20"/>
          <w:szCs w:val="20"/>
        </w:rPr>
        <w:t>of the existing valuation allowance, which would result in a credit to income tax expense and the establishment of an asset in the period of reversal.</w:t>
      </w:r>
    </w:p>
    <w:p w14:paraId="1426FA06" w14:textId="77777777" w:rsidR="00A74A1E" w:rsidRDefault="00807990">
      <w:pPr>
        <w:spacing w:before="180"/>
        <w:ind w:firstLine="450"/>
        <w:jc w:val="both"/>
      </w:pPr>
      <w:r>
        <w:rPr>
          <w:rFonts w:ascii="Arial" w:eastAsia="宋体" w:hAnsi="Arial" w:cs="Arial"/>
          <w:color w:val="000000"/>
          <w:sz w:val="20"/>
          <w:szCs w:val="20"/>
        </w:rPr>
        <w:t>In deter</w:t>
      </w:r>
      <w:r>
        <w:rPr>
          <w:rFonts w:ascii="Arial" w:eastAsia="宋体" w:hAnsi="Arial" w:cs="Arial"/>
          <w:color w:val="000000"/>
          <w:sz w:val="20"/>
          <w:szCs w:val="20"/>
        </w:rPr>
        <w:t>mining the need to establish or maintain a valuation allowance, we considered the four sources of jurisdictional taxable income: (i) future reversals of existing taxable temporary differences; (ii) future taxable income exclusive of reversing temporary dif</w:t>
      </w:r>
      <w:r>
        <w:rPr>
          <w:rFonts w:ascii="Arial" w:eastAsia="宋体" w:hAnsi="Arial" w:cs="Arial"/>
          <w:color w:val="000000"/>
          <w:sz w:val="20"/>
          <w:szCs w:val="20"/>
        </w:rPr>
        <w:t xml:space="preserve">ferences and carryforwards; (iii) carryback of net operating losses to prior years; and (iv) tax planning strategies. Given the lack of available taxable income from three of the other sources, our determination of taxable income sufficient to realize our </w:t>
      </w:r>
      <w:r>
        <w:rPr>
          <w:rFonts w:ascii="Arial" w:eastAsia="宋体" w:hAnsi="Arial" w:cs="Arial"/>
          <w:color w:val="000000"/>
          <w:sz w:val="20"/>
          <w:szCs w:val="20"/>
        </w:rPr>
        <w:t>deferred tax assets is based on estimated future taxable income. The incremental recognition of deferred tax assets is based upon estimated future taxable income through objectively verifiable forecasts of future income. The highly competitive landscape an</w:t>
      </w:r>
      <w:r>
        <w:rPr>
          <w:rFonts w:ascii="Arial" w:eastAsia="宋体" w:hAnsi="Arial" w:cs="Arial"/>
          <w:color w:val="000000"/>
          <w:sz w:val="20"/>
          <w:szCs w:val="20"/>
        </w:rPr>
        <w:t>d cyclical nature of the semiconductor industry makes it difficult to create an objectively verifiable forecast for those companies not in a dominant position and, as a result, sustained profitability is difficult to forecast.</w:t>
      </w:r>
    </w:p>
    <w:p w14:paraId="1426FA07" w14:textId="77777777" w:rsidR="00A74A1E" w:rsidRDefault="00807990">
      <w:pPr>
        <w:spacing w:before="180"/>
        <w:ind w:firstLine="450"/>
        <w:jc w:val="both"/>
      </w:pPr>
      <w:r>
        <w:rPr>
          <w:rFonts w:ascii="Arial" w:eastAsia="宋体" w:hAnsi="Arial" w:cs="Arial"/>
          <w:color w:val="000000"/>
          <w:sz w:val="20"/>
          <w:szCs w:val="20"/>
        </w:rPr>
        <w:t xml:space="preserve">We regularly evaluate the </w:t>
      </w:r>
      <w:r>
        <w:rPr>
          <w:rFonts w:ascii="Arial" w:eastAsia="宋体" w:hAnsi="Arial" w:cs="Arial"/>
          <w:color w:val="000000"/>
          <w:sz w:val="20"/>
          <w:szCs w:val="20"/>
        </w:rPr>
        <w:t>realizability of our net deferred tax assets. We have a history of generating periods of substantial losses. Our recent three-year period of modest profitability was preceded by six years of substantial losses. Given the magnitude of our tax attributes, ou</w:t>
      </w:r>
      <w:r>
        <w:rPr>
          <w:rFonts w:ascii="Arial" w:eastAsia="宋体" w:hAnsi="Arial" w:cs="Arial"/>
          <w:color w:val="000000"/>
          <w:sz w:val="20"/>
          <w:szCs w:val="20"/>
        </w:rPr>
        <w:t>r position in the highly competitive semiconductor industry dominated by two larger competitors, the cyclical nature of the industry, and our underlying history of uncertainty for sustained product performance, market acceptance and the resulting financial</w:t>
      </w:r>
      <w:r>
        <w:rPr>
          <w:rFonts w:ascii="Arial" w:eastAsia="宋体" w:hAnsi="Arial" w:cs="Arial"/>
          <w:color w:val="000000"/>
          <w:sz w:val="20"/>
          <w:szCs w:val="20"/>
        </w:rPr>
        <w:t xml:space="preserve"> impact, we do not have objectively verifiable forecasts. We are developing and have released new products with large market potential in areas such as server processors, mobile processors, and game consoles. We currently have positive momentum with our ne</w:t>
      </w:r>
      <w:r>
        <w:rPr>
          <w:rFonts w:ascii="Arial" w:eastAsia="宋体" w:hAnsi="Arial" w:cs="Arial"/>
          <w:color w:val="000000"/>
          <w:sz w:val="20"/>
          <w:szCs w:val="20"/>
        </w:rPr>
        <w:t>w consumer and commercial product offerings. We are building high-performance computing leadership. However, given our historical earnings patterns, additional market success and a higher level of confidence in related profits are needed to establish the s</w:t>
      </w:r>
      <w:r>
        <w:rPr>
          <w:rFonts w:ascii="Arial" w:eastAsia="宋体" w:hAnsi="Arial" w:cs="Arial"/>
          <w:color w:val="000000"/>
          <w:sz w:val="20"/>
          <w:szCs w:val="20"/>
        </w:rPr>
        <w:t>ustained profitability to objectively verify our forecasts of future taxable income. As a result, substantially all our U.S. and foreign deferred tax assets, net of deferred tax liabilities, are subject to valuation allowances, subject to other jurisdictio</w:t>
      </w:r>
      <w:r>
        <w:rPr>
          <w:rFonts w:ascii="Arial" w:eastAsia="宋体" w:hAnsi="Arial" w:cs="Arial"/>
          <w:color w:val="000000"/>
          <w:sz w:val="20"/>
          <w:szCs w:val="20"/>
        </w:rPr>
        <w:t>nal limitations on the timing of utilization of certain deferred tax asset attributes, including net operating loss carryforwards.</w:t>
      </w:r>
    </w:p>
    <w:p w14:paraId="1426FA08" w14:textId="77777777" w:rsidR="00A74A1E" w:rsidRDefault="00807990">
      <w:pPr>
        <w:spacing w:before="180"/>
        <w:ind w:firstLine="450"/>
        <w:jc w:val="both"/>
      </w:pPr>
      <w:r>
        <w:rPr>
          <w:rFonts w:ascii="Arial" w:eastAsia="宋体" w:hAnsi="Arial" w:cs="Arial"/>
          <w:color w:val="000000"/>
          <w:sz w:val="20"/>
          <w:szCs w:val="20"/>
        </w:rPr>
        <w:t>Our sustained profitability is dependent on the continued positive momentum of our consumer and commercial products including</w:t>
      </w:r>
      <w:r>
        <w:rPr>
          <w:rFonts w:ascii="Arial" w:eastAsia="宋体" w:hAnsi="Arial" w:cs="Arial"/>
          <w:color w:val="000000"/>
          <w:sz w:val="20"/>
          <w:szCs w:val="20"/>
        </w:rPr>
        <w:t xml:space="preserve"> our newly released mobile processors, greater market acceptance for our server products, the successful adoption of our new game console products, and our continued development of high-performance computing products leadership. In assessing the realizabil</w:t>
      </w:r>
      <w:r>
        <w:rPr>
          <w:rFonts w:ascii="Arial" w:eastAsia="宋体" w:hAnsi="Arial" w:cs="Arial"/>
          <w:color w:val="000000"/>
          <w:sz w:val="20"/>
          <w:szCs w:val="20"/>
        </w:rPr>
        <w:t>ity of the deferred tax assets, we will continue to monitor the highly dynamic and competitive landscape of our industry, the continued performance and market acceptance of our new products, and the impact of such market acceptance on profitability. If our</w:t>
      </w:r>
      <w:r>
        <w:rPr>
          <w:rFonts w:ascii="Arial" w:eastAsia="宋体" w:hAnsi="Arial" w:cs="Arial"/>
          <w:color w:val="000000"/>
          <w:sz w:val="20"/>
          <w:szCs w:val="20"/>
        </w:rPr>
        <w:t xml:space="preserve"> financial results continue to improve and we conclude that estimates of our future taxable income are objectively verifiable, our assessment of the realization of our net deferred tax assets could result in the release</w:t>
      </w:r>
      <w:r>
        <w:rPr>
          <w:rFonts w:ascii="Arial" w:eastAsia="宋体" w:hAnsi="Arial" w:cs="Arial"/>
          <w:color w:val="000000"/>
          <w:sz w:val="20"/>
          <w:szCs w:val="20"/>
          <w:shd w:val="clear" w:color="auto" w:fill="FFFFFF"/>
        </w:rPr>
        <w:t xml:space="preserve"> of some or a significant portion </w:t>
      </w:r>
      <w:r>
        <w:rPr>
          <w:rFonts w:ascii="Arial" w:eastAsia="宋体" w:hAnsi="Arial" w:cs="Arial"/>
          <w:color w:val="000000"/>
          <w:sz w:val="20"/>
          <w:szCs w:val="20"/>
        </w:rPr>
        <w:t xml:space="preserve">of </w:t>
      </w:r>
      <w:r>
        <w:rPr>
          <w:rFonts w:ascii="Arial" w:eastAsia="宋体" w:hAnsi="Arial" w:cs="Arial"/>
          <w:color w:val="000000"/>
          <w:sz w:val="20"/>
          <w:szCs w:val="20"/>
        </w:rPr>
        <w:t>the valuation allowances.</w:t>
      </w:r>
    </w:p>
    <w:p w14:paraId="1426FA09" w14:textId="77777777" w:rsidR="00A74A1E" w:rsidRDefault="00807990">
      <w:pPr>
        <w:spacing w:before="180"/>
        <w:ind w:firstLine="450"/>
        <w:jc w:val="both"/>
      </w:pPr>
      <w:r>
        <w:rPr>
          <w:rFonts w:ascii="Arial" w:eastAsia="宋体" w:hAnsi="Arial" w:cs="Arial"/>
          <w:color w:val="000000"/>
          <w:sz w:val="20"/>
          <w:szCs w:val="20"/>
        </w:rPr>
        <w:t>In addition, the calculation of our tax liabilities involves addressing uncertainties in the application of complex tax rules and the potential for future adjustment of our uncertain tax positions by the Internal Revenue Service o</w:t>
      </w:r>
      <w:r>
        <w:rPr>
          <w:rFonts w:ascii="Arial" w:eastAsia="宋体" w:hAnsi="Arial" w:cs="Arial"/>
          <w:color w:val="000000"/>
          <w:sz w:val="20"/>
          <w:szCs w:val="20"/>
        </w:rPr>
        <w:t>r other taxing authorities. If our estimates of these taxes are greater or less than actual results, an additional tax benefit or charge will result. We recognize the interest and penalties related to unrecognized tax benefits as interest expense and incom</w:t>
      </w:r>
      <w:r>
        <w:rPr>
          <w:rFonts w:ascii="Arial" w:eastAsia="宋体" w:hAnsi="Arial" w:cs="Arial"/>
          <w:color w:val="000000"/>
          <w:sz w:val="20"/>
          <w:szCs w:val="20"/>
        </w:rPr>
        <w:t>e tax expense, respectively.</w:t>
      </w:r>
    </w:p>
    <w:p w14:paraId="1426FA0A" w14:textId="77777777" w:rsidR="00A74A1E" w:rsidRDefault="00807990">
      <w:pPr>
        <w:jc w:val="center"/>
      </w:pPr>
      <w:r>
        <w:rPr>
          <w:rFonts w:ascii="Arial" w:eastAsia="宋体" w:hAnsi="Arial" w:cs="Arial"/>
          <w:color w:val="000000"/>
          <w:sz w:val="20"/>
          <w:szCs w:val="20"/>
        </w:rPr>
        <w:t>28</w:t>
      </w:r>
    </w:p>
    <w:p w14:paraId="1426FA0B" w14:textId="77777777" w:rsidR="00A74A1E" w:rsidRDefault="00807990">
      <w:r>
        <w:pict w14:anchorId="1426FC27">
          <v:rect id="_x0000_i1052" style="width:415.3pt;height:1.5pt" o:hralign="center" o:hrstd="t" o:hr="t" fillcolor="#a0a0a0" stroked="f"/>
        </w:pict>
      </w:r>
    </w:p>
    <w:p w14:paraId="1426FA0C" w14:textId="77777777" w:rsidR="00A74A1E" w:rsidRDefault="00A74A1E">
      <w:pPr>
        <w:spacing w:before="60"/>
      </w:pPr>
    </w:p>
    <w:tbl>
      <w:tblPr>
        <w:tblW w:w="4094" w:type="pct"/>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A74A1E" w14:paraId="1426FA13" w14:textId="77777777">
        <w:tc>
          <w:tcPr>
            <w:tcW w:w="50" w:type="pct"/>
            <w:shd w:val="clear" w:color="auto" w:fill="auto"/>
          </w:tcPr>
          <w:p w14:paraId="1426FA0D" w14:textId="77777777" w:rsidR="00A74A1E" w:rsidRDefault="00A74A1E">
            <w:pPr>
              <w:rPr>
                <w:rFonts w:ascii="宋体"/>
              </w:rPr>
            </w:pPr>
          </w:p>
        </w:tc>
        <w:tc>
          <w:tcPr>
            <w:tcW w:w="614" w:type="pct"/>
            <w:shd w:val="clear" w:color="auto" w:fill="auto"/>
          </w:tcPr>
          <w:p w14:paraId="1426FA0E" w14:textId="77777777" w:rsidR="00A74A1E" w:rsidRDefault="00A74A1E">
            <w:pPr>
              <w:rPr>
                <w:rFonts w:ascii="宋体"/>
              </w:rPr>
            </w:pPr>
          </w:p>
        </w:tc>
        <w:tc>
          <w:tcPr>
            <w:tcW w:w="5" w:type="pct"/>
            <w:shd w:val="clear" w:color="auto" w:fill="auto"/>
          </w:tcPr>
          <w:p w14:paraId="1426FA0F" w14:textId="77777777" w:rsidR="00A74A1E" w:rsidRDefault="00A74A1E">
            <w:pPr>
              <w:rPr>
                <w:rFonts w:ascii="宋体"/>
              </w:rPr>
            </w:pPr>
          </w:p>
        </w:tc>
        <w:tc>
          <w:tcPr>
            <w:tcW w:w="50" w:type="pct"/>
            <w:shd w:val="clear" w:color="auto" w:fill="auto"/>
          </w:tcPr>
          <w:p w14:paraId="1426FA10" w14:textId="77777777" w:rsidR="00A74A1E" w:rsidRDefault="00A74A1E">
            <w:pPr>
              <w:rPr>
                <w:rFonts w:ascii="宋体"/>
              </w:rPr>
            </w:pPr>
          </w:p>
        </w:tc>
        <w:tc>
          <w:tcPr>
            <w:tcW w:w="4275" w:type="pct"/>
            <w:shd w:val="clear" w:color="auto" w:fill="auto"/>
          </w:tcPr>
          <w:p w14:paraId="1426FA11" w14:textId="77777777" w:rsidR="00A74A1E" w:rsidRDefault="00A74A1E">
            <w:pPr>
              <w:rPr>
                <w:rFonts w:ascii="宋体"/>
              </w:rPr>
            </w:pPr>
          </w:p>
        </w:tc>
        <w:tc>
          <w:tcPr>
            <w:tcW w:w="5" w:type="pct"/>
            <w:shd w:val="clear" w:color="auto" w:fill="auto"/>
          </w:tcPr>
          <w:p w14:paraId="1426FA12" w14:textId="77777777" w:rsidR="00A74A1E" w:rsidRDefault="00A74A1E">
            <w:pPr>
              <w:rPr>
                <w:rFonts w:ascii="宋体"/>
              </w:rPr>
            </w:pPr>
          </w:p>
        </w:tc>
      </w:tr>
      <w:tr w:rsidR="00A74A1E" w14:paraId="1426FA16" w14:textId="77777777">
        <w:tc>
          <w:tcPr>
            <w:tcW w:w="0" w:type="auto"/>
            <w:gridSpan w:val="3"/>
            <w:shd w:val="clear" w:color="auto" w:fill="auto"/>
            <w:tcMar>
              <w:top w:w="40" w:type="dxa"/>
              <w:left w:w="20" w:type="dxa"/>
              <w:bottom w:w="40" w:type="dxa"/>
              <w:right w:w="20" w:type="dxa"/>
            </w:tcMar>
          </w:tcPr>
          <w:p w14:paraId="1426FA14" w14:textId="77777777" w:rsidR="00A74A1E" w:rsidRDefault="00807990">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1426FA15" w14:textId="77777777" w:rsidR="00A74A1E" w:rsidRDefault="00807990">
            <w:pPr>
              <w:textAlignment w:val="top"/>
            </w:pPr>
            <w:r>
              <w:rPr>
                <w:rFonts w:ascii="Arial" w:eastAsia="宋体" w:hAnsi="Arial" w:cs="Arial"/>
                <w:b/>
                <w:bCs/>
                <w:color w:val="000000"/>
                <w:sz w:val="20"/>
                <w:szCs w:val="20"/>
              </w:rPr>
              <w:t>QUANTITATIVE AND QUALITATIVE DISCLOSURES ABOUT MARKET RISK</w:t>
            </w:r>
          </w:p>
        </w:tc>
      </w:tr>
    </w:tbl>
    <w:p w14:paraId="1426FA17" w14:textId="77777777" w:rsidR="00A74A1E" w:rsidRDefault="00807990">
      <w:pPr>
        <w:spacing w:before="100" w:after="180"/>
        <w:ind w:firstLine="450"/>
        <w:jc w:val="both"/>
      </w:pPr>
      <w:r>
        <w:rPr>
          <w:rFonts w:ascii="Arial" w:eastAsia="宋体" w:hAnsi="Arial" w:cs="Arial"/>
          <w:color w:val="000000"/>
          <w:sz w:val="20"/>
          <w:szCs w:val="20"/>
        </w:rPr>
        <w:t xml:space="preserve">Reference is made to “Part II, Item 7A, Quantitative and Qualitative Disclosures About Market Risk,” in our Annual Report on Form 10-K for the </w:t>
      </w:r>
      <w:r>
        <w:rPr>
          <w:rFonts w:ascii="Arial" w:eastAsia="宋体" w:hAnsi="Arial" w:cs="Arial"/>
          <w:color w:val="000000"/>
          <w:sz w:val="20"/>
          <w:szCs w:val="20"/>
        </w:rPr>
        <w:t>fiscal year ended December 28, 2019.</w:t>
      </w:r>
    </w:p>
    <w:p w14:paraId="1426FA18" w14:textId="77777777" w:rsidR="00A74A1E" w:rsidRDefault="00807990">
      <w:pPr>
        <w:spacing w:before="100"/>
        <w:ind w:firstLine="450"/>
        <w:jc w:val="both"/>
      </w:pPr>
      <w:r>
        <w:rPr>
          <w:rFonts w:ascii="Arial" w:eastAsia="宋体" w:hAnsi="Arial" w:cs="Arial"/>
          <w:color w:val="000000"/>
          <w:sz w:val="20"/>
          <w:szCs w:val="20"/>
        </w:rPr>
        <w:t>There have not been any material changes in interest rate risk, default risk or foreign exchange risk since December 28, 2019.</w:t>
      </w:r>
    </w:p>
    <w:p w14:paraId="1426FA19" w14:textId="77777777" w:rsidR="00A74A1E" w:rsidRDefault="00A74A1E">
      <w:pPr>
        <w:ind w:firstLine="450"/>
        <w:jc w:val="both"/>
      </w:pP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A74A1E" w14:paraId="1426FA20" w14:textId="77777777">
        <w:tc>
          <w:tcPr>
            <w:tcW w:w="50" w:type="pct"/>
            <w:shd w:val="clear" w:color="auto" w:fill="auto"/>
          </w:tcPr>
          <w:p w14:paraId="1426FA1A" w14:textId="77777777" w:rsidR="00A74A1E" w:rsidRDefault="00A74A1E">
            <w:pPr>
              <w:rPr>
                <w:rFonts w:ascii="宋体"/>
              </w:rPr>
            </w:pPr>
          </w:p>
        </w:tc>
        <w:tc>
          <w:tcPr>
            <w:tcW w:w="494" w:type="pct"/>
            <w:shd w:val="clear" w:color="auto" w:fill="auto"/>
          </w:tcPr>
          <w:p w14:paraId="1426FA1B" w14:textId="77777777" w:rsidR="00A74A1E" w:rsidRDefault="00A74A1E">
            <w:pPr>
              <w:rPr>
                <w:rFonts w:ascii="宋体"/>
              </w:rPr>
            </w:pPr>
          </w:p>
        </w:tc>
        <w:tc>
          <w:tcPr>
            <w:tcW w:w="5" w:type="pct"/>
            <w:shd w:val="clear" w:color="auto" w:fill="auto"/>
          </w:tcPr>
          <w:p w14:paraId="1426FA1C" w14:textId="77777777" w:rsidR="00A74A1E" w:rsidRDefault="00A74A1E">
            <w:pPr>
              <w:rPr>
                <w:rFonts w:ascii="宋体"/>
              </w:rPr>
            </w:pPr>
          </w:p>
        </w:tc>
        <w:tc>
          <w:tcPr>
            <w:tcW w:w="50" w:type="pct"/>
            <w:shd w:val="clear" w:color="auto" w:fill="auto"/>
          </w:tcPr>
          <w:p w14:paraId="1426FA1D" w14:textId="77777777" w:rsidR="00A74A1E" w:rsidRDefault="00A74A1E">
            <w:pPr>
              <w:rPr>
                <w:rFonts w:ascii="宋体"/>
              </w:rPr>
            </w:pPr>
          </w:p>
        </w:tc>
        <w:tc>
          <w:tcPr>
            <w:tcW w:w="4396" w:type="pct"/>
            <w:shd w:val="clear" w:color="auto" w:fill="auto"/>
          </w:tcPr>
          <w:p w14:paraId="1426FA1E" w14:textId="77777777" w:rsidR="00A74A1E" w:rsidRDefault="00A74A1E">
            <w:pPr>
              <w:rPr>
                <w:rFonts w:ascii="宋体"/>
              </w:rPr>
            </w:pPr>
          </w:p>
        </w:tc>
        <w:tc>
          <w:tcPr>
            <w:tcW w:w="5" w:type="pct"/>
            <w:shd w:val="clear" w:color="auto" w:fill="auto"/>
          </w:tcPr>
          <w:p w14:paraId="1426FA1F" w14:textId="77777777" w:rsidR="00A74A1E" w:rsidRDefault="00A74A1E">
            <w:pPr>
              <w:rPr>
                <w:rFonts w:ascii="宋体"/>
              </w:rPr>
            </w:pPr>
          </w:p>
        </w:tc>
      </w:tr>
      <w:tr w:rsidR="00A74A1E" w14:paraId="1426FA23" w14:textId="77777777">
        <w:tc>
          <w:tcPr>
            <w:tcW w:w="0" w:type="auto"/>
            <w:gridSpan w:val="3"/>
            <w:shd w:val="clear" w:color="auto" w:fill="auto"/>
            <w:tcMar>
              <w:top w:w="40" w:type="dxa"/>
              <w:left w:w="20" w:type="dxa"/>
              <w:bottom w:w="40" w:type="dxa"/>
              <w:right w:w="20" w:type="dxa"/>
            </w:tcMar>
          </w:tcPr>
          <w:p w14:paraId="1426FA21" w14:textId="77777777" w:rsidR="00A74A1E" w:rsidRDefault="00807990">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1426FA22" w14:textId="77777777" w:rsidR="00A74A1E" w:rsidRDefault="00807990">
            <w:pPr>
              <w:textAlignment w:val="top"/>
            </w:pPr>
            <w:r>
              <w:rPr>
                <w:rFonts w:ascii="Arial" w:eastAsia="宋体" w:hAnsi="Arial" w:cs="Arial"/>
                <w:b/>
                <w:bCs/>
                <w:color w:val="000000"/>
                <w:sz w:val="20"/>
                <w:szCs w:val="20"/>
              </w:rPr>
              <w:t>CONTROLS AND PROCEDURES</w:t>
            </w:r>
          </w:p>
        </w:tc>
      </w:tr>
    </w:tbl>
    <w:p w14:paraId="1426FA24" w14:textId="77777777" w:rsidR="00A74A1E" w:rsidRDefault="00807990">
      <w:pPr>
        <w:spacing w:after="180"/>
        <w:ind w:firstLine="450"/>
        <w:jc w:val="both"/>
      </w:pPr>
      <w:r>
        <w:rPr>
          <w:rFonts w:ascii="Arial" w:eastAsia="宋体" w:hAnsi="Arial" w:cs="Arial"/>
          <w:color w:val="000000"/>
          <w:sz w:val="20"/>
          <w:szCs w:val="20"/>
        </w:rPr>
        <w:t xml:space="preserve">We maintain disclosure controls and </w:t>
      </w:r>
      <w:r>
        <w:rPr>
          <w:rFonts w:ascii="Arial" w:eastAsia="宋体" w:hAnsi="Arial" w:cs="Arial"/>
          <w:color w:val="000000"/>
          <w:sz w:val="20"/>
          <w:szCs w:val="20"/>
        </w:rPr>
        <w:t>procedures that are designed to ensure that information required to be disclosed in our reports made under the Securities Exchange Act of 1934, as amended, is recorded, processed, summarized and reported within the time periods specified in SEC rules and f</w:t>
      </w:r>
      <w:r>
        <w:rPr>
          <w:rFonts w:ascii="Arial" w:eastAsia="宋体" w:hAnsi="Arial" w:cs="Arial"/>
          <w:color w:val="000000"/>
          <w:sz w:val="20"/>
          <w:szCs w:val="20"/>
        </w:rPr>
        <w:t>orms, and that such information is accumulated and communicated to our management, including our Chief Executive Officer and Chief Financial Officer as appropriate, to allow for timely decisions regarding required disclosure. In designing and evaluating ou</w:t>
      </w:r>
      <w:r>
        <w:rPr>
          <w:rFonts w:ascii="Arial" w:eastAsia="宋体" w:hAnsi="Arial" w:cs="Arial"/>
          <w:color w:val="000000"/>
          <w:sz w:val="20"/>
          <w:szCs w:val="20"/>
        </w:rPr>
        <w:t>r disclosure controls and procedures, our management recognizes that any controls and procedures, no matter how well designed and operated, can provide only reasonable assurance of achieving the desired control objectives, and our management is required to</w:t>
      </w:r>
      <w:r>
        <w:rPr>
          <w:rFonts w:ascii="Arial" w:eastAsia="宋体" w:hAnsi="Arial" w:cs="Arial"/>
          <w:color w:val="000000"/>
          <w:sz w:val="20"/>
          <w:szCs w:val="20"/>
        </w:rPr>
        <w:t xml:space="preserve"> apply its judgment in evaluating the cost-benefit relationship of possible controls and procedures.</w:t>
      </w:r>
    </w:p>
    <w:p w14:paraId="1426FA25" w14:textId="77777777" w:rsidR="00A74A1E" w:rsidRDefault="00807990">
      <w:pPr>
        <w:spacing w:before="180" w:after="180"/>
        <w:ind w:firstLine="450"/>
        <w:jc w:val="both"/>
      </w:pPr>
      <w:r>
        <w:rPr>
          <w:rFonts w:ascii="Arial" w:eastAsia="宋体" w:hAnsi="Arial" w:cs="Arial"/>
          <w:color w:val="000000"/>
          <w:sz w:val="20"/>
          <w:szCs w:val="20"/>
        </w:rPr>
        <w:t>As of September 26, 2020, the end of the period covered by this report, we carried out an evaluation, under the supervision and with the participation of o</w:t>
      </w:r>
      <w:r>
        <w:rPr>
          <w:rFonts w:ascii="Arial" w:eastAsia="宋体" w:hAnsi="Arial" w:cs="Arial"/>
          <w:color w:val="000000"/>
          <w:sz w:val="20"/>
          <w:szCs w:val="20"/>
        </w:rPr>
        <w:t>ur management, including our Chief Executive Officer and Chief Financial Officer, of the effectiveness of the design and operation of our disclosure controls and procedures. Based on the foregoing, our Chief Executive Officer and Chief Financial Officer co</w:t>
      </w:r>
      <w:r>
        <w:rPr>
          <w:rFonts w:ascii="Arial" w:eastAsia="宋体" w:hAnsi="Arial" w:cs="Arial"/>
          <w:color w:val="000000"/>
          <w:sz w:val="20"/>
          <w:szCs w:val="20"/>
        </w:rPr>
        <w:t>ncluded that our disclosure controls and procedures were effective at the reasonable assurance level.</w:t>
      </w:r>
    </w:p>
    <w:p w14:paraId="1426FA26" w14:textId="77777777" w:rsidR="00A74A1E" w:rsidRDefault="00807990">
      <w:pPr>
        <w:spacing w:before="180" w:after="180"/>
        <w:ind w:firstLine="450"/>
        <w:jc w:val="both"/>
      </w:pPr>
      <w:r>
        <w:rPr>
          <w:rFonts w:ascii="Arial" w:eastAsia="宋体" w:hAnsi="Arial" w:cs="Arial"/>
          <w:color w:val="000000"/>
          <w:sz w:val="20"/>
          <w:szCs w:val="20"/>
        </w:rPr>
        <w:t xml:space="preserve">There was no change in our internal controls over financial reporting for our three months ended September 26, 2020 that materially affected, or is </w:t>
      </w:r>
      <w:r>
        <w:rPr>
          <w:rFonts w:ascii="Arial" w:eastAsia="宋体" w:hAnsi="Arial" w:cs="Arial"/>
          <w:color w:val="000000"/>
          <w:sz w:val="20"/>
          <w:szCs w:val="20"/>
        </w:rPr>
        <w:t>reasonably likely to materially affect, our internal controls over financial reporting.</w:t>
      </w:r>
    </w:p>
    <w:p w14:paraId="1426FA27" w14:textId="77777777" w:rsidR="00A74A1E" w:rsidRDefault="00807990">
      <w:pPr>
        <w:jc w:val="center"/>
      </w:pPr>
      <w:r>
        <w:rPr>
          <w:rFonts w:ascii="Arial" w:eastAsia="宋体" w:hAnsi="Arial" w:cs="Arial"/>
          <w:color w:val="000000"/>
          <w:sz w:val="20"/>
          <w:szCs w:val="20"/>
        </w:rPr>
        <w:t>29</w:t>
      </w:r>
    </w:p>
    <w:p w14:paraId="1426FA28" w14:textId="77777777" w:rsidR="00A74A1E" w:rsidRDefault="00807990">
      <w:r>
        <w:pict w14:anchorId="1426FC28">
          <v:rect id="_x0000_i1053" style="width:415.3pt;height:1.5pt" o:hralign="center" o:hrstd="t" o:hr="t" fillcolor="#a0a0a0" stroked="f"/>
        </w:pict>
      </w:r>
    </w:p>
    <w:p w14:paraId="1426FA29" w14:textId="77777777" w:rsidR="00A74A1E" w:rsidRDefault="00A74A1E">
      <w:pPr>
        <w:spacing w:before="60"/>
      </w:pPr>
    </w:p>
    <w:p w14:paraId="1426FA2A" w14:textId="77777777" w:rsidR="00A74A1E" w:rsidRDefault="00807990">
      <w:pPr>
        <w:jc w:val="center"/>
      </w:pPr>
      <w:r>
        <w:rPr>
          <w:rFonts w:ascii="Arial" w:eastAsia="宋体" w:hAnsi="Arial" w:cs="Arial"/>
          <w:b/>
          <w:bCs/>
          <w:color w:val="000000"/>
          <w:sz w:val="20"/>
          <w:szCs w:val="20"/>
        </w:rPr>
        <w:t>PART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A74A1E" w14:paraId="1426FA31" w14:textId="77777777">
        <w:tc>
          <w:tcPr>
            <w:tcW w:w="50" w:type="pct"/>
            <w:shd w:val="clear" w:color="auto" w:fill="auto"/>
          </w:tcPr>
          <w:p w14:paraId="1426FA2B" w14:textId="77777777" w:rsidR="00A74A1E" w:rsidRDefault="00A74A1E">
            <w:pPr>
              <w:rPr>
                <w:rFonts w:ascii="宋体"/>
              </w:rPr>
            </w:pPr>
          </w:p>
        </w:tc>
        <w:tc>
          <w:tcPr>
            <w:tcW w:w="1457" w:type="pct"/>
            <w:shd w:val="clear" w:color="auto" w:fill="auto"/>
          </w:tcPr>
          <w:p w14:paraId="1426FA2C" w14:textId="77777777" w:rsidR="00A74A1E" w:rsidRDefault="00A74A1E">
            <w:pPr>
              <w:rPr>
                <w:rFonts w:ascii="宋体"/>
              </w:rPr>
            </w:pPr>
          </w:p>
        </w:tc>
        <w:tc>
          <w:tcPr>
            <w:tcW w:w="5" w:type="pct"/>
            <w:shd w:val="clear" w:color="auto" w:fill="auto"/>
          </w:tcPr>
          <w:p w14:paraId="1426FA2D" w14:textId="77777777" w:rsidR="00A74A1E" w:rsidRDefault="00A74A1E">
            <w:pPr>
              <w:rPr>
                <w:rFonts w:ascii="宋体"/>
              </w:rPr>
            </w:pPr>
          </w:p>
        </w:tc>
        <w:tc>
          <w:tcPr>
            <w:tcW w:w="50" w:type="pct"/>
            <w:shd w:val="clear" w:color="auto" w:fill="auto"/>
          </w:tcPr>
          <w:p w14:paraId="1426FA2E" w14:textId="77777777" w:rsidR="00A74A1E" w:rsidRDefault="00A74A1E">
            <w:pPr>
              <w:rPr>
                <w:rFonts w:ascii="宋体"/>
              </w:rPr>
            </w:pPr>
          </w:p>
        </w:tc>
        <w:tc>
          <w:tcPr>
            <w:tcW w:w="3432" w:type="pct"/>
            <w:shd w:val="clear" w:color="auto" w:fill="auto"/>
          </w:tcPr>
          <w:p w14:paraId="1426FA2F" w14:textId="77777777" w:rsidR="00A74A1E" w:rsidRDefault="00A74A1E">
            <w:pPr>
              <w:rPr>
                <w:rFonts w:ascii="宋体"/>
              </w:rPr>
            </w:pPr>
          </w:p>
        </w:tc>
        <w:tc>
          <w:tcPr>
            <w:tcW w:w="5" w:type="pct"/>
            <w:shd w:val="clear" w:color="auto" w:fill="auto"/>
          </w:tcPr>
          <w:p w14:paraId="1426FA30" w14:textId="77777777" w:rsidR="00A74A1E" w:rsidRDefault="00A74A1E">
            <w:pPr>
              <w:rPr>
                <w:rFonts w:ascii="宋体"/>
              </w:rPr>
            </w:pPr>
          </w:p>
        </w:tc>
      </w:tr>
      <w:tr w:rsidR="00A74A1E" w14:paraId="1426FA34" w14:textId="77777777">
        <w:tc>
          <w:tcPr>
            <w:tcW w:w="0" w:type="auto"/>
            <w:gridSpan w:val="3"/>
            <w:shd w:val="clear" w:color="auto" w:fill="auto"/>
            <w:tcMar>
              <w:top w:w="40" w:type="dxa"/>
              <w:left w:w="20" w:type="dxa"/>
              <w:bottom w:w="40" w:type="dxa"/>
              <w:right w:w="20" w:type="dxa"/>
            </w:tcMar>
          </w:tcPr>
          <w:p w14:paraId="1426FA32" w14:textId="77777777" w:rsidR="00A74A1E" w:rsidRDefault="00807990">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1426FA33" w14:textId="77777777" w:rsidR="00A74A1E" w:rsidRDefault="00807990">
            <w:pPr>
              <w:textAlignment w:val="top"/>
            </w:pPr>
            <w:r>
              <w:rPr>
                <w:rFonts w:ascii="Arial" w:eastAsia="宋体" w:hAnsi="Arial" w:cs="Arial"/>
                <w:b/>
                <w:bCs/>
                <w:color w:val="000000"/>
                <w:sz w:val="20"/>
                <w:szCs w:val="20"/>
              </w:rPr>
              <w:t>LEGAL PROCEEDINGS</w:t>
            </w:r>
          </w:p>
        </w:tc>
      </w:tr>
    </w:tbl>
    <w:p w14:paraId="1426FA35" w14:textId="77777777" w:rsidR="00A74A1E" w:rsidRDefault="00807990">
      <w:pPr>
        <w:ind w:firstLine="450"/>
        <w:jc w:val="both"/>
      </w:pPr>
      <w:r>
        <w:rPr>
          <w:rFonts w:ascii="Arial" w:eastAsia="宋体" w:hAnsi="Arial" w:cs="Arial"/>
          <w:color w:val="000000"/>
          <w:sz w:val="20"/>
          <w:szCs w:val="20"/>
        </w:rPr>
        <w:t xml:space="preserve">For a discussion of our legal proceedings, refer to Note 11—Contingencies of the Notes to </w:t>
      </w:r>
      <w:r>
        <w:rPr>
          <w:rFonts w:ascii="Arial" w:eastAsia="宋体" w:hAnsi="Arial" w:cs="Arial"/>
          <w:color w:val="000000"/>
          <w:sz w:val="20"/>
          <w:szCs w:val="20"/>
        </w:rPr>
        <w:t>Condensed Consolidated Financial Statements (Part I, Item 1 of this Form 10-Q).</w:t>
      </w:r>
    </w:p>
    <w:p w14:paraId="1426FA36" w14:textId="77777777" w:rsidR="00A74A1E" w:rsidRDefault="00A74A1E">
      <w:pPr>
        <w:ind w:firstLine="450"/>
        <w:jc w:val="both"/>
      </w:pPr>
    </w:p>
    <w:tbl>
      <w:tblPr>
        <w:tblW w:w="1520" w:type="pct"/>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A74A1E" w14:paraId="1426FA3D" w14:textId="77777777">
        <w:tc>
          <w:tcPr>
            <w:tcW w:w="50" w:type="pct"/>
            <w:shd w:val="clear" w:color="auto" w:fill="auto"/>
          </w:tcPr>
          <w:p w14:paraId="1426FA37" w14:textId="77777777" w:rsidR="00A74A1E" w:rsidRDefault="00A74A1E">
            <w:pPr>
              <w:rPr>
                <w:rFonts w:ascii="宋体"/>
              </w:rPr>
            </w:pPr>
          </w:p>
        </w:tc>
        <w:tc>
          <w:tcPr>
            <w:tcW w:w="1747" w:type="pct"/>
            <w:shd w:val="clear" w:color="auto" w:fill="auto"/>
          </w:tcPr>
          <w:p w14:paraId="1426FA38" w14:textId="77777777" w:rsidR="00A74A1E" w:rsidRDefault="00A74A1E">
            <w:pPr>
              <w:rPr>
                <w:rFonts w:ascii="宋体"/>
              </w:rPr>
            </w:pPr>
          </w:p>
        </w:tc>
        <w:tc>
          <w:tcPr>
            <w:tcW w:w="5" w:type="pct"/>
            <w:shd w:val="clear" w:color="auto" w:fill="auto"/>
          </w:tcPr>
          <w:p w14:paraId="1426FA39" w14:textId="77777777" w:rsidR="00A74A1E" w:rsidRDefault="00A74A1E">
            <w:pPr>
              <w:rPr>
                <w:rFonts w:ascii="宋体"/>
              </w:rPr>
            </w:pPr>
          </w:p>
        </w:tc>
        <w:tc>
          <w:tcPr>
            <w:tcW w:w="50" w:type="pct"/>
            <w:shd w:val="clear" w:color="auto" w:fill="auto"/>
          </w:tcPr>
          <w:p w14:paraId="1426FA3A" w14:textId="77777777" w:rsidR="00A74A1E" w:rsidRDefault="00A74A1E">
            <w:pPr>
              <w:rPr>
                <w:rFonts w:ascii="宋体"/>
              </w:rPr>
            </w:pPr>
          </w:p>
        </w:tc>
        <w:tc>
          <w:tcPr>
            <w:tcW w:w="3142" w:type="pct"/>
            <w:shd w:val="clear" w:color="auto" w:fill="auto"/>
          </w:tcPr>
          <w:p w14:paraId="1426FA3B" w14:textId="77777777" w:rsidR="00A74A1E" w:rsidRDefault="00A74A1E">
            <w:pPr>
              <w:rPr>
                <w:rFonts w:ascii="宋体"/>
              </w:rPr>
            </w:pPr>
          </w:p>
        </w:tc>
        <w:tc>
          <w:tcPr>
            <w:tcW w:w="5" w:type="pct"/>
            <w:shd w:val="clear" w:color="auto" w:fill="auto"/>
          </w:tcPr>
          <w:p w14:paraId="1426FA3C" w14:textId="77777777" w:rsidR="00A74A1E" w:rsidRDefault="00A74A1E">
            <w:pPr>
              <w:rPr>
                <w:rFonts w:ascii="宋体"/>
              </w:rPr>
            </w:pPr>
          </w:p>
        </w:tc>
      </w:tr>
      <w:tr w:rsidR="00A74A1E" w14:paraId="1426FA40" w14:textId="77777777">
        <w:tc>
          <w:tcPr>
            <w:tcW w:w="0" w:type="auto"/>
            <w:gridSpan w:val="3"/>
            <w:shd w:val="clear" w:color="auto" w:fill="auto"/>
            <w:tcMar>
              <w:top w:w="40" w:type="dxa"/>
              <w:left w:w="20" w:type="dxa"/>
              <w:bottom w:w="40" w:type="dxa"/>
              <w:right w:w="20" w:type="dxa"/>
            </w:tcMar>
          </w:tcPr>
          <w:p w14:paraId="1426FA3E" w14:textId="77777777" w:rsidR="00A74A1E" w:rsidRDefault="00807990">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1426FA3F" w14:textId="77777777" w:rsidR="00A74A1E" w:rsidRDefault="00807990">
            <w:pPr>
              <w:textAlignment w:val="top"/>
            </w:pPr>
            <w:r>
              <w:rPr>
                <w:rFonts w:ascii="Arial" w:eastAsia="宋体" w:hAnsi="Arial" w:cs="Arial"/>
                <w:b/>
                <w:bCs/>
                <w:color w:val="000000"/>
                <w:sz w:val="20"/>
                <w:szCs w:val="20"/>
              </w:rPr>
              <w:t>RISK FACTORS</w:t>
            </w:r>
          </w:p>
        </w:tc>
      </w:tr>
    </w:tbl>
    <w:p w14:paraId="1426FA41" w14:textId="77777777" w:rsidR="00A74A1E" w:rsidRDefault="00807990">
      <w:pPr>
        <w:spacing w:after="180"/>
        <w:ind w:firstLine="450"/>
        <w:jc w:val="both"/>
      </w:pPr>
      <w:r>
        <w:rPr>
          <w:rFonts w:ascii="Arial" w:eastAsia="宋体" w:hAnsi="Arial" w:cs="Arial"/>
          <w:i/>
          <w:iCs/>
          <w:color w:val="000000"/>
          <w:sz w:val="20"/>
          <w:szCs w:val="20"/>
        </w:rPr>
        <w:t xml:space="preserve">The risks and uncertainties described below are not the only ones we face. If any of the following risks actually occurs, our business, </w:t>
      </w:r>
      <w:r>
        <w:rPr>
          <w:rFonts w:ascii="Arial" w:eastAsia="宋体" w:hAnsi="Arial" w:cs="Arial"/>
          <w:i/>
          <w:iCs/>
          <w:color w:val="000000"/>
          <w:sz w:val="20"/>
          <w:szCs w:val="20"/>
        </w:rPr>
        <w:t>financial condition or results of operations could be materially adversely affected. In addition, you should consider the interrelationship and compounding effects of two or more risks occurring simultaneously. Many of the risks and uncertainties described</w:t>
      </w:r>
      <w:r>
        <w:rPr>
          <w:rFonts w:ascii="Arial" w:eastAsia="宋体" w:hAnsi="Arial" w:cs="Arial"/>
          <w:i/>
          <w:iCs/>
          <w:color w:val="000000"/>
          <w:sz w:val="20"/>
          <w:szCs w:val="20"/>
        </w:rPr>
        <w:t xml:space="preserve"> below may be exacerbated by the COVID-19 pandemic and any worsening of the global business and economic environment as a result.</w:t>
      </w:r>
    </w:p>
    <w:p w14:paraId="1426FA42" w14:textId="77777777" w:rsidR="00A74A1E" w:rsidRDefault="00807990">
      <w:pPr>
        <w:spacing w:before="90"/>
        <w:ind w:firstLine="450"/>
        <w:jc w:val="both"/>
      </w:pPr>
      <w:r>
        <w:rPr>
          <w:rFonts w:ascii="Arial" w:eastAsia="宋体" w:hAnsi="Arial" w:cs="Arial"/>
          <w:b/>
          <w:bCs/>
          <w:i/>
          <w:iCs/>
          <w:color w:val="000000"/>
          <w:sz w:val="20"/>
          <w:szCs w:val="20"/>
        </w:rPr>
        <w:t>Intel Corporation’s dominance of the microprocessor market and its aggressive business practices may limit our ability to comp</w:t>
      </w:r>
      <w:r>
        <w:rPr>
          <w:rFonts w:ascii="Arial" w:eastAsia="宋体" w:hAnsi="Arial" w:cs="Arial"/>
          <w:b/>
          <w:bCs/>
          <w:i/>
          <w:iCs/>
          <w:color w:val="000000"/>
          <w:sz w:val="20"/>
          <w:szCs w:val="20"/>
        </w:rPr>
        <w:t>ete effectively.</w:t>
      </w:r>
    </w:p>
    <w:p w14:paraId="1426FA43" w14:textId="77777777" w:rsidR="00A74A1E" w:rsidRDefault="00807990">
      <w:pPr>
        <w:spacing w:before="180"/>
        <w:ind w:firstLine="450"/>
        <w:jc w:val="both"/>
      </w:pPr>
      <w:r>
        <w:rPr>
          <w:rFonts w:ascii="Arial" w:eastAsia="宋体" w:hAnsi="Arial" w:cs="Arial"/>
          <w:color w:val="000000"/>
          <w:sz w:val="20"/>
          <w:szCs w:val="20"/>
        </w:rPr>
        <w:t xml:space="preserve">Intel Corporation has been the market share leader for microprocessors for many years. Intel’s market share, margins and significant financial resources enable it to market its products aggressively, to target our customers and our </w:t>
      </w:r>
      <w:r>
        <w:rPr>
          <w:rFonts w:ascii="Arial" w:eastAsia="宋体" w:hAnsi="Arial" w:cs="Arial"/>
          <w:color w:val="000000"/>
          <w:sz w:val="20"/>
          <w:szCs w:val="20"/>
        </w:rPr>
        <w:t>channel partners with special incentives and to influence customers who do business with us. These aggressive activities have in the past resulted in lower unit sales and a lower average selling price for many of our products and adversely affect our margi</w:t>
      </w:r>
      <w:r>
        <w:rPr>
          <w:rFonts w:ascii="Arial" w:eastAsia="宋体" w:hAnsi="Arial" w:cs="Arial"/>
          <w:color w:val="000000"/>
          <w:sz w:val="20"/>
          <w:szCs w:val="20"/>
        </w:rPr>
        <w:t>ns and profitability.</w:t>
      </w:r>
    </w:p>
    <w:p w14:paraId="1426FA44" w14:textId="77777777" w:rsidR="00A74A1E" w:rsidRDefault="00807990">
      <w:pPr>
        <w:spacing w:before="180"/>
        <w:ind w:firstLine="450"/>
        <w:jc w:val="both"/>
      </w:pPr>
      <w:r>
        <w:rPr>
          <w:rFonts w:ascii="Arial" w:eastAsia="宋体" w:hAnsi="Arial" w:cs="Arial"/>
          <w:color w:val="000000"/>
          <w:sz w:val="20"/>
          <w:szCs w:val="20"/>
        </w:rPr>
        <w:t>Intel exerts substantial influence over computer manufacturers and their channels of distribution through various brand and other marketing programs. As a result of Intel’s position in the microprocessor market, Intel has been able to</w:t>
      </w:r>
      <w:r>
        <w:rPr>
          <w:rFonts w:ascii="Arial" w:eastAsia="宋体" w:hAnsi="Arial" w:cs="Arial"/>
          <w:color w:val="000000"/>
          <w:sz w:val="20"/>
          <w:szCs w:val="20"/>
        </w:rPr>
        <w:t xml:space="preserve"> control x86 microprocessor and computer system standards and benchmarks and to dictate the type of products the microprocessor market requires of us. Intel also dominates the computer system platform, which includes core logic chipsets, graphics chips, ne</w:t>
      </w:r>
      <w:r>
        <w:rPr>
          <w:rFonts w:ascii="Arial" w:eastAsia="宋体" w:hAnsi="Arial" w:cs="Arial"/>
          <w:color w:val="000000"/>
          <w:sz w:val="20"/>
          <w:szCs w:val="20"/>
        </w:rPr>
        <w:t>tworking devices (wired and wireless), non-volatile storage and other components necessary to assemble a computer system. Additionally, Intel is able to drive de facto standards and specifications for x86 microprocessors that could cause us and other compa</w:t>
      </w:r>
      <w:r>
        <w:rPr>
          <w:rFonts w:ascii="Arial" w:eastAsia="宋体" w:hAnsi="Arial" w:cs="Arial"/>
          <w:color w:val="000000"/>
          <w:sz w:val="20"/>
          <w:szCs w:val="20"/>
        </w:rPr>
        <w:t>nies to have delayed access to such standards.</w:t>
      </w:r>
    </w:p>
    <w:p w14:paraId="1426FA45" w14:textId="77777777" w:rsidR="00A74A1E" w:rsidRDefault="00807990">
      <w:pPr>
        <w:spacing w:before="180"/>
        <w:ind w:firstLine="450"/>
        <w:jc w:val="both"/>
      </w:pPr>
      <w:r>
        <w:rPr>
          <w:rFonts w:ascii="Arial" w:eastAsia="宋体" w:hAnsi="Arial" w:cs="Arial"/>
          <w:color w:val="000000"/>
          <w:sz w:val="20"/>
          <w:szCs w:val="20"/>
        </w:rPr>
        <w:t>As long as Intel remains in this dominant position, we may be materially adversely affected by Intel’s business practices, including rebating and allocation strategies and pricing actions, designed to limit ou</w:t>
      </w:r>
      <w:r>
        <w:rPr>
          <w:rFonts w:ascii="Arial" w:eastAsia="宋体" w:hAnsi="Arial" w:cs="Arial"/>
          <w:color w:val="000000"/>
          <w:sz w:val="20"/>
          <w:szCs w:val="20"/>
        </w:rPr>
        <w:t>r market share and margins; product mix and introduction schedules; product bundling, marketing and merchandising strategies; exclusivity payments to its current and potential customers, retailers and channel partners; de facto control over industry standa</w:t>
      </w:r>
      <w:r>
        <w:rPr>
          <w:rFonts w:ascii="Arial" w:eastAsia="宋体" w:hAnsi="Arial" w:cs="Arial"/>
          <w:color w:val="000000"/>
          <w:sz w:val="20"/>
          <w:szCs w:val="20"/>
        </w:rPr>
        <w:t>rds, and heavy influence on PC manufacturers and other PC industry participants, including motherboard, memory, chipset and basic input/output system (BIOS) suppliers and software companies as well as the graphics interface for Intel platforms; and marketi</w:t>
      </w:r>
      <w:r>
        <w:rPr>
          <w:rFonts w:ascii="Arial" w:eastAsia="宋体" w:hAnsi="Arial" w:cs="Arial"/>
          <w:color w:val="000000"/>
          <w:sz w:val="20"/>
          <w:szCs w:val="20"/>
        </w:rPr>
        <w:t>ng and advertising expenditures in support of positioning the Intel brand over the brand of its original equipment manufacturer (OEM) customers and retailers.</w:t>
      </w:r>
    </w:p>
    <w:p w14:paraId="1426FA46" w14:textId="77777777" w:rsidR="00A74A1E" w:rsidRDefault="00807990">
      <w:pPr>
        <w:spacing w:before="180"/>
        <w:ind w:firstLine="450"/>
        <w:jc w:val="both"/>
      </w:pPr>
      <w:r>
        <w:rPr>
          <w:rFonts w:ascii="Arial" w:eastAsia="宋体" w:hAnsi="Arial" w:cs="Arial"/>
          <w:color w:val="000000"/>
          <w:sz w:val="20"/>
          <w:szCs w:val="20"/>
        </w:rPr>
        <w:t>Intel has substantially greater financial resources than we do and accordingly spends substantial</w:t>
      </w:r>
      <w:r>
        <w:rPr>
          <w:rFonts w:ascii="Arial" w:eastAsia="宋体" w:hAnsi="Arial" w:cs="Arial"/>
          <w:color w:val="000000"/>
          <w:sz w:val="20"/>
          <w:szCs w:val="20"/>
        </w:rPr>
        <w:t>ly greater amounts on marketing and research and development than we do. We expect Intel to continue to invest heavily in marketing, research and development, new manufacturing facilities and other technology companies. To the extent Intel manufactures a s</w:t>
      </w:r>
      <w:r>
        <w:rPr>
          <w:rFonts w:ascii="Arial" w:eastAsia="宋体" w:hAnsi="Arial" w:cs="Arial"/>
          <w:color w:val="000000"/>
          <w:sz w:val="20"/>
          <w:szCs w:val="20"/>
        </w:rPr>
        <w:t>ignificantly larger portion of its microprocessor products using more advanced process technologies, or introduces competitive new products into the market before we do, we may be more vulnerable to Intel’s aggressive marketing and pricing strategies for m</w:t>
      </w:r>
      <w:r>
        <w:rPr>
          <w:rFonts w:ascii="Arial" w:eastAsia="宋体" w:hAnsi="Arial" w:cs="Arial"/>
          <w:color w:val="000000"/>
          <w:sz w:val="20"/>
          <w:szCs w:val="20"/>
        </w:rPr>
        <w:t>icroprocessor products.</w:t>
      </w:r>
    </w:p>
    <w:p w14:paraId="1426FA47" w14:textId="77777777" w:rsidR="00A74A1E" w:rsidRDefault="00807990">
      <w:pPr>
        <w:spacing w:before="180"/>
        <w:ind w:firstLine="450"/>
        <w:jc w:val="both"/>
      </w:pPr>
      <w:r>
        <w:rPr>
          <w:rFonts w:ascii="Arial" w:eastAsia="宋体" w:hAnsi="Arial" w:cs="Arial"/>
          <w:color w:val="000000"/>
          <w:sz w:val="20"/>
          <w:szCs w:val="20"/>
        </w:rPr>
        <w:t>Intel could also take actions that place our discrete graphics processing units (GPUs) at a competitive disadvantage, including giving one or more of our competitors in the graphics market, such as Nvidia Corporation, preferential a</w:t>
      </w:r>
      <w:r>
        <w:rPr>
          <w:rFonts w:ascii="Arial" w:eastAsia="宋体" w:hAnsi="Arial" w:cs="Arial"/>
          <w:color w:val="000000"/>
          <w:sz w:val="20"/>
          <w:szCs w:val="20"/>
        </w:rPr>
        <w:t>ccess to its proprietary graphics interface or other useful information. Also, Intel has announced that it is developing their own high-end discrete GPUs. Intel’s position in the microprocessor market and integrated graphics chipset market, its introductio</w:t>
      </w:r>
      <w:r>
        <w:rPr>
          <w:rFonts w:ascii="Arial" w:eastAsia="宋体" w:hAnsi="Arial" w:cs="Arial"/>
          <w:color w:val="000000"/>
          <w:sz w:val="20"/>
          <w:szCs w:val="20"/>
        </w:rPr>
        <w:t>n of competitive new products, its existing relationships with top-tier OEMs, and its aggressive marketing and pricing strategies could result in lower unit sales and lower average selling prices for our products, which could have a material adverse effect</w:t>
      </w:r>
      <w:r>
        <w:rPr>
          <w:rFonts w:ascii="Arial" w:eastAsia="宋体" w:hAnsi="Arial" w:cs="Arial"/>
          <w:color w:val="000000"/>
          <w:sz w:val="20"/>
          <w:szCs w:val="20"/>
        </w:rPr>
        <w:t xml:space="preserve"> on us.</w:t>
      </w:r>
    </w:p>
    <w:p w14:paraId="1426FA48" w14:textId="77777777" w:rsidR="00A74A1E" w:rsidRDefault="00807990">
      <w:pPr>
        <w:jc w:val="center"/>
      </w:pPr>
      <w:r>
        <w:rPr>
          <w:rFonts w:ascii="Arial" w:eastAsia="宋体" w:hAnsi="Arial" w:cs="Arial"/>
          <w:color w:val="000000"/>
          <w:sz w:val="20"/>
          <w:szCs w:val="20"/>
        </w:rPr>
        <w:t>30</w:t>
      </w:r>
    </w:p>
    <w:p w14:paraId="1426FA49" w14:textId="77777777" w:rsidR="00A74A1E" w:rsidRDefault="00807990">
      <w:r>
        <w:pict w14:anchorId="1426FC29">
          <v:rect id="_x0000_i1054" style="width:415.3pt;height:1.5pt" o:hralign="center" o:hrstd="t" o:hr="t" fillcolor="#a0a0a0" stroked="f"/>
        </w:pict>
      </w:r>
    </w:p>
    <w:p w14:paraId="1426FA4A" w14:textId="77777777" w:rsidR="00A74A1E" w:rsidRDefault="00A74A1E">
      <w:pPr>
        <w:spacing w:before="60"/>
      </w:pPr>
    </w:p>
    <w:p w14:paraId="1426FA4B" w14:textId="77777777" w:rsidR="00A74A1E" w:rsidRDefault="00807990">
      <w:pPr>
        <w:spacing w:before="180"/>
        <w:ind w:firstLine="450"/>
        <w:jc w:val="both"/>
      </w:pPr>
      <w:r>
        <w:rPr>
          <w:rFonts w:ascii="Arial" w:eastAsia="宋体" w:hAnsi="Arial" w:cs="Arial"/>
          <w:b/>
          <w:bCs/>
          <w:i/>
          <w:iCs/>
          <w:color w:val="000000"/>
          <w:sz w:val="20"/>
          <w:szCs w:val="20"/>
        </w:rPr>
        <w:t>We rely on third parties to manufacture our products, and if they are unable to do so on a timely basis in sufficient quantities and using competitive technologies, our business could be materially adversely affected.</w:t>
      </w:r>
    </w:p>
    <w:p w14:paraId="1426FA4C" w14:textId="77777777" w:rsidR="00A74A1E" w:rsidRDefault="00807990">
      <w:pPr>
        <w:spacing w:before="180"/>
        <w:ind w:firstLine="450"/>
        <w:jc w:val="both"/>
      </w:pPr>
      <w:r>
        <w:rPr>
          <w:rFonts w:ascii="Arial" w:eastAsia="宋体" w:hAnsi="Arial" w:cs="Arial"/>
          <w:color w:val="000000"/>
          <w:sz w:val="20"/>
          <w:szCs w:val="20"/>
        </w:rPr>
        <w:t>We rely on third-party w</w:t>
      </w:r>
      <w:r>
        <w:rPr>
          <w:rFonts w:ascii="Arial" w:eastAsia="宋体" w:hAnsi="Arial" w:cs="Arial"/>
          <w:color w:val="000000"/>
          <w:sz w:val="20"/>
          <w:szCs w:val="20"/>
        </w:rPr>
        <w:t>afer foundries to fabricate the silicon wafers for all of our products. We also rely on third-party manufacturers to assemble, test, mark and pack (ATMP) our products. It is important to have reliable relationships with all of these third-party manufacturi</w:t>
      </w:r>
      <w:r>
        <w:rPr>
          <w:rFonts w:ascii="Arial" w:eastAsia="宋体" w:hAnsi="Arial" w:cs="Arial"/>
          <w:color w:val="000000"/>
          <w:sz w:val="20"/>
          <w:szCs w:val="20"/>
        </w:rPr>
        <w:t>ng suppliers to ensure adequate product supply to respond to customer demand.</w:t>
      </w:r>
    </w:p>
    <w:p w14:paraId="1426FA4D" w14:textId="77777777" w:rsidR="00A74A1E" w:rsidRDefault="00807990">
      <w:pPr>
        <w:spacing w:before="180"/>
        <w:ind w:firstLine="450"/>
        <w:jc w:val="both"/>
      </w:pPr>
      <w:r>
        <w:rPr>
          <w:rFonts w:ascii="Arial" w:eastAsia="宋体" w:hAnsi="Arial" w:cs="Arial"/>
          <w:color w:val="000000"/>
          <w:sz w:val="20"/>
          <w:szCs w:val="20"/>
        </w:rPr>
        <w:t>We cannot guarantee that these manufacturers or our other third-party manufacturing suppliers will be able to meet our near-term or long-term manufacturing requirements. If we ex</w:t>
      </w:r>
      <w:r>
        <w:rPr>
          <w:rFonts w:ascii="Arial" w:eastAsia="宋体" w:hAnsi="Arial" w:cs="Arial"/>
          <w:color w:val="000000"/>
          <w:sz w:val="20"/>
          <w:szCs w:val="20"/>
        </w:rPr>
        <w:t xml:space="preserve">perience supply constraints from our third-party manufacturing suppliers, we may be required to allocate the affected products amongst our customers, which could have a material adverse effect on our relationships with these customers and on our financial </w:t>
      </w:r>
      <w:r>
        <w:rPr>
          <w:rFonts w:ascii="Arial" w:eastAsia="宋体" w:hAnsi="Arial" w:cs="Arial"/>
          <w:color w:val="000000"/>
          <w:sz w:val="20"/>
          <w:szCs w:val="20"/>
        </w:rPr>
        <w:t>condition. In addition, if we are unable to meet customer demand due to fluctuating or late supply from our manufacturing suppliers, it could result in lost sales and have a material adverse effect on our business.</w:t>
      </w:r>
    </w:p>
    <w:p w14:paraId="1426FA4E" w14:textId="77777777" w:rsidR="00A74A1E" w:rsidRDefault="00807990">
      <w:pPr>
        <w:spacing w:before="180"/>
        <w:ind w:firstLine="450"/>
        <w:jc w:val="both"/>
      </w:pPr>
      <w:r>
        <w:rPr>
          <w:rFonts w:ascii="Arial" w:eastAsia="宋体" w:hAnsi="Arial" w:cs="Arial"/>
          <w:color w:val="000000"/>
          <w:sz w:val="20"/>
          <w:szCs w:val="20"/>
        </w:rPr>
        <w:t>We do not have long-term commitment contr</w:t>
      </w:r>
      <w:r>
        <w:rPr>
          <w:rFonts w:ascii="Arial" w:eastAsia="宋体" w:hAnsi="Arial" w:cs="Arial"/>
          <w:color w:val="000000"/>
          <w:sz w:val="20"/>
          <w:szCs w:val="20"/>
        </w:rPr>
        <w:t xml:space="preserve">acts with some of our third-party manufacturing suppliers. We obtain some of these manufacturing services on a purchase order basis and these manufacturers are not required to provide us with any specified minimum quantity of product beyond the quantities </w:t>
      </w:r>
      <w:r>
        <w:rPr>
          <w:rFonts w:ascii="Arial" w:eastAsia="宋体" w:hAnsi="Arial" w:cs="Arial"/>
          <w:color w:val="000000"/>
          <w:sz w:val="20"/>
          <w:szCs w:val="20"/>
        </w:rPr>
        <w:t>in an existing purchase order. Accordingly, we depend on these suppliers to allocate to us a portion of their manufacturing capacity sufficient to meet our needs, to produce products of acceptable quality and at acceptable manufacturing yields and to deliv</w:t>
      </w:r>
      <w:r>
        <w:rPr>
          <w:rFonts w:ascii="Arial" w:eastAsia="宋体" w:hAnsi="Arial" w:cs="Arial"/>
          <w:color w:val="000000"/>
          <w:sz w:val="20"/>
          <w:szCs w:val="20"/>
        </w:rPr>
        <w:t>er those products to us on a timely basis and at acceptable prices. The manufacturers we use also fabricate wafers and ATMP products for other companies, including certain of our competitors. They could choose to prioritize capacity for other customers, in</w:t>
      </w:r>
      <w:r>
        <w:rPr>
          <w:rFonts w:ascii="Arial" w:eastAsia="宋体" w:hAnsi="Arial" w:cs="Arial"/>
          <w:color w:val="000000"/>
          <w:sz w:val="20"/>
          <w:szCs w:val="20"/>
        </w:rPr>
        <w:t>crease the prices that they charge us on short notice or reduce or eliminate deliveries to us, which could have a material adverse effect on our business.</w:t>
      </w:r>
    </w:p>
    <w:p w14:paraId="1426FA4F" w14:textId="77777777" w:rsidR="00A74A1E" w:rsidRDefault="00807990">
      <w:pPr>
        <w:spacing w:before="180"/>
        <w:ind w:firstLine="450"/>
        <w:jc w:val="both"/>
      </w:pPr>
      <w:r>
        <w:rPr>
          <w:rFonts w:ascii="Arial" w:eastAsia="宋体" w:hAnsi="Arial" w:cs="Arial"/>
          <w:color w:val="000000"/>
          <w:sz w:val="20"/>
          <w:szCs w:val="20"/>
        </w:rPr>
        <w:t xml:space="preserve">Other risks associated with our dependence on third-party manufacturers include limited control over </w:t>
      </w:r>
      <w:r>
        <w:rPr>
          <w:rFonts w:ascii="Arial" w:eastAsia="宋体" w:hAnsi="Arial" w:cs="Arial"/>
          <w:color w:val="000000"/>
          <w:sz w:val="20"/>
          <w:szCs w:val="20"/>
        </w:rPr>
        <w:t xml:space="preserve">delivery schedules and quality assurance, lack of capacity in periods of excess demand, misappropriation of our intellectual property, dependence on several small undercapitalized subcontractors and limited ability to manage inventory and parts. Moreover, </w:t>
      </w:r>
      <w:r>
        <w:rPr>
          <w:rFonts w:ascii="Arial" w:eastAsia="宋体" w:hAnsi="Arial" w:cs="Arial"/>
          <w:color w:val="000000"/>
          <w:sz w:val="20"/>
          <w:szCs w:val="20"/>
        </w:rPr>
        <w:t>if any of our third-party manufacturers suffer any damage to facilities, lose benefits under material agreements, experience power outages, lack sufficient capacity to manufacture our products, encounter financial difficulties, are unable to secure necessa</w:t>
      </w:r>
      <w:r>
        <w:rPr>
          <w:rFonts w:ascii="Arial" w:eastAsia="宋体" w:hAnsi="Arial" w:cs="Arial"/>
          <w:color w:val="000000"/>
          <w:sz w:val="20"/>
          <w:szCs w:val="20"/>
        </w:rPr>
        <w:t>ry raw materials from their suppliers, suffer any other disruption or reduction in efficiency, or experience uncertain social economic or political circumstances or conditions, we may encounter supply delays or disruptions. If we are unable to secure suffi</w:t>
      </w:r>
      <w:r>
        <w:rPr>
          <w:rFonts w:ascii="Arial" w:eastAsia="宋体" w:hAnsi="Arial" w:cs="Arial"/>
          <w:color w:val="000000"/>
          <w:sz w:val="20"/>
          <w:szCs w:val="20"/>
        </w:rPr>
        <w:t>cient or reliable supplies of products, our ability to meet customer demand may be adversely affected and this could materially affect our business.</w:t>
      </w:r>
    </w:p>
    <w:p w14:paraId="1426FA50" w14:textId="77777777" w:rsidR="00A74A1E" w:rsidRDefault="00807990">
      <w:pPr>
        <w:spacing w:before="180"/>
        <w:ind w:firstLine="450"/>
        <w:jc w:val="both"/>
      </w:pPr>
      <w:r>
        <w:rPr>
          <w:rFonts w:ascii="Arial" w:eastAsia="宋体" w:hAnsi="Arial" w:cs="Arial"/>
          <w:color w:val="000000"/>
          <w:sz w:val="20"/>
          <w:szCs w:val="20"/>
        </w:rPr>
        <w:t>If we transition the production of some of our products to new manufacturers, we may experience delayed pro</w:t>
      </w:r>
      <w:r>
        <w:rPr>
          <w:rFonts w:ascii="Arial" w:eastAsia="宋体" w:hAnsi="Arial" w:cs="Arial"/>
          <w:color w:val="000000"/>
          <w:sz w:val="20"/>
          <w:szCs w:val="20"/>
        </w:rPr>
        <w:t>duct introductions, lower yields or poorer performance of our products. If we experience problems with product quality or are unable to secure sufficient capacity from a particular third-party manufacturer, or if we for other reasons cease utilizing one of</w:t>
      </w:r>
      <w:r>
        <w:rPr>
          <w:rFonts w:ascii="Arial" w:eastAsia="宋体" w:hAnsi="Arial" w:cs="Arial"/>
          <w:color w:val="000000"/>
          <w:sz w:val="20"/>
          <w:szCs w:val="20"/>
        </w:rPr>
        <w:t xml:space="preserve"> those suppliers, we may be unable to secure an alternative supply for any specific product in a short time frame. We could experience significant delays in the shipment of our products if we are required to find alternative third-party manufacturers, whic</w:t>
      </w:r>
      <w:r>
        <w:rPr>
          <w:rFonts w:ascii="Arial" w:eastAsia="宋体" w:hAnsi="Arial" w:cs="Arial"/>
          <w:color w:val="000000"/>
          <w:sz w:val="20"/>
          <w:szCs w:val="20"/>
        </w:rPr>
        <w:t>h could have a material adverse effect on our business.</w:t>
      </w:r>
    </w:p>
    <w:p w14:paraId="1426FA51" w14:textId="77777777" w:rsidR="00A74A1E" w:rsidRDefault="00807990">
      <w:pPr>
        <w:spacing w:before="180"/>
        <w:ind w:firstLine="450"/>
        <w:jc w:val="both"/>
      </w:pPr>
      <w:r>
        <w:rPr>
          <w:rFonts w:ascii="Arial" w:eastAsia="宋体" w:hAnsi="Arial" w:cs="Arial"/>
          <w:color w:val="000000"/>
          <w:sz w:val="20"/>
          <w:szCs w:val="20"/>
        </w:rPr>
        <w:t xml:space="preserve">We are a party to a wafer supply agreement (WSA) with GLOBALFOUNDRIES, Inc. (GF) that governs the terms by which we purchase products manufactured by GF and is in place until 2024. Pursuant to the </w:t>
      </w:r>
      <w:r>
        <w:rPr>
          <w:rFonts w:ascii="Arial" w:eastAsia="宋体" w:hAnsi="Arial" w:cs="Arial"/>
          <w:color w:val="000000"/>
          <w:sz w:val="20"/>
          <w:szCs w:val="20"/>
        </w:rPr>
        <w:t>WSA, we are required to purchase all of our microprocessor and APU product requirements and a certain portion of our GPU product requirements from GF manufactured at process nodes larger than 7 nanometer (nm), with limited exceptions. We have agreed to min</w:t>
      </w:r>
      <w:r>
        <w:rPr>
          <w:rFonts w:ascii="Arial" w:eastAsia="宋体" w:hAnsi="Arial" w:cs="Arial"/>
          <w:color w:val="000000"/>
          <w:sz w:val="20"/>
          <w:szCs w:val="20"/>
        </w:rPr>
        <w:t xml:space="preserve">imum annual wafer purchase targets through 2021. If we fail to meet the agreed wafer purchase target during a calendar year, we will be required to pay to GF a portion of the difference between our actual wafer purchases and the applicable annual purchase </w:t>
      </w:r>
      <w:r>
        <w:rPr>
          <w:rFonts w:ascii="Arial" w:eastAsia="宋体" w:hAnsi="Arial" w:cs="Arial"/>
          <w:color w:val="000000"/>
          <w:sz w:val="20"/>
          <w:szCs w:val="20"/>
        </w:rPr>
        <w:t>target. If our actual wafer requirements are less than the number of wafers required to meet the applicable annual wafer purchase target, we could have excess inventory or higher inventory unit costs, both of which may adversely impact our gross margin and</w:t>
      </w:r>
      <w:r>
        <w:rPr>
          <w:rFonts w:ascii="Arial" w:eastAsia="宋体" w:hAnsi="Arial" w:cs="Arial"/>
          <w:color w:val="000000"/>
          <w:sz w:val="20"/>
          <w:szCs w:val="20"/>
        </w:rPr>
        <w:t xml:space="preserve"> our results of operations. We could experience significant delays in the shipment of our products if we are required to find alternative third-party manufacturers, which could have a material adverse effect on our business.</w:t>
      </w:r>
    </w:p>
    <w:p w14:paraId="1426FA52" w14:textId="77777777" w:rsidR="00A74A1E" w:rsidRDefault="00807990">
      <w:pPr>
        <w:spacing w:before="180"/>
        <w:ind w:firstLine="450"/>
        <w:jc w:val="both"/>
      </w:pPr>
      <w:r>
        <w:rPr>
          <w:rFonts w:ascii="Arial" w:eastAsia="宋体" w:hAnsi="Arial" w:cs="Arial"/>
          <w:color w:val="000000"/>
          <w:sz w:val="20"/>
          <w:szCs w:val="20"/>
        </w:rPr>
        <w:t xml:space="preserve">We are party to two ATMP joint </w:t>
      </w:r>
      <w:r>
        <w:rPr>
          <w:rFonts w:ascii="Arial" w:eastAsia="宋体" w:hAnsi="Arial" w:cs="Arial"/>
          <w:color w:val="000000"/>
          <w:sz w:val="20"/>
          <w:szCs w:val="20"/>
        </w:rPr>
        <w:t>ventures (collectively, the ATMP JVs) with Tongfu Microelectronics Co., Ltd. The majority of our ATMP services are provided by the ATMP JVs and there is no guarantee that the ATMP JVs will be able to fulfill our long-term ATMP requirements. If we are unabl</w:t>
      </w:r>
      <w:r>
        <w:rPr>
          <w:rFonts w:ascii="Arial" w:eastAsia="宋体" w:hAnsi="Arial" w:cs="Arial"/>
          <w:color w:val="000000"/>
          <w:sz w:val="20"/>
          <w:szCs w:val="20"/>
        </w:rPr>
        <w:t>e to meet customer demand due to fluctuating or late supply from the ATMP JVs, it could result in lost sales and have a material adverse effect on our business.</w:t>
      </w:r>
    </w:p>
    <w:p w14:paraId="1426FA53" w14:textId="77777777" w:rsidR="00A74A1E" w:rsidRDefault="00807990">
      <w:pPr>
        <w:jc w:val="center"/>
      </w:pPr>
      <w:r>
        <w:rPr>
          <w:rFonts w:ascii="Arial" w:eastAsia="宋体" w:hAnsi="Arial" w:cs="Arial"/>
          <w:color w:val="000000"/>
          <w:sz w:val="20"/>
          <w:szCs w:val="20"/>
        </w:rPr>
        <w:t>31</w:t>
      </w:r>
    </w:p>
    <w:p w14:paraId="1426FA54" w14:textId="77777777" w:rsidR="00A74A1E" w:rsidRDefault="00807990">
      <w:r>
        <w:pict w14:anchorId="1426FC2A">
          <v:rect id="_x0000_i1055" style="width:415.3pt;height:1.5pt" o:hralign="center" o:hrstd="t" o:hr="t" fillcolor="#a0a0a0" stroked="f"/>
        </w:pict>
      </w:r>
    </w:p>
    <w:p w14:paraId="1426FA55" w14:textId="77777777" w:rsidR="00A74A1E" w:rsidRDefault="00A74A1E">
      <w:pPr>
        <w:spacing w:before="60"/>
      </w:pPr>
    </w:p>
    <w:p w14:paraId="1426FA56" w14:textId="77777777" w:rsidR="00A74A1E" w:rsidRDefault="00807990">
      <w:pPr>
        <w:spacing w:before="180"/>
        <w:ind w:firstLine="450"/>
        <w:jc w:val="both"/>
      </w:pPr>
      <w:r>
        <w:rPr>
          <w:rFonts w:ascii="Arial" w:eastAsia="宋体" w:hAnsi="Arial" w:cs="Arial"/>
          <w:b/>
          <w:bCs/>
          <w:i/>
          <w:iCs/>
          <w:color w:val="000000"/>
          <w:sz w:val="20"/>
          <w:szCs w:val="20"/>
        </w:rPr>
        <w:t>Failure to achieve expected manufacturing yields for our products could negatively impact</w:t>
      </w:r>
      <w:r>
        <w:rPr>
          <w:rFonts w:ascii="Arial" w:eastAsia="宋体" w:hAnsi="Arial" w:cs="Arial"/>
          <w:b/>
          <w:bCs/>
          <w:i/>
          <w:iCs/>
          <w:color w:val="000000"/>
          <w:sz w:val="20"/>
          <w:szCs w:val="20"/>
        </w:rPr>
        <w:t xml:space="preserve"> our financial results.</w:t>
      </w:r>
    </w:p>
    <w:p w14:paraId="1426FA57" w14:textId="77777777" w:rsidR="00A74A1E" w:rsidRDefault="00807990">
      <w:pPr>
        <w:spacing w:before="180"/>
        <w:ind w:firstLine="450"/>
        <w:jc w:val="both"/>
      </w:pPr>
      <w:r>
        <w:rPr>
          <w:rFonts w:ascii="Arial" w:eastAsia="宋体" w:hAnsi="Arial" w:cs="Arial"/>
          <w:color w:val="000000"/>
          <w:sz w:val="20"/>
          <w:szCs w:val="20"/>
        </w:rPr>
        <w:t>Semiconductor manufacturing yields are a result of both product design and process technology, which is typically proprietary to the manufacturer, and low yields can result from design failures, process technology failures or a comb</w:t>
      </w:r>
      <w:r>
        <w:rPr>
          <w:rFonts w:ascii="Arial" w:eastAsia="宋体" w:hAnsi="Arial" w:cs="Arial"/>
          <w:color w:val="000000"/>
          <w:sz w:val="20"/>
          <w:szCs w:val="20"/>
        </w:rPr>
        <w:t>ination of both. Our third-party foundries are responsible for the process technologies used to fabricate silicon wafers. If our third-party foundries experience manufacturing inefficiencies or encounter disruptions, errors or difficulties during productio</w:t>
      </w:r>
      <w:r>
        <w:rPr>
          <w:rFonts w:ascii="Arial" w:eastAsia="宋体" w:hAnsi="Arial" w:cs="Arial"/>
          <w:color w:val="000000"/>
          <w:sz w:val="20"/>
          <w:szCs w:val="20"/>
        </w:rPr>
        <w:t xml:space="preserve">n, we may fail to achieve acceptable yields or experience product delivery delays. We cannot be certain that our third-party foundries will be able to develop, obtain or successfully implement leading-edge process technologies needed to manufacture future </w:t>
      </w:r>
      <w:r>
        <w:rPr>
          <w:rFonts w:ascii="Arial" w:eastAsia="宋体" w:hAnsi="Arial" w:cs="Arial"/>
          <w:color w:val="000000"/>
          <w:sz w:val="20"/>
          <w:szCs w:val="20"/>
        </w:rPr>
        <w:t>generations of our products profitably or on a timely basis or that our competitors will not develop new technologies, products or processes earlier. Moreover, during periods when foundries are implementing new process technologies, their manufacturing fac</w:t>
      </w:r>
      <w:r>
        <w:rPr>
          <w:rFonts w:ascii="Arial" w:eastAsia="宋体" w:hAnsi="Arial" w:cs="Arial"/>
          <w:color w:val="000000"/>
          <w:sz w:val="20"/>
          <w:szCs w:val="20"/>
        </w:rPr>
        <w:t>ilities may not be fully productive. A substantial delay in the technology transitions to smaller process technologies could have a material adverse effect on us, particularly if our competitors transition to more cost effective technologies before us. For</w:t>
      </w:r>
      <w:r>
        <w:rPr>
          <w:rFonts w:ascii="Arial" w:eastAsia="宋体" w:hAnsi="Arial" w:cs="Arial"/>
          <w:color w:val="000000"/>
          <w:sz w:val="20"/>
          <w:szCs w:val="20"/>
        </w:rPr>
        <w:t xml:space="preserve"> example, we are presently focusing our 7 nanometer (nm) product portfolio on Taiwan Semiconductor Co., Ltd.’s (TSMC) 7nm process. If TSMC is not able to manufacture our 7nm products in sufficient quantities to meet customer demand, it could have a materia</w:t>
      </w:r>
      <w:r>
        <w:rPr>
          <w:rFonts w:ascii="Arial" w:eastAsia="宋体" w:hAnsi="Arial" w:cs="Arial"/>
          <w:color w:val="000000"/>
          <w:sz w:val="20"/>
          <w:szCs w:val="20"/>
        </w:rPr>
        <w:t>l adverse effect on our business.</w:t>
      </w:r>
    </w:p>
    <w:p w14:paraId="1426FA58" w14:textId="77777777" w:rsidR="00A74A1E" w:rsidRDefault="00807990">
      <w:pPr>
        <w:spacing w:before="180"/>
        <w:ind w:firstLine="45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product supply amongst our customers, which could ha</w:t>
      </w:r>
      <w:r>
        <w:rPr>
          <w:rFonts w:ascii="Arial" w:eastAsia="宋体" w:hAnsi="Arial" w:cs="Arial"/>
          <w:color w:val="000000"/>
          <w:sz w:val="20"/>
          <w:szCs w:val="20"/>
        </w:rPr>
        <w:t>rm our relationships and reputation with our customers and materially adversely affect our business.</w:t>
      </w:r>
    </w:p>
    <w:p w14:paraId="1426FA59" w14:textId="77777777" w:rsidR="00A74A1E" w:rsidRDefault="00807990">
      <w:pPr>
        <w:spacing w:before="180"/>
        <w:ind w:firstLine="450"/>
        <w:jc w:val="both"/>
      </w:pPr>
      <w:r>
        <w:rPr>
          <w:rFonts w:ascii="Arial" w:eastAsia="宋体" w:hAnsi="Arial" w:cs="Arial"/>
          <w:b/>
          <w:bCs/>
          <w:i/>
          <w:iCs/>
          <w:color w:val="000000"/>
          <w:sz w:val="20"/>
          <w:szCs w:val="20"/>
        </w:rPr>
        <w:t>If essential equipment, materials or manufacturing processes are not available to manufacture our products, we could be materially adversely affected.</w:t>
      </w:r>
    </w:p>
    <w:p w14:paraId="1426FA5A" w14:textId="77777777" w:rsidR="00A74A1E" w:rsidRDefault="00807990">
      <w:pPr>
        <w:spacing w:before="180"/>
        <w:ind w:firstLine="450"/>
        <w:jc w:val="both"/>
      </w:pPr>
      <w:r>
        <w:rPr>
          <w:rFonts w:ascii="Arial" w:eastAsia="宋体" w:hAnsi="Arial" w:cs="Arial"/>
          <w:color w:val="000000"/>
          <w:sz w:val="20"/>
          <w:szCs w:val="20"/>
        </w:rPr>
        <w:t>We m</w:t>
      </w:r>
      <w:r>
        <w:rPr>
          <w:rFonts w:ascii="Arial" w:eastAsia="宋体" w:hAnsi="Arial" w:cs="Arial"/>
          <w:color w:val="000000"/>
          <w:sz w:val="20"/>
          <w:szCs w:val="20"/>
        </w:rPr>
        <w:t>ay purchase equipment and materials for use by our back-end manufacturing service providers from a number of suppliers and our operations depend upon obtaining deliveries of adequate supplies of equipment and materials on a timely basis. Our third-party su</w:t>
      </w:r>
      <w:r>
        <w:rPr>
          <w:rFonts w:ascii="Arial" w:eastAsia="宋体" w:hAnsi="Arial" w:cs="Arial"/>
          <w:color w:val="000000"/>
          <w:sz w:val="20"/>
          <w:szCs w:val="20"/>
        </w:rPr>
        <w:t>ppliers also depend on the same timely delivery of adequate quantities of equipment and materials in the manufacture of our products. In addition, as many of our products increase in technical complexity, we rely on our third-party suppliers to update thei</w:t>
      </w:r>
      <w:r>
        <w:rPr>
          <w:rFonts w:ascii="Arial" w:eastAsia="宋体" w:hAnsi="Arial" w:cs="Arial"/>
          <w:color w:val="000000"/>
          <w:sz w:val="20"/>
          <w:szCs w:val="20"/>
        </w:rPr>
        <w:t>r processes in order to continue meeting our back-end manufacturing needs. Certain equipment and materials that are used in the manufacture of our products are available only from a limited number of suppliers, or in some cases, a sole supplier. We also de</w:t>
      </w:r>
      <w:r>
        <w:rPr>
          <w:rFonts w:ascii="Arial" w:eastAsia="宋体" w:hAnsi="Arial" w:cs="Arial"/>
          <w:color w:val="000000"/>
          <w:sz w:val="20"/>
          <w:szCs w:val="20"/>
        </w:rPr>
        <w:t>pend on a limited number of suppliers to provide the majority of certain types of integrated circuit packages for our microprocessors, including our APU products. Similarly, certain non-proprietary materials or components such as memory, printed circuit bo</w:t>
      </w:r>
      <w:r>
        <w:rPr>
          <w:rFonts w:ascii="Arial" w:eastAsia="宋体" w:hAnsi="Arial" w:cs="Arial"/>
          <w:color w:val="000000"/>
          <w:sz w:val="20"/>
          <w:szCs w:val="20"/>
        </w:rPr>
        <w:t>ards (PCBs), interposers, substrates and capacitors used in the manufacture of our products are currently available from only a limited number of sources. Because some of the equipment and materials that we and our third-party manufacturing suppliers purch</w:t>
      </w:r>
      <w:r>
        <w:rPr>
          <w:rFonts w:ascii="Arial" w:eastAsia="宋体" w:hAnsi="Arial" w:cs="Arial"/>
          <w:color w:val="000000"/>
          <w:sz w:val="20"/>
          <w:szCs w:val="20"/>
        </w:rPr>
        <w:t>ase are complex, it is sometimes difficult to substitute one supplier for another. From time to time, suppliers may extend lead times, limit supply or increase prices due to capacity constraints or other factors. Also, some of these materials and component</w:t>
      </w:r>
      <w:r>
        <w:rPr>
          <w:rFonts w:ascii="Arial" w:eastAsia="宋体" w:hAnsi="Arial" w:cs="Arial"/>
          <w:color w:val="000000"/>
          <w:sz w:val="20"/>
          <w:szCs w:val="20"/>
        </w:rPr>
        <w:t>s may be subject to rapid changes in price and availability. Interruption of supply or increased demand in the industry could cause shortages and price increases in various essential materials. Dependence on a sole supplier or a limited number of suppliers</w:t>
      </w:r>
      <w:r>
        <w:rPr>
          <w:rFonts w:ascii="Arial" w:eastAsia="宋体" w:hAnsi="Arial" w:cs="Arial"/>
          <w:color w:val="000000"/>
          <w:sz w:val="20"/>
          <w:szCs w:val="20"/>
        </w:rPr>
        <w:t xml:space="preserve"> exacerbates these risks. If we are unable to procure certain of these materials for our back-end manufacturing operations, or our third-party foundries or manufacturing suppliers are unable to procure materials for manufacturing our products, our business</w:t>
      </w:r>
      <w:r>
        <w:rPr>
          <w:rFonts w:ascii="Arial" w:eastAsia="宋体" w:hAnsi="Arial" w:cs="Arial"/>
          <w:color w:val="000000"/>
          <w:sz w:val="20"/>
          <w:szCs w:val="20"/>
        </w:rPr>
        <w:t xml:space="preserve"> would be materially adversely affected.</w:t>
      </w:r>
    </w:p>
    <w:p w14:paraId="1426FA5B" w14:textId="77777777" w:rsidR="00A74A1E" w:rsidRDefault="00807990">
      <w:pPr>
        <w:spacing w:before="180"/>
        <w:ind w:firstLine="45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levels that provide value to our customers while supporting and coinciding with signifi</w:t>
      </w:r>
      <w:r>
        <w:rPr>
          <w:rFonts w:ascii="Arial" w:eastAsia="宋体" w:hAnsi="Arial" w:cs="Arial"/>
          <w:b/>
          <w:bCs/>
          <w:i/>
          <w:iCs/>
          <w:color w:val="000000"/>
          <w:sz w:val="20"/>
          <w:szCs w:val="20"/>
        </w:rPr>
        <w:t>cant industry transitions.</w:t>
      </w:r>
    </w:p>
    <w:p w14:paraId="1426FA5C" w14:textId="77777777" w:rsidR="00A74A1E" w:rsidRDefault="00807990">
      <w:pPr>
        <w:spacing w:before="180"/>
        <w:ind w:firstLine="450"/>
        <w:jc w:val="both"/>
      </w:pPr>
      <w:r>
        <w:rPr>
          <w:rFonts w:ascii="Arial" w:eastAsia="宋体" w:hAnsi="Arial" w:cs="Arial"/>
          <w:color w:val="000000"/>
          <w:sz w:val="20"/>
          <w:szCs w:val="20"/>
        </w:rPr>
        <w:t>Our success depends to a significant extent on the development, qualification, implementation and acceptance of new product designs and improvements that provide value to our customers. Our ability to develop, qualify and distrib</w:t>
      </w:r>
      <w:r>
        <w:rPr>
          <w:rFonts w:ascii="Arial" w:eastAsia="宋体" w:hAnsi="Arial" w:cs="Arial"/>
          <w:color w:val="000000"/>
          <w:sz w:val="20"/>
          <w:szCs w:val="20"/>
        </w:rPr>
        <w:t>ute, and have manufactured, new products and related technologies to meet evolving industry requirements, at prices acceptable to our customers and on a timely basis are significant factors in determining our competitiveness in our target markets. As consu</w:t>
      </w:r>
      <w:r>
        <w:rPr>
          <w:rFonts w:ascii="Arial" w:eastAsia="宋体" w:hAnsi="Arial" w:cs="Arial"/>
          <w:color w:val="000000"/>
          <w:sz w:val="20"/>
          <w:szCs w:val="20"/>
        </w:rPr>
        <w:t>mers have new product feature preferences or have different requirements than those consumers in the PC market, PC sales could be negatively impacted, which could adversely impact our business. Our product roadmap includes our next generation AMD Ryzen™, A</w:t>
      </w:r>
      <w:r>
        <w:rPr>
          <w:rFonts w:ascii="Arial" w:eastAsia="宋体" w:hAnsi="Arial" w:cs="Arial"/>
          <w:color w:val="000000"/>
          <w:sz w:val="20"/>
          <w:szCs w:val="20"/>
        </w:rPr>
        <w:t xml:space="preserve">MD Radeon™ and AMD EPYC™ processors using 7nm process technology. We cannot assure you that our efforts to execute our product roadmap will result in innovative products and technologies that provide value to our customers. If we fail to or are delayed in </w:t>
      </w:r>
      <w:r>
        <w:rPr>
          <w:rFonts w:ascii="Arial" w:eastAsia="宋体" w:hAnsi="Arial" w:cs="Arial"/>
          <w:color w:val="000000"/>
          <w:sz w:val="20"/>
          <w:szCs w:val="20"/>
        </w:rPr>
        <w:t xml:space="preserve">developing, qualifying or shipping new products or technologies that provide value to our customers and address these new trends or if we fail to predict which new form factors consumers will adopt and </w:t>
      </w:r>
    </w:p>
    <w:p w14:paraId="1426FA5D" w14:textId="77777777" w:rsidR="00A74A1E" w:rsidRDefault="00807990">
      <w:pPr>
        <w:jc w:val="center"/>
      </w:pPr>
      <w:r>
        <w:rPr>
          <w:rFonts w:ascii="Arial" w:eastAsia="宋体" w:hAnsi="Arial" w:cs="Arial"/>
          <w:color w:val="000000"/>
          <w:sz w:val="20"/>
          <w:szCs w:val="20"/>
        </w:rPr>
        <w:t>32</w:t>
      </w:r>
    </w:p>
    <w:p w14:paraId="1426FA5E" w14:textId="77777777" w:rsidR="00A74A1E" w:rsidRDefault="00807990">
      <w:r>
        <w:pict w14:anchorId="1426FC2B">
          <v:rect id="_x0000_i1056" style="width:415.3pt;height:1.5pt" o:hralign="center" o:hrstd="t" o:hr="t" fillcolor="#a0a0a0" stroked="f"/>
        </w:pict>
      </w:r>
    </w:p>
    <w:p w14:paraId="1426FA5F" w14:textId="77777777" w:rsidR="00A74A1E" w:rsidRDefault="00A74A1E">
      <w:pPr>
        <w:spacing w:before="60"/>
      </w:pPr>
    </w:p>
    <w:p w14:paraId="1426FA60" w14:textId="77777777" w:rsidR="00A74A1E" w:rsidRDefault="00807990">
      <w:pPr>
        <w:spacing w:before="180"/>
        <w:jc w:val="both"/>
      </w:pPr>
      <w:r>
        <w:rPr>
          <w:rFonts w:ascii="Arial" w:eastAsia="宋体" w:hAnsi="Arial" w:cs="Arial"/>
          <w:color w:val="000000"/>
          <w:sz w:val="20"/>
          <w:szCs w:val="20"/>
        </w:rPr>
        <w:t xml:space="preserve">adjust our business accordingly, we may </w:t>
      </w:r>
      <w:r>
        <w:rPr>
          <w:rFonts w:ascii="Arial" w:eastAsia="宋体" w:hAnsi="Arial" w:cs="Arial"/>
          <w:color w:val="000000"/>
          <w:sz w:val="20"/>
          <w:szCs w:val="20"/>
        </w:rPr>
        <w:t>lose competitive positioning, which could cause us to lose market share and require us to discount the selling prices of our products. Although we make substantial investments in research and development, we cannot be certain that we will be able to develo</w:t>
      </w:r>
      <w:r>
        <w:rPr>
          <w:rFonts w:ascii="Arial" w:eastAsia="宋体" w:hAnsi="Arial" w:cs="Arial"/>
          <w:color w:val="000000"/>
          <w:sz w:val="20"/>
          <w:szCs w:val="20"/>
        </w:rPr>
        <w:t>p, obtain or successfully implement new products and technologies on a timely basis or that they will be well-received by our customers. Moreover, our investments in new products and technologies involve certain risks and uncertainties and could disrupt ou</w:t>
      </w:r>
      <w:r>
        <w:rPr>
          <w:rFonts w:ascii="Arial" w:eastAsia="宋体" w:hAnsi="Arial" w:cs="Arial"/>
          <w:color w:val="000000"/>
          <w:sz w:val="20"/>
          <w:szCs w:val="20"/>
        </w:rPr>
        <w:t xml:space="preserve">r ongoing business. New investments may not generate sufficient revenue, may incur unanticipated liabilities and may divert our limited resources and distract management from our current operations. We cannot be certain that our ongoing investments in new </w:t>
      </w:r>
      <w:r>
        <w:rPr>
          <w:rFonts w:ascii="Arial" w:eastAsia="宋体" w:hAnsi="Arial" w:cs="Arial"/>
          <w:color w:val="000000"/>
          <w:sz w:val="20"/>
          <w:szCs w:val="20"/>
        </w:rPr>
        <w:t>products and technologies will be successful, will meet our expectations and will not adversely affect our reputation, financial condition and operating results.</w:t>
      </w:r>
    </w:p>
    <w:p w14:paraId="1426FA61" w14:textId="77777777" w:rsidR="00A74A1E" w:rsidRDefault="00807990">
      <w:pPr>
        <w:spacing w:before="180"/>
        <w:ind w:firstLine="450"/>
        <w:jc w:val="both"/>
      </w:pPr>
      <w:r>
        <w:rPr>
          <w:rFonts w:ascii="Arial" w:eastAsia="宋体" w:hAnsi="Arial" w:cs="Arial"/>
          <w:color w:val="000000"/>
          <w:sz w:val="20"/>
          <w:szCs w:val="20"/>
        </w:rPr>
        <w:t>Delays in developing, qualifying or shipping new products can also cause us to miss our custom</w:t>
      </w:r>
      <w:r>
        <w:rPr>
          <w:rFonts w:ascii="Arial" w:eastAsia="宋体" w:hAnsi="Arial" w:cs="Arial"/>
          <w:color w:val="000000"/>
          <w:sz w:val="20"/>
          <w:szCs w:val="20"/>
        </w:rPr>
        <w:t>ers’ product design windows or, in some cases, breach contractual obligations or cause us to pay penalties. If our customers do not include our products in the initial design of their computer systems or products, they will typically not use our products i</w:t>
      </w:r>
      <w:r>
        <w:rPr>
          <w:rFonts w:ascii="Arial" w:eastAsia="宋体" w:hAnsi="Arial" w:cs="Arial"/>
          <w:color w:val="000000"/>
          <w:sz w:val="20"/>
          <w:szCs w:val="20"/>
        </w:rPr>
        <w:t xml:space="preserve">n their systems or products until at least the next design configuration. The process of being qualified for inclusion in a customer’s system or product can be lengthy and could cause us to further miss a cycle in the demand of end-users, which also could </w:t>
      </w:r>
      <w:r>
        <w:rPr>
          <w:rFonts w:ascii="Arial" w:eastAsia="宋体" w:hAnsi="Arial" w:cs="Arial"/>
          <w:color w:val="000000"/>
          <w:sz w:val="20"/>
          <w:szCs w:val="20"/>
        </w:rPr>
        <w:t>result in a loss of market share and harm our business. We also depend on the success and timing of our customers’ platform launches. If our customers delay their product launches or if our customers do not effectively market their platforms with our produ</w:t>
      </w:r>
      <w:r>
        <w:rPr>
          <w:rFonts w:ascii="Arial" w:eastAsia="宋体" w:hAnsi="Arial" w:cs="Arial"/>
          <w:color w:val="000000"/>
          <w:sz w:val="20"/>
          <w:szCs w:val="20"/>
        </w:rPr>
        <w:t>cts, it could result in a delay in bringing our products to market and cause us to miss a cycle in the demand of end-users, which could materially adversely affect our business. In addition, market demand requires that products incorporate new features and</w:t>
      </w:r>
      <w:r>
        <w:rPr>
          <w:rFonts w:ascii="Arial" w:eastAsia="宋体" w:hAnsi="Arial" w:cs="Arial"/>
          <w:color w:val="000000"/>
          <w:sz w:val="20"/>
          <w:szCs w:val="20"/>
        </w:rPr>
        <w:t xml:space="preserve"> performance standards on an industry-wide basis. Over the life of a specific product, the sale price is typically reduced over time. The introduction of new products and enhancements to existing products is necessary to maintain the overall corporate aver</w:t>
      </w:r>
      <w:r>
        <w:rPr>
          <w:rFonts w:ascii="Arial" w:eastAsia="宋体" w:hAnsi="Arial" w:cs="Arial"/>
          <w:color w:val="000000"/>
          <w:sz w:val="20"/>
          <w:szCs w:val="20"/>
        </w:rPr>
        <w:t>age selling price. If we are unable to introduce new products with sufficiently high sale prices or to increase unit sales volumes capable of offsetting the reductions in the sale prices of existing products over time, our business could be materially adve</w:t>
      </w:r>
      <w:r>
        <w:rPr>
          <w:rFonts w:ascii="Arial" w:eastAsia="宋体" w:hAnsi="Arial" w:cs="Arial"/>
          <w:color w:val="000000"/>
          <w:sz w:val="20"/>
          <w:szCs w:val="20"/>
        </w:rPr>
        <w:t>rsely affected.</w:t>
      </w:r>
    </w:p>
    <w:p w14:paraId="1426FA62" w14:textId="77777777" w:rsidR="00A74A1E" w:rsidRDefault="00807990">
      <w:pPr>
        <w:spacing w:before="180"/>
        <w:ind w:firstLine="450"/>
        <w:jc w:val="both"/>
      </w:pPr>
      <w:r>
        <w:rPr>
          <w:rFonts w:ascii="Arial" w:eastAsia="宋体" w:hAnsi="Arial" w:cs="Arial"/>
          <w:b/>
          <w:bCs/>
          <w:i/>
          <w:iCs/>
          <w:color w:val="000000"/>
          <w:sz w:val="20"/>
          <w:szCs w:val="20"/>
        </w:rPr>
        <w:t>Global economic and market uncertainty may adversely impact our business and operating results.</w:t>
      </w:r>
    </w:p>
    <w:p w14:paraId="1426FA63" w14:textId="77777777" w:rsidR="00A74A1E" w:rsidRDefault="00807990">
      <w:pPr>
        <w:spacing w:before="180"/>
        <w:ind w:firstLine="450"/>
        <w:jc w:val="both"/>
      </w:pPr>
      <w:r>
        <w:rPr>
          <w:rFonts w:ascii="Arial" w:eastAsia="宋体" w:hAnsi="Arial" w:cs="Arial"/>
          <w:color w:val="000000"/>
          <w:sz w:val="20"/>
          <w:szCs w:val="20"/>
        </w:rPr>
        <w:t>Uncertain global economic conditions have in the past and may in the future adversely impact our business, including, without limitation, a slow</w:t>
      </w:r>
      <w:r>
        <w:rPr>
          <w:rFonts w:ascii="Arial" w:eastAsia="宋体" w:hAnsi="Arial" w:cs="Arial"/>
          <w:color w:val="000000"/>
          <w:sz w:val="20"/>
          <w:szCs w:val="20"/>
        </w:rPr>
        <w:t xml:space="preserve">down in the Chinese economy, one of the largest global markets for desktop and notebook PCs. Uncertainty in the worldwide economic environment may negatively impact consumer confidence and spending causing our customers to postpone purchases. In addition, </w:t>
      </w:r>
      <w:r>
        <w:rPr>
          <w:rFonts w:ascii="Arial" w:eastAsia="宋体" w:hAnsi="Arial" w:cs="Arial"/>
          <w:color w:val="000000"/>
          <w:sz w:val="20"/>
          <w:szCs w:val="20"/>
        </w:rPr>
        <w:t>during challenging economic times, our current or potential future customers may experience cash flow problems and as a result may modify, delay or cancel plans to purchase our products. Additionally, if our customers are not successful in generating suffi</w:t>
      </w:r>
      <w:r>
        <w:rPr>
          <w:rFonts w:ascii="Arial" w:eastAsia="宋体" w:hAnsi="Arial" w:cs="Arial"/>
          <w:color w:val="000000"/>
          <w:sz w:val="20"/>
          <w:szCs w:val="20"/>
        </w:rPr>
        <w:t>cient revenue or are unable to secure financing, they may not be able to pay, or may delay payment of, accounts receivable that they owe us. The risk related to our customers’ potentially defaulting on or delaying payments to us is increased because we exp</w:t>
      </w:r>
      <w:r>
        <w:rPr>
          <w:rFonts w:ascii="Arial" w:eastAsia="宋体" w:hAnsi="Arial" w:cs="Arial"/>
          <w:color w:val="000000"/>
          <w:sz w:val="20"/>
          <w:szCs w:val="20"/>
        </w:rPr>
        <w:t>ect that a small number of customers will continue to account for a substantial part of our revenue. Any inability of our current or potential future customers to pay us for our products may adversely affect our earnings and cash flow. Moreover, our key su</w:t>
      </w:r>
      <w:r>
        <w:rPr>
          <w:rFonts w:ascii="Arial" w:eastAsia="宋体" w:hAnsi="Arial" w:cs="Arial"/>
          <w:color w:val="000000"/>
          <w:sz w:val="20"/>
          <w:szCs w:val="20"/>
        </w:rPr>
        <w:t>ppliers may reduce their output or become insolvent, thereby adversely impacting our ability to manufacture our products. In addition, uncertain economic conditions may make it more difficult for us to raise funds through borrowings or private or public sa</w:t>
      </w:r>
      <w:r>
        <w:rPr>
          <w:rFonts w:ascii="Arial" w:eastAsia="宋体" w:hAnsi="Arial" w:cs="Arial"/>
          <w:color w:val="000000"/>
          <w:sz w:val="20"/>
          <w:szCs w:val="20"/>
        </w:rPr>
        <w:t>les of debt or equity securities.</w:t>
      </w:r>
    </w:p>
    <w:p w14:paraId="1426FA64" w14:textId="77777777" w:rsidR="00A74A1E" w:rsidRDefault="00807990">
      <w:pPr>
        <w:spacing w:before="180"/>
        <w:ind w:firstLine="450"/>
        <w:jc w:val="both"/>
      </w:pPr>
      <w:r>
        <w:rPr>
          <w:rFonts w:ascii="Arial" w:eastAsia="宋体" w:hAnsi="Arial" w:cs="Arial"/>
          <w:b/>
          <w:bCs/>
          <w:i/>
          <w:iCs/>
          <w:color w:val="000000"/>
          <w:sz w:val="20"/>
          <w:szCs w:val="20"/>
        </w:rPr>
        <w:t>The loss of a significant customer may have a material adverse effect on us.</w:t>
      </w:r>
    </w:p>
    <w:p w14:paraId="1426FA65" w14:textId="77777777" w:rsidR="00A74A1E" w:rsidRDefault="00807990">
      <w:pPr>
        <w:spacing w:before="180"/>
        <w:ind w:firstLine="450"/>
        <w:jc w:val="both"/>
      </w:pPr>
      <w:r>
        <w:rPr>
          <w:rFonts w:ascii="Arial" w:eastAsia="宋体" w:hAnsi="Arial" w:cs="Arial"/>
          <w:color w:val="000000"/>
          <w:sz w:val="20"/>
          <w:szCs w:val="20"/>
        </w:rPr>
        <w:t>We depend on a small number of customers for a substantial portion of our business and we expect that a small number of customers will continue t</w:t>
      </w:r>
      <w:r>
        <w:rPr>
          <w:rFonts w:ascii="Arial" w:eastAsia="宋体" w:hAnsi="Arial" w:cs="Arial"/>
          <w:color w:val="000000"/>
          <w:sz w:val="20"/>
          <w:szCs w:val="20"/>
        </w:rPr>
        <w:t xml:space="preserve">o account for a significant part of our revenue in the future. If one of our key customers decides to stop buying our products, or if one of these customers materially reduces its operations or its demand for our products, our business would be materially </w:t>
      </w:r>
      <w:r>
        <w:rPr>
          <w:rFonts w:ascii="Arial" w:eastAsia="宋体" w:hAnsi="Arial" w:cs="Arial"/>
          <w:color w:val="000000"/>
          <w:sz w:val="20"/>
          <w:szCs w:val="20"/>
        </w:rPr>
        <w:t>adversely affected.</w:t>
      </w:r>
    </w:p>
    <w:p w14:paraId="1426FA66" w14:textId="77777777" w:rsidR="00A74A1E" w:rsidRDefault="00807990">
      <w:pPr>
        <w:spacing w:before="180"/>
        <w:ind w:firstLine="450"/>
        <w:jc w:val="both"/>
      </w:pPr>
      <w:r>
        <w:rPr>
          <w:rFonts w:ascii="Arial" w:eastAsia="宋体" w:hAnsi="Arial" w:cs="Arial"/>
          <w:b/>
          <w:bCs/>
          <w:i/>
          <w:iCs/>
          <w:color w:val="000000"/>
          <w:sz w:val="20"/>
          <w:szCs w:val="20"/>
        </w:rPr>
        <w:t>Our receipt of revenue from our semi-custom SoC products is dependent upon our technology being designed into third-party products and the success of those products.</w:t>
      </w:r>
    </w:p>
    <w:p w14:paraId="1426FA67" w14:textId="77777777" w:rsidR="00A74A1E" w:rsidRDefault="00807990">
      <w:pPr>
        <w:spacing w:before="180"/>
        <w:ind w:firstLine="450"/>
        <w:jc w:val="both"/>
      </w:pPr>
      <w:r>
        <w:rPr>
          <w:rFonts w:ascii="Arial" w:eastAsia="宋体" w:hAnsi="Arial" w:cs="Arial"/>
          <w:color w:val="000000"/>
          <w:sz w:val="20"/>
          <w:szCs w:val="20"/>
        </w:rPr>
        <w:t>The revenue that we receive from our semi-custom SoC products is in th</w:t>
      </w:r>
      <w:r>
        <w:rPr>
          <w:rFonts w:ascii="Arial" w:eastAsia="宋体" w:hAnsi="Arial" w:cs="Arial"/>
          <w:color w:val="000000"/>
          <w:sz w:val="20"/>
          <w:szCs w:val="20"/>
        </w:rPr>
        <w:t>e form of non-recurring engineering fees charged to third parties for design and development services and revenue received in connection with sales of our semi-custom SoC products to these third parties. As a result, our ability to generate revenue from ou</w:t>
      </w:r>
      <w:r>
        <w:rPr>
          <w:rFonts w:ascii="Arial" w:eastAsia="宋体" w:hAnsi="Arial" w:cs="Arial"/>
          <w:color w:val="000000"/>
          <w:sz w:val="20"/>
          <w:szCs w:val="20"/>
        </w:rPr>
        <w:t>r semi-custom products depends on our ability to secure customers for our semi-custom design pipeline, our customers’ desire to pursue the project, and our semi-custom SoC products being incorporated into those customer’s products. Any revenue from sales o</w:t>
      </w:r>
      <w:r>
        <w:rPr>
          <w:rFonts w:ascii="Arial" w:eastAsia="宋体" w:hAnsi="Arial" w:cs="Arial"/>
          <w:color w:val="000000"/>
          <w:sz w:val="20"/>
          <w:szCs w:val="20"/>
        </w:rPr>
        <w:t xml:space="preserve">f our semi-custom SoC products is directly related to sales of the third-party’s products and reflective of their success in the market. Moreover, we have no control over the marketing efforts of these third parties, and we cannot make any assurances that </w:t>
      </w:r>
      <w:r>
        <w:rPr>
          <w:rFonts w:ascii="Arial" w:eastAsia="宋体" w:hAnsi="Arial" w:cs="Arial"/>
          <w:color w:val="000000"/>
          <w:sz w:val="20"/>
          <w:szCs w:val="20"/>
        </w:rPr>
        <w:t xml:space="preserve">sales of their products will be successful in current or future </w:t>
      </w:r>
    </w:p>
    <w:p w14:paraId="1426FA68" w14:textId="77777777" w:rsidR="00A74A1E" w:rsidRDefault="00807990">
      <w:pPr>
        <w:jc w:val="center"/>
      </w:pPr>
      <w:r>
        <w:rPr>
          <w:rFonts w:ascii="Arial" w:eastAsia="宋体" w:hAnsi="Arial" w:cs="Arial"/>
          <w:color w:val="000000"/>
          <w:sz w:val="20"/>
          <w:szCs w:val="20"/>
        </w:rPr>
        <w:t>33</w:t>
      </w:r>
    </w:p>
    <w:p w14:paraId="1426FA69" w14:textId="77777777" w:rsidR="00A74A1E" w:rsidRDefault="00807990">
      <w:r>
        <w:pict w14:anchorId="1426FC2C">
          <v:rect id="_x0000_i1057" style="width:415.3pt;height:1.5pt" o:hralign="center" o:hrstd="t" o:hr="t" fillcolor="#a0a0a0" stroked="f"/>
        </w:pict>
      </w:r>
    </w:p>
    <w:p w14:paraId="1426FA6A" w14:textId="77777777" w:rsidR="00A74A1E" w:rsidRDefault="00A74A1E">
      <w:pPr>
        <w:spacing w:before="60"/>
      </w:pPr>
    </w:p>
    <w:p w14:paraId="1426FA6B" w14:textId="77777777" w:rsidR="00A74A1E" w:rsidRDefault="00807990">
      <w:pPr>
        <w:spacing w:before="180"/>
        <w:jc w:val="both"/>
      </w:pPr>
      <w:r>
        <w:rPr>
          <w:rFonts w:ascii="Arial" w:eastAsia="宋体" w:hAnsi="Arial" w:cs="Arial"/>
          <w:color w:val="000000"/>
          <w:sz w:val="20"/>
          <w:szCs w:val="20"/>
        </w:rPr>
        <w:t>years. Consequently, the semi-custom SoC product revenue expected by us may not be fully realized and our operating results may be adversely affected.</w:t>
      </w:r>
    </w:p>
    <w:p w14:paraId="1426FA6C" w14:textId="77777777" w:rsidR="00A74A1E" w:rsidRDefault="00807990">
      <w:pPr>
        <w:spacing w:before="180"/>
        <w:ind w:firstLine="450"/>
        <w:jc w:val="both"/>
      </w:pPr>
      <w:r>
        <w:rPr>
          <w:rFonts w:ascii="Arial" w:eastAsia="宋体" w:hAnsi="Arial" w:cs="Arial"/>
          <w:b/>
          <w:bCs/>
          <w:color w:val="000000"/>
          <w:sz w:val="20"/>
          <w:szCs w:val="20"/>
        </w:rPr>
        <w:t>    </w:t>
      </w:r>
      <w:r>
        <w:rPr>
          <w:rFonts w:ascii="Arial" w:eastAsia="宋体" w:hAnsi="Arial" w:cs="Arial"/>
          <w:b/>
          <w:bCs/>
          <w:i/>
          <w:iCs/>
          <w:color w:val="000000"/>
          <w:sz w:val="20"/>
          <w:szCs w:val="20"/>
        </w:rPr>
        <w:t xml:space="preserve">The ongoing novel coronavirus </w:t>
      </w:r>
      <w:r>
        <w:rPr>
          <w:rFonts w:ascii="Arial" w:eastAsia="宋体" w:hAnsi="Arial" w:cs="Arial"/>
          <w:b/>
          <w:bCs/>
          <w:i/>
          <w:iCs/>
          <w:color w:val="000000"/>
          <w:sz w:val="20"/>
          <w:szCs w:val="20"/>
        </w:rPr>
        <w:t xml:space="preserve">(COVID-19) pandemic could materially adversely affect our business, financial condition and results of operations. </w:t>
      </w:r>
    </w:p>
    <w:p w14:paraId="1426FA6D" w14:textId="77777777" w:rsidR="00A74A1E" w:rsidRDefault="00A74A1E">
      <w:pPr>
        <w:jc w:val="both"/>
      </w:pPr>
    </w:p>
    <w:p w14:paraId="1426FA6E" w14:textId="77777777" w:rsidR="00A74A1E" w:rsidRDefault="00807990">
      <w:pPr>
        <w:ind w:firstLine="450"/>
        <w:jc w:val="both"/>
      </w:pPr>
      <w:r>
        <w:rPr>
          <w:rFonts w:ascii="Arial" w:eastAsia="宋体" w:hAnsi="Arial" w:cs="Arial"/>
          <w:color w:val="000000"/>
          <w:sz w:val="20"/>
          <w:szCs w:val="20"/>
        </w:rPr>
        <w:t>The COVID-19 pandemic has caused government authorities to implement numerous public health measures, including quarantines, business closu</w:t>
      </w:r>
      <w:r>
        <w:rPr>
          <w:rFonts w:ascii="Arial" w:eastAsia="宋体" w:hAnsi="Arial" w:cs="Arial"/>
          <w:color w:val="000000"/>
          <w:sz w:val="20"/>
          <w:szCs w:val="20"/>
        </w:rPr>
        <w:t>res, travel bans, and restrictions related to social gathering and mobility, to contain the virus. We have experienced and expect to continue to experience disruptions to our business as these measures have, and will continue to have, an effect on our busi</w:t>
      </w:r>
      <w:r>
        <w:rPr>
          <w:rFonts w:ascii="Arial" w:eastAsia="宋体" w:hAnsi="Arial" w:cs="Arial"/>
          <w:color w:val="000000"/>
          <w:sz w:val="20"/>
          <w:szCs w:val="20"/>
        </w:rPr>
        <w:t xml:space="preserve">ness operations and practices. </w:t>
      </w:r>
    </w:p>
    <w:p w14:paraId="1426FA6F" w14:textId="77777777" w:rsidR="00A74A1E" w:rsidRDefault="00A74A1E">
      <w:pPr>
        <w:ind w:firstLine="495"/>
        <w:jc w:val="both"/>
      </w:pPr>
    </w:p>
    <w:p w14:paraId="1426FA70" w14:textId="77777777" w:rsidR="00A74A1E" w:rsidRDefault="00807990">
      <w:pPr>
        <w:ind w:firstLine="450"/>
        <w:jc w:val="both"/>
      </w:pPr>
      <w:r>
        <w:rPr>
          <w:rFonts w:ascii="Arial" w:eastAsia="宋体" w:hAnsi="Arial" w:cs="Arial"/>
          <w:color w:val="000000"/>
          <w:sz w:val="20"/>
          <w:szCs w:val="20"/>
        </w:rPr>
        <w:t xml:space="preserve">While many of our offices around the world remain open, either because the pandemic has been contained in that location or to enable critical on-site business functions in compliance with government guidelines, most of our </w:t>
      </w:r>
      <w:r>
        <w:rPr>
          <w:rFonts w:ascii="Arial" w:eastAsia="宋体" w:hAnsi="Arial" w:cs="Arial"/>
          <w:color w:val="000000"/>
          <w:sz w:val="20"/>
          <w:szCs w:val="20"/>
        </w:rPr>
        <w:t>employees continue to work from home until further notice. It is uncertain as to when the measures put in place to attempt to contain the spread of COVID-19 will be lifted or whether there will be additional measures put into place. If COVID-19 continues t</w:t>
      </w:r>
      <w:r>
        <w:rPr>
          <w:rFonts w:ascii="Arial" w:eastAsia="宋体" w:hAnsi="Arial" w:cs="Arial"/>
          <w:color w:val="000000"/>
          <w:sz w:val="20"/>
          <w:szCs w:val="20"/>
        </w:rPr>
        <w:t>o spread or there is a second wave of the virus, we may need to further limit operations or modify our business practices in a manner that may impact our business. If our employees are not able to perform their job duties due to self-isolation, quarantine,</w:t>
      </w:r>
      <w:r>
        <w:rPr>
          <w:rFonts w:ascii="Arial" w:eastAsia="宋体" w:hAnsi="Arial" w:cs="Arial"/>
          <w:color w:val="000000"/>
          <w:sz w:val="20"/>
          <w:szCs w:val="20"/>
        </w:rPr>
        <w:t xml:space="preserve"> travel restrictions or illness, or are unable to perform them as efficiently at home for an extended period of time, we may not be able to meet our product schedules, roadmaps and customer commitments and we may experience an overall lower productivity of</w:t>
      </w:r>
      <w:r>
        <w:rPr>
          <w:rFonts w:ascii="Arial" w:eastAsia="宋体" w:hAnsi="Arial" w:cs="Arial"/>
          <w:color w:val="000000"/>
          <w:sz w:val="20"/>
          <w:szCs w:val="20"/>
        </w:rPr>
        <w:t xml:space="preserve"> our workforce. We continue to monitor our operations and public health measures implemented by governmental authorities in response to COVID-19. Although some public health measures have eased and a small portion of our employees are at work in certain of</w:t>
      </w:r>
      <w:r>
        <w:rPr>
          <w:rFonts w:ascii="Arial" w:eastAsia="宋体" w:hAnsi="Arial" w:cs="Arial"/>
          <w:color w:val="000000"/>
          <w:sz w:val="20"/>
          <w:szCs w:val="20"/>
        </w:rPr>
        <w:t>fices, our efforts to reopen our offices safely may not be successful and could expose our employees to health risks. Even when COVID-19 measures regarding mobility are lifted or modified, our employees’ ability to return to work may delay the return of ou</w:t>
      </w:r>
      <w:r>
        <w:rPr>
          <w:rFonts w:ascii="Arial" w:eastAsia="宋体" w:hAnsi="Arial" w:cs="Arial"/>
          <w:color w:val="000000"/>
          <w:sz w:val="20"/>
          <w:szCs w:val="20"/>
        </w:rPr>
        <w:t>r full workforce and the resumption of normal business operations.</w:t>
      </w:r>
    </w:p>
    <w:p w14:paraId="1426FA71" w14:textId="77777777" w:rsidR="00A74A1E" w:rsidRDefault="00A74A1E">
      <w:pPr>
        <w:jc w:val="both"/>
      </w:pPr>
    </w:p>
    <w:p w14:paraId="1426FA72" w14:textId="77777777" w:rsidR="00A74A1E" w:rsidRDefault="00807990">
      <w:pPr>
        <w:ind w:firstLine="450"/>
        <w:jc w:val="both"/>
      </w:pPr>
      <w:r>
        <w:rPr>
          <w:rFonts w:ascii="Arial" w:eastAsia="宋体" w:hAnsi="Arial" w:cs="Arial"/>
          <w:color w:val="000000"/>
          <w:sz w:val="20"/>
          <w:szCs w:val="20"/>
        </w:rPr>
        <w:t>We have experienced some disruptions to parts of our supply chain as the result of COVID-19. We continue to monitor demand signals as we adjust our supply chain requirements based on chang</w:t>
      </w:r>
      <w:r>
        <w:rPr>
          <w:rFonts w:ascii="Arial" w:eastAsia="宋体" w:hAnsi="Arial" w:cs="Arial"/>
          <w:color w:val="000000"/>
          <w:sz w:val="20"/>
          <w:szCs w:val="20"/>
        </w:rPr>
        <w:t>ing customer needs and demands. If the supply of our products to customers is delayed, reduced or canceled due to disruptions encountered by our third-party manufacturing, suppliers or vendors as a result of facility closures, border and port closures, and</w:t>
      </w:r>
      <w:r>
        <w:rPr>
          <w:rFonts w:ascii="Arial" w:eastAsia="宋体" w:hAnsi="Arial" w:cs="Arial"/>
          <w:color w:val="000000"/>
          <w:sz w:val="20"/>
          <w:szCs w:val="20"/>
        </w:rPr>
        <w:t xml:space="preserve"> mobility limitations put on their workforces, it could have a material adverse effect on our business. </w:t>
      </w:r>
    </w:p>
    <w:p w14:paraId="1426FA73" w14:textId="77777777" w:rsidR="00A74A1E" w:rsidRDefault="00A74A1E">
      <w:pPr>
        <w:jc w:val="both"/>
      </w:pPr>
    </w:p>
    <w:p w14:paraId="1426FA74" w14:textId="77777777" w:rsidR="00A74A1E" w:rsidRDefault="00807990">
      <w:pPr>
        <w:ind w:firstLine="450"/>
        <w:jc w:val="both"/>
      </w:pPr>
      <w:r>
        <w:rPr>
          <w:rFonts w:ascii="Arial" w:eastAsia="宋体" w:hAnsi="Arial" w:cs="Arial"/>
          <w:color w:val="000000"/>
          <w:sz w:val="20"/>
          <w:szCs w:val="20"/>
        </w:rPr>
        <w:t>COVID-19 has in the short-term and may in the long-term adversely impact the global economy, potentially leading to an economic downturn. This could n</w:t>
      </w:r>
      <w:r>
        <w:rPr>
          <w:rFonts w:ascii="Arial" w:eastAsia="宋体" w:hAnsi="Arial" w:cs="Arial"/>
          <w:color w:val="000000"/>
          <w:sz w:val="20"/>
          <w:szCs w:val="20"/>
        </w:rPr>
        <w:t>egatively impact consumer confidence and spending causing our customers to postpone or cancel purchases, or delay paying or default on payment of outstanding amounts due to us, which may have a material adverse effect on our business. For example, we exper</w:t>
      </w:r>
      <w:r>
        <w:rPr>
          <w:rFonts w:ascii="Arial" w:eastAsia="宋体" w:hAnsi="Arial" w:cs="Arial"/>
          <w:color w:val="000000"/>
          <w:sz w:val="20"/>
          <w:szCs w:val="20"/>
        </w:rPr>
        <w:t xml:space="preserve">ienced some softness in PC related sales in China, one of the largest global markets for desktop and notebook PCs, during the first quarter of 2020. Also, we experienced some delays in payments from customers due to COVID-19 during the first half of 2020. </w:t>
      </w:r>
    </w:p>
    <w:p w14:paraId="1426FA75" w14:textId="77777777" w:rsidR="00A74A1E" w:rsidRDefault="00A74A1E">
      <w:pPr>
        <w:ind w:firstLine="360"/>
        <w:jc w:val="both"/>
      </w:pPr>
    </w:p>
    <w:p w14:paraId="1426FA76" w14:textId="77777777" w:rsidR="00A74A1E" w:rsidRDefault="00807990">
      <w:pPr>
        <w:ind w:firstLine="450"/>
        <w:jc w:val="both"/>
      </w:pPr>
      <w:r>
        <w:rPr>
          <w:rFonts w:ascii="Arial" w:eastAsia="宋体" w:hAnsi="Arial" w:cs="Arial"/>
          <w:color w:val="000000"/>
          <w:sz w:val="20"/>
          <w:szCs w:val="20"/>
        </w:rPr>
        <w:t>COVID-19 has also led to a disruption and volatility in the global capital and financial markets. While we believe our cash, cash equivalents and short-term investments along with our Revolving Facility will be sufficient to fund operations, including capi</w:t>
      </w:r>
      <w:r>
        <w:rPr>
          <w:rFonts w:ascii="Arial" w:eastAsia="宋体" w:hAnsi="Arial" w:cs="Arial"/>
          <w:color w:val="000000"/>
          <w:sz w:val="20"/>
          <w:szCs w:val="20"/>
        </w:rPr>
        <w:t>tal expenditures, over the next 12 months, to the extent we may require additional funding to finance our operations and capital expenditures and such funding may not be available to us as a result of contracting capital and financial markets resulting fro</w:t>
      </w:r>
      <w:r>
        <w:rPr>
          <w:rFonts w:ascii="Arial" w:eastAsia="宋体" w:hAnsi="Arial" w:cs="Arial"/>
          <w:color w:val="000000"/>
          <w:sz w:val="20"/>
          <w:szCs w:val="20"/>
        </w:rPr>
        <w:t xml:space="preserve">m COVID-19, it may have an adverse effect on our business. </w:t>
      </w:r>
    </w:p>
    <w:p w14:paraId="1426FA77" w14:textId="77777777" w:rsidR="00A74A1E" w:rsidRDefault="00A74A1E">
      <w:pPr>
        <w:jc w:val="both"/>
      </w:pPr>
    </w:p>
    <w:p w14:paraId="1426FA78" w14:textId="77777777" w:rsidR="00A74A1E" w:rsidRDefault="00807990">
      <w:pPr>
        <w:ind w:firstLine="450"/>
        <w:jc w:val="both"/>
      </w:pPr>
      <w:r>
        <w:rPr>
          <w:rFonts w:ascii="Arial" w:eastAsia="宋体" w:hAnsi="Arial" w:cs="Arial"/>
          <w:color w:val="000000"/>
          <w:sz w:val="20"/>
          <w:szCs w:val="20"/>
        </w:rPr>
        <w:t xml:space="preserve">The extent to which COVID-19 impacts our business and financial results will depend on future developments, which are unpredictable and highly uncertain, including the continued spread, duration </w:t>
      </w:r>
      <w:r>
        <w:rPr>
          <w:rFonts w:ascii="Arial" w:eastAsia="宋体" w:hAnsi="Arial" w:cs="Arial"/>
          <w:color w:val="000000"/>
          <w:sz w:val="20"/>
          <w:szCs w:val="20"/>
        </w:rPr>
        <w:t>and severity of the outbreak, the breadth and duration of business disruptions related to COVID-19, and public health measures and actions taken throughout the world to contain COVID-19. The prolonged effect of COVID-19 could materially adversely impact ou</w:t>
      </w:r>
      <w:r>
        <w:rPr>
          <w:rFonts w:ascii="Arial" w:eastAsia="宋体" w:hAnsi="Arial" w:cs="Arial"/>
          <w:color w:val="000000"/>
          <w:sz w:val="20"/>
          <w:szCs w:val="20"/>
        </w:rPr>
        <w:t>r business, financial condition and results of operations.</w:t>
      </w:r>
    </w:p>
    <w:p w14:paraId="1426FA79" w14:textId="77777777" w:rsidR="00A74A1E" w:rsidRDefault="00807990">
      <w:pPr>
        <w:spacing w:before="180"/>
        <w:ind w:firstLine="450"/>
        <w:jc w:val="both"/>
      </w:pPr>
      <w:r>
        <w:rPr>
          <w:rFonts w:ascii="Arial" w:eastAsia="宋体" w:hAnsi="Arial" w:cs="Arial"/>
          <w:b/>
          <w:bCs/>
          <w:i/>
          <w:iCs/>
          <w:color w:val="000000"/>
          <w:sz w:val="20"/>
          <w:szCs w:val="20"/>
        </w:rPr>
        <w:t>Our worldwide operations are subject to political, legal and economic risks and natural disasters, which could have a material adverse effect on us.</w:t>
      </w:r>
    </w:p>
    <w:p w14:paraId="1426FA7A" w14:textId="77777777" w:rsidR="00A74A1E" w:rsidRDefault="00807990">
      <w:pPr>
        <w:spacing w:before="180"/>
        <w:ind w:firstLine="450"/>
        <w:jc w:val="both"/>
      </w:pPr>
      <w:r>
        <w:rPr>
          <w:rFonts w:ascii="Arial" w:eastAsia="宋体" w:hAnsi="Arial" w:cs="Arial"/>
          <w:color w:val="000000"/>
          <w:sz w:val="20"/>
          <w:szCs w:val="20"/>
        </w:rPr>
        <w:t>We maintain operations around the world, includi</w:t>
      </w:r>
      <w:r>
        <w:rPr>
          <w:rFonts w:ascii="Arial" w:eastAsia="宋体" w:hAnsi="Arial" w:cs="Arial"/>
          <w:color w:val="000000"/>
          <w:sz w:val="20"/>
          <w:szCs w:val="20"/>
        </w:rPr>
        <w:t>ng in the United States, Canada, Europe, Australia and Asia. We rely on third-party wafer foundries in the United States, Europe and Asia. Nearly all product assembly and final testing of our products is performed at manufacturing facilities, operated by t</w:t>
      </w:r>
      <w:r>
        <w:rPr>
          <w:rFonts w:ascii="Arial" w:eastAsia="宋体" w:hAnsi="Arial" w:cs="Arial"/>
          <w:color w:val="000000"/>
          <w:sz w:val="20"/>
          <w:szCs w:val="20"/>
        </w:rPr>
        <w:t xml:space="preserve">hird-party manufacturing facilities, in China, Malaysia and Taiwan. We also have international sales operations. International sales, as a percent of net </w:t>
      </w:r>
    </w:p>
    <w:p w14:paraId="1426FA7B" w14:textId="77777777" w:rsidR="00A74A1E" w:rsidRDefault="00807990">
      <w:pPr>
        <w:jc w:val="center"/>
      </w:pPr>
      <w:r>
        <w:rPr>
          <w:rFonts w:ascii="Arial" w:eastAsia="宋体" w:hAnsi="Arial" w:cs="Arial"/>
          <w:color w:val="000000"/>
          <w:sz w:val="20"/>
          <w:szCs w:val="20"/>
        </w:rPr>
        <w:t>34</w:t>
      </w:r>
    </w:p>
    <w:p w14:paraId="1426FA7C" w14:textId="77777777" w:rsidR="00A74A1E" w:rsidRDefault="00807990">
      <w:r>
        <w:pict w14:anchorId="1426FC2D">
          <v:rect id="_x0000_i1058" style="width:415.3pt;height:1.5pt" o:hralign="center" o:hrstd="t" o:hr="t" fillcolor="#a0a0a0" stroked="f"/>
        </w:pict>
      </w:r>
    </w:p>
    <w:p w14:paraId="1426FA7D" w14:textId="77777777" w:rsidR="00A74A1E" w:rsidRDefault="00A74A1E">
      <w:pPr>
        <w:spacing w:before="60"/>
      </w:pPr>
    </w:p>
    <w:p w14:paraId="1426FA7E" w14:textId="77777777" w:rsidR="00A74A1E" w:rsidRDefault="00807990">
      <w:pPr>
        <w:spacing w:before="180"/>
        <w:jc w:val="both"/>
      </w:pPr>
      <w:r>
        <w:rPr>
          <w:rFonts w:ascii="Arial" w:eastAsia="宋体" w:hAnsi="Arial" w:cs="Arial"/>
          <w:color w:val="000000"/>
          <w:sz w:val="20"/>
          <w:szCs w:val="20"/>
        </w:rPr>
        <w:t xml:space="preserve">revenue, were 72% for the three months ended September 26, 2020. We expect that </w:t>
      </w:r>
      <w:r>
        <w:rPr>
          <w:rFonts w:ascii="Arial" w:eastAsia="宋体" w:hAnsi="Arial" w:cs="Arial"/>
          <w:color w:val="000000"/>
          <w:sz w:val="20"/>
          <w:szCs w:val="20"/>
        </w:rPr>
        <w:t>international sales will continue to be a significant portion of total sales in the foreseeable future.</w:t>
      </w:r>
    </w:p>
    <w:p w14:paraId="1426FA7F" w14:textId="77777777" w:rsidR="00A74A1E" w:rsidRDefault="00807990">
      <w:pPr>
        <w:spacing w:before="180"/>
        <w:ind w:firstLine="45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w:t>
      </w:r>
      <w:r>
        <w:rPr>
          <w:rFonts w:ascii="Arial" w:eastAsia="宋体" w:hAnsi="Arial" w:cs="Arial"/>
          <w:color w:val="000000"/>
          <w:sz w:val="20"/>
          <w:szCs w:val="20"/>
        </w:rPr>
        <w:t>cific country’s or region’s political or economic conditions; changes in tax laws, trade protection measures and import or export licensing requirements; difficulties in protecting our intellectual property; difficulties in managing staffing and exposure t</w:t>
      </w:r>
      <w:r>
        <w:rPr>
          <w:rFonts w:ascii="Arial" w:eastAsia="宋体" w:hAnsi="Arial" w:cs="Arial"/>
          <w:color w:val="000000"/>
          <w:sz w:val="20"/>
          <w:szCs w:val="20"/>
        </w:rPr>
        <w:t>o different employment practices and labor laws; changes in foreign currency exchange rates; restrictions on transfers of funds and other assets of our subsidiaries between jurisdictions; changes in freight and interest rates; disruption in air transportat</w:t>
      </w:r>
      <w:r>
        <w:rPr>
          <w:rFonts w:ascii="Arial" w:eastAsia="宋体" w:hAnsi="Arial" w:cs="Arial"/>
          <w:color w:val="000000"/>
          <w:sz w:val="20"/>
          <w:szCs w:val="20"/>
        </w:rPr>
        <w:t>ion between the United States and our overseas facilities; loss or modification of exemptions for taxes and tariffs; and compliance with U.S. laws and regulations related to international operations, including export control and economic sanctions laws and</w:t>
      </w:r>
      <w:r>
        <w:rPr>
          <w:rFonts w:ascii="Arial" w:eastAsia="宋体" w:hAnsi="Arial" w:cs="Arial"/>
          <w:color w:val="000000"/>
          <w:sz w:val="20"/>
          <w:szCs w:val="20"/>
        </w:rPr>
        <w:t xml:space="preserve"> regulations and the Foreign Corrupt Practices Act. </w:t>
      </w:r>
    </w:p>
    <w:p w14:paraId="1426FA80" w14:textId="77777777" w:rsidR="00A74A1E" w:rsidRDefault="00807990">
      <w:pPr>
        <w:spacing w:before="180"/>
        <w:ind w:firstLine="450"/>
        <w:jc w:val="both"/>
      </w:pPr>
      <w:r>
        <w:rPr>
          <w:rFonts w:ascii="Arial" w:eastAsia="宋体" w:hAnsi="Arial" w:cs="Arial"/>
          <w:color w:val="000000"/>
          <w:sz w:val="20"/>
          <w:szCs w:val="20"/>
        </w:rPr>
        <w:t>In addition, our worldwide operations (or those of our business partners) could be subject to natural disasters such as earthquakes, tsunamis, flooding, typhoons, fires and volcanic eruptions that disrup</w:t>
      </w:r>
      <w:r>
        <w:rPr>
          <w:rFonts w:ascii="Arial" w:eastAsia="宋体" w:hAnsi="Arial" w:cs="Arial"/>
          <w:color w:val="000000"/>
          <w:sz w:val="20"/>
          <w:szCs w:val="20"/>
        </w:rPr>
        <w:t>t manufacturing or other operations. For example, our Santa Clara operations are located near major earthquake fault lines in California. There may be conflict or uncertainty in the countries in which we operate, including public health issues (for example</w:t>
      </w:r>
      <w:r>
        <w:rPr>
          <w:rFonts w:ascii="Arial" w:eastAsia="宋体" w:hAnsi="Arial" w:cs="Arial"/>
          <w:color w:val="000000"/>
          <w:sz w:val="20"/>
          <w:szCs w:val="20"/>
        </w:rPr>
        <w:t>, an outbreak of a contagious disease such as a novel strain of the coronavirus (COVID-19), avian influenza, measles or Ebola), safety issues, natural disasters, fire, disruptions of service from utilities, nuclear power plant accidents or general economic</w:t>
      </w:r>
      <w:r>
        <w:rPr>
          <w:rFonts w:ascii="Arial" w:eastAsia="宋体" w:hAnsi="Arial" w:cs="Arial"/>
          <w:color w:val="000000"/>
          <w:sz w:val="20"/>
          <w:szCs w:val="20"/>
        </w:rPr>
        <w:t xml:space="preserve"> or political factors. For example, governments worldwide have implemented, and continue to implement, measures to slow down the outbreak of COVID-19. We have experienced and will continue to experience disruptions to our business as these measures have, a</w:t>
      </w:r>
      <w:r>
        <w:rPr>
          <w:rFonts w:ascii="Arial" w:eastAsia="宋体" w:hAnsi="Arial" w:cs="Arial"/>
          <w:color w:val="000000"/>
          <w:sz w:val="20"/>
          <w:szCs w:val="20"/>
        </w:rPr>
        <w:t>nd will continue to have, an effect on our business operations and practices. Also, the European Union’s General Data Protection Regulation imposes significant new requirements on how we collect, process and transfer personal data, as well as significant f</w:t>
      </w:r>
      <w:r>
        <w:rPr>
          <w:rFonts w:ascii="Arial" w:eastAsia="宋体" w:hAnsi="Arial" w:cs="Arial"/>
          <w:color w:val="000000"/>
          <w:sz w:val="20"/>
          <w:szCs w:val="20"/>
        </w:rPr>
        <w:t>ines for non-compliance. Any of the above risks, should they occur, could result in an increase in the cost of components, production delays, general business interruptions, delays from difficulties in obtaining export licenses for certain technology, tari</w:t>
      </w:r>
      <w:r>
        <w:rPr>
          <w:rFonts w:ascii="Arial" w:eastAsia="宋体" w:hAnsi="Arial" w:cs="Arial"/>
          <w:color w:val="000000"/>
          <w:sz w:val="20"/>
          <w:szCs w:val="20"/>
        </w:rPr>
        <w:t>ffs and other barriers and restrictions, longer payment cycles, increased taxes, restrictions on the repatriation of funds and the burdens of complying with a variety of foreign laws, any of which could ultimately have a material adverse effect on our busi</w:t>
      </w:r>
      <w:r>
        <w:rPr>
          <w:rFonts w:ascii="Arial" w:eastAsia="宋体" w:hAnsi="Arial" w:cs="Arial"/>
          <w:color w:val="000000"/>
          <w:sz w:val="20"/>
          <w:szCs w:val="20"/>
        </w:rPr>
        <w:t>ness.</w:t>
      </w:r>
    </w:p>
    <w:p w14:paraId="1426FA81" w14:textId="77777777" w:rsidR="00A74A1E" w:rsidRDefault="00807990">
      <w:pPr>
        <w:spacing w:before="180"/>
        <w:ind w:firstLine="450"/>
        <w:jc w:val="both"/>
      </w:pPr>
      <w:r>
        <w:rPr>
          <w:rFonts w:ascii="Arial" w:eastAsia="宋体" w:hAnsi="Arial" w:cs="Arial"/>
          <w:b/>
          <w:bCs/>
          <w:i/>
          <w:iCs/>
          <w:color w:val="000000"/>
          <w:sz w:val="20"/>
          <w:szCs w:val="20"/>
        </w:rPr>
        <w:t>Government actions and regulations such as export administration regulations, tariffs, and trade protection measures, may limit our ability to export our products to certain customers.</w:t>
      </w:r>
    </w:p>
    <w:p w14:paraId="1426FA82" w14:textId="77777777" w:rsidR="00A74A1E" w:rsidRDefault="00807990">
      <w:pPr>
        <w:spacing w:before="180"/>
        <w:ind w:firstLine="450"/>
        <w:jc w:val="both"/>
      </w:pPr>
      <w:r>
        <w:rPr>
          <w:rFonts w:ascii="Arial" w:eastAsia="宋体" w:hAnsi="Arial" w:cs="Arial"/>
          <w:color w:val="000000"/>
          <w:sz w:val="20"/>
          <w:szCs w:val="20"/>
        </w:rPr>
        <w:t> We have equity interests in two joint ventures (collectively, th</w:t>
      </w:r>
      <w:r>
        <w:rPr>
          <w:rFonts w:ascii="Arial" w:eastAsia="宋体" w:hAnsi="Arial" w:cs="Arial"/>
          <w:color w:val="000000"/>
          <w:sz w:val="20"/>
          <w:szCs w:val="20"/>
        </w:rPr>
        <w:t>e THATIC JV) with Higon Information Technology Co., Ltd. (THATIC), a third-party Chinese entity. In June 2019, the Bureau of Industry and Security (BIS) of the United States Department of Commerce added certain Chinese entities to the Entity List, includin</w:t>
      </w:r>
      <w:r>
        <w:rPr>
          <w:rFonts w:ascii="Arial" w:eastAsia="宋体" w:hAnsi="Arial" w:cs="Arial"/>
          <w:color w:val="000000"/>
          <w:sz w:val="20"/>
          <w:szCs w:val="20"/>
        </w:rPr>
        <w:t>g THATIC and the THATIC JV. In October 2019, the BIS added additional Chinese entities to the Entity List. Also, the United States administration has called for changes to domestic and foreign policy. Specifically, United States-China trade relations remai</w:t>
      </w:r>
      <w:r>
        <w:rPr>
          <w:rFonts w:ascii="Arial" w:eastAsia="宋体" w:hAnsi="Arial" w:cs="Arial"/>
          <w:color w:val="000000"/>
          <w:sz w:val="20"/>
          <w:szCs w:val="20"/>
        </w:rPr>
        <w:t xml:space="preserve">n uncertain. The United States administration has announced tariffs on certain products imported into the United States with China as the country of origin, and China has imposed tariffs in response to the actions of the United States. We are taking steps </w:t>
      </w:r>
      <w:r>
        <w:rPr>
          <w:rFonts w:ascii="Arial" w:eastAsia="宋体" w:hAnsi="Arial" w:cs="Arial"/>
          <w:color w:val="000000"/>
          <w:sz w:val="20"/>
          <w:szCs w:val="20"/>
        </w:rPr>
        <w:t>to mitigate the impact of these tariffs on our business and AMD processor-based products. There is also a possibility of future tariffs, trade protection measures, import or export regulations or other restrictions imposed on our products or on our custome</w:t>
      </w:r>
      <w:r>
        <w:rPr>
          <w:rFonts w:ascii="Arial" w:eastAsia="宋体" w:hAnsi="Arial" w:cs="Arial"/>
          <w:color w:val="000000"/>
          <w:sz w:val="20"/>
          <w:szCs w:val="20"/>
        </w:rPr>
        <w:t>rs by the United States, China or other countries that could have a material adverse effect on our business. A significant trade disruption or the establishment or increase of any tariffs, trade protection measures or restrictions could result in lost sale</w:t>
      </w:r>
      <w:r>
        <w:rPr>
          <w:rFonts w:ascii="Arial" w:eastAsia="宋体" w:hAnsi="Arial" w:cs="Arial"/>
          <w:color w:val="000000"/>
          <w:sz w:val="20"/>
          <w:szCs w:val="20"/>
        </w:rPr>
        <w:t>s adversely impacting our reputation and business.</w:t>
      </w:r>
    </w:p>
    <w:p w14:paraId="1426FA83" w14:textId="77777777" w:rsidR="00A74A1E" w:rsidRDefault="00807990">
      <w:pPr>
        <w:spacing w:before="180"/>
        <w:ind w:firstLine="450"/>
        <w:jc w:val="both"/>
      </w:pPr>
      <w:r>
        <w:rPr>
          <w:rFonts w:ascii="Arial" w:eastAsia="宋体" w:hAnsi="Arial" w:cs="Arial"/>
          <w:b/>
          <w:bCs/>
          <w:i/>
          <w:iCs/>
          <w:color w:val="000000"/>
          <w:sz w:val="20"/>
          <w:szCs w:val="20"/>
        </w:rPr>
        <w:t>Acquisitions, joint ventures and/or investments, including our recently announced acquisition of Xilinx, and the failure to integrate acquired businesses, could disrupt our business and/or dilute or advers</w:t>
      </w:r>
      <w:r>
        <w:rPr>
          <w:rFonts w:ascii="Arial" w:eastAsia="宋体" w:hAnsi="Arial" w:cs="Arial"/>
          <w:b/>
          <w:bCs/>
          <w:i/>
          <w:iCs/>
          <w:color w:val="000000"/>
          <w:sz w:val="20"/>
          <w:szCs w:val="20"/>
        </w:rPr>
        <w:t>ely affect the price of our common stock.</w:t>
      </w:r>
    </w:p>
    <w:p w14:paraId="1426FA84" w14:textId="77777777" w:rsidR="00A74A1E" w:rsidRDefault="00807990">
      <w:pPr>
        <w:spacing w:before="180"/>
        <w:ind w:firstLine="450"/>
        <w:jc w:val="both"/>
      </w:pPr>
      <w:r>
        <w:rPr>
          <w:rFonts w:ascii="Arial" w:eastAsia="宋体" w:hAnsi="Arial" w:cs="Arial"/>
          <w:color w:val="000000"/>
          <w:sz w:val="20"/>
          <w:szCs w:val="20"/>
        </w:rPr>
        <w:t>Our success will depend, in part, on our ability to expand our product offerings and grow our business in response to changing technologies, customer demands and competitive pressures. In some circumstances, we may</w:t>
      </w:r>
      <w:r>
        <w:rPr>
          <w:rFonts w:ascii="Arial" w:eastAsia="宋体" w:hAnsi="Arial" w:cs="Arial"/>
          <w:color w:val="000000"/>
          <w:sz w:val="20"/>
          <w:szCs w:val="20"/>
        </w:rPr>
        <w:t xml:space="preserve"> pursue growth through the acquisition of complementary businesses, solutions or technologies or through joint ventures or investments rather than through internal development. The identification of suitable acquisition or joint venture candidates can be d</w:t>
      </w:r>
      <w:r>
        <w:rPr>
          <w:rFonts w:ascii="Arial" w:eastAsia="宋体" w:hAnsi="Arial" w:cs="Arial"/>
          <w:color w:val="000000"/>
          <w:sz w:val="20"/>
          <w:szCs w:val="20"/>
        </w:rPr>
        <w:t xml:space="preserve">ifficult, time-consuming and costly, and we may not be able to successfully complete identified acquisitions or joint ventures. </w:t>
      </w:r>
    </w:p>
    <w:p w14:paraId="1426FA85" w14:textId="77777777" w:rsidR="00A74A1E" w:rsidRDefault="00807990">
      <w:pPr>
        <w:spacing w:before="180"/>
        <w:ind w:firstLine="450"/>
        <w:jc w:val="both"/>
      </w:pPr>
      <w:r>
        <w:rPr>
          <w:rFonts w:ascii="Arial" w:eastAsia="宋体" w:hAnsi="Arial" w:cs="Arial"/>
          <w:color w:val="000000"/>
          <w:sz w:val="20"/>
          <w:szCs w:val="20"/>
        </w:rPr>
        <w:t>For example, on October 26, 2020, we, along with a direct wholly owned subsidiary of ours, entered into an agreement and plan o</w:t>
      </w:r>
      <w:r>
        <w:rPr>
          <w:rFonts w:ascii="Arial" w:eastAsia="宋体" w:hAnsi="Arial" w:cs="Arial"/>
          <w:color w:val="000000"/>
          <w:sz w:val="20"/>
          <w:szCs w:val="20"/>
        </w:rPr>
        <w:t xml:space="preserve">f merger (the Merger Agreement) with Xilinx, Inc. (Xilinx), whereby we agreed to acquire Xilinx </w:t>
      </w:r>
    </w:p>
    <w:p w14:paraId="1426FA86" w14:textId="77777777" w:rsidR="00A74A1E" w:rsidRDefault="00807990">
      <w:pPr>
        <w:jc w:val="center"/>
      </w:pPr>
      <w:r>
        <w:rPr>
          <w:rFonts w:ascii="Arial" w:eastAsia="宋体" w:hAnsi="Arial" w:cs="Arial"/>
          <w:color w:val="000000"/>
          <w:sz w:val="20"/>
          <w:szCs w:val="20"/>
        </w:rPr>
        <w:t>35</w:t>
      </w:r>
    </w:p>
    <w:p w14:paraId="1426FA87" w14:textId="77777777" w:rsidR="00A74A1E" w:rsidRDefault="00807990">
      <w:r>
        <w:pict w14:anchorId="1426FC2E">
          <v:rect id="_x0000_i1059" style="width:415.3pt;height:1.5pt" o:hralign="center" o:hrstd="t" o:hr="t" fillcolor="#a0a0a0" stroked="f"/>
        </w:pict>
      </w:r>
    </w:p>
    <w:p w14:paraId="1426FA88" w14:textId="77777777" w:rsidR="00A74A1E" w:rsidRDefault="00A74A1E">
      <w:pPr>
        <w:spacing w:before="60"/>
      </w:pPr>
    </w:p>
    <w:p w14:paraId="1426FA89" w14:textId="77777777" w:rsidR="00A74A1E" w:rsidRDefault="00807990">
      <w:pPr>
        <w:spacing w:before="180"/>
        <w:jc w:val="both"/>
      </w:pPr>
      <w:r>
        <w:rPr>
          <w:rFonts w:ascii="Arial" w:eastAsia="宋体" w:hAnsi="Arial" w:cs="Arial"/>
          <w:color w:val="000000"/>
          <w:sz w:val="20"/>
          <w:szCs w:val="20"/>
        </w:rPr>
        <w:t>(the Merger). We entered into the Merger Agreement with the belief that the Merger will result in certain benefits, including certain operational synergi</w:t>
      </w:r>
      <w:r>
        <w:rPr>
          <w:rFonts w:ascii="Arial" w:eastAsia="宋体" w:hAnsi="Arial" w:cs="Arial"/>
          <w:color w:val="000000"/>
          <w:sz w:val="20"/>
          <w:szCs w:val="20"/>
        </w:rPr>
        <w:t>es and cost efficiencies, and drive product innovations. Achieving these anticipated benefits will depend on successfully combining our and Xilinx’s businesses together. It is not certain that Xilinx’s business can be successfully integrated with our busin</w:t>
      </w:r>
      <w:r>
        <w:rPr>
          <w:rFonts w:ascii="Arial" w:eastAsia="宋体" w:hAnsi="Arial" w:cs="Arial"/>
          <w:color w:val="000000"/>
          <w:sz w:val="20"/>
          <w:szCs w:val="20"/>
        </w:rPr>
        <w:t>ess in a timely manner or at all, or that any of the anticipated benefits will be realized for a variety of reasons, including, but not limited to: failure to obtain applicable regulatory or stockholder approvals in a timely manner or otherwise; failure to</w:t>
      </w:r>
      <w:r>
        <w:rPr>
          <w:rFonts w:ascii="Arial" w:eastAsia="宋体" w:hAnsi="Arial" w:cs="Arial"/>
          <w:color w:val="000000"/>
          <w:sz w:val="20"/>
          <w:szCs w:val="20"/>
        </w:rPr>
        <w:t xml:space="preserve"> satisfy other closing conditions to the Merger; our inability to integrate or benefit from Xilinx’s acquired technologies or services in a profitable manner; diversion of capital and other resources, including management’s attention from our existing busi</w:t>
      </w:r>
      <w:r>
        <w:rPr>
          <w:rFonts w:ascii="Arial" w:eastAsia="宋体" w:hAnsi="Arial" w:cs="Arial"/>
          <w:color w:val="000000"/>
          <w:sz w:val="20"/>
          <w:szCs w:val="20"/>
        </w:rPr>
        <w:t>ness; unanticipated costs or liabilities associated with the Merger; failure to leverage the increased scale of the combined businesses quickly and effectively; coordinating and integrating in countries in which we have not previously operated; the potenti</w:t>
      </w:r>
      <w:r>
        <w:rPr>
          <w:rFonts w:ascii="Arial" w:eastAsia="宋体" w:hAnsi="Arial" w:cs="Arial"/>
          <w:color w:val="000000"/>
          <w:sz w:val="20"/>
          <w:szCs w:val="20"/>
        </w:rPr>
        <w:t>al impact of the Merger on our relationships with employees, vendors, suppliers and customers; the impairment of relationships with, or the loss of, Xilinx’s employees, vendors, suppliers and customers; adverse changes in general economic conditions in reg</w:t>
      </w:r>
      <w:r>
        <w:rPr>
          <w:rFonts w:ascii="Arial" w:eastAsia="宋体" w:hAnsi="Arial" w:cs="Arial"/>
          <w:color w:val="000000"/>
          <w:sz w:val="20"/>
          <w:szCs w:val="20"/>
        </w:rPr>
        <w:t>ions in which we and Xilinx operate; potential litigation associated with the Merger; difficulties in the assimilation of employees and culture; difficulties in managing the expanded operations of a larger and more complex company; challenges in attracting</w:t>
      </w:r>
      <w:r>
        <w:rPr>
          <w:rFonts w:ascii="Arial" w:eastAsia="宋体" w:hAnsi="Arial" w:cs="Arial"/>
          <w:color w:val="000000"/>
          <w:sz w:val="20"/>
          <w:szCs w:val="20"/>
        </w:rPr>
        <w:t xml:space="preserve"> and retaining key personnel; and difficulties with harmonizing our and Xilinx’s financial reporting systems. Many of these factors will be outside of our control and any one of them could result in increased costs, decreases in expected revenues and diver</w:t>
      </w:r>
      <w:r>
        <w:rPr>
          <w:rFonts w:ascii="Arial" w:eastAsia="宋体" w:hAnsi="Arial" w:cs="Arial"/>
          <w:color w:val="000000"/>
          <w:sz w:val="20"/>
          <w:szCs w:val="20"/>
        </w:rPr>
        <w:t xml:space="preserve">sion of management’s time and attention, which could materially impact the combined company. In addition, even if the operations of the businesses are integrated successfully, the full benefits of the Merger may not be realized within the anticipated time </w:t>
      </w:r>
      <w:r>
        <w:rPr>
          <w:rFonts w:ascii="Arial" w:eastAsia="宋体" w:hAnsi="Arial" w:cs="Arial"/>
          <w:color w:val="000000"/>
          <w:sz w:val="20"/>
          <w:szCs w:val="20"/>
        </w:rPr>
        <w:t xml:space="preserve">frame or at all. All of these factors could decrease or delay the expected accretive effect of the Merger and negatively impact the combined company. If we cannot successfully integrate our and Xilinx’s businesses and operations, or if there are delays in </w:t>
      </w:r>
      <w:r>
        <w:rPr>
          <w:rFonts w:ascii="Arial" w:eastAsia="宋体" w:hAnsi="Arial" w:cs="Arial"/>
          <w:color w:val="000000"/>
          <w:sz w:val="20"/>
          <w:szCs w:val="20"/>
        </w:rPr>
        <w:t>combining the businesses, it could negatively impact our ability to develop or sell new products and impair our ability to grow our business, which in turn could adversely affect our financial condition and operating results.</w:t>
      </w:r>
    </w:p>
    <w:p w14:paraId="1426FA8A" w14:textId="77777777" w:rsidR="00A74A1E" w:rsidRDefault="00807990">
      <w:pPr>
        <w:spacing w:before="180"/>
        <w:ind w:firstLine="450"/>
        <w:jc w:val="both"/>
      </w:pPr>
      <w:r>
        <w:rPr>
          <w:rFonts w:ascii="Arial" w:eastAsia="宋体" w:hAnsi="Arial" w:cs="Arial"/>
          <w:color w:val="000000"/>
          <w:sz w:val="20"/>
          <w:szCs w:val="20"/>
        </w:rPr>
        <w:t>Acquisitions and joint venture</w:t>
      </w:r>
      <w:r>
        <w:rPr>
          <w:rFonts w:ascii="Arial" w:eastAsia="宋体" w:hAnsi="Arial" w:cs="Arial"/>
          <w:color w:val="000000"/>
          <w:sz w:val="20"/>
          <w:szCs w:val="20"/>
        </w:rPr>
        <w:t>s may also involve the entry into geographic or business markets in which we have little or no prior experience. Consequently, we may not achieve anticipated benefits of acquisitions or joint ventures, which could harm our operating results. In addition, t</w:t>
      </w:r>
      <w:r>
        <w:rPr>
          <w:rFonts w:ascii="Arial" w:eastAsia="宋体" w:hAnsi="Arial" w:cs="Arial"/>
          <w:color w:val="000000"/>
          <w:sz w:val="20"/>
          <w:szCs w:val="20"/>
        </w:rPr>
        <w:t>o complete an acquisition (and as contemplated in the Merger), we may issue equity securities, which would dilute our stockholders’ ownership and could adversely affect the price of our common stock, and/or incur debt, assume contingent liabilities or have</w:t>
      </w:r>
      <w:r>
        <w:rPr>
          <w:rFonts w:ascii="Arial" w:eastAsia="宋体" w:hAnsi="Arial" w:cs="Arial"/>
          <w:color w:val="000000"/>
          <w:sz w:val="20"/>
          <w:szCs w:val="20"/>
        </w:rPr>
        <w:t xml:space="preserve"> amortization expenses and write-downs of acquired assets, which could adversely affect our results of operations. Moreover, if such acquisitions or joint ventures require us to seek additional debt or equity financing, we may not be able to obtain such fi</w:t>
      </w:r>
      <w:r>
        <w:rPr>
          <w:rFonts w:ascii="Arial" w:eastAsia="宋体" w:hAnsi="Arial" w:cs="Arial"/>
          <w:color w:val="000000"/>
          <w:sz w:val="20"/>
          <w:szCs w:val="20"/>
        </w:rPr>
        <w:t>nancing on terms favorable to us or at all. Even if we successfully complete an acquisition or joint venture, we may not be able to assimilate and integrate effectively or efficiently the acquired business, technologies, solutions, assets, personnel or ope</w:t>
      </w:r>
      <w:r>
        <w:rPr>
          <w:rFonts w:ascii="Arial" w:eastAsia="宋体" w:hAnsi="Arial" w:cs="Arial"/>
          <w:color w:val="000000"/>
          <w:sz w:val="20"/>
          <w:szCs w:val="20"/>
        </w:rPr>
        <w:t>rations, particularly if key personnel of the acquired company decide not to work for us.</w:t>
      </w:r>
    </w:p>
    <w:p w14:paraId="1426FA8B" w14:textId="77777777" w:rsidR="00A74A1E" w:rsidRDefault="00807990">
      <w:pPr>
        <w:spacing w:before="180"/>
        <w:ind w:firstLine="450"/>
        <w:jc w:val="both"/>
      </w:pPr>
      <w:r>
        <w:rPr>
          <w:rFonts w:ascii="Arial" w:eastAsia="宋体" w:hAnsi="Arial" w:cs="Arial"/>
          <w:color w:val="000000"/>
          <w:sz w:val="20"/>
          <w:szCs w:val="20"/>
        </w:rPr>
        <w:t>Acquisitions and joint ventures may also reduce our cash available for operations and other uses, which could harm our business. Also, any failure on our part to effe</w:t>
      </w:r>
      <w:r>
        <w:rPr>
          <w:rFonts w:ascii="Arial" w:eastAsia="宋体" w:hAnsi="Arial" w:cs="Arial"/>
          <w:color w:val="000000"/>
          <w:sz w:val="20"/>
          <w:szCs w:val="20"/>
        </w:rPr>
        <w:t>ctively evaluate and execute new business initiatives could adversely affect our business. We may not adequately assess the risks of new business initiatives and subsequent events may arise that alter the risks that were initially considered.Furthermore, w</w:t>
      </w:r>
      <w:r>
        <w:rPr>
          <w:rFonts w:ascii="Arial" w:eastAsia="宋体" w:hAnsi="Arial" w:cs="Arial"/>
          <w:color w:val="000000"/>
          <w:sz w:val="20"/>
          <w:szCs w:val="20"/>
        </w:rPr>
        <w:t>e may not achieve the objectives and expectations with respect to future operations, products and services. The majority of our ATMP services are provided by the ATMP JVs, and there is no guarantee that the JVs will be able to fulfill our long-term ATMP re</w:t>
      </w:r>
      <w:r>
        <w:rPr>
          <w:rFonts w:ascii="Arial" w:eastAsia="宋体" w:hAnsi="Arial" w:cs="Arial"/>
          <w:color w:val="000000"/>
          <w:sz w:val="20"/>
          <w:szCs w:val="20"/>
        </w:rPr>
        <w:t>quirements. If we are unable to meet customer demand due to fluctuating or late supply from the ATMP JVs, it could result in lost sales and have a material adverse effect on our business.</w:t>
      </w:r>
    </w:p>
    <w:p w14:paraId="1426FA8C" w14:textId="77777777" w:rsidR="00A74A1E" w:rsidRDefault="00807990">
      <w:pPr>
        <w:spacing w:before="180"/>
        <w:ind w:firstLine="450"/>
        <w:jc w:val="both"/>
      </w:pPr>
      <w:r>
        <w:rPr>
          <w:rFonts w:ascii="Arial" w:eastAsia="宋体" w:hAnsi="Arial" w:cs="Arial"/>
          <w:color w:val="000000"/>
          <w:sz w:val="20"/>
          <w:szCs w:val="20"/>
        </w:rPr>
        <w:t xml:space="preserve">In addition, we may not realize the anticipated benefits from our </w:t>
      </w:r>
      <w:r>
        <w:rPr>
          <w:rFonts w:ascii="Arial" w:eastAsia="宋体" w:hAnsi="Arial" w:cs="Arial"/>
          <w:color w:val="000000"/>
          <w:sz w:val="20"/>
          <w:szCs w:val="20"/>
        </w:rPr>
        <w:t>business initiatives. For example, we may not realize the expected benefits from the THATIC JV’s expected future performance, including the receipt of any future milestone payments and any royalties from certain licensed intellectual property. In June 2019</w:t>
      </w:r>
      <w:r>
        <w:rPr>
          <w:rFonts w:ascii="Arial" w:eastAsia="宋体" w:hAnsi="Arial" w:cs="Arial"/>
          <w:color w:val="000000"/>
          <w:sz w:val="20"/>
          <w:szCs w:val="20"/>
        </w:rPr>
        <w:t>, the BIS added certain Chinese entities to the Entity List, including THATIC and the THATIC JV. We are complying with U.S. law pertaining to the Entity List designation.</w:t>
      </w:r>
    </w:p>
    <w:p w14:paraId="1426FA8D" w14:textId="77777777" w:rsidR="00A74A1E" w:rsidRDefault="00807990">
      <w:pPr>
        <w:spacing w:before="180"/>
        <w:ind w:firstLine="450"/>
        <w:jc w:val="both"/>
      </w:pPr>
      <w:r>
        <w:rPr>
          <w:rFonts w:ascii="Arial" w:eastAsia="宋体" w:hAnsi="Arial" w:cs="Arial"/>
          <w:b/>
          <w:bCs/>
          <w:i/>
          <w:iCs/>
          <w:color w:val="000000"/>
          <w:sz w:val="20"/>
          <w:szCs w:val="20"/>
        </w:rPr>
        <w:t>Our ability to complete the Merger is subject to closing conditions, including approv</w:t>
      </w:r>
      <w:r>
        <w:rPr>
          <w:rFonts w:ascii="Arial" w:eastAsia="宋体" w:hAnsi="Arial" w:cs="Arial"/>
          <w:b/>
          <w:bCs/>
          <w:i/>
          <w:iCs/>
          <w:color w:val="000000"/>
          <w:sz w:val="20"/>
          <w:szCs w:val="20"/>
        </w:rPr>
        <w:t>al by our and Xilinx’s stockholders and the receipt of consents and approvals from governmental authorities, which may impose conditions that could adversely affect us or cause the Merger not to be completed.</w:t>
      </w:r>
    </w:p>
    <w:p w14:paraId="1426FA8E" w14:textId="77777777" w:rsidR="00A74A1E" w:rsidRDefault="00807990">
      <w:pPr>
        <w:spacing w:before="180"/>
        <w:ind w:firstLine="450"/>
        <w:jc w:val="both"/>
      </w:pPr>
      <w:r>
        <w:rPr>
          <w:rFonts w:ascii="Arial" w:eastAsia="宋体" w:hAnsi="Arial" w:cs="Arial"/>
          <w:color w:val="000000"/>
          <w:sz w:val="20"/>
          <w:szCs w:val="20"/>
        </w:rPr>
        <w:t>The Merger is subject to a number of closing co</w:t>
      </w:r>
      <w:r>
        <w:rPr>
          <w:rFonts w:ascii="Arial" w:eastAsia="宋体" w:hAnsi="Arial" w:cs="Arial"/>
          <w:color w:val="000000"/>
          <w:sz w:val="20"/>
          <w:szCs w:val="20"/>
        </w:rPr>
        <w:t>nditions as specified in the Merger Agreement. These include, among others, approvals by our and Xilinx’s stockholders, the receipt of approvals under certain competition laws and the absence of governmental restraints or prohibitions preventing the consum</w:t>
      </w:r>
      <w:r>
        <w:rPr>
          <w:rFonts w:ascii="Arial" w:eastAsia="宋体" w:hAnsi="Arial" w:cs="Arial"/>
          <w:color w:val="000000"/>
          <w:sz w:val="20"/>
          <w:szCs w:val="20"/>
        </w:rPr>
        <w:t>mation of the Merger. No assurance can be given that the required consents and approvals will be obtained or that the closing conditions will be satisfied in a timely manner or at all. Any delay in completing the Merger could cause the combined company not</w:t>
      </w:r>
      <w:r>
        <w:rPr>
          <w:rFonts w:ascii="Arial" w:eastAsia="宋体" w:hAnsi="Arial" w:cs="Arial"/>
          <w:color w:val="000000"/>
          <w:sz w:val="20"/>
          <w:szCs w:val="20"/>
        </w:rPr>
        <w:t xml:space="preserve"> </w:t>
      </w:r>
    </w:p>
    <w:p w14:paraId="1426FA8F" w14:textId="77777777" w:rsidR="00A74A1E" w:rsidRDefault="00807990">
      <w:pPr>
        <w:jc w:val="center"/>
      </w:pPr>
      <w:r>
        <w:rPr>
          <w:rFonts w:ascii="Arial" w:eastAsia="宋体" w:hAnsi="Arial" w:cs="Arial"/>
          <w:color w:val="000000"/>
          <w:sz w:val="20"/>
          <w:szCs w:val="20"/>
        </w:rPr>
        <w:t>36</w:t>
      </w:r>
    </w:p>
    <w:p w14:paraId="1426FA90" w14:textId="77777777" w:rsidR="00A74A1E" w:rsidRDefault="00807990">
      <w:r>
        <w:pict w14:anchorId="1426FC2F">
          <v:rect id="_x0000_i1060" style="width:415.3pt;height:1.5pt" o:hralign="center" o:hrstd="t" o:hr="t" fillcolor="#a0a0a0" stroked="f"/>
        </w:pict>
      </w:r>
    </w:p>
    <w:p w14:paraId="1426FA91" w14:textId="77777777" w:rsidR="00A74A1E" w:rsidRDefault="00A74A1E">
      <w:pPr>
        <w:spacing w:before="60"/>
      </w:pPr>
    </w:p>
    <w:p w14:paraId="1426FA92" w14:textId="77777777" w:rsidR="00A74A1E" w:rsidRDefault="00807990">
      <w:pPr>
        <w:spacing w:before="180"/>
        <w:jc w:val="both"/>
      </w:pPr>
      <w:r>
        <w:rPr>
          <w:rFonts w:ascii="Arial" w:eastAsia="宋体" w:hAnsi="Arial" w:cs="Arial"/>
          <w:color w:val="000000"/>
          <w:sz w:val="20"/>
          <w:szCs w:val="20"/>
        </w:rPr>
        <w:t>to realize, or to be delayed in realizing, some or all of the benefits that we expect to achieve. In addition, we can provide no assurance that these conditions will not result in the abandonment or delay of the Merger. The occurrence of any of the</w:t>
      </w:r>
      <w:r>
        <w:rPr>
          <w:rFonts w:ascii="Arial" w:eastAsia="宋体" w:hAnsi="Arial" w:cs="Arial"/>
          <w:color w:val="000000"/>
          <w:sz w:val="20"/>
          <w:szCs w:val="20"/>
        </w:rPr>
        <w:t>se events could have a material adverse effect on our results of operations and the trading price of our common stock.</w:t>
      </w:r>
    </w:p>
    <w:p w14:paraId="1426FA93" w14:textId="77777777" w:rsidR="00A74A1E" w:rsidRDefault="00807990">
      <w:pPr>
        <w:spacing w:before="180"/>
        <w:ind w:firstLine="450"/>
        <w:jc w:val="both"/>
      </w:pPr>
      <w:r>
        <w:rPr>
          <w:rFonts w:ascii="Arial" w:eastAsia="宋体" w:hAnsi="Arial" w:cs="Arial"/>
          <w:b/>
          <w:bCs/>
          <w:i/>
          <w:iCs/>
          <w:color w:val="000000"/>
          <w:sz w:val="20"/>
          <w:szCs w:val="20"/>
        </w:rPr>
        <w:t xml:space="preserve">Whether or not it is completed, the announcement and pendency of the Merger could cause disruptions in our business, which could have an </w:t>
      </w:r>
      <w:r>
        <w:rPr>
          <w:rFonts w:ascii="Arial" w:eastAsia="宋体" w:hAnsi="Arial" w:cs="Arial"/>
          <w:b/>
          <w:bCs/>
          <w:i/>
          <w:iCs/>
          <w:color w:val="000000"/>
          <w:sz w:val="20"/>
          <w:szCs w:val="20"/>
        </w:rPr>
        <w:t>adverse effect on our business and financial results</w:t>
      </w:r>
      <w:r>
        <w:rPr>
          <w:rFonts w:ascii="sans-serif" w:eastAsia="宋体" w:hAnsi="sans-serif" w:cs="sans-serif"/>
          <w:b/>
          <w:bCs/>
          <w:color w:val="000000"/>
        </w:rPr>
        <w:t>.</w:t>
      </w:r>
    </w:p>
    <w:p w14:paraId="1426FA94" w14:textId="77777777" w:rsidR="00A74A1E" w:rsidRDefault="00807990">
      <w:pPr>
        <w:spacing w:before="180"/>
        <w:ind w:firstLine="450"/>
        <w:jc w:val="both"/>
      </w:pPr>
      <w:r>
        <w:rPr>
          <w:rFonts w:ascii="Arial" w:eastAsia="宋体" w:hAnsi="Arial" w:cs="Arial"/>
          <w:color w:val="000000"/>
          <w:sz w:val="20"/>
          <w:szCs w:val="20"/>
        </w:rPr>
        <w:t>Whether or not it is completed, the announcement and pendency of the Merger could cause disruptions in our business: our and Xilinx’s current and prospective employees may experience uncertainty about t</w:t>
      </w:r>
      <w:r>
        <w:rPr>
          <w:rFonts w:ascii="Arial" w:eastAsia="宋体" w:hAnsi="Arial" w:cs="Arial"/>
          <w:color w:val="000000"/>
          <w:sz w:val="20"/>
          <w:szCs w:val="20"/>
        </w:rPr>
        <w:t>heir future roles with the combined company, which might adversely affect the ability to retain key employees; uncertainty regarding the completion of the Merger may cause customers, suppliers, distributors, vendors, strategic partners or others to delay o</w:t>
      </w:r>
      <w:r>
        <w:rPr>
          <w:rFonts w:ascii="Arial" w:eastAsia="宋体" w:hAnsi="Arial" w:cs="Arial"/>
          <w:color w:val="000000"/>
          <w:sz w:val="20"/>
          <w:szCs w:val="20"/>
        </w:rPr>
        <w:t>r defer entering into contracts, make other decisions or seek to change or cancel existing business relationships; and the attention of management may be directed toward the completion of the Merger. If the Merger is not completed, we will have incurred si</w:t>
      </w:r>
      <w:r>
        <w:rPr>
          <w:rFonts w:ascii="Arial" w:eastAsia="宋体" w:hAnsi="Arial" w:cs="Arial"/>
          <w:color w:val="000000"/>
          <w:sz w:val="20"/>
          <w:szCs w:val="20"/>
        </w:rPr>
        <w:t>gnificant costs, including, the potential payment of termination fees, the diversion of management resources, for which we will have received little or no benefit</w:t>
      </w:r>
      <w:r>
        <w:rPr>
          <w:rFonts w:ascii="sans-serif" w:eastAsia="宋体" w:hAnsi="sans-serif" w:cs="sans-serif"/>
          <w:color w:val="000000"/>
          <w:sz w:val="22"/>
          <w:szCs w:val="22"/>
        </w:rPr>
        <w:t>.</w:t>
      </w:r>
    </w:p>
    <w:p w14:paraId="1426FA95" w14:textId="77777777" w:rsidR="00A74A1E" w:rsidRDefault="00807990">
      <w:pPr>
        <w:spacing w:before="180"/>
        <w:ind w:firstLine="450"/>
        <w:jc w:val="both"/>
      </w:pPr>
      <w:r>
        <w:rPr>
          <w:rFonts w:ascii="Arial" w:eastAsia="宋体" w:hAnsi="Arial" w:cs="Arial"/>
          <w:b/>
          <w:bCs/>
          <w:i/>
          <w:iCs/>
          <w:color w:val="000000"/>
          <w:sz w:val="20"/>
          <w:szCs w:val="20"/>
        </w:rPr>
        <w:t>Our products may be subject to security vulnerabilities that could have a material adverse e</w:t>
      </w:r>
      <w:r>
        <w:rPr>
          <w:rFonts w:ascii="Arial" w:eastAsia="宋体" w:hAnsi="Arial" w:cs="Arial"/>
          <w:b/>
          <w:bCs/>
          <w:i/>
          <w:iCs/>
          <w:color w:val="000000"/>
          <w:sz w:val="20"/>
          <w:szCs w:val="20"/>
        </w:rPr>
        <w:t>ffect on us.</w:t>
      </w:r>
    </w:p>
    <w:p w14:paraId="1426FA96" w14:textId="77777777" w:rsidR="00A74A1E" w:rsidRDefault="00807990">
      <w:pPr>
        <w:spacing w:before="180"/>
        <w:ind w:firstLine="450"/>
        <w:jc w:val="both"/>
      </w:pPr>
      <w:r>
        <w:rPr>
          <w:rFonts w:ascii="Arial" w:eastAsia="宋体" w:hAnsi="Arial" w:cs="Arial"/>
          <w:color w:val="000000"/>
          <w:sz w:val="20"/>
          <w:szCs w:val="20"/>
        </w:rPr>
        <w:t xml:space="preserve">The products that we sell are complex and may be subject to security vulnerabilities that could result in, among other things, the loss, corruption, theft or misuse of confidential data or system performance issues. Our efforts to prevent and </w:t>
      </w:r>
      <w:r>
        <w:rPr>
          <w:rFonts w:ascii="Arial" w:eastAsia="宋体" w:hAnsi="Arial" w:cs="Arial"/>
          <w:color w:val="000000"/>
          <w:sz w:val="20"/>
          <w:szCs w:val="20"/>
        </w:rPr>
        <w:t>address security vulnerabilities may decrease performance, be only partially effective or not successful at all. We may also depend on third parties, such as customers, vendors and end users, to deploy our mitigations or create their own, and they may dela</w:t>
      </w:r>
      <w:r>
        <w:rPr>
          <w:rFonts w:ascii="Arial" w:eastAsia="宋体" w:hAnsi="Arial" w:cs="Arial"/>
          <w:color w:val="000000"/>
          <w:sz w:val="20"/>
          <w:szCs w:val="20"/>
        </w:rPr>
        <w:t>y, decline or modify the implementation of such mitigations. Our relationships with our customers could be adversely affected as some of our customers may stop purchasing our products, reduce or delay future purchases of our products, or use competing prod</w:t>
      </w:r>
      <w:r>
        <w:rPr>
          <w:rFonts w:ascii="Arial" w:eastAsia="宋体" w:hAnsi="Arial" w:cs="Arial"/>
          <w:color w:val="000000"/>
          <w:sz w:val="20"/>
          <w:szCs w:val="20"/>
        </w:rPr>
        <w:t>ucts. Any of these actions by our customers could adversely affect our revenue. We also are subject to claims and litigation related to Spectre side-channel exploits and may face additional claims or litigation for future vulnerabilities. Actual or perceiv</w:t>
      </w:r>
      <w:r>
        <w:rPr>
          <w:rFonts w:ascii="Arial" w:eastAsia="宋体" w:hAnsi="Arial" w:cs="Arial"/>
          <w:color w:val="000000"/>
          <w:sz w:val="20"/>
          <w:szCs w:val="20"/>
        </w:rPr>
        <w:t>ed security vulnerabilities of our products may subject us to adverse publicity, damage to our brand and reputation, and could materially harm our business or financial results.</w:t>
      </w:r>
    </w:p>
    <w:p w14:paraId="1426FA97" w14:textId="77777777" w:rsidR="00A74A1E" w:rsidRDefault="00807990">
      <w:pPr>
        <w:spacing w:before="180"/>
        <w:ind w:firstLine="450"/>
        <w:jc w:val="both"/>
      </w:pPr>
      <w:r>
        <w:rPr>
          <w:rFonts w:ascii="Arial" w:eastAsia="宋体" w:hAnsi="Arial" w:cs="Arial"/>
          <w:b/>
          <w:bCs/>
          <w:i/>
          <w:iCs/>
          <w:color w:val="000000"/>
          <w:sz w:val="20"/>
          <w:szCs w:val="20"/>
        </w:rPr>
        <w:t>IT outages, data loss, data breaches and cyber-attacks could compromise our in</w:t>
      </w:r>
      <w:r>
        <w:rPr>
          <w:rFonts w:ascii="Arial" w:eastAsia="宋体" w:hAnsi="Arial" w:cs="Arial"/>
          <w:b/>
          <w:bCs/>
          <w:i/>
          <w:iCs/>
          <w:color w:val="000000"/>
          <w:sz w:val="20"/>
          <w:szCs w:val="20"/>
        </w:rPr>
        <w:t>tellectual property or other sensitive information, be costly to remediate or cause significant damage to our business, reputation and operations.</w:t>
      </w:r>
    </w:p>
    <w:p w14:paraId="1426FA98" w14:textId="77777777" w:rsidR="00A74A1E" w:rsidRDefault="00807990">
      <w:pPr>
        <w:spacing w:before="180"/>
        <w:ind w:firstLine="450"/>
        <w:jc w:val="both"/>
      </w:pPr>
      <w:r>
        <w:rPr>
          <w:rFonts w:ascii="Arial" w:eastAsia="宋体" w:hAnsi="Arial" w:cs="Arial"/>
          <w:color w:val="000000"/>
          <w:sz w:val="20"/>
          <w:szCs w:val="20"/>
        </w:rPr>
        <w:t>In the ordinary course of our business, we maintain sensitive data on our information technology (IT) assets,</w:t>
      </w:r>
      <w:r>
        <w:rPr>
          <w:rFonts w:ascii="Arial" w:eastAsia="宋体" w:hAnsi="Arial" w:cs="Arial"/>
          <w:color w:val="000000"/>
          <w:sz w:val="20"/>
          <w:szCs w:val="20"/>
        </w:rPr>
        <w:t xml:space="preserve"> and also may maintain sensitive information on our business partners’ and third-party providers’ IT assets, including our intellectual property and proprietary or confidential business information relating to our business and that of our customers and bus</w:t>
      </w:r>
      <w:r>
        <w:rPr>
          <w:rFonts w:ascii="Arial" w:eastAsia="宋体" w:hAnsi="Arial" w:cs="Arial"/>
          <w:color w:val="000000"/>
          <w:sz w:val="20"/>
          <w:szCs w:val="20"/>
        </w:rPr>
        <w:t>iness partners. Maintaining the security of this information is important to our business and reputation. We believe that companies like AMD have been increasingly subject to a wide variety of security incidents, cyber-attacks, hacking and phishing attacks</w:t>
      </w:r>
      <w:r>
        <w:rPr>
          <w:rFonts w:ascii="Arial" w:eastAsia="宋体" w:hAnsi="Arial" w:cs="Arial"/>
          <w:color w:val="000000"/>
          <w:sz w:val="20"/>
          <w:szCs w:val="20"/>
        </w:rPr>
        <w:t>, business and system disruption attacks, and other attempts to gain unauthorized access. These threats can come from a variety of sources, all ranging in sophistication from an individual hacker or insider threat to a state-sponsored attack. Cyber threats</w:t>
      </w:r>
      <w:r>
        <w:rPr>
          <w:rFonts w:ascii="Arial" w:eastAsia="宋体" w:hAnsi="Arial" w:cs="Arial"/>
          <w:color w:val="000000"/>
          <w:sz w:val="20"/>
          <w:szCs w:val="20"/>
        </w:rPr>
        <w:t xml:space="preserve"> may be generic, or they may be custom-crafted against our information systems. Cyber-attacks have become increasingly more prevalent and much harder to detect, defend against or prevent. Our network and storage applications, as well as those of our custom</w:t>
      </w:r>
      <w:r>
        <w:rPr>
          <w:rFonts w:ascii="Arial" w:eastAsia="宋体" w:hAnsi="Arial" w:cs="Arial"/>
          <w:color w:val="000000"/>
          <w:sz w:val="20"/>
          <w:szCs w:val="20"/>
        </w:rPr>
        <w:t>ers, business partners, and third-party providers, may be subject to unauthorized access by hackers or breached due to operator error, malfeasance or other system disruptions.</w:t>
      </w:r>
    </w:p>
    <w:p w14:paraId="1426FA99" w14:textId="77777777" w:rsidR="00A74A1E" w:rsidRDefault="00807990">
      <w:pPr>
        <w:spacing w:before="180"/>
        <w:ind w:firstLine="450"/>
        <w:jc w:val="both"/>
      </w:pPr>
      <w:r>
        <w:rPr>
          <w:rFonts w:ascii="Arial" w:eastAsia="宋体" w:hAnsi="Arial" w:cs="Arial"/>
          <w:color w:val="000000"/>
          <w:sz w:val="20"/>
          <w:szCs w:val="20"/>
        </w:rPr>
        <w:t>It is often difficult to anticipate or immediately detect such incidents and the</w:t>
      </w:r>
      <w:r>
        <w:rPr>
          <w:rFonts w:ascii="Arial" w:eastAsia="宋体" w:hAnsi="Arial" w:cs="Arial"/>
          <w:color w:val="000000"/>
          <w:sz w:val="20"/>
          <w:szCs w:val="20"/>
        </w:rPr>
        <w:t xml:space="preserve"> damage caused by such incidents. These data breaches and any unauthorized access, misuse or disclosure of our information or intellectual property could compromise our intellectual property and expose sensitive business information. Cyber-attacks on us or</w:t>
      </w:r>
      <w:r>
        <w:rPr>
          <w:rFonts w:ascii="Arial" w:eastAsia="宋体" w:hAnsi="Arial" w:cs="Arial"/>
          <w:color w:val="000000"/>
          <w:sz w:val="20"/>
          <w:szCs w:val="20"/>
        </w:rPr>
        <w:t xml:space="preserve"> our customers, business partners or third-party providers could also cause us to incur significant remediation costs, result in product development delays, disrupt key business operations and divert attention of management and key information technology r</w:t>
      </w:r>
      <w:r>
        <w:rPr>
          <w:rFonts w:ascii="Arial" w:eastAsia="宋体" w:hAnsi="Arial" w:cs="Arial"/>
          <w:color w:val="000000"/>
          <w:sz w:val="20"/>
          <w:szCs w:val="20"/>
        </w:rPr>
        <w:t>esources. These incidents could also subject us to liability, expose us to significant expense and cause significant harm to our reputation and business.</w:t>
      </w:r>
    </w:p>
    <w:p w14:paraId="1426FA9A" w14:textId="77777777" w:rsidR="00A74A1E" w:rsidRDefault="00807990">
      <w:pPr>
        <w:spacing w:before="180"/>
        <w:ind w:firstLine="450"/>
        <w:jc w:val="both"/>
      </w:pPr>
      <w:r>
        <w:rPr>
          <w:rFonts w:ascii="Arial" w:eastAsia="宋体" w:hAnsi="Arial" w:cs="Arial"/>
          <w:color w:val="000000"/>
          <w:sz w:val="20"/>
          <w:szCs w:val="20"/>
        </w:rPr>
        <w:t>We also maintain confidential and personally identifiable information about our workers and consumers.</w:t>
      </w:r>
      <w:r>
        <w:rPr>
          <w:rFonts w:ascii="Arial" w:eastAsia="宋体" w:hAnsi="Arial" w:cs="Arial"/>
          <w:color w:val="000000"/>
          <w:sz w:val="20"/>
          <w:szCs w:val="20"/>
        </w:rPr>
        <w:t xml:space="preserve"> The confidentiality and integrity of our worker and consumer data is important to our business and our workers and consumers have a high expectation that we adequately protect their personal information.</w:t>
      </w:r>
    </w:p>
    <w:p w14:paraId="1426FA9B" w14:textId="77777777" w:rsidR="00A74A1E" w:rsidRDefault="00807990">
      <w:pPr>
        <w:jc w:val="center"/>
      </w:pPr>
      <w:r>
        <w:rPr>
          <w:rFonts w:ascii="Arial" w:eastAsia="宋体" w:hAnsi="Arial" w:cs="Arial"/>
          <w:color w:val="000000"/>
          <w:sz w:val="20"/>
          <w:szCs w:val="20"/>
        </w:rPr>
        <w:t>37</w:t>
      </w:r>
    </w:p>
    <w:p w14:paraId="1426FA9C" w14:textId="77777777" w:rsidR="00A74A1E" w:rsidRDefault="00807990">
      <w:r>
        <w:pict w14:anchorId="1426FC30">
          <v:rect id="_x0000_i1061" style="width:415.3pt;height:1.5pt" o:hralign="center" o:hrstd="t" o:hr="t" fillcolor="#a0a0a0" stroked="f"/>
        </w:pict>
      </w:r>
    </w:p>
    <w:p w14:paraId="1426FA9D" w14:textId="77777777" w:rsidR="00A74A1E" w:rsidRDefault="00A74A1E">
      <w:pPr>
        <w:spacing w:before="60"/>
      </w:pPr>
    </w:p>
    <w:p w14:paraId="1426FA9E" w14:textId="77777777" w:rsidR="00A74A1E" w:rsidRDefault="00807990">
      <w:pPr>
        <w:spacing w:before="180"/>
        <w:ind w:firstLine="450"/>
        <w:jc w:val="both"/>
      </w:pPr>
      <w:r>
        <w:rPr>
          <w:rFonts w:ascii="Arial" w:eastAsia="宋体" w:hAnsi="Arial" w:cs="Arial"/>
          <w:color w:val="000000"/>
          <w:sz w:val="20"/>
          <w:szCs w:val="20"/>
        </w:rPr>
        <w:t>We anticipate ongoing and increasing costs related to: enhancing and implementing information security controls, including costs related to upgrading application, computer, and network security components; training workers to maintain and monitor our secur</w:t>
      </w:r>
      <w:r>
        <w:rPr>
          <w:rFonts w:ascii="Arial" w:eastAsia="宋体" w:hAnsi="Arial" w:cs="Arial"/>
          <w:color w:val="000000"/>
          <w:sz w:val="20"/>
          <w:szCs w:val="20"/>
        </w:rPr>
        <w:t>ity controls; remediating any data security breach and addressing the related litigation; mitigating reputational harm; and compliance with external regulations, such as the European Union’s General Data Protection Regulation and the California Consumer Pr</w:t>
      </w:r>
      <w:r>
        <w:rPr>
          <w:rFonts w:ascii="Arial" w:eastAsia="宋体" w:hAnsi="Arial" w:cs="Arial"/>
          <w:color w:val="000000"/>
          <w:sz w:val="20"/>
          <w:szCs w:val="20"/>
        </w:rPr>
        <w:t xml:space="preserve">ivacy Act. </w:t>
      </w:r>
    </w:p>
    <w:p w14:paraId="1426FA9F" w14:textId="77777777" w:rsidR="00A74A1E" w:rsidRDefault="00807990">
      <w:pPr>
        <w:spacing w:before="180"/>
        <w:ind w:firstLine="450"/>
        <w:jc w:val="both"/>
      </w:pPr>
      <w:r>
        <w:rPr>
          <w:rFonts w:ascii="Arial" w:eastAsia="宋体" w:hAnsi="Arial" w:cs="Arial"/>
          <w:color w:val="000000"/>
          <w:sz w:val="20"/>
          <w:szCs w:val="20"/>
        </w:rPr>
        <w:t>We often partner with third-party providers for certain worker services and we may provide certain limited worker information to such third parties based on the scope of the services provided to us. However, if these third parties fail to adopt</w:t>
      </w:r>
      <w:r>
        <w:rPr>
          <w:rFonts w:ascii="Arial" w:eastAsia="宋体" w:hAnsi="Arial" w:cs="Arial"/>
          <w:color w:val="000000"/>
          <w:sz w:val="20"/>
          <w:szCs w:val="20"/>
        </w:rPr>
        <w:t xml:space="preserve"> or adhere to adequate data security practices, or in the event of a breach of their networks, our workers’ data may be improperly accessed, used or disclosed.</w:t>
      </w:r>
    </w:p>
    <w:p w14:paraId="1426FAA0" w14:textId="77777777" w:rsidR="00A74A1E" w:rsidRDefault="00807990">
      <w:pPr>
        <w:spacing w:before="180"/>
        <w:ind w:firstLine="450"/>
        <w:jc w:val="both"/>
      </w:pPr>
      <w:r>
        <w:rPr>
          <w:rFonts w:ascii="Arial" w:eastAsia="宋体" w:hAnsi="Arial" w:cs="Arial"/>
          <w:color w:val="000000"/>
          <w:sz w:val="20"/>
          <w:szCs w:val="20"/>
        </w:rPr>
        <w:t>A breach of data privacy may cause significant disruption of our business operations. Failure to</w:t>
      </w:r>
      <w:r>
        <w:rPr>
          <w:rFonts w:ascii="Arial" w:eastAsia="宋体" w:hAnsi="Arial" w:cs="Arial"/>
          <w:color w:val="000000"/>
          <w:sz w:val="20"/>
          <w:szCs w:val="20"/>
        </w:rPr>
        <w:t xml:space="preserve"> adequately maintain and update our security systems could materially adversely affect our operations and our ability to maintain worker confidence. Failure to prevent unauthorized access to electronic and other confidential information, IT outages, data l</w:t>
      </w:r>
      <w:r>
        <w:rPr>
          <w:rFonts w:ascii="Arial" w:eastAsia="宋体" w:hAnsi="Arial" w:cs="Arial"/>
          <w:color w:val="000000"/>
          <w:sz w:val="20"/>
          <w:szCs w:val="20"/>
        </w:rPr>
        <w:t>oss and data breaches could materially adversely affect our financial condition, our competitive position and operating results.</w:t>
      </w:r>
    </w:p>
    <w:p w14:paraId="1426FAA1" w14:textId="77777777" w:rsidR="00A74A1E" w:rsidRDefault="00807990">
      <w:pPr>
        <w:spacing w:before="180"/>
        <w:ind w:firstLine="450"/>
        <w:jc w:val="both"/>
      </w:pPr>
      <w:r>
        <w:rPr>
          <w:rFonts w:ascii="Arial" w:eastAsia="宋体" w:hAnsi="Arial" w:cs="Arial"/>
          <w:b/>
          <w:bCs/>
          <w:i/>
          <w:iCs/>
          <w:color w:val="000000"/>
          <w:sz w:val="20"/>
          <w:szCs w:val="20"/>
        </w:rPr>
        <w:t>Uncertainties involving the ordering and shipment of our products could materially adversely affect us.</w:t>
      </w:r>
    </w:p>
    <w:p w14:paraId="1426FAA2" w14:textId="77777777" w:rsidR="00A74A1E" w:rsidRDefault="00807990">
      <w:pPr>
        <w:spacing w:before="180"/>
        <w:ind w:firstLine="450"/>
        <w:jc w:val="both"/>
      </w:pPr>
      <w:r>
        <w:rPr>
          <w:rFonts w:ascii="Arial" w:eastAsia="宋体" w:hAnsi="Arial" w:cs="Arial"/>
          <w:color w:val="000000"/>
          <w:sz w:val="20"/>
          <w:szCs w:val="20"/>
        </w:rPr>
        <w:t>We typically sell our p</w:t>
      </w:r>
      <w:r>
        <w:rPr>
          <w:rFonts w:ascii="Arial" w:eastAsia="宋体" w:hAnsi="Arial" w:cs="Arial"/>
          <w:color w:val="000000"/>
          <w:sz w:val="20"/>
          <w:szCs w:val="20"/>
        </w:rPr>
        <w:t>roducts pursuant to individual purchase orders. We generally do not have long-term supply arrangements with our customers or minimum purchase requirements except that orders generally must be for standard pack quantities. Generally, our customers may cance</w:t>
      </w:r>
      <w:r>
        <w:rPr>
          <w:rFonts w:ascii="Arial" w:eastAsia="宋体" w:hAnsi="Arial" w:cs="Arial"/>
          <w:color w:val="000000"/>
          <w:sz w:val="20"/>
          <w:szCs w:val="20"/>
        </w:rPr>
        <w:t>l orders for standard products more than 30 days prior to shipment without incurring significant fees. We base our inventory levels in part on customers’ estimates of demand for their products, which may not accurately predict the quantity or type of our p</w:t>
      </w:r>
      <w:r>
        <w:rPr>
          <w:rFonts w:ascii="Arial" w:eastAsia="宋体" w:hAnsi="Arial" w:cs="Arial"/>
          <w:color w:val="000000"/>
          <w:sz w:val="20"/>
          <w:szCs w:val="20"/>
        </w:rPr>
        <w:t>roducts that our customers will want in the future or ultimately end up purchasing. Our ability to forecast demand is even further complicated when our products are sold indirectly through downstream channel distributors and customers, as our forecasts for</w:t>
      </w:r>
      <w:r>
        <w:rPr>
          <w:rFonts w:ascii="Arial" w:eastAsia="宋体" w:hAnsi="Arial" w:cs="Arial"/>
          <w:color w:val="000000"/>
          <w:sz w:val="20"/>
          <w:szCs w:val="20"/>
        </w:rPr>
        <w:t xml:space="preserve"> demand are then based on estimates provided by multiple parties throughout the downstream channel.</w:t>
      </w:r>
    </w:p>
    <w:p w14:paraId="1426FAA3" w14:textId="77777777" w:rsidR="00A74A1E" w:rsidRDefault="00807990">
      <w:pPr>
        <w:spacing w:before="180"/>
        <w:ind w:firstLine="450"/>
        <w:jc w:val="both"/>
      </w:pPr>
      <w:r>
        <w:rPr>
          <w:rFonts w:ascii="Arial" w:eastAsia="宋体" w:hAnsi="Arial" w:cs="Arial"/>
          <w:color w:val="000000"/>
          <w:sz w:val="20"/>
          <w:szCs w:val="20"/>
        </w:rPr>
        <w:t>Many of our markets are characterized by short product lifecycles, which can lead to rapid obsolescence and price erosion. In addition, our customers may ch</w:t>
      </w:r>
      <w:r>
        <w:rPr>
          <w:rFonts w:ascii="Arial" w:eastAsia="宋体" w:hAnsi="Arial" w:cs="Arial"/>
          <w:color w:val="000000"/>
          <w:sz w:val="20"/>
          <w:szCs w:val="20"/>
        </w:rPr>
        <w:t>ange their inventory practices on short notice for any reason. We may build inventories during periods of anticipated growth, and the cancellation or deferral of product orders or overproduction due to failure of anticipated orders to materialize could res</w:t>
      </w:r>
      <w:r>
        <w:rPr>
          <w:rFonts w:ascii="Arial" w:eastAsia="宋体" w:hAnsi="Arial" w:cs="Arial"/>
          <w:color w:val="000000"/>
          <w:sz w:val="20"/>
          <w:szCs w:val="20"/>
        </w:rPr>
        <w:t>ult in excess or obsolete inventory, which could result in write-downs of inventory and an adverse effect on gross margins.</w:t>
      </w:r>
    </w:p>
    <w:p w14:paraId="1426FAA4" w14:textId="77777777" w:rsidR="00A74A1E" w:rsidRDefault="00807990">
      <w:pPr>
        <w:spacing w:before="180"/>
        <w:ind w:firstLine="450"/>
        <w:jc w:val="both"/>
      </w:pPr>
      <w:r>
        <w:rPr>
          <w:rFonts w:ascii="Arial" w:eastAsia="宋体" w:hAnsi="Arial" w:cs="Arial"/>
          <w:color w:val="000000"/>
          <w:sz w:val="20"/>
          <w:szCs w:val="20"/>
        </w:rPr>
        <w:t>Factors that may result in excess or obsolete inventory, which could result in write-downs of the value of our inventory, a reductio</w:t>
      </w:r>
      <w:r>
        <w:rPr>
          <w:rFonts w:ascii="Arial" w:eastAsia="宋体" w:hAnsi="Arial" w:cs="Arial"/>
          <w:color w:val="000000"/>
          <w:sz w:val="20"/>
          <w:szCs w:val="20"/>
        </w:rPr>
        <w:t xml:space="preserve">n in the average selling price or a reduction in our gross margin include: a sudden or significant decrease in demand for our products; a production or design defect in our products; a higher incidence of inventory obsolescence because of rapidly changing </w:t>
      </w:r>
      <w:r>
        <w:rPr>
          <w:rFonts w:ascii="Arial" w:eastAsia="宋体" w:hAnsi="Arial" w:cs="Arial"/>
          <w:color w:val="000000"/>
          <w:sz w:val="20"/>
          <w:szCs w:val="20"/>
        </w:rPr>
        <w:t xml:space="preserve">technology and customer requirements; a failure to accurately estimate customer demand for our products, including for our older products as our new products are introduced; or our competitors introducing new products or taking aggressive pricing actions. </w:t>
      </w:r>
    </w:p>
    <w:p w14:paraId="1426FAA5" w14:textId="77777777" w:rsidR="00A74A1E" w:rsidRDefault="00807990">
      <w:pPr>
        <w:spacing w:before="180"/>
        <w:ind w:firstLine="450"/>
        <w:jc w:val="both"/>
      </w:pPr>
      <w:r>
        <w:rPr>
          <w:rFonts w:ascii="Arial" w:eastAsia="宋体" w:hAnsi="Arial" w:cs="Arial"/>
          <w:b/>
          <w:bCs/>
          <w:i/>
          <w:iCs/>
          <w:color w:val="000000"/>
          <w:sz w:val="20"/>
          <w:szCs w:val="20"/>
        </w:rPr>
        <w:t>Our operating results are subject to quarterly and seasonal sales patterns.</w:t>
      </w:r>
    </w:p>
    <w:p w14:paraId="1426FAA6" w14:textId="77777777" w:rsidR="00A74A1E" w:rsidRDefault="00807990">
      <w:pPr>
        <w:spacing w:before="180"/>
        <w:ind w:firstLine="450"/>
        <w:jc w:val="both"/>
      </w:pPr>
      <w:r>
        <w:rPr>
          <w:rFonts w:ascii="Arial" w:eastAsia="宋体" w:hAnsi="Arial" w:cs="Arial"/>
          <w:color w:val="000000"/>
          <w:sz w:val="20"/>
          <w:szCs w:val="20"/>
        </w:rPr>
        <w:t xml:space="preserve">The profile of our sales may be weighted differently during the year. A large portion of our quarterly sales have historically been made in the last month of the quarter. This </w:t>
      </w:r>
      <w:r>
        <w:rPr>
          <w:rFonts w:ascii="Arial" w:eastAsia="宋体" w:hAnsi="Arial" w:cs="Arial"/>
          <w:color w:val="000000"/>
          <w:sz w:val="20"/>
          <w:szCs w:val="20"/>
        </w:rPr>
        <w:t>uneven sales pattern makes prediction of revenue for each financial period difficult and increases the risk of unanticipated variations in quarterly results and financial condition. In addition, our operating results tend to vary seasonally with the market</w:t>
      </w:r>
      <w:r>
        <w:rPr>
          <w:rFonts w:ascii="Arial" w:eastAsia="宋体" w:hAnsi="Arial" w:cs="Arial"/>
          <w:color w:val="000000"/>
          <w:sz w:val="20"/>
          <w:szCs w:val="20"/>
        </w:rPr>
        <w:t xml:space="preserve">s in which our products are sold. For example, historically, our net revenue has been generally higher in the second half of the year than in the first half of the year, although market conditions and product transitions could impact these trends. Many of </w:t>
      </w:r>
      <w:r>
        <w:rPr>
          <w:rFonts w:ascii="Arial" w:eastAsia="宋体" w:hAnsi="Arial" w:cs="Arial"/>
          <w:color w:val="000000"/>
          <w:sz w:val="20"/>
          <w:szCs w:val="20"/>
        </w:rPr>
        <w:t>the factors that create and affect quarterly and seasonal trends are beyond our control.</w:t>
      </w:r>
    </w:p>
    <w:p w14:paraId="1426FAA7" w14:textId="77777777" w:rsidR="00A74A1E" w:rsidRDefault="00807990">
      <w:pPr>
        <w:spacing w:before="180"/>
        <w:ind w:firstLine="450"/>
        <w:jc w:val="both"/>
      </w:pPr>
      <w:r>
        <w:rPr>
          <w:rFonts w:ascii="Arial" w:eastAsia="宋体" w:hAnsi="Arial" w:cs="Arial"/>
          <w:b/>
          <w:bCs/>
          <w:i/>
          <w:iCs/>
          <w:color w:val="000000"/>
          <w:sz w:val="20"/>
          <w:szCs w:val="20"/>
        </w:rPr>
        <w:t>The agreements governing our notes and our Revolving Facility impose restrictions on us that may adversely affect our ability to operate our business.</w:t>
      </w:r>
    </w:p>
    <w:p w14:paraId="1426FAA8" w14:textId="77777777" w:rsidR="00A74A1E" w:rsidRDefault="00807990">
      <w:pPr>
        <w:spacing w:before="180"/>
        <w:ind w:firstLine="450"/>
        <w:jc w:val="both"/>
      </w:pPr>
      <w:r>
        <w:rPr>
          <w:rFonts w:ascii="Arial" w:eastAsia="宋体" w:hAnsi="Arial" w:cs="Arial"/>
          <w:color w:val="000000"/>
          <w:sz w:val="20"/>
          <w:szCs w:val="20"/>
        </w:rPr>
        <w:t>The indenture go</w:t>
      </w:r>
      <w:r>
        <w:rPr>
          <w:rFonts w:ascii="Arial" w:eastAsia="宋体" w:hAnsi="Arial" w:cs="Arial"/>
          <w:color w:val="000000"/>
          <w:sz w:val="20"/>
          <w:szCs w:val="20"/>
        </w:rPr>
        <w:t>verning our 7.50% Senior Notes due 2022 (7.50% Notes) contains various covenants which limit our ability to, among other things: incur additional indebtedness; pay dividends and make other restricted payments; make certain investments, including investment</w:t>
      </w:r>
      <w:r>
        <w:rPr>
          <w:rFonts w:ascii="Arial" w:eastAsia="宋体" w:hAnsi="Arial" w:cs="Arial"/>
          <w:color w:val="000000"/>
          <w:sz w:val="20"/>
          <w:szCs w:val="20"/>
        </w:rPr>
        <w:t>s in our unrestricted subsidiaries; create or permit certain liens; create or permit restrictions on the ability of certain restricted subsidiaries to pay dividends or make other distributions to us; use the proceeds from sales of assets; enter into certai</w:t>
      </w:r>
      <w:r>
        <w:rPr>
          <w:rFonts w:ascii="Arial" w:eastAsia="宋体" w:hAnsi="Arial" w:cs="Arial"/>
          <w:color w:val="000000"/>
          <w:sz w:val="20"/>
          <w:szCs w:val="20"/>
        </w:rPr>
        <w:t xml:space="preserve">n types of transactions with affiliates; and consolidate or merge or sell our assets as an entirety or substantially as an entirety. </w:t>
      </w:r>
    </w:p>
    <w:p w14:paraId="1426FAA9" w14:textId="77777777" w:rsidR="00A74A1E" w:rsidRDefault="00807990">
      <w:pPr>
        <w:jc w:val="center"/>
      </w:pPr>
      <w:r>
        <w:rPr>
          <w:rFonts w:ascii="Arial" w:eastAsia="宋体" w:hAnsi="Arial" w:cs="Arial"/>
          <w:color w:val="000000"/>
          <w:sz w:val="20"/>
          <w:szCs w:val="20"/>
        </w:rPr>
        <w:t>38</w:t>
      </w:r>
    </w:p>
    <w:p w14:paraId="1426FAAA" w14:textId="77777777" w:rsidR="00A74A1E" w:rsidRDefault="00807990">
      <w:r>
        <w:pict w14:anchorId="1426FC31">
          <v:rect id="_x0000_i1062" style="width:415.3pt;height:1.5pt" o:hralign="center" o:hrstd="t" o:hr="t" fillcolor="#a0a0a0" stroked="f"/>
        </w:pict>
      </w:r>
    </w:p>
    <w:p w14:paraId="1426FAAB" w14:textId="77777777" w:rsidR="00A74A1E" w:rsidRDefault="00A74A1E">
      <w:pPr>
        <w:spacing w:before="60"/>
      </w:pPr>
    </w:p>
    <w:p w14:paraId="1426FAAC" w14:textId="77777777" w:rsidR="00A74A1E" w:rsidRDefault="00807990">
      <w:pPr>
        <w:spacing w:before="180"/>
        <w:ind w:firstLine="450"/>
        <w:jc w:val="both"/>
      </w:pPr>
      <w:r>
        <w:rPr>
          <w:rFonts w:ascii="Arial" w:eastAsia="宋体" w:hAnsi="Arial" w:cs="Arial"/>
          <w:color w:val="000000"/>
          <w:sz w:val="20"/>
          <w:szCs w:val="20"/>
        </w:rPr>
        <w:t>In addition, the Revolving Facility’s credit agreement (Credit Agreement) restricts our ability to make cash payment</w:t>
      </w:r>
      <w:r>
        <w:rPr>
          <w:rFonts w:ascii="Arial" w:eastAsia="宋体" w:hAnsi="Arial" w:cs="Arial"/>
          <w:color w:val="000000"/>
          <w:sz w:val="20"/>
          <w:szCs w:val="20"/>
        </w:rPr>
        <w:t>s on the notes to the extent that (i) on the date of such payment, an event of default exists under the Credit Agreement or would result therefrom or (ii) if we would have, on a pro forma basis after giving effect to such payment, a consolidated total leve</w:t>
      </w:r>
      <w:r>
        <w:rPr>
          <w:rFonts w:ascii="Arial" w:eastAsia="宋体" w:hAnsi="Arial" w:cs="Arial"/>
          <w:color w:val="000000"/>
          <w:sz w:val="20"/>
          <w:szCs w:val="20"/>
        </w:rPr>
        <w:t>rage ratio that exceeds 3.50x. Any of our future debt agreements may contain similar restrictions. If under certain circumstances we fail to make a cash payment on a series of notes when required by the applicable indenture, it would constitute an event of</w:t>
      </w:r>
      <w:r>
        <w:rPr>
          <w:rFonts w:ascii="Arial" w:eastAsia="宋体" w:hAnsi="Arial" w:cs="Arial"/>
          <w:color w:val="000000"/>
          <w:sz w:val="20"/>
          <w:szCs w:val="20"/>
        </w:rPr>
        <w:t xml:space="preserve"> default under such indenture, which, in turn, could constitute an event of default under the agreements governing our other indebtedness.</w:t>
      </w:r>
    </w:p>
    <w:p w14:paraId="1426FAAD" w14:textId="77777777" w:rsidR="00A74A1E" w:rsidRDefault="00807990">
      <w:pPr>
        <w:spacing w:before="180"/>
        <w:ind w:firstLine="360"/>
        <w:jc w:val="both"/>
      </w:pPr>
      <w:r>
        <w:rPr>
          <w:rFonts w:ascii="Arial" w:eastAsia="宋体" w:hAnsi="Arial" w:cs="Arial"/>
          <w:color w:val="000000"/>
          <w:sz w:val="20"/>
          <w:szCs w:val="20"/>
        </w:rPr>
        <w:t>Our Revolving Facility also contains various covenants which limit our ability to, among other things, incur addition</w:t>
      </w:r>
      <w:r>
        <w:rPr>
          <w:rFonts w:ascii="Arial" w:eastAsia="宋体" w:hAnsi="Arial" w:cs="Arial"/>
          <w:color w:val="000000"/>
          <w:sz w:val="20"/>
          <w:szCs w:val="20"/>
        </w:rPr>
        <w:t>al indebtedness and liens, make certain investments, merge or consolidate with other entities, make certain dispositions, create any encumbrance on the ability of a subsidiary to make any upstream payments, make payments with respect to subordinated debt o</w:t>
      </w:r>
      <w:r>
        <w:rPr>
          <w:rFonts w:ascii="Arial" w:eastAsia="宋体" w:hAnsi="Arial" w:cs="Arial"/>
          <w:color w:val="000000"/>
          <w:sz w:val="20"/>
          <w:szCs w:val="20"/>
        </w:rPr>
        <w:t>r certain borrowed money prior to its due date and enter into any non-arm’s-length transaction with an affiliate (in each case, except for certain customary exceptions).</w:t>
      </w:r>
    </w:p>
    <w:p w14:paraId="1426FAAE" w14:textId="77777777" w:rsidR="00A74A1E" w:rsidRDefault="00807990">
      <w:pPr>
        <w:spacing w:before="180"/>
        <w:ind w:firstLine="450"/>
        <w:jc w:val="both"/>
      </w:pPr>
      <w:r>
        <w:rPr>
          <w:rFonts w:ascii="Arial" w:eastAsia="宋体" w:hAnsi="Arial" w:cs="Arial"/>
          <w:color w:val="000000"/>
          <w:sz w:val="20"/>
          <w:szCs w:val="20"/>
        </w:rPr>
        <w:t>The agreements governing our notes and our Revolving Facility contain cross-default pr</w:t>
      </w:r>
      <w:r>
        <w:rPr>
          <w:rFonts w:ascii="Arial" w:eastAsia="宋体" w:hAnsi="Arial" w:cs="Arial"/>
          <w:color w:val="000000"/>
          <w:sz w:val="20"/>
          <w:szCs w:val="20"/>
        </w:rPr>
        <w:t>ovisions whereby a default under certain agreements with respect to other indebtedness would result in cross defaults under the indentures or the Revolving Facility. For example, the occurrence of a default with respect to any indebtedness or any failure t</w:t>
      </w:r>
      <w:r>
        <w:rPr>
          <w:rFonts w:ascii="Arial" w:eastAsia="宋体" w:hAnsi="Arial" w:cs="Arial"/>
          <w:color w:val="000000"/>
          <w:sz w:val="20"/>
          <w:szCs w:val="20"/>
        </w:rPr>
        <w:t>o repay indebtedness when due in an amount in excess of (i) $50 million would cause a cross default under the indentures (to the extent such default would result in the acceleration of such indebtedness) governing our 7.50% Notes and 2.125% Convertible Sen</w:t>
      </w:r>
      <w:r>
        <w:rPr>
          <w:rFonts w:ascii="Arial" w:eastAsia="宋体" w:hAnsi="Arial" w:cs="Arial"/>
          <w:color w:val="000000"/>
          <w:sz w:val="20"/>
          <w:szCs w:val="20"/>
        </w:rPr>
        <w:t>ior Notes due 2026 (2.125% Notes), and (ii) $100 million would cause a cross default under the Revolving Facility. The occurrence of a default under any of these borrowing arrangements would permit the applicable note holders or the lenders under our Revol</w:t>
      </w:r>
      <w:r>
        <w:rPr>
          <w:rFonts w:ascii="Arial" w:eastAsia="宋体" w:hAnsi="Arial" w:cs="Arial"/>
          <w:color w:val="000000"/>
          <w:sz w:val="20"/>
          <w:szCs w:val="20"/>
        </w:rPr>
        <w:t>ving Facility to declare all amounts outstanding under the indentures or the Revolving Facility to be immediately due and payable. If the note holders or the trustee under the indentures governing our 7.50% Notes or 2.125% Notes or the lenders under our Re</w:t>
      </w:r>
      <w:r>
        <w:rPr>
          <w:rFonts w:ascii="Arial" w:eastAsia="宋体" w:hAnsi="Arial" w:cs="Arial"/>
          <w:color w:val="000000"/>
          <w:sz w:val="20"/>
          <w:szCs w:val="20"/>
        </w:rPr>
        <w:t>volving Facility accelerate the repayment of borrowings, we cannot assure you that we will have sufficient assets to repay those borrowings.</w:t>
      </w:r>
    </w:p>
    <w:p w14:paraId="1426FAAF" w14:textId="77777777" w:rsidR="00A74A1E" w:rsidRDefault="00807990">
      <w:pPr>
        <w:spacing w:before="180"/>
        <w:ind w:firstLine="450"/>
        <w:jc w:val="both"/>
      </w:pPr>
      <w:r>
        <w:rPr>
          <w:rFonts w:ascii="Arial" w:eastAsia="宋体" w:hAnsi="Arial" w:cs="Arial"/>
          <w:b/>
          <w:bCs/>
          <w:i/>
          <w:iCs/>
          <w:color w:val="000000"/>
          <w:sz w:val="20"/>
          <w:szCs w:val="20"/>
        </w:rPr>
        <w:t>The markets in which our products are sold are highly competitive.</w:t>
      </w:r>
    </w:p>
    <w:p w14:paraId="1426FAB0" w14:textId="77777777" w:rsidR="00A74A1E" w:rsidRDefault="00807990">
      <w:pPr>
        <w:spacing w:before="180"/>
        <w:ind w:firstLine="450"/>
        <w:jc w:val="both"/>
      </w:pPr>
      <w:r>
        <w:rPr>
          <w:rFonts w:ascii="Arial" w:eastAsia="宋体" w:hAnsi="Arial" w:cs="Arial"/>
          <w:color w:val="000000"/>
          <w:sz w:val="20"/>
          <w:szCs w:val="20"/>
        </w:rPr>
        <w:t>The markets in which our products are sold are v</w:t>
      </w:r>
      <w:r>
        <w:rPr>
          <w:rFonts w:ascii="Arial" w:eastAsia="宋体" w:hAnsi="Arial" w:cs="Arial"/>
          <w:color w:val="000000"/>
          <w:sz w:val="20"/>
          <w:szCs w:val="20"/>
        </w:rPr>
        <w:t xml:space="preserve">ery competitive and delivering the latest and best products to market on a timely basis is critical to achieving revenue growth. We believe that the main factors that determine our product competitiveness are timely product introductions, product quality, </w:t>
      </w:r>
      <w:r>
        <w:rPr>
          <w:rFonts w:ascii="Arial" w:eastAsia="宋体" w:hAnsi="Arial" w:cs="Arial"/>
          <w:color w:val="000000"/>
          <w:sz w:val="20"/>
          <w:szCs w:val="20"/>
        </w:rPr>
        <w:t>product features and capabilities (including enabling state-of-the-art visual and virtual reality experiences), energy efficiency (including power consumption and battery life), reliability, processor clock speed, performance, size (or form factor), sellin</w:t>
      </w:r>
      <w:r>
        <w:rPr>
          <w:rFonts w:ascii="Arial" w:eastAsia="宋体" w:hAnsi="Arial" w:cs="Arial"/>
          <w:color w:val="000000"/>
          <w:sz w:val="20"/>
          <w:szCs w:val="20"/>
        </w:rPr>
        <w:t>g price, cost, adherence to industry standards (and the creation of open industry standards), level of integration, software and hardware compatibility, security and stability, brand recognition and availability.</w:t>
      </w:r>
    </w:p>
    <w:p w14:paraId="1426FAB1" w14:textId="77777777" w:rsidR="00A74A1E" w:rsidRDefault="00807990">
      <w:pPr>
        <w:spacing w:before="180"/>
        <w:ind w:firstLine="450"/>
        <w:jc w:val="both"/>
      </w:pPr>
      <w:r>
        <w:rPr>
          <w:rFonts w:ascii="Arial" w:eastAsia="宋体" w:hAnsi="Arial" w:cs="Arial"/>
          <w:color w:val="000000"/>
          <w:sz w:val="20"/>
          <w:szCs w:val="20"/>
        </w:rPr>
        <w:t>We expect that competition will continue to</w:t>
      </w:r>
      <w:r>
        <w:rPr>
          <w:rFonts w:ascii="Arial" w:eastAsia="宋体" w:hAnsi="Arial" w:cs="Arial"/>
          <w:color w:val="000000"/>
          <w:sz w:val="20"/>
          <w:szCs w:val="20"/>
        </w:rPr>
        <w:t xml:space="preserve"> be intense due to rapid technological changes, frequent product introductions by our competitors or new competitors of products that may provide better performance/experience or that may include additional features that render our products comparatively l</w:t>
      </w:r>
      <w:r>
        <w:rPr>
          <w:rFonts w:ascii="Arial" w:eastAsia="宋体" w:hAnsi="Arial" w:cs="Arial"/>
          <w:color w:val="000000"/>
          <w:sz w:val="20"/>
          <w:szCs w:val="20"/>
        </w:rPr>
        <w:t>ess competitive. We may also face aggressive pricing by competitors, especially during challenging economic times. In addition, our competitors have significant marketing and sales resources which could increase the competitive environment in a declining m</w:t>
      </w:r>
      <w:r>
        <w:rPr>
          <w:rFonts w:ascii="Arial" w:eastAsia="宋体" w:hAnsi="Arial" w:cs="Arial"/>
          <w:color w:val="000000"/>
          <w:sz w:val="20"/>
          <w:szCs w:val="20"/>
        </w:rPr>
        <w:t>arket, leading to lower prices and margins. Some competitors may have greater access or rights to complementary technologies, including interface, processor and memory technical information. For instance, with our APU products and other competing solutions</w:t>
      </w:r>
      <w:r>
        <w:rPr>
          <w:rFonts w:ascii="Arial" w:eastAsia="宋体" w:hAnsi="Arial" w:cs="Arial"/>
          <w:color w:val="000000"/>
          <w:sz w:val="20"/>
          <w:szCs w:val="20"/>
        </w:rPr>
        <w:t xml:space="preserve"> with integrated graphics, we believe that demand for additional discrete graphics chips and cards may decrease in the future due to improvements in the quality and performance of integrated graphics. If competitors introduce competitive new products into </w:t>
      </w:r>
      <w:r>
        <w:rPr>
          <w:rFonts w:ascii="Arial" w:eastAsia="宋体" w:hAnsi="Arial" w:cs="Arial"/>
          <w:color w:val="000000"/>
          <w:sz w:val="20"/>
          <w:szCs w:val="20"/>
        </w:rPr>
        <w:t xml:space="preserve">the market before us, demand for our products could be adversely impacted and our business could be adversely affected. In addition, Intel is seeking to expand its position in integrated graphics for the PC market with high-end discrete graphics solutions </w:t>
      </w:r>
      <w:r>
        <w:rPr>
          <w:rFonts w:ascii="Arial" w:eastAsia="宋体" w:hAnsi="Arial" w:cs="Arial"/>
          <w:color w:val="000000"/>
          <w:sz w:val="20"/>
          <w:szCs w:val="20"/>
        </w:rPr>
        <w:t>for a broad range of computing segments, which may negatively impact our ability to compete in these computing segments.</w:t>
      </w:r>
    </w:p>
    <w:p w14:paraId="1426FAB2" w14:textId="77777777" w:rsidR="00A74A1E" w:rsidRDefault="00A74A1E">
      <w:pPr>
        <w:ind w:firstLine="360"/>
        <w:jc w:val="both"/>
      </w:pPr>
    </w:p>
    <w:p w14:paraId="1426FAB3" w14:textId="77777777" w:rsidR="00A74A1E" w:rsidRDefault="00807990">
      <w:pPr>
        <w:ind w:firstLine="450"/>
        <w:jc w:val="both"/>
      </w:pPr>
      <w:r>
        <w:rPr>
          <w:rFonts w:ascii="Arial" w:eastAsia="宋体" w:hAnsi="Arial" w:cs="Arial"/>
          <w:color w:val="000000"/>
          <w:sz w:val="20"/>
          <w:szCs w:val="20"/>
        </w:rPr>
        <w:t>In addition, we are entering markets with current and new competitors who may be able to adapt more quickly to customer requirements a</w:t>
      </w:r>
      <w:r>
        <w:rPr>
          <w:rFonts w:ascii="Arial" w:eastAsia="宋体" w:hAnsi="Arial" w:cs="Arial"/>
          <w:color w:val="000000"/>
          <w:sz w:val="20"/>
          <w:szCs w:val="20"/>
        </w:rPr>
        <w:t>nd emerging technologies. We cannot assure you that we will be able to compete successfully against current or new competitors who may have stronger positions in these new markets or superior ability to anticipate customer requirements and emerging industr</w:t>
      </w:r>
      <w:r>
        <w:rPr>
          <w:rFonts w:ascii="Arial" w:eastAsia="宋体" w:hAnsi="Arial" w:cs="Arial"/>
          <w:color w:val="000000"/>
          <w:sz w:val="20"/>
          <w:szCs w:val="20"/>
        </w:rPr>
        <w:t>y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efforts, or we may be required to invest significantly greater resources</w:t>
      </w:r>
      <w:r>
        <w:rPr>
          <w:rFonts w:ascii="Arial" w:eastAsia="宋体" w:hAnsi="Arial" w:cs="Arial"/>
          <w:color w:val="000000"/>
          <w:sz w:val="20"/>
          <w:szCs w:val="20"/>
        </w:rPr>
        <w:t xml:space="preserve"> in research and development than anticipated. Also, the semiconductor industry has seen several mergers and acquisitions over the last number of years. Further consolidation could adversely impact our business due to there being fewer suppliers, customers</w:t>
      </w:r>
      <w:r>
        <w:rPr>
          <w:rFonts w:ascii="Arial" w:eastAsia="宋体" w:hAnsi="Arial" w:cs="Arial"/>
          <w:color w:val="000000"/>
          <w:sz w:val="20"/>
          <w:szCs w:val="20"/>
        </w:rPr>
        <w:t xml:space="preserve"> and partners in the industry.</w:t>
      </w:r>
    </w:p>
    <w:p w14:paraId="1426FAB4" w14:textId="77777777" w:rsidR="00A74A1E" w:rsidRDefault="00807990">
      <w:pPr>
        <w:jc w:val="center"/>
      </w:pPr>
      <w:r>
        <w:rPr>
          <w:rFonts w:ascii="Arial" w:eastAsia="宋体" w:hAnsi="Arial" w:cs="Arial"/>
          <w:color w:val="000000"/>
          <w:sz w:val="20"/>
          <w:szCs w:val="20"/>
        </w:rPr>
        <w:t>39</w:t>
      </w:r>
    </w:p>
    <w:p w14:paraId="1426FAB5" w14:textId="77777777" w:rsidR="00A74A1E" w:rsidRDefault="00807990">
      <w:r>
        <w:pict w14:anchorId="1426FC32">
          <v:rect id="_x0000_i1063" style="width:415.3pt;height:1.5pt" o:hralign="center" o:hrstd="t" o:hr="t" fillcolor="#a0a0a0" stroked="f"/>
        </w:pict>
      </w:r>
    </w:p>
    <w:p w14:paraId="1426FAB6" w14:textId="77777777" w:rsidR="00A74A1E" w:rsidRDefault="00A74A1E">
      <w:pPr>
        <w:spacing w:before="60"/>
      </w:pPr>
    </w:p>
    <w:p w14:paraId="1426FAB7" w14:textId="77777777" w:rsidR="00A74A1E" w:rsidRDefault="00807990">
      <w:pPr>
        <w:spacing w:before="180"/>
        <w:ind w:firstLine="450"/>
        <w:jc w:val="both"/>
      </w:pPr>
      <w:r>
        <w:rPr>
          <w:rFonts w:ascii="Arial" w:eastAsia="宋体" w:hAnsi="Arial" w:cs="Arial"/>
          <w:b/>
          <w:bCs/>
          <w:i/>
          <w:iCs/>
          <w:color w:val="000000"/>
          <w:sz w:val="20"/>
          <w:szCs w:val="20"/>
        </w:rPr>
        <w:t>The demand for our products depends in part on the market conditions in the industries into which they are sold. Fluctuations in demand for our products or a market decline in any of these industries could have a materi</w:t>
      </w:r>
      <w:r>
        <w:rPr>
          <w:rFonts w:ascii="Arial" w:eastAsia="宋体" w:hAnsi="Arial" w:cs="Arial"/>
          <w:b/>
          <w:bCs/>
          <w:i/>
          <w:iCs/>
          <w:color w:val="000000"/>
          <w:sz w:val="20"/>
          <w:szCs w:val="20"/>
        </w:rPr>
        <w:t>al adverse effect on our results of operations.</w:t>
      </w:r>
    </w:p>
    <w:p w14:paraId="1426FAB8" w14:textId="77777777" w:rsidR="00A74A1E" w:rsidRDefault="00807990">
      <w:pPr>
        <w:spacing w:before="180"/>
        <w:ind w:firstLine="450"/>
        <w:jc w:val="both"/>
      </w:pPr>
      <w:r>
        <w:rPr>
          <w:rFonts w:ascii="Arial" w:eastAsia="宋体" w:hAnsi="Arial" w:cs="Arial"/>
          <w:color w:val="000000"/>
          <w:sz w:val="20"/>
          <w:szCs w:val="20"/>
        </w:rPr>
        <w:t>Industry-wide fluctuations in the computer marketplace have materially adversely affected us in the past and may materially adversely affect us in the future. A large portion of our Computing and Graphics rev</w:t>
      </w:r>
      <w:r>
        <w:rPr>
          <w:rFonts w:ascii="Arial" w:eastAsia="宋体" w:hAnsi="Arial" w:cs="Arial"/>
          <w:color w:val="000000"/>
          <w:sz w:val="20"/>
          <w:szCs w:val="20"/>
        </w:rPr>
        <w:t>enue is focused on the consumer desktop PC and notebook segments, which have in the past experienced a decline driven by, among other factors, the adoption of smaller and other form factors, increased competition and changes in replacement cycles. The succ</w:t>
      </w:r>
      <w:r>
        <w:rPr>
          <w:rFonts w:ascii="Arial" w:eastAsia="宋体" w:hAnsi="Arial" w:cs="Arial"/>
          <w:color w:val="000000"/>
          <w:sz w:val="20"/>
          <w:szCs w:val="20"/>
        </w:rPr>
        <w:t>ess of our semi-custom SoC products is dependent on securing customers for our semi-custom design pipeline and consumer market conditions, including the success of the Sony PlayStation®4, Sony PlayStation®4 Pro, Microsoft® Xbox One™ S and Microsoft® Xbox O</w:t>
      </w:r>
      <w:r>
        <w:rPr>
          <w:rFonts w:ascii="Arial" w:eastAsia="宋体" w:hAnsi="Arial" w:cs="Arial"/>
          <w:color w:val="000000"/>
          <w:sz w:val="20"/>
          <w:szCs w:val="20"/>
        </w:rPr>
        <w:t xml:space="preserve">ne™ X game console systems and next generation consoles for Sony and Microsoft, worldwide. In addition, the GPU market has at times seen elevated demand due to the application of GPU products to cryptocurrency mining. For example, our GPU revenue has been </w:t>
      </w:r>
      <w:r>
        <w:rPr>
          <w:rFonts w:ascii="Arial" w:eastAsia="宋体" w:hAnsi="Arial" w:cs="Arial"/>
          <w:color w:val="000000"/>
          <w:sz w:val="20"/>
          <w:szCs w:val="20"/>
        </w:rPr>
        <w:t>affected in part by the volatility of the cryptocurrency mining market. Demand for cryptocurrency has changed and is likely to continue to change quickly. For example, China and South Korea have instituted restrictions on cryptocurrency trading and the val</w:t>
      </w:r>
      <w:r>
        <w:rPr>
          <w:rFonts w:ascii="Arial" w:eastAsia="宋体" w:hAnsi="Arial" w:cs="Arial"/>
          <w:color w:val="000000"/>
          <w:sz w:val="20"/>
          <w:szCs w:val="20"/>
        </w:rPr>
        <w:t>uations of the currencies, and corresponding interest in mining of such currencies are subject to significant fluctuations. Alternatively, countries may create, or in the case of China are creating, their own cryptocurrencies or equivalents that could also</w:t>
      </w:r>
      <w:r>
        <w:rPr>
          <w:rFonts w:ascii="Arial" w:eastAsia="宋体" w:hAnsi="Arial" w:cs="Arial"/>
          <w:color w:val="000000"/>
          <w:sz w:val="20"/>
          <w:szCs w:val="20"/>
        </w:rPr>
        <w:t xml:space="preserve"> impact interest in mining. If we are unable to manage the risks related to the volatility of the cryptocurrency mining market, our GPU business could be materially adversely affected.</w:t>
      </w:r>
    </w:p>
    <w:p w14:paraId="1426FAB9" w14:textId="77777777" w:rsidR="00A74A1E" w:rsidRDefault="00807990">
      <w:pPr>
        <w:spacing w:before="180"/>
        <w:ind w:firstLine="450"/>
        <w:jc w:val="both"/>
      </w:pPr>
      <w:r>
        <w:rPr>
          <w:rFonts w:ascii="Arial" w:eastAsia="宋体" w:hAnsi="Arial" w:cs="Arial"/>
          <w:b/>
          <w:bCs/>
          <w:i/>
          <w:iCs/>
          <w:color w:val="000000"/>
          <w:sz w:val="20"/>
          <w:szCs w:val="20"/>
        </w:rPr>
        <w:t xml:space="preserve">Our ability to design and introduce new products in a timely manner is </w:t>
      </w:r>
      <w:r>
        <w:rPr>
          <w:rFonts w:ascii="Arial" w:eastAsia="宋体" w:hAnsi="Arial" w:cs="Arial"/>
          <w:b/>
          <w:bCs/>
          <w:i/>
          <w:iCs/>
          <w:color w:val="000000"/>
          <w:sz w:val="20"/>
          <w:szCs w:val="20"/>
        </w:rPr>
        <w:t>dependent upon third-party intellectual property.</w:t>
      </w:r>
    </w:p>
    <w:p w14:paraId="1426FABA" w14:textId="77777777" w:rsidR="00A74A1E" w:rsidRDefault="00807990">
      <w:pPr>
        <w:spacing w:before="180"/>
        <w:ind w:firstLine="450"/>
        <w:jc w:val="both"/>
      </w:pPr>
      <w:r>
        <w:rPr>
          <w:rFonts w:ascii="Arial" w:eastAsia="宋体" w:hAnsi="Arial" w:cs="Arial"/>
          <w:color w:val="000000"/>
          <w:sz w:val="20"/>
          <w:szCs w:val="20"/>
        </w:rPr>
        <w:t>In the design and development of new and enhanced products, we rely on third-party intellectual property such as development and testing tools for software and hardware. Furthermore, certain product feature</w:t>
      </w:r>
      <w:r>
        <w:rPr>
          <w:rFonts w:ascii="Arial" w:eastAsia="宋体" w:hAnsi="Arial" w:cs="Arial"/>
          <w:color w:val="000000"/>
          <w:sz w:val="20"/>
          <w:szCs w:val="20"/>
        </w:rPr>
        <w:t>s may rely on intellectual property acquired from third parties. The design requirements necessary to meet customer demand for more features and greater functionality from semiconductor products may exceed the capabilities of the third-party intellectual p</w:t>
      </w:r>
      <w:r>
        <w:rPr>
          <w:rFonts w:ascii="Arial" w:eastAsia="宋体" w:hAnsi="Arial" w:cs="Arial"/>
          <w:color w:val="000000"/>
          <w:sz w:val="20"/>
          <w:szCs w:val="20"/>
        </w:rPr>
        <w:t>roperty or development or testing tools available to us. If the third-party intellectual property that we use becomes unavailable, is not available with required functionality or performance in the time frame, manufacturing technology, or price point neede</w:t>
      </w:r>
      <w:r>
        <w:rPr>
          <w:rFonts w:ascii="Arial" w:eastAsia="宋体" w:hAnsi="Arial" w:cs="Arial"/>
          <w:color w:val="000000"/>
          <w:sz w:val="20"/>
          <w:szCs w:val="20"/>
        </w:rPr>
        <w:t>d for our new products or fails to produce designs that meet customer demands, our business could be materially adversely affected.</w:t>
      </w:r>
    </w:p>
    <w:p w14:paraId="1426FABB" w14:textId="77777777" w:rsidR="00A74A1E" w:rsidRDefault="00807990">
      <w:pPr>
        <w:spacing w:before="180"/>
        <w:ind w:firstLine="450"/>
        <w:jc w:val="both"/>
      </w:pPr>
      <w:r>
        <w:rPr>
          <w:rFonts w:ascii="Arial" w:eastAsia="宋体" w:hAnsi="Arial" w:cs="Arial"/>
          <w:b/>
          <w:bCs/>
          <w:i/>
          <w:iCs/>
          <w:color w:val="000000"/>
          <w:sz w:val="20"/>
          <w:szCs w:val="20"/>
        </w:rPr>
        <w:t>We depend on third-party companies for the design, manufacture and supply of motherboards, software, memory and other comput</w:t>
      </w:r>
      <w:r>
        <w:rPr>
          <w:rFonts w:ascii="Arial" w:eastAsia="宋体" w:hAnsi="Arial" w:cs="Arial"/>
          <w:b/>
          <w:bCs/>
          <w:i/>
          <w:iCs/>
          <w:color w:val="000000"/>
          <w:sz w:val="20"/>
          <w:szCs w:val="20"/>
        </w:rPr>
        <w:t>er platform components to support our business.</w:t>
      </w:r>
    </w:p>
    <w:p w14:paraId="1426FABC" w14:textId="77777777" w:rsidR="00A74A1E" w:rsidRDefault="00807990">
      <w:pPr>
        <w:spacing w:before="180"/>
        <w:ind w:firstLine="450"/>
        <w:jc w:val="both"/>
      </w:pPr>
      <w:r>
        <w:rPr>
          <w:rFonts w:ascii="Arial" w:eastAsia="宋体" w:hAnsi="Arial" w:cs="Arial"/>
          <w:color w:val="000000"/>
          <w:sz w:val="20"/>
          <w:szCs w:val="20"/>
        </w:rPr>
        <w:t>We depend on third-party companies for the design, manufacture and supply of motherboards, graphics cards, software (e.g., BIOS, operating systems, drivers), memory and other components that our customers uti</w:t>
      </w:r>
      <w:r>
        <w:rPr>
          <w:rFonts w:ascii="Arial" w:eastAsia="宋体" w:hAnsi="Arial" w:cs="Arial"/>
          <w:color w:val="000000"/>
          <w:sz w:val="20"/>
          <w:szCs w:val="20"/>
        </w:rPr>
        <w:t>lize to support and/or use our microprocessor, GPU and APU offerings. We also rely on our add-in-board (AIB) partners to support our GPU and APU products. In addition, our microprocessors are not designed to function with motherboards and chipsets designed</w:t>
      </w:r>
      <w:r>
        <w:rPr>
          <w:rFonts w:ascii="Arial" w:eastAsia="宋体" w:hAnsi="Arial" w:cs="Arial"/>
          <w:color w:val="000000"/>
          <w:sz w:val="20"/>
          <w:szCs w:val="20"/>
        </w:rPr>
        <w:t xml:space="preserve"> to work with Intel microprocessors. If the designers, manufacturers, AIBs and suppliers of motherboards, graphics cards, software, memory and other components cease or reduce their design, manufacture or production of current or future products that are b</w:t>
      </w:r>
      <w:r>
        <w:rPr>
          <w:rFonts w:ascii="Arial" w:eastAsia="宋体" w:hAnsi="Arial" w:cs="Arial"/>
          <w:color w:val="000000"/>
          <w:sz w:val="20"/>
          <w:szCs w:val="20"/>
        </w:rPr>
        <w:t>ased on or support our products, our business could be materially adversely affected.</w:t>
      </w:r>
    </w:p>
    <w:p w14:paraId="1426FABD" w14:textId="77777777" w:rsidR="00A74A1E" w:rsidRDefault="00807990">
      <w:pPr>
        <w:spacing w:before="180"/>
        <w:ind w:firstLine="450"/>
        <w:jc w:val="both"/>
      </w:pPr>
      <w:r>
        <w:rPr>
          <w:rFonts w:ascii="Arial" w:eastAsia="宋体" w:hAnsi="Arial" w:cs="Arial"/>
          <w:b/>
          <w:bCs/>
          <w:i/>
          <w:iCs/>
          <w:color w:val="000000"/>
          <w:sz w:val="20"/>
          <w:szCs w:val="20"/>
        </w:rPr>
        <w:t xml:space="preserve">If we lose Microsoft Corporation’s support for our products or other software vendors do not design and develop software to run on our products, our ability to sell </w:t>
      </w:r>
      <w:r>
        <w:rPr>
          <w:rFonts w:ascii="Arial" w:eastAsia="宋体" w:hAnsi="Arial" w:cs="Arial"/>
          <w:b/>
          <w:bCs/>
          <w:i/>
          <w:iCs/>
          <w:color w:val="000000"/>
          <w:sz w:val="20"/>
          <w:szCs w:val="20"/>
        </w:rPr>
        <w:t>our products could be materially adversely affected.</w:t>
      </w:r>
    </w:p>
    <w:p w14:paraId="1426FABE" w14:textId="77777777" w:rsidR="00A74A1E" w:rsidRDefault="00807990">
      <w:pPr>
        <w:spacing w:before="180"/>
        <w:ind w:firstLine="450"/>
        <w:jc w:val="both"/>
      </w:pPr>
      <w:r>
        <w:rPr>
          <w:rFonts w:ascii="Arial" w:eastAsia="宋体" w:hAnsi="Arial" w:cs="Arial"/>
          <w:color w:val="000000"/>
          <w:sz w:val="20"/>
          <w:szCs w:val="20"/>
        </w:rPr>
        <w:t xml:space="preserve">Our ability to innovate beyond the x86 instruction set controlled by Intel depends partially on Microsoft designing and developing its operating systems to run on or support our x86-based microprocessor </w:t>
      </w:r>
      <w:r>
        <w:rPr>
          <w:rFonts w:ascii="Arial" w:eastAsia="宋体" w:hAnsi="Arial" w:cs="Arial"/>
          <w:color w:val="000000"/>
          <w:sz w:val="20"/>
          <w:szCs w:val="20"/>
        </w:rPr>
        <w:t>products. With respect to our graphics products, we depend in part on Microsoft to design and develop its operating system to run on or support our graphics products. Similarly, the success of our products in the market, such as our APU products, is depend</w:t>
      </w:r>
      <w:r>
        <w:rPr>
          <w:rFonts w:ascii="Arial" w:eastAsia="宋体" w:hAnsi="Arial" w:cs="Arial"/>
          <w:color w:val="000000"/>
          <w:sz w:val="20"/>
          <w:szCs w:val="20"/>
        </w:rPr>
        <w:t>ent on independent software providers designing and developing software to run on our products. If Microsoft does not continue to design and develop its operating systems so that they work with our x86 instruction sets or does not continue to develop and m</w:t>
      </w:r>
      <w:r>
        <w:rPr>
          <w:rFonts w:ascii="Arial" w:eastAsia="宋体" w:hAnsi="Arial" w:cs="Arial"/>
          <w:color w:val="000000"/>
          <w:sz w:val="20"/>
          <w:szCs w:val="20"/>
        </w:rPr>
        <w:t>aintain their operating systems to support our graphics products, independent software providers may forego designing their software applications to take advantage of our innovations and customers may not purchase PCs with our products. In addition, some s</w:t>
      </w:r>
      <w:r>
        <w:rPr>
          <w:rFonts w:ascii="Arial" w:eastAsia="宋体" w:hAnsi="Arial" w:cs="Arial"/>
          <w:color w:val="000000"/>
          <w:sz w:val="20"/>
          <w:szCs w:val="20"/>
        </w:rPr>
        <w:t xml:space="preserve">oftware drivers licensed for use with our products are certified by Microsoft. If Microsoft did not certify a driver, or if we otherwise fail to retain </w:t>
      </w:r>
    </w:p>
    <w:p w14:paraId="1426FABF" w14:textId="77777777" w:rsidR="00A74A1E" w:rsidRDefault="00807990">
      <w:pPr>
        <w:jc w:val="center"/>
      </w:pPr>
      <w:r>
        <w:rPr>
          <w:rFonts w:ascii="Arial" w:eastAsia="宋体" w:hAnsi="Arial" w:cs="Arial"/>
          <w:color w:val="000000"/>
          <w:sz w:val="20"/>
          <w:szCs w:val="20"/>
        </w:rPr>
        <w:t>40</w:t>
      </w:r>
    </w:p>
    <w:p w14:paraId="1426FAC0" w14:textId="77777777" w:rsidR="00A74A1E" w:rsidRDefault="00807990">
      <w:r>
        <w:pict w14:anchorId="1426FC33">
          <v:rect id="_x0000_i1064" style="width:415.3pt;height:1.5pt" o:hralign="center" o:hrstd="t" o:hr="t" fillcolor="#a0a0a0" stroked="f"/>
        </w:pict>
      </w:r>
    </w:p>
    <w:p w14:paraId="1426FAC1" w14:textId="77777777" w:rsidR="00A74A1E" w:rsidRDefault="00A74A1E">
      <w:pPr>
        <w:spacing w:before="60"/>
      </w:pPr>
    </w:p>
    <w:p w14:paraId="1426FAC2" w14:textId="77777777" w:rsidR="00A74A1E" w:rsidRDefault="00807990">
      <w:pPr>
        <w:spacing w:before="180"/>
        <w:jc w:val="both"/>
      </w:pPr>
      <w:r>
        <w:rPr>
          <w:rFonts w:ascii="Arial" w:eastAsia="宋体" w:hAnsi="Arial" w:cs="Arial"/>
          <w:color w:val="000000"/>
          <w:sz w:val="20"/>
          <w:szCs w:val="20"/>
        </w:rPr>
        <w:t>the support of Microsoft or other software vendors, our ability to market our products would be m</w:t>
      </w:r>
      <w:r>
        <w:rPr>
          <w:rFonts w:ascii="Arial" w:eastAsia="宋体" w:hAnsi="Arial" w:cs="Arial"/>
          <w:color w:val="000000"/>
          <w:sz w:val="20"/>
          <w:szCs w:val="20"/>
        </w:rPr>
        <w:t>aterially adversely affected.</w:t>
      </w:r>
    </w:p>
    <w:p w14:paraId="1426FAC3" w14:textId="77777777" w:rsidR="00A74A1E" w:rsidRDefault="00807990">
      <w:pPr>
        <w:spacing w:before="180"/>
        <w:ind w:firstLine="450"/>
        <w:jc w:val="both"/>
      </w:pPr>
      <w:r>
        <w:rPr>
          <w:rFonts w:ascii="Arial" w:eastAsia="宋体" w:hAnsi="Arial" w:cs="Arial"/>
          <w:b/>
          <w:bCs/>
          <w:i/>
          <w:iCs/>
          <w:color w:val="000000"/>
          <w:sz w:val="20"/>
          <w:szCs w:val="20"/>
        </w:rPr>
        <w:t>Our reliance on third-party distributors and AIB partners subjects us to certain risks.</w:t>
      </w:r>
    </w:p>
    <w:p w14:paraId="1426FAC4" w14:textId="77777777" w:rsidR="00A74A1E" w:rsidRDefault="00807990">
      <w:pPr>
        <w:spacing w:before="180"/>
        <w:ind w:firstLine="450"/>
        <w:jc w:val="both"/>
      </w:pPr>
      <w:r>
        <w:rPr>
          <w:rFonts w:ascii="Arial" w:eastAsia="宋体" w:hAnsi="Arial" w:cs="Arial"/>
          <w:color w:val="000000"/>
          <w:sz w:val="20"/>
          <w:szCs w:val="20"/>
        </w:rPr>
        <w:t xml:space="preserve">We market and sell our products directly and through third-party distributors and AIB partners pursuant to agreements that can </w:t>
      </w:r>
      <w:r>
        <w:rPr>
          <w:rFonts w:ascii="Arial" w:eastAsia="宋体" w:hAnsi="Arial" w:cs="Arial"/>
          <w:color w:val="000000"/>
          <w:sz w:val="20"/>
          <w:szCs w:val="20"/>
        </w:rPr>
        <w:t xml:space="preserve">generally be terminated for convenience by either party upon prior notice to the other party. These agreements are non-exclusive and permit both our distributors and AIB partners to offer our competitors’ products. We are dependent on our distributors and </w:t>
      </w:r>
      <w:r>
        <w:rPr>
          <w:rFonts w:ascii="Arial" w:eastAsia="宋体" w:hAnsi="Arial" w:cs="Arial"/>
          <w:color w:val="000000"/>
          <w:sz w:val="20"/>
          <w:szCs w:val="20"/>
        </w:rPr>
        <w:t xml:space="preserve">AIB partners to supplement our direct marketing and sales efforts. If any significant distributor or AIB partner or a substantial number of our distributors or AIB partners terminated their relationship with us, decided to market our competitors’ products </w:t>
      </w:r>
      <w:r>
        <w:rPr>
          <w:rFonts w:ascii="Arial" w:eastAsia="宋体" w:hAnsi="Arial" w:cs="Arial"/>
          <w:color w:val="000000"/>
          <w:sz w:val="20"/>
          <w:szCs w:val="20"/>
        </w:rPr>
        <w:t>over our products or decided not to market our products at all, our ability to bring our products to market would be impacted and we would be materially adversely affected. In addition, if we are unable to collect accounts receivable from our significant d</w:t>
      </w:r>
      <w:r>
        <w:rPr>
          <w:rFonts w:ascii="Arial" w:eastAsia="宋体" w:hAnsi="Arial" w:cs="Arial"/>
          <w:color w:val="000000"/>
          <w:sz w:val="20"/>
          <w:szCs w:val="20"/>
        </w:rPr>
        <w:t xml:space="preserve">istributors and/or AIB partners, it could have a material adverse effect on our business. If we are unable to manage the risks related to the use of our third-party distributors and AIB partners or offer appropriate incentives to focus them on the sale of </w:t>
      </w:r>
      <w:r>
        <w:rPr>
          <w:rFonts w:ascii="Arial" w:eastAsia="宋体" w:hAnsi="Arial" w:cs="Arial"/>
          <w:color w:val="000000"/>
          <w:sz w:val="20"/>
          <w:szCs w:val="20"/>
        </w:rPr>
        <w:t>our products, our business could be materially adversely affected.</w:t>
      </w:r>
    </w:p>
    <w:p w14:paraId="1426FAC5" w14:textId="77777777" w:rsidR="00A74A1E" w:rsidRDefault="00807990">
      <w:pPr>
        <w:spacing w:before="180"/>
        <w:ind w:firstLine="450"/>
        <w:jc w:val="both"/>
      </w:pPr>
      <w:r>
        <w:rPr>
          <w:rFonts w:ascii="Arial" w:eastAsia="宋体" w:hAnsi="Arial" w:cs="Arial"/>
          <w:color w:val="000000"/>
          <w:sz w:val="20"/>
          <w:szCs w:val="20"/>
        </w:rPr>
        <w:t>Additionally, distributors and AIB partners typically maintain an inventory of our products. In most instances, our agreements with distributors protect their inventory of our products agai</w:t>
      </w:r>
      <w:r>
        <w:rPr>
          <w:rFonts w:ascii="Arial" w:eastAsia="宋体" w:hAnsi="Arial" w:cs="Arial"/>
          <w:color w:val="000000"/>
          <w:sz w:val="20"/>
          <w:szCs w:val="20"/>
        </w:rPr>
        <w:t>nst price reductions, as well as provide return rights for any product that we have removed from our price book and that is not more than 12 months older than the manufacturing date. Some agreements with our distributors also contain standard stock rotatio</w:t>
      </w:r>
      <w:r>
        <w:rPr>
          <w:rFonts w:ascii="Arial" w:eastAsia="宋体" w:hAnsi="Arial" w:cs="Arial"/>
          <w:color w:val="000000"/>
          <w:sz w:val="20"/>
          <w:szCs w:val="20"/>
        </w:rPr>
        <w:t>n provisions permitting limited levels of product returns. Our agreements with AIB partners protect their inventory of our products against price reductions. In the event of a significant decline in the price of our products, the price protection rights we</w:t>
      </w:r>
      <w:r>
        <w:rPr>
          <w:rFonts w:ascii="Arial" w:eastAsia="宋体" w:hAnsi="Arial" w:cs="Arial"/>
          <w:color w:val="000000"/>
          <w:sz w:val="20"/>
          <w:szCs w:val="20"/>
        </w:rPr>
        <w:t xml:space="preserve"> offer would materially adversely affect us because our revenue and corresponding gross margin would decline.</w:t>
      </w:r>
    </w:p>
    <w:p w14:paraId="1426FAC6" w14:textId="77777777" w:rsidR="00A74A1E" w:rsidRDefault="00807990">
      <w:pPr>
        <w:spacing w:before="180"/>
        <w:ind w:firstLine="450"/>
        <w:jc w:val="both"/>
      </w:pPr>
      <w:r>
        <w:rPr>
          <w:rFonts w:ascii="Arial" w:eastAsia="宋体" w:hAnsi="Arial" w:cs="Arial"/>
          <w:b/>
          <w:bCs/>
          <w:i/>
          <w:iCs/>
          <w:color w:val="000000"/>
          <w:sz w:val="20"/>
          <w:szCs w:val="20"/>
        </w:rPr>
        <w:t>The conversion of the 2.125% Notes may dilute the ownership interest of our existing stockholders, or may otherwise depress the price of our commo</w:t>
      </w:r>
      <w:r>
        <w:rPr>
          <w:rFonts w:ascii="Arial" w:eastAsia="宋体" w:hAnsi="Arial" w:cs="Arial"/>
          <w:b/>
          <w:bCs/>
          <w:i/>
          <w:iCs/>
          <w:color w:val="000000"/>
          <w:sz w:val="20"/>
          <w:szCs w:val="20"/>
        </w:rPr>
        <w:t>n stock.</w:t>
      </w:r>
    </w:p>
    <w:p w14:paraId="1426FAC7" w14:textId="77777777" w:rsidR="00A74A1E" w:rsidRDefault="00807990">
      <w:pPr>
        <w:spacing w:before="180"/>
        <w:ind w:firstLine="450"/>
        <w:jc w:val="both"/>
      </w:pPr>
      <w:r>
        <w:rPr>
          <w:rFonts w:ascii="Arial" w:eastAsia="宋体" w:hAnsi="Arial" w:cs="Arial"/>
          <w:color w:val="000000"/>
          <w:sz w:val="20"/>
          <w:szCs w:val="20"/>
        </w:rPr>
        <w:t>The conversion of some or all of the 2.125% Notes may dilute the ownership interests of our existing stockholders. The 2.125% Notes will mature on September 1, 2026, unless earlier redeemed or repurchased by us or converted.</w:t>
      </w:r>
      <w:r>
        <w:rPr>
          <w:rFonts w:ascii="Arial" w:eastAsia="宋体" w:hAnsi="Arial" w:cs="Arial"/>
          <w:color w:val="000000"/>
          <w:sz w:val="20"/>
          <w:szCs w:val="20"/>
          <w:shd w:val="clear" w:color="auto" w:fill="FFFFFF"/>
        </w:rPr>
        <w:t xml:space="preserve"> During the third calen</w:t>
      </w:r>
      <w:r>
        <w:rPr>
          <w:rFonts w:ascii="Arial" w:eastAsia="宋体" w:hAnsi="Arial" w:cs="Arial"/>
          <w:color w:val="000000"/>
          <w:sz w:val="20"/>
          <w:szCs w:val="20"/>
          <w:shd w:val="clear" w:color="auto" w:fill="FFFFFF"/>
        </w:rPr>
        <w:t xml:space="preserve">dar quarter of 2020, the sale price of our common stock for conversion was satisfied as of September 30, 2020 and as a result, the 2.125% Notes are eligible for conversion during the fourth calendar quarter of 2020. </w:t>
      </w:r>
      <w:r>
        <w:rPr>
          <w:rFonts w:ascii="Arial" w:eastAsia="宋体" w:hAnsi="Arial" w:cs="Arial"/>
          <w:color w:val="000000"/>
          <w:sz w:val="20"/>
          <w:szCs w:val="20"/>
        </w:rPr>
        <w:t>Any sales in the public market of our co</w:t>
      </w:r>
      <w:r>
        <w:rPr>
          <w:rFonts w:ascii="Arial" w:eastAsia="宋体" w:hAnsi="Arial" w:cs="Arial"/>
          <w:color w:val="000000"/>
          <w:sz w:val="20"/>
          <w:szCs w:val="20"/>
        </w:rPr>
        <w:t xml:space="preserve">mmon stock issuable upon such conversion could adversely affect prevailing market prices of our common stock. In addition, the existence of the 2.125% Notes may encourage short selling by market participants because the conversion thereof could be used to </w:t>
      </w:r>
      <w:r>
        <w:rPr>
          <w:rFonts w:ascii="Arial" w:eastAsia="宋体" w:hAnsi="Arial" w:cs="Arial"/>
          <w:color w:val="000000"/>
          <w:sz w:val="20"/>
          <w:szCs w:val="20"/>
        </w:rPr>
        <w:t>satisfy short positions, or the anticipated conversion of the 2.125% Notes into cash and/or shares of our common stock could depress the price of our common stock.</w:t>
      </w:r>
    </w:p>
    <w:p w14:paraId="1426FAC8" w14:textId="77777777" w:rsidR="00A74A1E" w:rsidRDefault="00807990">
      <w:pPr>
        <w:spacing w:before="180"/>
        <w:ind w:firstLine="450"/>
        <w:jc w:val="both"/>
      </w:pPr>
      <w:r>
        <w:rPr>
          <w:rFonts w:ascii="Arial" w:eastAsia="宋体" w:hAnsi="Arial" w:cs="Arial"/>
          <w:b/>
          <w:bCs/>
          <w:i/>
          <w:iCs/>
          <w:color w:val="000000"/>
          <w:sz w:val="20"/>
          <w:szCs w:val="20"/>
        </w:rPr>
        <w:t>We may incur future impairments of goodwill and technology license purchases.</w:t>
      </w:r>
    </w:p>
    <w:p w14:paraId="1426FAC9" w14:textId="77777777" w:rsidR="00A74A1E" w:rsidRDefault="00807990">
      <w:pPr>
        <w:spacing w:before="180"/>
        <w:ind w:firstLine="450"/>
        <w:jc w:val="both"/>
      </w:pPr>
      <w:r>
        <w:rPr>
          <w:rFonts w:ascii="Arial" w:eastAsia="宋体" w:hAnsi="Arial" w:cs="Arial"/>
          <w:color w:val="000000"/>
          <w:sz w:val="20"/>
          <w:szCs w:val="20"/>
        </w:rPr>
        <w:t>We perform our</w:t>
      </w:r>
      <w:r>
        <w:rPr>
          <w:rFonts w:ascii="Arial" w:eastAsia="宋体" w:hAnsi="Arial" w:cs="Arial"/>
          <w:color w:val="000000"/>
          <w:sz w:val="20"/>
          <w:szCs w:val="20"/>
        </w:rPr>
        <w:t xml:space="preserve"> annual goodwill impairment analysis as of the first day of the fourth quarter of each year. Subsequent to our annual goodwill impairment analysis, we monitor for any events or changes in circumstances, such as significant adverse changes in business clima</w:t>
      </w:r>
      <w:r>
        <w:rPr>
          <w:rFonts w:ascii="Arial" w:eastAsia="宋体" w:hAnsi="Arial" w:cs="Arial"/>
          <w:color w:val="000000"/>
          <w:sz w:val="20"/>
          <w:szCs w:val="20"/>
        </w:rPr>
        <w:t>te or operating results, changes in management’s business strategy, an inability to successfully introduce new products in the marketplace, an inability to successfully achieve internal forecasts or significant declines in our stock price, which may repres</w:t>
      </w:r>
      <w:r>
        <w:rPr>
          <w:rFonts w:ascii="Arial" w:eastAsia="宋体" w:hAnsi="Arial" w:cs="Arial"/>
          <w:color w:val="000000"/>
          <w:sz w:val="20"/>
          <w:szCs w:val="20"/>
        </w:rPr>
        <w:t>ent an indicator of impairment. The occurrence of any of these events may require us to record future goodwill impairment charges.</w:t>
      </w:r>
    </w:p>
    <w:p w14:paraId="1426FACA" w14:textId="77777777" w:rsidR="00A74A1E" w:rsidRDefault="00807990">
      <w:pPr>
        <w:spacing w:before="180"/>
        <w:ind w:firstLine="450"/>
        <w:jc w:val="both"/>
      </w:pPr>
      <w:r>
        <w:rPr>
          <w:rFonts w:ascii="Arial" w:eastAsia="宋体" w:hAnsi="Arial" w:cs="Arial"/>
          <w:color w:val="000000"/>
          <w:sz w:val="20"/>
          <w:szCs w:val="20"/>
        </w:rPr>
        <w:t>We license certain third-party technologies and tools for the design and production of our products. We report the value of t</w:t>
      </w:r>
      <w:r>
        <w:rPr>
          <w:rFonts w:ascii="Arial" w:eastAsia="宋体" w:hAnsi="Arial" w:cs="Arial"/>
          <w:color w:val="000000"/>
          <w:sz w:val="20"/>
          <w:szCs w:val="20"/>
        </w:rPr>
        <w:t>hose licenses as other assets on the balance sheet and we periodically evaluate the carrying value of those licenses based on their future economic benefit to us. Factors such as the life of the assets, changes in competing technologies, and changes to the</w:t>
      </w:r>
      <w:r>
        <w:rPr>
          <w:rFonts w:ascii="Arial" w:eastAsia="宋体" w:hAnsi="Arial" w:cs="Arial"/>
          <w:color w:val="000000"/>
          <w:sz w:val="20"/>
          <w:szCs w:val="20"/>
        </w:rPr>
        <w:t xml:space="preserve"> business strategy may represent an indicator of impairment. The occurrence of any of these events may require us to record future technology license impairment charges.</w:t>
      </w:r>
    </w:p>
    <w:p w14:paraId="1426FACB" w14:textId="77777777" w:rsidR="00A74A1E" w:rsidRDefault="00807990">
      <w:pPr>
        <w:spacing w:before="180"/>
        <w:ind w:firstLine="450"/>
        <w:jc w:val="both"/>
      </w:pPr>
      <w:r>
        <w:rPr>
          <w:rFonts w:ascii="Arial" w:eastAsia="宋体" w:hAnsi="Arial" w:cs="Arial"/>
          <w:b/>
          <w:bCs/>
          <w:i/>
          <w:iCs/>
          <w:color w:val="000000"/>
          <w:sz w:val="20"/>
          <w:szCs w:val="20"/>
        </w:rPr>
        <w:t>Our inability to continue to attract and retain qualified personnel may hinder our bus</w:t>
      </w:r>
      <w:r>
        <w:rPr>
          <w:rFonts w:ascii="Arial" w:eastAsia="宋体" w:hAnsi="Arial" w:cs="Arial"/>
          <w:b/>
          <w:bCs/>
          <w:i/>
          <w:iCs/>
          <w:color w:val="000000"/>
          <w:sz w:val="20"/>
          <w:szCs w:val="20"/>
        </w:rPr>
        <w:t>iness.</w:t>
      </w:r>
    </w:p>
    <w:p w14:paraId="1426FACC" w14:textId="77777777" w:rsidR="00A74A1E" w:rsidRDefault="00807990">
      <w:pPr>
        <w:spacing w:before="180"/>
        <w:ind w:firstLine="450"/>
        <w:jc w:val="both"/>
      </w:pPr>
      <w:r>
        <w:rPr>
          <w:rFonts w:ascii="Arial" w:eastAsia="宋体" w:hAnsi="Arial" w:cs="Arial"/>
          <w:color w:val="000000"/>
          <w:sz w:val="20"/>
          <w:szCs w:val="20"/>
        </w:rPr>
        <w:t>Much of our future success depends upon the continued service of numerous qualified engineering, marketing, sales and executive employees. Competition for highly skilled executives and employees in the technology industry is intense and our competit</w:t>
      </w:r>
      <w:r>
        <w:rPr>
          <w:rFonts w:ascii="Arial" w:eastAsia="宋体" w:hAnsi="Arial" w:cs="Arial"/>
          <w:color w:val="000000"/>
          <w:sz w:val="20"/>
          <w:szCs w:val="20"/>
        </w:rPr>
        <w:t>ors have targeted individuals in our organization that have desired skills and experience. If we are not able to continue to attract, train and retain our leadership team and our qualified employees necessary for our business, the progress of our product d</w:t>
      </w:r>
      <w:r>
        <w:rPr>
          <w:rFonts w:ascii="Arial" w:eastAsia="宋体" w:hAnsi="Arial" w:cs="Arial"/>
          <w:color w:val="000000"/>
          <w:sz w:val="20"/>
          <w:szCs w:val="20"/>
        </w:rPr>
        <w:t xml:space="preserve">evelopment programs could be hindered, and we could be materially adversely affected. To help attract, retain and motivate our executives and qualified employees, we use share-based </w:t>
      </w:r>
    </w:p>
    <w:p w14:paraId="1426FACD" w14:textId="77777777" w:rsidR="00A74A1E" w:rsidRDefault="00807990">
      <w:pPr>
        <w:jc w:val="center"/>
      </w:pPr>
      <w:r>
        <w:rPr>
          <w:rFonts w:ascii="Arial" w:eastAsia="宋体" w:hAnsi="Arial" w:cs="Arial"/>
          <w:color w:val="000000"/>
          <w:sz w:val="20"/>
          <w:szCs w:val="20"/>
        </w:rPr>
        <w:t>41</w:t>
      </w:r>
    </w:p>
    <w:p w14:paraId="1426FACE" w14:textId="77777777" w:rsidR="00A74A1E" w:rsidRDefault="00807990">
      <w:r>
        <w:pict w14:anchorId="1426FC34">
          <v:rect id="_x0000_i1065" style="width:415.3pt;height:1.5pt" o:hralign="center" o:hrstd="t" o:hr="t" fillcolor="#a0a0a0" stroked="f"/>
        </w:pict>
      </w:r>
    </w:p>
    <w:p w14:paraId="1426FACF" w14:textId="77777777" w:rsidR="00A74A1E" w:rsidRDefault="00A74A1E">
      <w:pPr>
        <w:spacing w:before="60"/>
      </w:pPr>
    </w:p>
    <w:p w14:paraId="1426FAD0" w14:textId="77777777" w:rsidR="00A74A1E" w:rsidRDefault="00807990">
      <w:pPr>
        <w:spacing w:before="180"/>
        <w:jc w:val="both"/>
      </w:pPr>
      <w:r>
        <w:rPr>
          <w:rFonts w:ascii="Arial" w:eastAsia="宋体" w:hAnsi="Arial" w:cs="Arial"/>
          <w:color w:val="000000"/>
          <w:sz w:val="20"/>
          <w:szCs w:val="20"/>
        </w:rPr>
        <w:t>incentive awards such as employee stock options and non-vested shar</w:t>
      </w:r>
      <w:r>
        <w:rPr>
          <w:rFonts w:ascii="Arial" w:eastAsia="宋体" w:hAnsi="Arial" w:cs="Arial"/>
          <w:color w:val="000000"/>
          <w:sz w:val="20"/>
          <w:szCs w:val="20"/>
        </w:rPr>
        <w:t xml:space="preserve">e units (restricted stock units). If the value of such stock awards does not appreciate as measured by the performance of the price of our common stock, or if our share-based compensation otherwise ceases to be viewed as a valuable benefit, our ability to </w:t>
      </w:r>
      <w:r>
        <w:rPr>
          <w:rFonts w:ascii="Arial" w:eastAsia="宋体" w:hAnsi="Arial" w:cs="Arial"/>
          <w:color w:val="000000"/>
          <w:sz w:val="20"/>
          <w:szCs w:val="20"/>
        </w:rPr>
        <w:t xml:space="preserve">attract, retain and motivate our executives and employees could be weakened, which could harm our results of operations. Also, if the value of our stock awards increases substantially, this could potentially create great personal wealth for our executives </w:t>
      </w:r>
      <w:r>
        <w:rPr>
          <w:rFonts w:ascii="Arial" w:eastAsia="宋体" w:hAnsi="Arial" w:cs="Arial"/>
          <w:color w:val="000000"/>
          <w:sz w:val="20"/>
          <w:szCs w:val="20"/>
        </w:rPr>
        <w:t>and employees and affect our ability to retain our personnel. In addition, any future restructuring plans may adversely impact our ability to attract and retain key employees.</w:t>
      </w:r>
    </w:p>
    <w:p w14:paraId="1426FAD1" w14:textId="77777777" w:rsidR="00A74A1E" w:rsidRDefault="00807990">
      <w:pPr>
        <w:spacing w:before="180"/>
        <w:ind w:firstLine="450"/>
        <w:jc w:val="both"/>
      </w:pPr>
      <w:r>
        <w:rPr>
          <w:rFonts w:ascii="Arial" w:eastAsia="宋体" w:hAnsi="Arial" w:cs="Arial"/>
          <w:b/>
          <w:bCs/>
          <w:i/>
          <w:iCs/>
          <w:color w:val="000000"/>
          <w:sz w:val="20"/>
          <w:szCs w:val="20"/>
        </w:rPr>
        <w:t>If we cannot generate sufficient revenue and operating cash flow or obtain exter</w:t>
      </w:r>
      <w:r>
        <w:rPr>
          <w:rFonts w:ascii="Arial" w:eastAsia="宋体" w:hAnsi="Arial" w:cs="Arial"/>
          <w:b/>
          <w:bCs/>
          <w:i/>
          <w:iCs/>
          <w:color w:val="000000"/>
          <w:sz w:val="20"/>
          <w:szCs w:val="20"/>
        </w:rPr>
        <w:t>nal financing, we may face a cash shortfall and be unable to make all of our planned investments in research and development or other strategic investments.</w:t>
      </w:r>
    </w:p>
    <w:p w14:paraId="1426FAD2" w14:textId="77777777" w:rsidR="00A74A1E" w:rsidRDefault="00807990">
      <w:pPr>
        <w:spacing w:before="180"/>
        <w:ind w:firstLine="450"/>
        <w:jc w:val="both"/>
      </w:pPr>
      <w:r>
        <w:rPr>
          <w:rFonts w:ascii="Arial" w:eastAsia="宋体" w:hAnsi="Arial" w:cs="Arial"/>
          <w:color w:val="000000"/>
          <w:sz w:val="20"/>
          <w:szCs w:val="20"/>
        </w:rPr>
        <w:t xml:space="preserve">Our ability to fund research and development expenditures depends on generating sufficient revenue </w:t>
      </w:r>
      <w:r>
        <w:rPr>
          <w:rFonts w:ascii="Arial" w:eastAsia="宋体" w:hAnsi="Arial" w:cs="Arial"/>
          <w:color w:val="000000"/>
          <w:sz w:val="20"/>
          <w:szCs w:val="20"/>
        </w:rPr>
        <w:t>and cash flow from operations and the availability of external financing, if necessary. Our research and development expenditures, together with ongoing operating expenses, will be a substantial drain on our cash flow and may decrease our cash balances. If</w:t>
      </w:r>
      <w:r>
        <w:rPr>
          <w:rFonts w:ascii="Arial" w:eastAsia="宋体" w:hAnsi="Arial" w:cs="Arial"/>
          <w:color w:val="000000"/>
          <w:sz w:val="20"/>
          <w:szCs w:val="20"/>
        </w:rPr>
        <w:t xml:space="preserve"> new competitors, technological advances by existing competitors, or other competitive factors require us to invest significantly greater resources than anticipated in our research and development efforts, our operating expenses would increase. If we are r</w:t>
      </w:r>
      <w:r>
        <w:rPr>
          <w:rFonts w:ascii="Arial" w:eastAsia="宋体" w:hAnsi="Arial" w:cs="Arial"/>
          <w:color w:val="000000"/>
          <w:sz w:val="20"/>
          <w:szCs w:val="20"/>
        </w:rPr>
        <w:t>equired to invest significantly greater resources than anticipated in research and development efforts without an increase in revenue, our operating results could decline.</w:t>
      </w:r>
    </w:p>
    <w:p w14:paraId="1426FAD3" w14:textId="77777777" w:rsidR="00A74A1E" w:rsidRDefault="00807990">
      <w:pPr>
        <w:spacing w:before="180"/>
        <w:ind w:firstLine="450"/>
        <w:jc w:val="both"/>
      </w:pPr>
      <w:r>
        <w:rPr>
          <w:rFonts w:ascii="Arial" w:eastAsia="宋体" w:hAnsi="Arial" w:cs="Arial"/>
          <w:color w:val="000000"/>
          <w:sz w:val="20"/>
          <w:szCs w:val="20"/>
        </w:rPr>
        <w:t>We regularly assess markets for external financing opportunities, including debt and</w:t>
      </w:r>
      <w:r>
        <w:rPr>
          <w:rFonts w:ascii="Arial" w:eastAsia="宋体" w:hAnsi="Arial" w:cs="Arial"/>
          <w:color w:val="000000"/>
          <w:sz w:val="20"/>
          <w:szCs w:val="20"/>
        </w:rPr>
        <w:t xml:space="preserve"> equity financing. Additional debt or equity financing may not be available when needed or, if available, may not be available on satisfactory terms. The health of the credit markets may adversely impact our ability to obtain financing when needed. Any dow</w:t>
      </w:r>
      <w:r>
        <w:rPr>
          <w:rFonts w:ascii="Arial" w:eastAsia="宋体" w:hAnsi="Arial" w:cs="Arial"/>
          <w:color w:val="000000"/>
          <w:sz w:val="20"/>
          <w:szCs w:val="20"/>
        </w:rPr>
        <w:t>ngrades from credit rating agencies such as Moody’s or Standard &amp; Poor’s may adversely impact our ability to obtain external financing or the terms of such financing. Credit agency downgrades or concerns regarding our credit worthiness may impact relations</w:t>
      </w:r>
      <w:r>
        <w:rPr>
          <w:rFonts w:ascii="Arial" w:eastAsia="宋体" w:hAnsi="Arial" w:cs="Arial"/>
          <w:color w:val="000000"/>
          <w:sz w:val="20"/>
          <w:szCs w:val="20"/>
        </w:rPr>
        <w:t>hips with our suppliers, who may limit our credit lines. Our inability to obtain needed financing or to generate sufficient cash from operations may require us to abandon projects or curtail planned investments in research and development or other strategi</w:t>
      </w:r>
      <w:r>
        <w:rPr>
          <w:rFonts w:ascii="Arial" w:eastAsia="宋体" w:hAnsi="Arial" w:cs="Arial"/>
          <w:color w:val="000000"/>
          <w:sz w:val="20"/>
          <w:szCs w:val="20"/>
        </w:rPr>
        <w:t>c initiatives. If we curtail planned investments in research and development or abandon projects, our products may fail to remain competitive and our business would be materially adversely affected.</w:t>
      </w:r>
    </w:p>
    <w:p w14:paraId="1426FAD4" w14:textId="77777777" w:rsidR="00A74A1E" w:rsidRDefault="00807990">
      <w:pPr>
        <w:spacing w:before="180"/>
        <w:ind w:firstLine="450"/>
        <w:jc w:val="both"/>
      </w:pPr>
      <w:r>
        <w:rPr>
          <w:rFonts w:ascii="Arial" w:eastAsia="宋体" w:hAnsi="Arial" w:cs="Arial"/>
          <w:b/>
          <w:bCs/>
          <w:i/>
          <w:iCs/>
          <w:color w:val="000000"/>
          <w:sz w:val="20"/>
          <w:szCs w:val="20"/>
        </w:rPr>
        <w:t>Our indebtedness could adversely affect our financial pos</w:t>
      </w:r>
      <w:r>
        <w:rPr>
          <w:rFonts w:ascii="Arial" w:eastAsia="宋体" w:hAnsi="Arial" w:cs="Arial"/>
          <w:b/>
          <w:bCs/>
          <w:i/>
          <w:iCs/>
          <w:color w:val="000000"/>
          <w:sz w:val="20"/>
          <w:szCs w:val="20"/>
        </w:rPr>
        <w:t>ition and prevent us from implementing our strategy or fulfilling our contractual obligations.</w:t>
      </w:r>
    </w:p>
    <w:p w14:paraId="1426FAD5" w14:textId="77777777" w:rsidR="00A74A1E" w:rsidRDefault="00807990">
      <w:pPr>
        <w:spacing w:before="180"/>
        <w:ind w:firstLine="450"/>
        <w:jc w:val="both"/>
      </w:pPr>
      <w:r>
        <w:rPr>
          <w:rFonts w:ascii="Arial" w:eastAsia="宋体" w:hAnsi="Arial" w:cs="Arial"/>
          <w:color w:val="000000"/>
          <w:sz w:val="20"/>
          <w:szCs w:val="20"/>
        </w:rPr>
        <w:t>Our total debt principal amount outstanding as of September 26, 2020 was $398 million. Our indebtedness may make it difficult for us to satisfy our financial obl</w:t>
      </w:r>
      <w:r>
        <w:rPr>
          <w:rFonts w:ascii="Arial" w:eastAsia="宋体" w:hAnsi="Arial" w:cs="Arial"/>
          <w:color w:val="000000"/>
          <w:sz w:val="20"/>
          <w:szCs w:val="20"/>
        </w:rPr>
        <w:t>igations, including making scheduled principal and interest payments; limit our ability to borrow additional funds for working capital, capital expenditures, acquisitions and general corporate and other purposes; limit our ability to use our cash flow or o</w:t>
      </w:r>
      <w:r>
        <w:rPr>
          <w:rFonts w:ascii="Arial" w:eastAsia="宋体" w:hAnsi="Arial" w:cs="Arial"/>
          <w:color w:val="000000"/>
          <w:sz w:val="20"/>
          <w:szCs w:val="20"/>
        </w:rPr>
        <w:t>btain additional financing for future working capital, capital expenditures, acquisitions or other general corporate purposes; require us to use a substantial portion of our cash flow from operations to make debt service payments; place us at a competitive</w:t>
      </w:r>
      <w:r>
        <w:rPr>
          <w:rFonts w:ascii="Arial" w:eastAsia="宋体" w:hAnsi="Arial" w:cs="Arial"/>
          <w:color w:val="000000"/>
          <w:sz w:val="20"/>
          <w:szCs w:val="20"/>
        </w:rPr>
        <w:t xml:space="preserve"> disadvantage compared to our competitors with relatively less debt; and increase our vulnerability to the impact of adverse economic and industry conditions. </w:t>
      </w:r>
    </w:p>
    <w:p w14:paraId="1426FAD6" w14:textId="77777777" w:rsidR="00A74A1E" w:rsidRDefault="00807990">
      <w:pPr>
        <w:spacing w:before="180"/>
        <w:ind w:firstLine="450"/>
        <w:jc w:val="both"/>
      </w:pPr>
      <w:r>
        <w:rPr>
          <w:rFonts w:ascii="Arial" w:eastAsia="宋体" w:hAnsi="Arial" w:cs="Arial"/>
          <w:color w:val="000000"/>
          <w:sz w:val="20"/>
          <w:szCs w:val="20"/>
        </w:rPr>
        <w:t>We enter into sale and factoring arrangements from time to time with respect to certain accounts</w:t>
      </w:r>
      <w:r>
        <w:rPr>
          <w:rFonts w:ascii="Arial" w:eastAsia="宋体" w:hAnsi="Arial" w:cs="Arial"/>
          <w:color w:val="000000"/>
          <w:sz w:val="20"/>
          <w:szCs w:val="20"/>
        </w:rPr>
        <w:t xml:space="preserve"> receivable, which arrangements are non-recourse to us in the event that an account debtor fails to pay for credit-related reasons, and are not included in our indebtedness. We could become obligated to repurchase such accounts receivable or otherwise incu</w:t>
      </w:r>
      <w:r>
        <w:rPr>
          <w:rFonts w:ascii="Arial" w:eastAsia="宋体" w:hAnsi="Arial" w:cs="Arial"/>
          <w:color w:val="000000"/>
          <w:sz w:val="20"/>
          <w:szCs w:val="20"/>
        </w:rPr>
        <w:t>r liability to the counterparties under these arrangements under certain circumstances, such as where a commercial dispute arises between us and an account debtor. Also, should we not participate in such sale and factoring arrangements or if these arrangem</w:t>
      </w:r>
      <w:r>
        <w:rPr>
          <w:rFonts w:ascii="Arial" w:eastAsia="宋体" w:hAnsi="Arial" w:cs="Arial"/>
          <w:color w:val="000000"/>
          <w:sz w:val="20"/>
          <w:szCs w:val="20"/>
        </w:rPr>
        <w:t xml:space="preserve">ents were no longer available, or changes to the cost or credit limits were made to our existing arrangements, it could have a negative impact on our cash flow from operations. </w:t>
      </w:r>
    </w:p>
    <w:p w14:paraId="1426FAD7" w14:textId="77777777" w:rsidR="00A74A1E" w:rsidRDefault="00807990">
      <w:pPr>
        <w:spacing w:before="180"/>
        <w:ind w:firstLine="450"/>
        <w:jc w:val="both"/>
      </w:pPr>
      <w:r>
        <w:rPr>
          <w:rFonts w:ascii="Arial" w:eastAsia="宋体" w:hAnsi="Arial" w:cs="Arial"/>
          <w:b/>
          <w:bCs/>
          <w:i/>
          <w:iCs/>
          <w:color w:val="000000"/>
          <w:sz w:val="20"/>
          <w:szCs w:val="20"/>
        </w:rPr>
        <w:t xml:space="preserve">We may not be able to generate sufficient cash to service our debt </w:t>
      </w:r>
      <w:r>
        <w:rPr>
          <w:rFonts w:ascii="Arial" w:eastAsia="宋体" w:hAnsi="Arial" w:cs="Arial"/>
          <w:b/>
          <w:bCs/>
          <w:i/>
          <w:iCs/>
          <w:color w:val="000000"/>
          <w:sz w:val="20"/>
          <w:szCs w:val="20"/>
        </w:rPr>
        <w:t>obligations or meet our working capital requirements.</w:t>
      </w:r>
    </w:p>
    <w:p w14:paraId="1426FAD8" w14:textId="77777777" w:rsidR="00A74A1E" w:rsidRDefault="00807990">
      <w:pPr>
        <w:spacing w:before="180"/>
        <w:ind w:firstLine="450"/>
        <w:jc w:val="both"/>
      </w:pPr>
      <w:r>
        <w:rPr>
          <w:rFonts w:ascii="Arial" w:eastAsia="宋体" w:hAnsi="Arial" w:cs="Arial"/>
          <w:color w:val="000000"/>
          <w:sz w:val="20"/>
          <w:szCs w:val="20"/>
        </w:rPr>
        <w:t xml:space="preserve">Our ability to make payments on and to refinance our debt will depend on our financial and operating performance, which may fluctuate significantly from quarter to quarter, and is subject to prevailing </w:t>
      </w:r>
      <w:r>
        <w:rPr>
          <w:rFonts w:ascii="Arial" w:eastAsia="宋体" w:hAnsi="Arial" w:cs="Arial"/>
          <w:color w:val="000000"/>
          <w:sz w:val="20"/>
          <w:szCs w:val="20"/>
        </w:rPr>
        <w:t>economic, financial and business conditions along with other factors, many of which are beyond our control. We cannot assure you that we will be able to generate cash flow or that we will be able to borrow funds, including under our revolving credit facili</w:t>
      </w:r>
      <w:r>
        <w:rPr>
          <w:rFonts w:ascii="Arial" w:eastAsia="宋体" w:hAnsi="Arial" w:cs="Arial"/>
          <w:color w:val="000000"/>
          <w:sz w:val="20"/>
          <w:szCs w:val="20"/>
        </w:rPr>
        <w:t xml:space="preserve">ty for a principal amount up to $500 million (our Revolving Facility), in amounts sufficient to enable us to </w:t>
      </w:r>
    </w:p>
    <w:p w14:paraId="1426FAD9" w14:textId="77777777" w:rsidR="00A74A1E" w:rsidRDefault="00807990">
      <w:pPr>
        <w:jc w:val="center"/>
      </w:pPr>
      <w:r>
        <w:rPr>
          <w:rFonts w:ascii="Arial" w:eastAsia="宋体" w:hAnsi="Arial" w:cs="Arial"/>
          <w:color w:val="000000"/>
          <w:sz w:val="20"/>
          <w:szCs w:val="20"/>
        </w:rPr>
        <w:t>42</w:t>
      </w:r>
    </w:p>
    <w:p w14:paraId="1426FADA" w14:textId="77777777" w:rsidR="00A74A1E" w:rsidRDefault="00807990">
      <w:r>
        <w:pict w14:anchorId="1426FC35">
          <v:rect id="_x0000_i1066" style="width:415.3pt;height:1.5pt" o:hralign="center" o:hrstd="t" o:hr="t" fillcolor="#a0a0a0" stroked="f"/>
        </w:pict>
      </w:r>
    </w:p>
    <w:p w14:paraId="1426FADB" w14:textId="77777777" w:rsidR="00A74A1E" w:rsidRDefault="00A74A1E">
      <w:pPr>
        <w:spacing w:before="60"/>
      </w:pPr>
    </w:p>
    <w:p w14:paraId="1426FADC" w14:textId="77777777" w:rsidR="00A74A1E" w:rsidRDefault="00807990">
      <w:pPr>
        <w:spacing w:before="180"/>
        <w:jc w:val="both"/>
      </w:pPr>
      <w:r>
        <w:rPr>
          <w:rFonts w:ascii="Arial" w:eastAsia="宋体" w:hAnsi="Arial" w:cs="Arial"/>
          <w:color w:val="000000"/>
          <w:sz w:val="20"/>
          <w:szCs w:val="20"/>
        </w:rPr>
        <w:t>service our debt or to meet our working capital requirements. If we are not able to generate sufficient cash flow from operations or to borr</w:t>
      </w:r>
      <w:r>
        <w:rPr>
          <w:rFonts w:ascii="Arial" w:eastAsia="宋体" w:hAnsi="Arial" w:cs="Arial"/>
          <w:color w:val="000000"/>
          <w:sz w:val="20"/>
          <w:szCs w:val="20"/>
        </w:rPr>
        <w:t>ow sufficient funds to service our debt, we may be required to sell assets or equity, reduce expenditures, refinance all or a portion of our existing debt or obtain additional financing. We cannot assure you that we will be able to refinance our debt, sell</w:t>
      </w:r>
      <w:r>
        <w:rPr>
          <w:rFonts w:ascii="Arial" w:eastAsia="宋体" w:hAnsi="Arial" w:cs="Arial"/>
          <w:color w:val="000000"/>
          <w:sz w:val="20"/>
          <w:szCs w:val="20"/>
        </w:rPr>
        <w:t xml:space="preserve"> assets or equity, borrow funds under our Revolving Facility or borrow more funds on terms acceptable to us, if at all.</w:t>
      </w:r>
    </w:p>
    <w:p w14:paraId="1426FADD" w14:textId="77777777" w:rsidR="00A74A1E" w:rsidRDefault="00807990">
      <w:pPr>
        <w:spacing w:before="180"/>
        <w:ind w:firstLine="450"/>
        <w:jc w:val="both"/>
      </w:pPr>
      <w:r>
        <w:rPr>
          <w:rFonts w:ascii="Arial" w:eastAsia="宋体" w:hAnsi="Arial" w:cs="Arial"/>
          <w:b/>
          <w:bCs/>
          <w:i/>
          <w:iCs/>
          <w:color w:val="000000"/>
          <w:sz w:val="20"/>
          <w:szCs w:val="20"/>
        </w:rPr>
        <w:t xml:space="preserve">In the event of a change of control, we may not be able to repurchase our outstanding debt as required by the applicable indentures and </w:t>
      </w:r>
      <w:r>
        <w:rPr>
          <w:rFonts w:ascii="Arial" w:eastAsia="宋体" w:hAnsi="Arial" w:cs="Arial"/>
          <w:b/>
          <w:bCs/>
          <w:i/>
          <w:iCs/>
          <w:color w:val="000000"/>
          <w:sz w:val="20"/>
          <w:szCs w:val="20"/>
        </w:rPr>
        <w:t>our Revolving Facility, which would result in a default under the indentures and our Revolving Facility.</w:t>
      </w:r>
    </w:p>
    <w:p w14:paraId="1426FADE" w14:textId="77777777" w:rsidR="00A74A1E" w:rsidRDefault="00807990">
      <w:pPr>
        <w:spacing w:before="180"/>
        <w:ind w:firstLine="450"/>
        <w:jc w:val="both"/>
      </w:pPr>
      <w:r>
        <w:rPr>
          <w:rFonts w:ascii="Arial" w:eastAsia="宋体" w:hAnsi="Arial" w:cs="Arial"/>
          <w:color w:val="000000"/>
          <w:sz w:val="20"/>
          <w:szCs w:val="20"/>
        </w:rPr>
        <w:t xml:space="preserve">Upon a change of control, we will be required to offer to repurchase all of our 7.50% Notes and 2.125% Notes then outstanding at 101% of the principal </w:t>
      </w:r>
      <w:r>
        <w:rPr>
          <w:rFonts w:ascii="Arial" w:eastAsia="宋体" w:hAnsi="Arial" w:cs="Arial"/>
          <w:color w:val="000000"/>
          <w:sz w:val="20"/>
          <w:szCs w:val="20"/>
        </w:rPr>
        <w:t>amount thereof, plus accrued and unpaid interest, if any, up to, but excluding, the repurchase date. In addition, a change of control would be an event of default under our Revolving Facility. As of September 26, 2020, $398 million principal amount was out</w:t>
      </w:r>
      <w:r>
        <w:rPr>
          <w:rFonts w:ascii="Arial" w:eastAsia="宋体" w:hAnsi="Arial" w:cs="Arial"/>
          <w:color w:val="000000"/>
          <w:sz w:val="20"/>
          <w:szCs w:val="20"/>
        </w:rPr>
        <w:t>standing, consisting of our Notes. Future debt agreements may contain similar provisions. We may not have the financial resources to repurchase our outstanding notes and prepay all of our outstanding obligations under our Revolving Facility.</w:t>
      </w:r>
    </w:p>
    <w:p w14:paraId="1426FADF" w14:textId="77777777" w:rsidR="00A74A1E" w:rsidRDefault="00807990">
      <w:pPr>
        <w:spacing w:before="180"/>
        <w:ind w:firstLine="450"/>
        <w:jc w:val="both"/>
      </w:pPr>
      <w:r>
        <w:rPr>
          <w:rFonts w:ascii="Arial" w:eastAsia="宋体" w:hAnsi="Arial" w:cs="Arial"/>
          <w:b/>
          <w:bCs/>
          <w:i/>
          <w:iCs/>
          <w:color w:val="000000"/>
          <w:sz w:val="20"/>
          <w:szCs w:val="20"/>
        </w:rPr>
        <w:t>The semiconduc</w:t>
      </w:r>
      <w:r>
        <w:rPr>
          <w:rFonts w:ascii="Arial" w:eastAsia="宋体" w:hAnsi="Arial" w:cs="Arial"/>
          <w:b/>
          <w:bCs/>
          <w:i/>
          <w:iCs/>
          <w:color w:val="000000"/>
          <w:sz w:val="20"/>
          <w:szCs w:val="20"/>
        </w:rPr>
        <w:t>tor industry is highly cyclical and has experienced severe downturns that have materially adversely affected, and may continue to materially adversely affect, our business in the future.</w:t>
      </w:r>
    </w:p>
    <w:p w14:paraId="1426FAE0" w14:textId="77777777" w:rsidR="00A74A1E" w:rsidRDefault="00807990">
      <w:pPr>
        <w:spacing w:before="180"/>
        <w:ind w:firstLine="450"/>
        <w:jc w:val="both"/>
      </w:pPr>
      <w:r>
        <w:rPr>
          <w:rFonts w:ascii="Arial" w:eastAsia="宋体" w:hAnsi="Arial" w:cs="Arial"/>
          <w:color w:val="000000"/>
          <w:sz w:val="20"/>
          <w:szCs w:val="20"/>
        </w:rPr>
        <w:t>The semiconductor industry is highly cyclical and has experienced sig</w:t>
      </w:r>
      <w:r>
        <w:rPr>
          <w:rFonts w:ascii="Arial" w:eastAsia="宋体" w:hAnsi="Arial" w:cs="Arial"/>
          <w:color w:val="000000"/>
          <w:sz w:val="20"/>
          <w:szCs w:val="20"/>
        </w:rPr>
        <w:t>nificant downturns, often in conjunction with constant and rapid technological change, wide fluctuations in supply and demand, continuous new product introductions, price erosion and declines in general economic conditions. We have incurred substantial los</w:t>
      </w:r>
      <w:r>
        <w:rPr>
          <w:rFonts w:ascii="Arial" w:eastAsia="宋体" w:hAnsi="Arial" w:cs="Arial"/>
          <w:color w:val="000000"/>
          <w:sz w:val="20"/>
          <w:szCs w:val="20"/>
        </w:rPr>
        <w:t>ses in recent downturns, due to substantial declines in average selling prices; the cyclical nature of supply and demand imbalances in the semiconductor industry; a decline in demand for end-user products (such as PCs) that incorporate our products; and ex</w:t>
      </w:r>
      <w:r>
        <w:rPr>
          <w:rFonts w:ascii="Arial" w:eastAsia="宋体" w:hAnsi="Arial" w:cs="Arial"/>
          <w:color w:val="000000"/>
          <w:sz w:val="20"/>
          <w:szCs w:val="20"/>
        </w:rPr>
        <w:t xml:space="preserve">cess inventory levels. </w:t>
      </w:r>
    </w:p>
    <w:p w14:paraId="1426FAE1" w14:textId="77777777" w:rsidR="00A74A1E" w:rsidRDefault="00807990">
      <w:pPr>
        <w:spacing w:before="180"/>
        <w:ind w:firstLine="450"/>
        <w:jc w:val="both"/>
      </w:pPr>
      <w:r>
        <w:rPr>
          <w:rFonts w:ascii="Arial" w:eastAsia="宋体" w:hAnsi="Arial" w:cs="Arial"/>
          <w:color w:val="000000"/>
          <w:sz w:val="20"/>
          <w:szCs w:val="20"/>
        </w:rPr>
        <w:t>Industry-wide fluctuations in the computer marketplace have materially adversely affected us in the past and may materially adversely affect us in the future. Global economic uncertainty and weakness have in the past impacted the se</w:t>
      </w:r>
      <w:r>
        <w:rPr>
          <w:rFonts w:ascii="Arial" w:eastAsia="宋体" w:hAnsi="Arial" w:cs="Arial"/>
          <w:color w:val="000000"/>
          <w:sz w:val="20"/>
          <w:szCs w:val="20"/>
        </w:rPr>
        <w:t>miconductor market as consumers and businesses have deferred purchases, which negatively impacted demand for our products. Our financial performance has been, and may in the future be, negatively affected by these downturns.</w:t>
      </w:r>
    </w:p>
    <w:p w14:paraId="1426FAE2" w14:textId="77777777" w:rsidR="00A74A1E" w:rsidRDefault="00807990">
      <w:pPr>
        <w:spacing w:before="180"/>
        <w:ind w:firstLine="450"/>
        <w:jc w:val="both"/>
      </w:pPr>
      <w:r>
        <w:rPr>
          <w:rFonts w:ascii="Arial" w:eastAsia="宋体" w:hAnsi="Arial" w:cs="Arial"/>
          <w:color w:val="000000"/>
          <w:sz w:val="20"/>
          <w:szCs w:val="20"/>
        </w:rPr>
        <w:t>The growth of our business is a</w:t>
      </w:r>
      <w:r>
        <w:rPr>
          <w:rFonts w:ascii="Arial" w:eastAsia="宋体" w:hAnsi="Arial" w:cs="Arial"/>
          <w:color w:val="000000"/>
          <w:sz w:val="20"/>
          <w:szCs w:val="20"/>
        </w:rPr>
        <w:t>lso dependent on continued demand for our products from high-growth adjacent emerging global markets. Our ability to be successful in such markets depends in part on our ability to establish adequate local infrastructure, as well as our ability to cultivat</w:t>
      </w:r>
      <w:r>
        <w:rPr>
          <w:rFonts w:ascii="Arial" w:eastAsia="宋体" w:hAnsi="Arial" w:cs="Arial"/>
          <w:color w:val="000000"/>
          <w:sz w:val="20"/>
          <w:szCs w:val="20"/>
        </w:rPr>
        <w:t>e and maintain local relationships in these markets. If demand from these markets is below our expectations, sales of our products may decrease, which would have a material adverse effect on us.</w:t>
      </w:r>
    </w:p>
    <w:p w14:paraId="1426FAE3" w14:textId="77777777" w:rsidR="00A74A1E" w:rsidRDefault="00807990">
      <w:pPr>
        <w:spacing w:before="180"/>
        <w:ind w:firstLine="450"/>
        <w:jc w:val="both"/>
      </w:pPr>
      <w:r>
        <w:rPr>
          <w:rFonts w:ascii="Arial" w:eastAsia="宋体" w:hAnsi="Arial" w:cs="Arial"/>
          <w:b/>
          <w:bCs/>
          <w:i/>
          <w:iCs/>
          <w:color w:val="000000"/>
          <w:sz w:val="20"/>
          <w:szCs w:val="20"/>
        </w:rPr>
        <w:t xml:space="preserve">Our business is dependent upon the proper functioning of our </w:t>
      </w:r>
      <w:r>
        <w:rPr>
          <w:rFonts w:ascii="Arial" w:eastAsia="宋体" w:hAnsi="Arial" w:cs="Arial"/>
          <w:b/>
          <w:bCs/>
          <w:i/>
          <w:iCs/>
          <w:color w:val="000000"/>
          <w:sz w:val="20"/>
          <w:szCs w:val="20"/>
        </w:rPr>
        <w:t>internal business processes and information systems and modification or interruption of such systems may disrupt our business, processes and internal controls.</w:t>
      </w:r>
    </w:p>
    <w:p w14:paraId="1426FAE4" w14:textId="77777777" w:rsidR="00A74A1E" w:rsidRDefault="00807990">
      <w:pPr>
        <w:spacing w:before="180"/>
        <w:ind w:firstLine="450"/>
        <w:jc w:val="both"/>
      </w:pPr>
      <w:r>
        <w:rPr>
          <w:rFonts w:ascii="Arial" w:eastAsia="宋体" w:hAnsi="Arial" w:cs="Arial"/>
          <w:color w:val="000000"/>
          <w:sz w:val="20"/>
          <w:szCs w:val="20"/>
        </w:rPr>
        <w:t>We rely upon a number of internal business processes and information systems to support key busi</w:t>
      </w:r>
      <w:r>
        <w:rPr>
          <w:rFonts w:ascii="Arial" w:eastAsia="宋体" w:hAnsi="Arial" w:cs="Arial"/>
          <w:color w:val="000000"/>
          <w:sz w:val="20"/>
          <w:szCs w:val="20"/>
        </w:rPr>
        <w:t>ness functions, and the efficient operation of these processes and systems is critical to our business. Our business processes and information systems need to be sufficiently scalable to support the growth of our business and may require modifications or u</w:t>
      </w:r>
      <w:r>
        <w:rPr>
          <w:rFonts w:ascii="Arial" w:eastAsia="宋体" w:hAnsi="Arial" w:cs="Arial"/>
          <w:color w:val="000000"/>
          <w:sz w:val="20"/>
          <w:szCs w:val="20"/>
        </w:rPr>
        <w:t>pgrades that expose us to a number of operational risks. As such, our information systems will continually evolve and adapt in order to meet our business needs. These changes may be costly and disruptive to our operations and could impose substantial deman</w:t>
      </w:r>
      <w:r>
        <w:rPr>
          <w:rFonts w:ascii="Arial" w:eastAsia="宋体" w:hAnsi="Arial" w:cs="Arial"/>
          <w:color w:val="000000"/>
          <w:sz w:val="20"/>
          <w:szCs w:val="20"/>
        </w:rPr>
        <w:t>ds on management time.</w:t>
      </w:r>
    </w:p>
    <w:p w14:paraId="1426FAE5" w14:textId="77777777" w:rsidR="00A74A1E" w:rsidRDefault="00807990">
      <w:pPr>
        <w:spacing w:before="180"/>
        <w:ind w:firstLine="450"/>
        <w:jc w:val="both"/>
      </w:pPr>
      <w:r>
        <w:rPr>
          <w:rFonts w:ascii="Arial" w:eastAsia="宋体" w:hAnsi="Arial" w:cs="Arial"/>
          <w:color w:val="000000"/>
          <w:sz w:val="20"/>
          <w:szCs w:val="20"/>
        </w:rPr>
        <w:t>These changes may also require changes in our information systems, modification of internal control procedures and significant training of employees and third-party resources. We continuously work on simplifying our information syste</w:t>
      </w:r>
      <w:r>
        <w:rPr>
          <w:rFonts w:ascii="Arial" w:eastAsia="宋体" w:hAnsi="Arial" w:cs="Arial"/>
          <w:color w:val="000000"/>
          <w:sz w:val="20"/>
          <w:szCs w:val="20"/>
        </w:rPr>
        <w:t>ms and applications through consolidation and standardization efforts. There can be no assurance that our business and operations will not experience any disruption in connection with this transition. Our information technology systems, and those of third-</w:t>
      </w:r>
      <w:r>
        <w:rPr>
          <w:rFonts w:ascii="Arial" w:eastAsia="宋体" w:hAnsi="Arial" w:cs="Arial"/>
          <w:color w:val="000000"/>
          <w:sz w:val="20"/>
          <w:szCs w:val="20"/>
        </w:rPr>
        <w:t>party information technology providers or business partners, may also be vulnerable to damage or disruption caused by circumstances beyond our control including catastrophic events, power anomalies or outages, natural disasters, viruses or malware, cyber-a</w:t>
      </w:r>
      <w:r>
        <w:rPr>
          <w:rFonts w:ascii="Arial" w:eastAsia="宋体" w:hAnsi="Arial" w:cs="Arial"/>
          <w:color w:val="000000"/>
          <w:sz w:val="20"/>
          <w:szCs w:val="20"/>
        </w:rPr>
        <w:t>ttacks, data breaches and computer system or network failures, exposing us to significant cost, reputational harm and disruption or damage to our business.</w:t>
      </w:r>
    </w:p>
    <w:p w14:paraId="1426FAE6" w14:textId="77777777" w:rsidR="00A74A1E" w:rsidRDefault="00807990">
      <w:pPr>
        <w:jc w:val="center"/>
      </w:pPr>
      <w:r>
        <w:rPr>
          <w:rFonts w:ascii="Arial" w:eastAsia="宋体" w:hAnsi="Arial" w:cs="Arial"/>
          <w:color w:val="000000"/>
          <w:sz w:val="20"/>
          <w:szCs w:val="20"/>
        </w:rPr>
        <w:t>43</w:t>
      </w:r>
    </w:p>
    <w:p w14:paraId="1426FAE7" w14:textId="77777777" w:rsidR="00A74A1E" w:rsidRDefault="00807990">
      <w:r>
        <w:pict w14:anchorId="1426FC36">
          <v:rect id="_x0000_i1067" style="width:415.3pt;height:1.5pt" o:hralign="center" o:hrstd="t" o:hr="t" fillcolor="#a0a0a0" stroked="f"/>
        </w:pict>
      </w:r>
    </w:p>
    <w:p w14:paraId="1426FAE8" w14:textId="77777777" w:rsidR="00A74A1E" w:rsidRDefault="00A74A1E">
      <w:pPr>
        <w:spacing w:before="60"/>
      </w:pPr>
    </w:p>
    <w:p w14:paraId="1426FAE9" w14:textId="77777777" w:rsidR="00A74A1E" w:rsidRDefault="00807990">
      <w:pPr>
        <w:spacing w:before="180"/>
        <w:ind w:firstLine="450"/>
        <w:jc w:val="both"/>
      </w:pPr>
      <w:r>
        <w:rPr>
          <w:rFonts w:ascii="Arial" w:eastAsia="宋体" w:hAnsi="Arial" w:cs="Arial"/>
          <w:color w:val="000000"/>
          <w:sz w:val="20"/>
          <w:szCs w:val="20"/>
        </w:rPr>
        <w:t xml:space="preserve">In addition, as our IT environment continues to evolve, we are embracing new ways of </w:t>
      </w:r>
      <w:r>
        <w:rPr>
          <w:rFonts w:ascii="Arial" w:eastAsia="宋体" w:hAnsi="Arial" w:cs="Arial"/>
          <w:color w:val="000000"/>
          <w:sz w:val="20"/>
          <w:szCs w:val="20"/>
        </w:rPr>
        <w:t>communicating and sharing data internally and externally with customers and partners using methods such as mobility and the cloud that can promote business efficiency. However, these practices can also result in a more distributed IT environment, making it</w:t>
      </w:r>
      <w:r>
        <w:rPr>
          <w:rFonts w:ascii="Arial" w:eastAsia="宋体" w:hAnsi="Arial" w:cs="Arial"/>
          <w:color w:val="000000"/>
          <w:sz w:val="20"/>
          <w:szCs w:val="20"/>
        </w:rPr>
        <w:t xml:space="preserve"> more difficult for us to maintain visibility and control over internal and external users, and meet scalability and administrative requirements. If our security controls cannot keep pace with the speed of these changes, or if we are not able to meet regul</w:t>
      </w:r>
      <w:r>
        <w:rPr>
          <w:rFonts w:ascii="Arial" w:eastAsia="宋体" w:hAnsi="Arial" w:cs="Arial"/>
          <w:color w:val="000000"/>
          <w:sz w:val="20"/>
          <w:szCs w:val="20"/>
        </w:rPr>
        <w:t>atory and compliance requirements, our business would be materially adversely affected.</w:t>
      </w:r>
    </w:p>
    <w:p w14:paraId="1426FAEA" w14:textId="77777777" w:rsidR="00A74A1E" w:rsidRDefault="00807990">
      <w:pPr>
        <w:spacing w:before="180"/>
        <w:ind w:firstLine="450"/>
        <w:jc w:val="both"/>
      </w:pPr>
      <w:r>
        <w:rPr>
          <w:rFonts w:ascii="Arial" w:eastAsia="宋体" w:hAnsi="Arial" w:cs="Arial"/>
          <w:b/>
          <w:bCs/>
          <w:i/>
          <w:iCs/>
          <w:color w:val="000000"/>
          <w:sz w:val="20"/>
          <w:szCs w:val="20"/>
        </w:rPr>
        <w:t>If our products are not compatible with some or all industry-standard software and hardware, we could be materially adversely affected.</w:t>
      </w:r>
    </w:p>
    <w:p w14:paraId="1426FAEB" w14:textId="77777777" w:rsidR="00A74A1E" w:rsidRDefault="00807990">
      <w:pPr>
        <w:spacing w:before="180"/>
        <w:ind w:firstLine="450"/>
        <w:jc w:val="both"/>
      </w:pPr>
      <w:r>
        <w:rPr>
          <w:rFonts w:ascii="Arial" w:eastAsia="宋体" w:hAnsi="Arial" w:cs="Arial"/>
          <w:color w:val="000000"/>
          <w:sz w:val="20"/>
          <w:szCs w:val="20"/>
        </w:rPr>
        <w:t>Our products may not be fully co</w:t>
      </w:r>
      <w:r>
        <w:rPr>
          <w:rFonts w:ascii="Arial" w:eastAsia="宋体" w:hAnsi="Arial" w:cs="Arial"/>
          <w:color w:val="000000"/>
          <w:sz w:val="20"/>
          <w:szCs w:val="20"/>
        </w:rPr>
        <w:t>mpatible with some or all industry-standard software and hardware. Further, we may be unsuccessful in correcting any such compatibility problems in a timely manner. If our customers are unable to achieve compatibility with software or hardware, we could be</w:t>
      </w:r>
      <w:r>
        <w:rPr>
          <w:rFonts w:ascii="Arial" w:eastAsia="宋体" w:hAnsi="Arial" w:cs="Arial"/>
          <w:color w:val="000000"/>
          <w:sz w:val="20"/>
          <w:szCs w:val="20"/>
        </w:rPr>
        <w:t xml:space="preserve"> materially adversely affected. In addition, the mere announcement of an incompatibility problem relating to our products could have a material adverse effect on our business.</w:t>
      </w:r>
    </w:p>
    <w:p w14:paraId="1426FAEC" w14:textId="77777777" w:rsidR="00A74A1E" w:rsidRDefault="00807990">
      <w:pPr>
        <w:spacing w:before="180"/>
        <w:ind w:firstLine="450"/>
        <w:jc w:val="both"/>
      </w:pPr>
      <w:r>
        <w:rPr>
          <w:rFonts w:ascii="Arial" w:eastAsia="宋体" w:hAnsi="Arial" w:cs="Arial"/>
          <w:b/>
          <w:bCs/>
          <w:i/>
          <w:iCs/>
          <w:color w:val="000000"/>
          <w:sz w:val="20"/>
          <w:szCs w:val="20"/>
        </w:rPr>
        <w:t>Costs related to defective products could have a material adverse effect on us.</w:t>
      </w:r>
    </w:p>
    <w:p w14:paraId="1426FAED" w14:textId="77777777" w:rsidR="00A74A1E" w:rsidRDefault="00807990">
      <w:pPr>
        <w:spacing w:before="180"/>
        <w:ind w:firstLine="45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w:t>
      </w:r>
      <w:r>
        <w:rPr>
          <w:rFonts w:ascii="Arial" w:eastAsia="宋体" w:hAnsi="Arial" w:cs="Arial"/>
          <w:color w:val="000000"/>
          <w:sz w:val="20"/>
          <w:szCs w:val="20"/>
        </w:rPr>
        <w:t>roducts or releases after commencement of commercial shipments in the future, which could result in loss of or delay in market acceptance of our products, material recall and replacement costs, loss of revenue, writing down the inventory of defective produ</w:t>
      </w:r>
      <w:r>
        <w:rPr>
          <w:rFonts w:ascii="Arial" w:eastAsia="宋体" w:hAnsi="Arial" w:cs="Arial"/>
          <w:color w:val="000000"/>
          <w:sz w:val="20"/>
          <w:szCs w:val="20"/>
        </w:rPr>
        <w:t>cts, the diversion of the attention of our engineering personnel from product development efforts, defending against litigation related to defective products or related liabilities, including property damage, personal injury, damage to our reputation in th</w:t>
      </w:r>
      <w:r>
        <w:rPr>
          <w:rFonts w:ascii="Arial" w:eastAsia="宋体" w:hAnsi="Arial" w:cs="Arial"/>
          <w:color w:val="000000"/>
          <w:sz w:val="20"/>
          <w:szCs w:val="20"/>
        </w:rPr>
        <w:t>e industry and loss of data or intangible property, and could adversely affect our relationships with our customers. In addition, we may have difficulty identifying the end customers of the defective products in the field. As a result, we could incur subst</w:t>
      </w:r>
      <w:r>
        <w:rPr>
          <w:rFonts w:ascii="Arial" w:eastAsia="宋体" w:hAnsi="Arial" w:cs="Arial"/>
          <w:color w:val="000000"/>
          <w:sz w:val="20"/>
          <w:szCs w:val="20"/>
        </w:rPr>
        <w:t>antial costs to implement modifications to correct defects. Any of these problems could materially adversely affect our business.</w:t>
      </w:r>
    </w:p>
    <w:p w14:paraId="1426FAEE" w14:textId="77777777" w:rsidR="00A74A1E" w:rsidRDefault="00807990">
      <w:pPr>
        <w:spacing w:before="180"/>
        <w:ind w:firstLine="450"/>
        <w:jc w:val="both"/>
      </w:pPr>
      <w:r>
        <w:rPr>
          <w:rFonts w:ascii="Arial" w:eastAsia="宋体" w:hAnsi="Arial" w:cs="Arial"/>
          <w:color w:val="000000"/>
          <w:sz w:val="20"/>
          <w:szCs w:val="20"/>
        </w:rPr>
        <w:t xml:space="preserve">We could be subject to potential product liability claims if one of our products causes, or merely appears to have caused, an </w:t>
      </w:r>
      <w:r>
        <w:rPr>
          <w:rFonts w:ascii="Arial" w:eastAsia="宋体" w:hAnsi="Arial" w:cs="Arial"/>
          <w:color w:val="000000"/>
          <w:sz w:val="20"/>
          <w:szCs w:val="20"/>
        </w:rPr>
        <w:t>injury, whether tangible or intangible. Claims may be made by consumers or others selling our products, and we may be subject to claims against us even if an alleged injury is due to the actions of others. A product liability claim, recall or other claim w</w:t>
      </w:r>
      <w:r>
        <w:rPr>
          <w:rFonts w:ascii="Arial" w:eastAsia="宋体" w:hAnsi="Arial" w:cs="Arial"/>
          <w:color w:val="000000"/>
          <w:sz w:val="20"/>
          <w:szCs w:val="20"/>
        </w:rPr>
        <w:t>ith respect to uninsured liabilities or for amounts in excess of insured liabilities could have a material adverse effect on our business.</w:t>
      </w:r>
    </w:p>
    <w:p w14:paraId="1426FAEF" w14:textId="77777777" w:rsidR="00A74A1E" w:rsidRDefault="00807990">
      <w:pPr>
        <w:spacing w:before="180"/>
        <w:ind w:firstLine="450"/>
        <w:jc w:val="both"/>
      </w:pPr>
      <w:r>
        <w:rPr>
          <w:rFonts w:ascii="Arial" w:eastAsia="宋体" w:hAnsi="Arial" w:cs="Arial"/>
          <w:b/>
          <w:bCs/>
          <w:i/>
          <w:iCs/>
          <w:color w:val="000000"/>
          <w:sz w:val="20"/>
          <w:szCs w:val="20"/>
        </w:rPr>
        <w:t>If we fail to maintain the efficiency of our supply chain as we respond to changes in customer demand for our product</w:t>
      </w:r>
      <w:r>
        <w:rPr>
          <w:rFonts w:ascii="Arial" w:eastAsia="宋体" w:hAnsi="Arial" w:cs="Arial"/>
          <w:b/>
          <w:bCs/>
          <w:i/>
          <w:iCs/>
          <w:color w:val="000000"/>
          <w:sz w:val="20"/>
          <w:szCs w:val="20"/>
        </w:rPr>
        <w:t>s, our business could be materially adversely affected.</w:t>
      </w:r>
    </w:p>
    <w:p w14:paraId="1426FAF0" w14:textId="77777777" w:rsidR="00A74A1E" w:rsidRDefault="00807990">
      <w:pPr>
        <w:spacing w:before="180"/>
        <w:ind w:firstLine="450"/>
        <w:jc w:val="both"/>
      </w:pPr>
      <w:r>
        <w:rPr>
          <w:rFonts w:ascii="Arial" w:eastAsia="宋体" w:hAnsi="Arial" w:cs="Arial"/>
          <w:color w:val="000000"/>
          <w:sz w:val="20"/>
          <w:szCs w:val="20"/>
        </w:rPr>
        <w:t>Our ability to meet customer demand for our products depends, in part, on our ability to deliver the products our customers want on a timely basis. Accordingly, we rely on our supply chain for the man</w:t>
      </w:r>
      <w:r>
        <w:rPr>
          <w:rFonts w:ascii="Arial" w:eastAsia="宋体" w:hAnsi="Arial" w:cs="Arial"/>
          <w:color w:val="000000"/>
          <w:sz w:val="20"/>
          <w:szCs w:val="20"/>
        </w:rPr>
        <w:t>ufacturing, distribution and fulfillment of our products. As we continue to grow our business, expand to high-growth adjacent markets, acquire new customers and strengthen relationships with existing customers, the efficiency of our supply chain will becom</w:t>
      </w:r>
      <w:r>
        <w:rPr>
          <w:rFonts w:ascii="Arial" w:eastAsia="宋体" w:hAnsi="Arial" w:cs="Arial"/>
          <w:color w:val="000000"/>
          <w:sz w:val="20"/>
          <w:szCs w:val="20"/>
        </w:rPr>
        <w:t>e increasingly important because many of our customers tend to have specific requirements for particular products, and specific time-frames in which they require delivery of these products. If we are unable to consistently deliver the right products to our</w:t>
      </w:r>
      <w:r>
        <w:rPr>
          <w:rFonts w:ascii="Arial" w:eastAsia="宋体" w:hAnsi="Arial" w:cs="Arial"/>
          <w:color w:val="000000"/>
          <w:sz w:val="20"/>
          <w:szCs w:val="20"/>
        </w:rPr>
        <w:t xml:space="preserve"> customers on a timely basis in the right locations, our customers may reduce the quantities they order from us, which could have a material adverse effect on our business.</w:t>
      </w:r>
    </w:p>
    <w:p w14:paraId="1426FAF1" w14:textId="77777777" w:rsidR="00A74A1E" w:rsidRDefault="00807990">
      <w:pPr>
        <w:spacing w:before="180"/>
        <w:ind w:firstLine="450"/>
        <w:jc w:val="both"/>
      </w:pPr>
      <w:r>
        <w:rPr>
          <w:rFonts w:ascii="Arial" w:eastAsia="宋体" w:hAnsi="Arial" w:cs="Arial"/>
          <w:b/>
          <w:bCs/>
          <w:i/>
          <w:iCs/>
          <w:color w:val="000000"/>
          <w:sz w:val="20"/>
          <w:szCs w:val="20"/>
        </w:rPr>
        <w:t xml:space="preserve">We outsource to third parties certain supply-chain logistics functions, </w:t>
      </w:r>
      <w:r>
        <w:rPr>
          <w:rFonts w:ascii="Arial" w:eastAsia="宋体" w:hAnsi="Arial" w:cs="Arial"/>
          <w:b/>
          <w:bCs/>
          <w:i/>
          <w:iCs/>
          <w:color w:val="000000"/>
          <w:sz w:val="20"/>
          <w:szCs w:val="20"/>
        </w:rPr>
        <w:t>including portions of our product distribution, transportation management and information technology support services.</w:t>
      </w:r>
    </w:p>
    <w:p w14:paraId="1426FAF2" w14:textId="77777777" w:rsidR="00A74A1E" w:rsidRDefault="00807990">
      <w:pPr>
        <w:spacing w:before="180"/>
        <w:ind w:firstLine="450"/>
        <w:jc w:val="both"/>
      </w:pPr>
      <w:r>
        <w:rPr>
          <w:rFonts w:ascii="Arial" w:eastAsia="宋体" w:hAnsi="Arial" w:cs="Arial"/>
          <w:color w:val="000000"/>
          <w:sz w:val="20"/>
          <w:szCs w:val="20"/>
        </w:rPr>
        <w:t>We rely on third-party providers to operate our regional product distribution centers and to manage the transportation of our work-in-pro</w:t>
      </w:r>
      <w:r>
        <w:rPr>
          <w:rFonts w:ascii="Arial" w:eastAsia="宋体" w:hAnsi="Arial" w:cs="Arial"/>
          <w:color w:val="000000"/>
          <w:sz w:val="20"/>
          <w:szCs w:val="20"/>
        </w:rPr>
        <w:t>cess and finished products among our facilities, to our manufacturing suppliers and to our customers. In addition, we rely on third parties to provide certain information technology services to us, including help desk support, desktop application services,</w:t>
      </w:r>
      <w:r>
        <w:rPr>
          <w:rFonts w:ascii="Arial" w:eastAsia="宋体" w:hAnsi="Arial" w:cs="Arial"/>
          <w:color w:val="000000"/>
          <w:sz w:val="20"/>
          <w:szCs w:val="20"/>
        </w:rPr>
        <w:t xml:space="preserve"> business and software support applications, server and storage administration, data center operations, database administration and voice, video and remote access. We cannot guarantee that these providers will fulfill their respective responsibilities in a</w:t>
      </w:r>
      <w:r>
        <w:rPr>
          <w:rFonts w:ascii="Arial" w:eastAsia="宋体" w:hAnsi="Arial" w:cs="Arial"/>
          <w:color w:val="000000"/>
          <w:sz w:val="20"/>
          <w:szCs w:val="20"/>
        </w:rPr>
        <w:t xml:space="preserve"> timely manner in accordance with the contract terms, in which case our internal operations and the distribution of our products to our customers could be materially adversely affected. Also, we cannot guarantee that our contracts with these third-party pr</w:t>
      </w:r>
      <w:r>
        <w:rPr>
          <w:rFonts w:ascii="Arial" w:eastAsia="宋体" w:hAnsi="Arial" w:cs="Arial"/>
          <w:color w:val="000000"/>
          <w:sz w:val="20"/>
          <w:szCs w:val="20"/>
        </w:rPr>
        <w:t>oviders will be renewed, in which case we would have to transition these functions in-house or secure new providers, which could have a material adverse effect on our business if the transition is not executed appropriately.</w:t>
      </w:r>
    </w:p>
    <w:p w14:paraId="1426FAF3" w14:textId="77777777" w:rsidR="00A74A1E" w:rsidRDefault="00807990">
      <w:pPr>
        <w:jc w:val="center"/>
      </w:pPr>
      <w:r>
        <w:rPr>
          <w:rFonts w:ascii="Arial" w:eastAsia="宋体" w:hAnsi="Arial" w:cs="Arial"/>
          <w:color w:val="000000"/>
          <w:sz w:val="20"/>
          <w:szCs w:val="20"/>
        </w:rPr>
        <w:t>44</w:t>
      </w:r>
    </w:p>
    <w:p w14:paraId="1426FAF4" w14:textId="77777777" w:rsidR="00A74A1E" w:rsidRDefault="00807990">
      <w:r>
        <w:pict w14:anchorId="1426FC37">
          <v:rect id="_x0000_i1068" style="width:415.3pt;height:1.5pt" o:hralign="center" o:hrstd="t" o:hr="t" fillcolor="#a0a0a0" stroked="f"/>
        </w:pict>
      </w:r>
    </w:p>
    <w:p w14:paraId="1426FAF5" w14:textId="77777777" w:rsidR="00A74A1E" w:rsidRDefault="00A74A1E">
      <w:pPr>
        <w:spacing w:before="60"/>
      </w:pPr>
    </w:p>
    <w:p w14:paraId="1426FAF6" w14:textId="77777777" w:rsidR="00A74A1E" w:rsidRDefault="00807990">
      <w:pPr>
        <w:spacing w:before="180"/>
        <w:ind w:firstLine="450"/>
        <w:jc w:val="both"/>
      </w:pPr>
      <w:r>
        <w:rPr>
          <w:rFonts w:ascii="Arial" w:eastAsia="宋体" w:hAnsi="Arial" w:cs="Arial"/>
          <w:b/>
          <w:bCs/>
          <w:i/>
          <w:iCs/>
          <w:color w:val="000000"/>
          <w:sz w:val="20"/>
          <w:szCs w:val="20"/>
        </w:rPr>
        <w:t>Our stock price is subjec</w:t>
      </w:r>
      <w:r>
        <w:rPr>
          <w:rFonts w:ascii="Arial" w:eastAsia="宋体" w:hAnsi="Arial" w:cs="Arial"/>
          <w:b/>
          <w:bCs/>
          <w:i/>
          <w:iCs/>
          <w:color w:val="000000"/>
          <w:sz w:val="20"/>
          <w:szCs w:val="20"/>
        </w:rPr>
        <w:t>t to volatility.</w:t>
      </w:r>
    </w:p>
    <w:p w14:paraId="1426FAF7" w14:textId="77777777" w:rsidR="00A74A1E" w:rsidRDefault="00807990">
      <w:pPr>
        <w:spacing w:before="180"/>
        <w:ind w:firstLine="450"/>
        <w:jc w:val="both"/>
      </w:pPr>
      <w:r>
        <w:rPr>
          <w:rFonts w:ascii="Arial" w:eastAsia="宋体" w:hAnsi="Arial" w:cs="Arial"/>
          <w:color w:val="000000"/>
          <w:sz w:val="20"/>
          <w:szCs w:val="20"/>
        </w:rPr>
        <w:t xml:space="preserve">Our stock price has experienced price and volume fluctuations and could be subject to wide fluctuations in the future. The trading price of our stock may fluctuate widely due to various factors including actual or anticipated fluctuations </w:t>
      </w:r>
      <w:r>
        <w:rPr>
          <w:rFonts w:ascii="Arial" w:eastAsia="宋体" w:hAnsi="Arial" w:cs="Arial"/>
          <w:color w:val="000000"/>
          <w:sz w:val="20"/>
          <w:szCs w:val="20"/>
        </w:rPr>
        <w:t>in our financial conditions and operating results, changes in financial estimates by us or financial estimates and ratings by securities analysts, changes in our capital structure, including issuance of additional debt or equity to the public, interest rat</w:t>
      </w:r>
      <w:r>
        <w:rPr>
          <w:rFonts w:ascii="Arial" w:eastAsia="宋体" w:hAnsi="Arial" w:cs="Arial"/>
          <w:color w:val="000000"/>
          <w:sz w:val="20"/>
          <w:szCs w:val="20"/>
        </w:rPr>
        <w:t>e changes, news regarding our products or products of our competitors, and broad market and industry fluctuations. Stock price fluctuations could impact the value of our equity compensation, which could affect our ability to recruit and retain employees. I</w:t>
      </w:r>
      <w:r>
        <w:rPr>
          <w:rFonts w:ascii="Arial" w:eastAsia="宋体" w:hAnsi="Arial" w:cs="Arial"/>
          <w:color w:val="000000"/>
          <w:sz w:val="20"/>
          <w:szCs w:val="20"/>
        </w:rPr>
        <w:t>n addition, volatility in our stock price could adversely affect our business and financing opportunities.</w:t>
      </w:r>
    </w:p>
    <w:p w14:paraId="1426FAF8" w14:textId="77777777" w:rsidR="00A74A1E" w:rsidRDefault="00807990">
      <w:pPr>
        <w:spacing w:before="180"/>
        <w:ind w:firstLine="450"/>
        <w:jc w:val="both"/>
      </w:pPr>
      <w:r>
        <w:rPr>
          <w:rFonts w:ascii="Arial" w:eastAsia="宋体" w:hAnsi="Arial" w:cs="Arial"/>
          <w:b/>
          <w:bCs/>
          <w:i/>
          <w:iCs/>
          <w:color w:val="000000"/>
          <w:sz w:val="20"/>
          <w:szCs w:val="20"/>
        </w:rPr>
        <w:t>Worldwide political conditions may adversely affect demand for our products.</w:t>
      </w:r>
    </w:p>
    <w:p w14:paraId="1426FAF9" w14:textId="77777777" w:rsidR="00A74A1E" w:rsidRDefault="00807990">
      <w:pPr>
        <w:spacing w:before="180"/>
        <w:ind w:firstLine="450"/>
        <w:jc w:val="both"/>
      </w:pPr>
      <w:r>
        <w:rPr>
          <w:rFonts w:ascii="Arial" w:eastAsia="宋体" w:hAnsi="Arial" w:cs="Arial"/>
          <w:color w:val="000000"/>
          <w:sz w:val="20"/>
          <w:szCs w:val="20"/>
        </w:rPr>
        <w:t>Worldwide political conditions may create uncertainties that could adver</w:t>
      </w:r>
      <w:r>
        <w:rPr>
          <w:rFonts w:ascii="Arial" w:eastAsia="宋体" w:hAnsi="Arial" w:cs="Arial"/>
          <w:color w:val="000000"/>
          <w:sz w:val="20"/>
          <w:szCs w:val="20"/>
        </w:rPr>
        <w:t>sely affect our business. The United States has been and may continue to be involved in armed conflicts that could have a further impact on our sales and our supply chain. The consequences of armed conflict, political instability or civil or military unres</w:t>
      </w:r>
      <w:r>
        <w:rPr>
          <w:rFonts w:ascii="Arial" w:eastAsia="宋体" w:hAnsi="Arial" w:cs="Arial"/>
          <w:color w:val="000000"/>
          <w:sz w:val="20"/>
          <w:szCs w:val="20"/>
        </w:rPr>
        <w:t>t are unpredictable, and we may not be able to foresee events that could have a material adverse effect on us. Terrorist attacks or other hostile acts may negatively affect our operations, or adversely affect demand for our products, and such attacks or re</w:t>
      </w:r>
      <w:r>
        <w:rPr>
          <w:rFonts w:ascii="Arial" w:eastAsia="宋体" w:hAnsi="Arial" w:cs="Arial"/>
          <w:color w:val="000000"/>
          <w:sz w:val="20"/>
          <w:szCs w:val="20"/>
        </w:rPr>
        <w:t>lated armed conflicts may impact our physical facilities or those of our suppliers or customers. Furthermore, these attacks or hostile acts may make travel and the transportation of our products more difficult and more expensive, which could materially adv</w:t>
      </w:r>
      <w:r>
        <w:rPr>
          <w:rFonts w:ascii="Arial" w:eastAsia="宋体" w:hAnsi="Arial" w:cs="Arial"/>
          <w:color w:val="000000"/>
          <w:sz w:val="20"/>
          <w:szCs w:val="20"/>
        </w:rPr>
        <w:t>ersely affect us. Any of these events could cause consumer spending to decrease or result in increased volatility in the United States economy and worldwide financial markets.</w:t>
      </w:r>
    </w:p>
    <w:p w14:paraId="1426FAFA" w14:textId="77777777" w:rsidR="00A74A1E" w:rsidRDefault="00807990">
      <w:pPr>
        <w:spacing w:before="180"/>
        <w:ind w:firstLine="450"/>
        <w:jc w:val="both"/>
      </w:pPr>
      <w:r>
        <w:rPr>
          <w:rFonts w:ascii="Arial" w:eastAsia="宋体" w:hAnsi="Arial" w:cs="Arial"/>
          <w:b/>
          <w:bCs/>
          <w:i/>
          <w:iCs/>
          <w:color w:val="000000"/>
          <w:sz w:val="20"/>
          <w:szCs w:val="20"/>
        </w:rPr>
        <w:t>Unfavorable currency exchange rate fluctuations could adversely affect us.</w:t>
      </w:r>
    </w:p>
    <w:p w14:paraId="1426FAFB" w14:textId="77777777" w:rsidR="00A74A1E" w:rsidRDefault="00807990">
      <w:pPr>
        <w:spacing w:before="180"/>
        <w:ind w:firstLine="450"/>
        <w:jc w:val="both"/>
      </w:pPr>
      <w:r>
        <w:rPr>
          <w:rFonts w:ascii="Arial" w:eastAsia="宋体" w:hAnsi="Arial" w:cs="Arial"/>
          <w:color w:val="000000"/>
          <w:sz w:val="20"/>
          <w:szCs w:val="20"/>
        </w:rPr>
        <w:t>We ha</w:t>
      </w:r>
      <w:r>
        <w:rPr>
          <w:rFonts w:ascii="Arial" w:eastAsia="宋体" w:hAnsi="Arial" w:cs="Arial"/>
          <w:color w:val="000000"/>
          <w:sz w:val="20"/>
          <w:szCs w:val="20"/>
        </w:rPr>
        <w:t>ve costs, assets and liabilities that are denominated in foreign currencies. As a consequence, movements in exchange rates could cause our foreign currency denominated expenses to increase as a percentage of revenue, affecting our profitability and cash fl</w:t>
      </w:r>
      <w:r>
        <w:rPr>
          <w:rFonts w:ascii="Arial" w:eastAsia="宋体" w:hAnsi="Arial" w:cs="Arial"/>
          <w:color w:val="000000"/>
          <w:sz w:val="20"/>
          <w:szCs w:val="20"/>
        </w:rPr>
        <w:t>ows. Whenever we believe appropriate, we hedge a portion of our short-term foreign currency exposure to protect against fluctuations in currency exchange rates. We determine our total foreign currency exposure using projections of long-term expenditures fo</w:t>
      </w:r>
      <w:r>
        <w:rPr>
          <w:rFonts w:ascii="Arial" w:eastAsia="宋体" w:hAnsi="Arial" w:cs="Arial"/>
          <w:color w:val="000000"/>
          <w:sz w:val="20"/>
          <w:szCs w:val="20"/>
        </w:rPr>
        <w:t>r items such as payroll. We cannot assure you that these activities will be effective in reducing foreign exchange rate exposure. Failure to do so could have an adverse effect on our business, financial condition, results of operations and cash flow. In ad</w:t>
      </w:r>
      <w:r>
        <w:rPr>
          <w:rFonts w:ascii="Arial" w:eastAsia="宋体" w:hAnsi="Arial" w:cs="Arial"/>
          <w:color w:val="000000"/>
          <w:sz w:val="20"/>
          <w:szCs w:val="20"/>
        </w:rPr>
        <w:t>dition, the majority of our product sales are denominated in U.S. dollars. Fluctuations in the exchange rate between the U.S. dollar and the local currency can cause increases or decreases in the cost of our products in the local currency of such customers</w:t>
      </w:r>
      <w:r>
        <w:rPr>
          <w:rFonts w:ascii="Arial" w:eastAsia="宋体" w:hAnsi="Arial" w:cs="Arial"/>
          <w:color w:val="000000"/>
          <w:sz w:val="20"/>
          <w:szCs w:val="20"/>
        </w:rPr>
        <w:t>. An appreciation of the U.S. dollar relative to the local currency could reduce sales of our products.</w:t>
      </w:r>
    </w:p>
    <w:p w14:paraId="1426FAFC" w14:textId="77777777" w:rsidR="00A74A1E" w:rsidRDefault="00807990">
      <w:pPr>
        <w:spacing w:before="180"/>
        <w:ind w:firstLine="45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1426FAFD" w14:textId="77777777" w:rsidR="00A74A1E" w:rsidRDefault="00807990">
      <w:pPr>
        <w:spacing w:before="180"/>
        <w:ind w:firstLine="450"/>
        <w:jc w:val="both"/>
      </w:pPr>
      <w:r>
        <w:rPr>
          <w:rFonts w:ascii="Arial" w:eastAsia="宋体" w:hAnsi="Arial" w:cs="Arial"/>
          <w:color w:val="000000"/>
          <w:sz w:val="20"/>
          <w:szCs w:val="20"/>
        </w:rPr>
        <w:t>We market and sell our pro</w:t>
      </w:r>
      <w:r>
        <w:rPr>
          <w:rFonts w:ascii="Arial" w:eastAsia="宋体" w:hAnsi="Arial" w:cs="Arial"/>
          <w:color w:val="000000"/>
          <w:sz w:val="20"/>
          <w:szCs w:val="20"/>
        </w:rPr>
        <w:t>ducts directly to OEMs and through authorized third-party distributors. From time to time, our products are diverted from our authorized distribution channels and are sold on the “gray market.” Gray market products result in shadow inventory that is not vi</w:t>
      </w:r>
      <w:r>
        <w:rPr>
          <w:rFonts w:ascii="Arial" w:eastAsia="宋体" w:hAnsi="Arial" w:cs="Arial"/>
          <w:color w:val="000000"/>
          <w:sz w:val="20"/>
          <w:szCs w:val="20"/>
        </w:rPr>
        <w:t>sible to us, thus making it difficult to forecast demand accurately. Also, when gray market products enter the market, we and our distribution channels compete with these heavily discounted gray market products, which adversely affects demand for our produ</w:t>
      </w:r>
      <w:r>
        <w:rPr>
          <w:rFonts w:ascii="Arial" w:eastAsia="宋体" w:hAnsi="Arial" w:cs="Arial"/>
          <w:color w:val="000000"/>
          <w:sz w:val="20"/>
          <w:szCs w:val="20"/>
        </w:rPr>
        <w:t xml:space="preserve">cts and negatively impacts our margins. In addition, our inability to control gray market activities could result in customer satisfaction issues because any time products are purchased outside our authorized distribution channels there is a risk that our </w:t>
      </w:r>
      <w:r>
        <w:rPr>
          <w:rFonts w:ascii="Arial" w:eastAsia="宋体" w:hAnsi="Arial" w:cs="Arial"/>
          <w:color w:val="000000"/>
          <w:sz w:val="20"/>
          <w:szCs w:val="20"/>
        </w:rPr>
        <w:t>customers are buying counterfeit or substandard products, including products that may have been altered, mishandled or damaged, or are used products represented as new.</w:t>
      </w:r>
    </w:p>
    <w:p w14:paraId="1426FAFE" w14:textId="77777777" w:rsidR="00A74A1E" w:rsidRDefault="00807990">
      <w:pPr>
        <w:spacing w:before="180"/>
        <w:ind w:firstLine="450"/>
        <w:jc w:val="both"/>
      </w:pPr>
      <w:r>
        <w:rPr>
          <w:rFonts w:ascii="Arial" w:eastAsia="宋体" w:hAnsi="Arial" w:cs="Arial"/>
          <w:b/>
          <w:bCs/>
          <w:i/>
          <w:iCs/>
          <w:color w:val="000000"/>
          <w:sz w:val="20"/>
          <w:szCs w:val="20"/>
        </w:rPr>
        <w:t>If we cannot adequately protect our technology or other intellectual property in the Un</w:t>
      </w:r>
      <w:r>
        <w:rPr>
          <w:rFonts w:ascii="Arial" w:eastAsia="宋体" w:hAnsi="Arial" w:cs="Arial"/>
          <w:b/>
          <w:bCs/>
          <w:i/>
          <w:iCs/>
          <w:color w:val="000000"/>
          <w:sz w:val="20"/>
          <w:szCs w:val="20"/>
        </w:rPr>
        <w:t>ited States and abroad, through patents, copyrights, trade secrets, trademarks and other measures, we may lose a competitive advantage and incur significant expenses.</w:t>
      </w:r>
    </w:p>
    <w:p w14:paraId="1426FAFF" w14:textId="77777777" w:rsidR="00A74A1E" w:rsidRDefault="00807990">
      <w:pPr>
        <w:spacing w:before="180"/>
        <w:ind w:firstLine="450"/>
        <w:jc w:val="both"/>
      </w:pPr>
      <w:r>
        <w:rPr>
          <w:rFonts w:ascii="Arial" w:eastAsia="宋体" w:hAnsi="Arial" w:cs="Arial"/>
          <w:color w:val="000000"/>
          <w:sz w:val="20"/>
          <w:szCs w:val="20"/>
        </w:rPr>
        <w:t xml:space="preserve">We rely on a combination of protections provided by contracts, including confidentiality </w:t>
      </w:r>
      <w:r>
        <w:rPr>
          <w:rFonts w:ascii="Arial" w:eastAsia="宋体" w:hAnsi="Arial" w:cs="Arial"/>
          <w:color w:val="000000"/>
          <w:sz w:val="20"/>
          <w:szCs w:val="20"/>
        </w:rPr>
        <w:t xml:space="preserve">and nondisclosure agreements, copyrights, patents, trademarks and common law rights, such as trade secrets, to protect our intellectual property. However, we cannot assure you that we will be able to adequately protect our technology or other intellectual </w:t>
      </w:r>
      <w:r>
        <w:rPr>
          <w:rFonts w:ascii="Arial" w:eastAsia="宋体" w:hAnsi="Arial" w:cs="Arial"/>
          <w:color w:val="000000"/>
          <w:sz w:val="20"/>
          <w:szCs w:val="20"/>
        </w:rPr>
        <w:t>property from third-party infringement or from misappropriation in the United States and abroad. Any patent licensed by us or issued to us could be challenged, invalidated or circumvented or rights granted there under may not provide a competitive advantag</w:t>
      </w:r>
      <w:r>
        <w:rPr>
          <w:rFonts w:ascii="Arial" w:eastAsia="宋体" w:hAnsi="Arial" w:cs="Arial"/>
          <w:color w:val="000000"/>
          <w:sz w:val="20"/>
          <w:szCs w:val="20"/>
        </w:rPr>
        <w:t xml:space="preserve">e to us. Also, due to measures to slow down the outbreak of </w:t>
      </w:r>
    </w:p>
    <w:p w14:paraId="1426FB00" w14:textId="77777777" w:rsidR="00A74A1E" w:rsidRDefault="00807990">
      <w:pPr>
        <w:jc w:val="center"/>
      </w:pPr>
      <w:r>
        <w:rPr>
          <w:rFonts w:ascii="Arial" w:eastAsia="宋体" w:hAnsi="Arial" w:cs="Arial"/>
          <w:color w:val="000000"/>
          <w:sz w:val="20"/>
          <w:szCs w:val="20"/>
        </w:rPr>
        <w:t>45</w:t>
      </w:r>
    </w:p>
    <w:p w14:paraId="1426FB01" w14:textId="77777777" w:rsidR="00A74A1E" w:rsidRDefault="00807990">
      <w:r>
        <w:pict w14:anchorId="1426FC38">
          <v:rect id="_x0000_i1069" style="width:415.3pt;height:1.5pt" o:hralign="center" o:hrstd="t" o:hr="t" fillcolor="#a0a0a0" stroked="f"/>
        </w:pict>
      </w:r>
    </w:p>
    <w:p w14:paraId="1426FB02" w14:textId="77777777" w:rsidR="00A74A1E" w:rsidRDefault="00A74A1E">
      <w:pPr>
        <w:spacing w:before="60"/>
      </w:pPr>
    </w:p>
    <w:p w14:paraId="1426FB03" w14:textId="77777777" w:rsidR="00A74A1E" w:rsidRDefault="00807990">
      <w:pPr>
        <w:spacing w:before="180"/>
        <w:jc w:val="both"/>
      </w:pPr>
      <w:r>
        <w:rPr>
          <w:rFonts w:ascii="Arial" w:eastAsia="宋体" w:hAnsi="Arial" w:cs="Arial"/>
          <w:color w:val="000000"/>
          <w:sz w:val="20"/>
          <w:szCs w:val="20"/>
        </w:rPr>
        <w:t>COVID-19, various patent offices and courts have been adversely impacted and there is a potential for delay or disruptions that might affect certain of our patent rights.</w:t>
      </w:r>
    </w:p>
    <w:p w14:paraId="1426FB04" w14:textId="77777777" w:rsidR="00A74A1E" w:rsidRDefault="00807990">
      <w:pPr>
        <w:spacing w:before="180"/>
        <w:ind w:firstLine="450"/>
        <w:jc w:val="both"/>
      </w:pPr>
      <w:r>
        <w:rPr>
          <w:rFonts w:ascii="Arial" w:eastAsia="宋体" w:hAnsi="Arial" w:cs="Arial"/>
          <w:color w:val="000000"/>
          <w:sz w:val="20"/>
          <w:szCs w:val="20"/>
        </w:rPr>
        <w:t>Furthermore, paten</w:t>
      </w:r>
      <w:r>
        <w:rPr>
          <w:rFonts w:ascii="Arial" w:eastAsia="宋体" w:hAnsi="Arial" w:cs="Arial"/>
          <w:color w:val="000000"/>
          <w:sz w:val="20"/>
          <w:szCs w:val="20"/>
        </w:rPr>
        <w:t>t applications that we file may not result in issuance of a patent or, if a patent is issued, the patent may not be issued in a form that is advantageous to us. Despite our efforts to protect our intellectual property rights, others may independently devel</w:t>
      </w:r>
      <w:r>
        <w:rPr>
          <w:rFonts w:ascii="Arial" w:eastAsia="宋体" w:hAnsi="Arial" w:cs="Arial"/>
          <w:color w:val="000000"/>
          <w:sz w:val="20"/>
          <w:szCs w:val="20"/>
        </w:rPr>
        <w:t>op similar products, duplicate our products or design around our patents and other rights. In addition, it is difficult to monitor compliance with, and enforce, our intellectual property on a worldwide basis in a cost-effective manner. In jurisdictions whe</w:t>
      </w:r>
      <w:r>
        <w:rPr>
          <w:rFonts w:ascii="Arial" w:eastAsia="宋体" w:hAnsi="Arial" w:cs="Arial"/>
          <w:color w:val="000000"/>
          <w:sz w:val="20"/>
          <w:szCs w:val="20"/>
        </w:rPr>
        <w:t>re foreign laws provide less intellectual property protection than afforded in the United States and abroad, our technology or other intellectual property may be compromised, and our business would be materially adversely affected.</w:t>
      </w:r>
    </w:p>
    <w:p w14:paraId="1426FB05" w14:textId="77777777" w:rsidR="00A74A1E" w:rsidRDefault="00807990">
      <w:pPr>
        <w:spacing w:before="180"/>
        <w:ind w:firstLine="450"/>
        <w:jc w:val="both"/>
      </w:pPr>
      <w:r>
        <w:rPr>
          <w:rFonts w:ascii="Arial" w:eastAsia="宋体" w:hAnsi="Arial" w:cs="Arial"/>
          <w:b/>
          <w:bCs/>
          <w:i/>
          <w:iCs/>
          <w:color w:val="000000"/>
          <w:sz w:val="20"/>
          <w:szCs w:val="20"/>
        </w:rPr>
        <w:t>We are party to litigati</w:t>
      </w:r>
      <w:r>
        <w:rPr>
          <w:rFonts w:ascii="Arial" w:eastAsia="宋体" w:hAnsi="Arial" w:cs="Arial"/>
          <w:b/>
          <w:bCs/>
          <w:i/>
          <w:iCs/>
          <w:color w:val="000000"/>
          <w:sz w:val="20"/>
          <w:szCs w:val="20"/>
        </w:rPr>
        <w:t>on and may become a party to other claims or litigation that could cause us to incur substantial costs or pay substantial damages or prohibit us from selling our products.</w:t>
      </w:r>
    </w:p>
    <w:p w14:paraId="1426FB06" w14:textId="77777777" w:rsidR="00A74A1E" w:rsidRDefault="00807990">
      <w:pPr>
        <w:spacing w:before="180"/>
        <w:ind w:firstLine="450"/>
        <w:jc w:val="both"/>
      </w:pPr>
      <w:r>
        <w:rPr>
          <w:rFonts w:ascii="Arial" w:eastAsia="宋体" w:hAnsi="Arial" w:cs="Arial"/>
          <w:color w:val="000000"/>
          <w:sz w:val="20"/>
          <w:szCs w:val="20"/>
        </w:rPr>
        <w:t>From time to time, we are a defendant or plaintiff in various legal actions. For exa</w:t>
      </w:r>
      <w:r>
        <w:rPr>
          <w:rFonts w:ascii="Arial" w:eastAsia="宋体" w:hAnsi="Arial" w:cs="Arial"/>
          <w:color w:val="000000"/>
          <w:sz w:val="20"/>
          <w:szCs w:val="20"/>
        </w:rPr>
        <w:t>mple, as described in Note 11 of our condensed consolidated financial statements, we have been subject to certain claims concerning federal securities laws and corporate governance. Our products are purchased by and/or used by consumers, which could increa</w:t>
      </w:r>
      <w:r>
        <w:rPr>
          <w:rFonts w:ascii="Arial" w:eastAsia="宋体" w:hAnsi="Arial" w:cs="Arial"/>
          <w:color w:val="000000"/>
          <w:sz w:val="20"/>
          <w:szCs w:val="20"/>
        </w:rPr>
        <w:t>se our exposure to consumer actions such as product liability claims and consumer class action claims, including those described in Note 11 of our condensed consolidated financial statements. On occasion, we receive claims that individuals were allegedly e</w:t>
      </w:r>
      <w:r>
        <w:rPr>
          <w:rFonts w:ascii="Arial" w:eastAsia="宋体" w:hAnsi="Arial" w:cs="Arial"/>
          <w:color w:val="000000"/>
          <w:sz w:val="20"/>
          <w:szCs w:val="20"/>
        </w:rPr>
        <w:t>xposed to substances used in our former semiconductor wafer manufacturing facilities and that this alleged exposure caused harm. Litigation can involve complex factual and legal questions, and its outcome is uncertain. It is possible that if a claim is suc</w:t>
      </w:r>
      <w:r>
        <w:rPr>
          <w:rFonts w:ascii="Arial" w:eastAsia="宋体" w:hAnsi="Arial" w:cs="Arial"/>
          <w:color w:val="000000"/>
          <w:sz w:val="20"/>
          <w:szCs w:val="20"/>
        </w:rPr>
        <w:t>cessfully asserted against us, including the claims described in Note 11 of our condensed consolidated financial statements, it could result in the payment of damages that could be material to our business.</w:t>
      </w:r>
    </w:p>
    <w:p w14:paraId="1426FB07" w14:textId="77777777" w:rsidR="00A74A1E" w:rsidRDefault="00807990">
      <w:pPr>
        <w:spacing w:before="180"/>
        <w:ind w:firstLine="450"/>
        <w:jc w:val="both"/>
      </w:pPr>
      <w:r>
        <w:rPr>
          <w:rFonts w:ascii="Arial" w:eastAsia="宋体" w:hAnsi="Arial" w:cs="Arial"/>
          <w:color w:val="000000"/>
          <w:sz w:val="20"/>
          <w:szCs w:val="20"/>
        </w:rPr>
        <w:t>With respect to intellectual property litigation,</w:t>
      </w:r>
      <w:r>
        <w:rPr>
          <w:rFonts w:ascii="Arial" w:eastAsia="宋体" w:hAnsi="Arial" w:cs="Arial"/>
          <w:color w:val="000000"/>
          <w:sz w:val="20"/>
          <w:szCs w:val="20"/>
        </w:rPr>
        <w:t xml:space="preserve"> from time to time, we have been notified of, or third parties may bring or have brought, actions against us and/or against our customers based on allegations that we are infringing the intellectual property rights of others, contributing to or inducing th</w:t>
      </w:r>
      <w:r>
        <w:rPr>
          <w:rFonts w:ascii="Arial" w:eastAsia="宋体" w:hAnsi="Arial" w:cs="Arial"/>
          <w:color w:val="000000"/>
          <w:sz w:val="20"/>
          <w:szCs w:val="20"/>
        </w:rPr>
        <w:t>e infringement of the intellectual property rights of others, improperly claiming ownership of intellectual property or otherwise improperly using the intellectual property of others. If any such claims are asserted, we may seek to obtain a license under t</w:t>
      </w:r>
      <w:r>
        <w:rPr>
          <w:rFonts w:ascii="Arial" w:eastAsia="宋体" w:hAnsi="Arial" w:cs="Arial"/>
          <w:color w:val="000000"/>
          <w:sz w:val="20"/>
          <w:szCs w:val="20"/>
        </w:rPr>
        <w:t xml:space="preserve">he third parties’ intellectual property rights. We cannot assure you that we will be able to obtain all of the necessary licenses on satisfactory terms, if at all. These parties may file lawsuits against us or our customers seeking damages (potentially up </w:t>
      </w:r>
      <w:r>
        <w:rPr>
          <w:rFonts w:ascii="Arial" w:eastAsia="宋体" w:hAnsi="Arial" w:cs="Arial"/>
          <w:color w:val="000000"/>
          <w:sz w:val="20"/>
          <w:szCs w:val="20"/>
        </w:rPr>
        <w:t xml:space="preserve">to and including treble damages) or an injunction against the sale of products that incorporate allegedly infringed intellectual property or against the operation of our business as presently conducted, which could result in our having to stop the sale of </w:t>
      </w:r>
      <w:r>
        <w:rPr>
          <w:rFonts w:ascii="Arial" w:eastAsia="宋体" w:hAnsi="Arial" w:cs="Arial"/>
          <w:color w:val="000000"/>
          <w:sz w:val="20"/>
          <w:szCs w:val="20"/>
        </w:rPr>
        <w:t xml:space="preserve">some of our products or to increase the costs of selling some of our products or which could damage our reputation. The award of damages, including material royalty payments, or other types of damages, or the entry of an injunction against the manufacture </w:t>
      </w:r>
      <w:r>
        <w:rPr>
          <w:rFonts w:ascii="Arial" w:eastAsia="宋体" w:hAnsi="Arial" w:cs="Arial"/>
          <w:color w:val="000000"/>
          <w:sz w:val="20"/>
          <w:szCs w:val="20"/>
        </w:rPr>
        <w:t>and sale of some or all of our products could have a material adverse effect on us. We could decide, in the alternative, to redesign our products or to resort to litigation to challenge such claims. Such challenges could be extremely expensive and time-con</w:t>
      </w:r>
      <w:r>
        <w:rPr>
          <w:rFonts w:ascii="Arial" w:eastAsia="宋体" w:hAnsi="Arial" w:cs="Arial"/>
          <w:color w:val="000000"/>
          <w:sz w:val="20"/>
          <w:szCs w:val="20"/>
        </w:rPr>
        <w:t>suming regardless of their merit, could cause delays in product release or shipment and/or could have a material adverse effect on us. We cannot assure you that litigation related to our intellectual property rights or the intellectual property rights of o</w:t>
      </w:r>
      <w:r>
        <w:rPr>
          <w:rFonts w:ascii="Arial" w:eastAsia="宋体" w:hAnsi="Arial" w:cs="Arial"/>
          <w:color w:val="000000"/>
          <w:sz w:val="20"/>
          <w:szCs w:val="20"/>
        </w:rPr>
        <w:t>thers can always be avoided or successfully concluded.</w:t>
      </w:r>
    </w:p>
    <w:p w14:paraId="1426FB08" w14:textId="77777777" w:rsidR="00A74A1E" w:rsidRDefault="00807990">
      <w:pPr>
        <w:spacing w:before="180"/>
        <w:ind w:firstLine="450"/>
        <w:jc w:val="both"/>
      </w:pPr>
      <w:r>
        <w:rPr>
          <w:rFonts w:ascii="Arial" w:eastAsia="宋体" w:hAnsi="Arial" w:cs="Arial"/>
          <w:color w:val="000000"/>
          <w:sz w:val="20"/>
          <w:szCs w:val="20"/>
        </w:rPr>
        <w:t>Even if we were to prevail, any litigation could be costly and time-consuming and would divert the attention of our management and key personnel from our business operations, which could have a materia</w:t>
      </w:r>
      <w:r>
        <w:rPr>
          <w:rFonts w:ascii="Arial" w:eastAsia="宋体" w:hAnsi="Arial" w:cs="Arial"/>
          <w:color w:val="000000"/>
          <w:sz w:val="20"/>
          <w:szCs w:val="20"/>
        </w:rPr>
        <w:t>l adverse effect on us.</w:t>
      </w:r>
    </w:p>
    <w:p w14:paraId="1426FB09" w14:textId="77777777" w:rsidR="00A74A1E" w:rsidRDefault="00807990">
      <w:pPr>
        <w:spacing w:before="180"/>
        <w:ind w:firstLine="450"/>
        <w:jc w:val="both"/>
      </w:pPr>
      <w:r>
        <w:rPr>
          <w:rFonts w:ascii="Arial" w:eastAsia="宋体" w:hAnsi="Arial" w:cs="Arial"/>
          <w:b/>
          <w:bCs/>
          <w:i/>
          <w:iCs/>
          <w:color w:val="000000"/>
          <w:sz w:val="20"/>
          <w:szCs w:val="20"/>
        </w:rPr>
        <w:t>Our business is subject to potential tax liabilities.</w:t>
      </w:r>
    </w:p>
    <w:p w14:paraId="1426FB0A" w14:textId="77777777" w:rsidR="00A74A1E" w:rsidRDefault="00807990">
      <w:pPr>
        <w:spacing w:before="180"/>
        <w:ind w:firstLine="450"/>
        <w:jc w:val="both"/>
      </w:pPr>
      <w:r>
        <w:rPr>
          <w:rFonts w:ascii="Arial" w:eastAsia="宋体" w:hAnsi="Arial" w:cs="Arial"/>
          <w:color w:val="000000"/>
          <w:sz w:val="20"/>
          <w:szCs w:val="20"/>
        </w:rPr>
        <w:t xml:space="preserve">We are subject to income tax, indirect tax or other tax claims by tax agencies in jurisdictions in which we conduct business. Significant judgment is required in determining our </w:t>
      </w:r>
      <w:r>
        <w:rPr>
          <w:rFonts w:ascii="Arial" w:eastAsia="宋体" w:hAnsi="Arial" w:cs="Arial"/>
          <w:color w:val="000000"/>
          <w:sz w:val="20"/>
          <w:szCs w:val="20"/>
        </w:rPr>
        <w:t>worldwide provision for income taxes. Tax laws are dynamic and subject to change as new laws are passed and new interpretations of the law are issued or applied. The Tax Cuts and Jobs Act of 2017 (the Tax Reform Act) contains many significant changes to th</w:t>
      </w:r>
      <w:r>
        <w:rPr>
          <w:rFonts w:ascii="Arial" w:eastAsia="宋体" w:hAnsi="Arial" w:cs="Arial"/>
          <w:color w:val="000000"/>
          <w:sz w:val="20"/>
          <w:szCs w:val="20"/>
        </w:rPr>
        <w:t>e U.S. federal income tax laws, the consequences of which could have a material impact on the value of our deferred tax assets and could increase our future U.S. income tax expense. As additional regulatory guidance is issued by the applicable taxing autho</w:t>
      </w:r>
      <w:r>
        <w:rPr>
          <w:rFonts w:ascii="Arial" w:eastAsia="宋体" w:hAnsi="Arial" w:cs="Arial"/>
          <w:color w:val="000000"/>
          <w:sz w:val="20"/>
          <w:szCs w:val="20"/>
        </w:rPr>
        <w:t>rities and as new accounting treatment is clarified, we may report additional adjustments in the period if new information becomes available. We have a significant amount of deferred tax assets and a portion of the deferred tax assets related to net operat</w:t>
      </w:r>
      <w:r>
        <w:rPr>
          <w:rFonts w:ascii="Arial" w:eastAsia="宋体" w:hAnsi="Arial" w:cs="Arial"/>
          <w:color w:val="000000"/>
          <w:sz w:val="20"/>
          <w:szCs w:val="20"/>
        </w:rPr>
        <w:t xml:space="preserve">ing losses or tax credits could be subject to limitations under Internal Revenue Code Section 382 or 383, separate return loss year rules, or dual consolidated loss rules. The limitations could reduce our ability to utilize the net operating losses or tax </w:t>
      </w:r>
      <w:r>
        <w:rPr>
          <w:rFonts w:ascii="Arial" w:eastAsia="宋体" w:hAnsi="Arial" w:cs="Arial"/>
          <w:color w:val="000000"/>
          <w:sz w:val="20"/>
          <w:szCs w:val="20"/>
        </w:rPr>
        <w:t xml:space="preserve">credits before the expiration of the tax attributes. </w:t>
      </w:r>
    </w:p>
    <w:p w14:paraId="1426FB0B" w14:textId="77777777" w:rsidR="00A74A1E" w:rsidRDefault="00807990">
      <w:pPr>
        <w:jc w:val="center"/>
      </w:pPr>
      <w:r>
        <w:rPr>
          <w:rFonts w:ascii="Arial" w:eastAsia="宋体" w:hAnsi="Arial" w:cs="Arial"/>
          <w:color w:val="000000"/>
          <w:sz w:val="20"/>
          <w:szCs w:val="20"/>
        </w:rPr>
        <w:t>46</w:t>
      </w:r>
    </w:p>
    <w:p w14:paraId="1426FB0C" w14:textId="77777777" w:rsidR="00A74A1E" w:rsidRDefault="00807990">
      <w:r>
        <w:pict w14:anchorId="1426FC39">
          <v:rect id="_x0000_i1070" style="width:415.3pt;height:1.5pt" o:hralign="center" o:hrstd="t" o:hr="t" fillcolor="#a0a0a0" stroked="f"/>
        </w:pict>
      </w:r>
    </w:p>
    <w:p w14:paraId="1426FB0D" w14:textId="77777777" w:rsidR="00A74A1E" w:rsidRDefault="00A74A1E">
      <w:pPr>
        <w:spacing w:before="60"/>
      </w:pPr>
    </w:p>
    <w:p w14:paraId="1426FB0E" w14:textId="77777777" w:rsidR="00A74A1E" w:rsidRDefault="00807990">
      <w:pPr>
        <w:spacing w:before="180"/>
        <w:jc w:val="both"/>
      </w:pPr>
      <w:r>
        <w:rPr>
          <w:rFonts w:ascii="Arial" w:eastAsia="宋体" w:hAnsi="Arial" w:cs="Arial"/>
          <w:color w:val="000000"/>
          <w:sz w:val="20"/>
          <w:szCs w:val="20"/>
        </w:rPr>
        <w:t xml:space="preserve">Tax law changes or the limitations could be material and could materially affect our tax obligations and effective tax rate. </w:t>
      </w:r>
    </w:p>
    <w:p w14:paraId="1426FB0F" w14:textId="77777777" w:rsidR="00A74A1E" w:rsidRDefault="00807990">
      <w:pPr>
        <w:spacing w:before="180"/>
        <w:ind w:firstLine="450"/>
        <w:jc w:val="both"/>
      </w:pPr>
      <w:r>
        <w:rPr>
          <w:rFonts w:ascii="Arial" w:eastAsia="宋体" w:hAnsi="Arial" w:cs="Arial"/>
          <w:color w:val="000000"/>
          <w:sz w:val="20"/>
          <w:szCs w:val="20"/>
        </w:rPr>
        <w:t xml:space="preserve">In the ordinary course of our business, there are many transactions and calculations where the ultimate income tax, indirect tax, </w:t>
      </w:r>
      <w:r>
        <w:rPr>
          <w:rFonts w:ascii="Arial" w:eastAsia="宋体" w:hAnsi="Arial" w:cs="Arial"/>
          <w:color w:val="000000"/>
          <w:sz w:val="20"/>
          <w:szCs w:val="20"/>
        </w:rPr>
        <w:t>or other tax determination is uncertain. Although we believe our tax estimates are reasonable, we cannot assure that the final determination of any tax audits and litigation will not be materially different from that which is reflected in historical tax pr</w:t>
      </w:r>
      <w:r>
        <w:rPr>
          <w:rFonts w:ascii="Arial" w:eastAsia="宋体" w:hAnsi="Arial" w:cs="Arial"/>
          <w:color w:val="000000"/>
          <w:sz w:val="20"/>
          <w:szCs w:val="20"/>
        </w:rPr>
        <w:t>ovisions and accruals. Should additional taxes be assessed as a result of an audit, assessment or litigation, there could be a material adverse effect on our cash, tax provisions and net income in the period or periods for which that determination is made.</w:t>
      </w:r>
    </w:p>
    <w:p w14:paraId="1426FB10" w14:textId="77777777" w:rsidR="00A74A1E" w:rsidRDefault="00807990">
      <w:pPr>
        <w:spacing w:before="180"/>
        <w:ind w:firstLine="450"/>
        <w:jc w:val="both"/>
      </w:pPr>
      <w:r>
        <w:rPr>
          <w:rFonts w:ascii="Arial" w:eastAsia="宋体" w:hAnsi="Arial" w:cs="Arial"/>
          <w:b/>
          <w:bCs/>
          <w:i/>
          <w:iCs/>
          <w:color w:val="00000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1426FB11" w14:textId="77777777" w:rsidR="00A74A1E" w:rsidRDefault="00807990">
      <w:pPr>
        <w:spacing w:before="180"/>
        <w:ind w:firstLine="450"/>
        <w:jc w:val="both"/>
      </w:pPr>
      <w:r>
        <w:rPr>
          <w:rFonts w:ascii="Arial" w:eastAsia="宋体" w:hAnsi="Arial" w:cs="Arial"/>
          <w:color w:val="000000"/>
          <w:sz w:val="20"/>
          <w:szCs w:val="20"/>
        </w:rPr>
        <w:t xml:space="preserve">Our </w:t>
      </w:r>
      <w:r>
        <w:rPr>
          <w:rFonts w:ascii="Arial" w:eastAsia="宋体" w:hAnsi="Arial" w:cs="Arial"/>
          <w:color w:val="000000"/>
          <w:sz w:val="20"/>
          <w:szCs w:val="20"/>
        </w:rPr>
        <w:t>operations and properties have in the past been and continue to be subject to various United States and foreign laws and regulations, including those relating to materials used in our products and manufacturing processes, discharge of pollutants into the e</w:t>
      </w:r>
      <w:r>
        <w:rPr>
          <w:rFonts w:ascii="Arial" w:eastAsia="宋体" w:hAnsi="Arial" w:cs="Arial"/>
          <w:color w:val="000000"/>
          <w:sz w:val="20"/>
          <w:szCs w:val="20"/>
        </w:rPr>
        <w:t>nvironment, the treatment, transport, storage and disposal of solid and hazardous wastes and remediation of contamination. These laws and regulations require our suppliers to obtain permits for operations making our products, including the discharge of air</w:t>
      </w:r>
      <w:r>
        <w:rPr>
          <w:rFonts w:ascii="Arial" w:eastAsia="宋体" w:hAnsi="Arial" w:cs="Arial"/>
          <w:color w:val="000000"/>
          <w:sz w:val="20"/>
          <w:szCs w:val="20"/>
        </w:rPr>
        <w:t xml:space="preserve"> pollutants and wastewater. Although our management systems are designed to oversee our suppliers’ compliance, we cannot assure you that our suppliers have been or will be at all times in complete compliance with such laws, regulations and permits. If our </w:t>
      </w:r>
      <w:r>
        <w:rPr>
          <w:rFonts w:ascii="Arial" w:eastAsia="宋体" w:hAnsi="Arial" w:cs="Arial"/>
          <w:color w:val="000000"/>
          <w:sz w:val="20"/>
          <w:szCs w:val="20"/>
        </w:rPr>
        <w:t>suppliers violate or fail to comply with any of them, a range of consequences could result, including fines, suspension of production, alteration of manufacturing processes, import/export restrictions, sales limitations, criminal and civil liabilities or o</w:t>
      </w:r>
      <w:r>
        <w:rPr>
          <w:rFonts w:ascii="Arial" w:eastAsia="宋体" w:hAnsi="Arial" w:cs="Arial"/>
          <w:color w:val="000000"/>
          <w:sz w:val="20"/>
          <w:szCs w:val="20"/>
        </w:rPr>
        <w:t>ther sanctions. Such non-compliance from our manufacturing suppliers could result in disruptions in supply, higher sourcing costs, and/or reputational damage for us.</w:t>
      </w:r>
    </w:p>
    <w:p w14:paraId="1426FB12" w14:textId="77777777" w:rsidR="00A74A1E" w:rsidRDefault="00807990">
      <w:pPr>
        <w:spacing w:before="180"/>
        <w:ind w:firstLine="450"/>
        <w:jc w:val="both"/>
      </w:pPr>
      <w:r>
        <w:rPr>
          <w:rFonts w:ascii="Arial" w:eastAsia="宋体" w:hAnsi="Arial" w:cs="Arial"/>
          <w:color w:val="000000"/>
          <w:sz w:val="20"/>
          <w:szCs w:val="20"/>
        </w:rPr>
        <w:t>Environmental laws are complex, change frequently and have tended to become more stringent</w:t>
      </w:r>
      <w:r>
        <w:rPr>
          <w:rFonts w:ascii="Arial" w:eastAsia="宋体" w:hAnsi="Arial" w:cs="Arial"/>
          <w:color w:val="000000"/>
          <w:sz w:val="20"/>
          <w:szCs w:val="20"/>
        </w:rPr>
        <w:t xml:space="preserve"> over time. For example, the European Union (EU) and China are two among a growing number of jurisdictions that have enacted restrictions on the use of lead and other materials in electronic products. These regulations affect semiconductor devices and pack</w:t>
      </w:r>
      <w:r>
        <w:rPr>
          <w:rFonts w:ascii="Arial" w:eastAsia="宋体" w:hAnsi="Arial" w:cs="Arial"/>
          <w:color w:val="000000"/>
          <w:sz w:val="20"/>
          <w:szCs w:val="20"/>
        </w:rPr>
        <w:t>aging. As regulations restricting materials in electronic products continue to increase around the world, there is a risk that the cost, quality and manufacturing yields of products that are subject to these restrictions may be less favorable compared to p</w:t>
      </w:r>
      <w:r>
        <w:rPr>
          <w:rFonts w:ascii="Arial" w:eastAsia="宋体" w:hAnsi="Arial" w:cs="Arial"/>
          <w:color w:val="000000"/>
          <w:sz w:val="20"/>
          <w:szCs w:val="20"/>
        </w:rPr>
        <w:t>roducts that are not subject to such restrictions, or that the transition to compliant products may not meet customer roadmaps, or produce sudden changes in demand, which may result in excess inventory. A number of jurisdictions including the EU, Australia</w:t>
      </w:r>
      <w:r>
        <w:rPr>
          <w:rFonts w:ascii="Arial" w:eastAsia="宋体" w:hAnsi="Arial" w:cs="Arial"/>
          <w:color w:val="000000"/>
          <w:sz w:val="20"/>
          <w:szCs w:val="20"/>
        </w:rPr>
        <w:t xml:space="preserve">, California and China are developing or have finalized market entry or public procurement regulations for computers and servers based on ENERGY STAR specifications as well as additional energy consumption limits. There is the potential for certain of our </w:t>
      </w:r>
      <w:r>
        <w:rPr>
          <w:rFonts w:ascii="Arial" w:eastAsia="宋体" w:hAnsi="Arial" w:cs="Arial"/>
          <w:color w:val="000000"/>
          <w:sz w:val="20"/>
          <w:szCs w:val="20"/>
        </w:rPr>
        <w:t>products being excluded from some of these markets which could materially adversely affect us.</w:t>
      </w:r>
    </w:p>
    <w:p w14:paraId="1426FB13" w14:textId="77777777" w:rsidR="00A74A1E" w:rsidRDefault="00807990">
      <w:pPr>
        <w:spacing w:before="180"/>
        <w:ind w:firstLine="450"/>
        <w:jc w:val="both"/>
      </w:pPr>
      <w:r>
        <w:rPr>
          <w:rFonts w:ascii="Arial" w:eastAsia="宋体" w:hAnsi="Arial" w:cs="Arial"/>
          <w:color w:val="000000"/>
          <w:sz w:val="20"/>
          <w:szCs w:val="20"/>
        </w:rPr>
        <w:t>Certain environmental laws, including the United States Comprehensive, Environmental Response, Compensation and Liability Act of 1980, or the Superfund Act, impo</w:t>
      </w:r>
      <w:r>
        <w:rPr>
          <w:rFonts w:ascii="Arial" w:eastAsia="宋体" w:hAnsi="Arial" w:cs="Arial"/>
          <w:color w:val="000000"/>
          <w:sz w:val="20"/>
          <w:szCs w:val="20"/>
        </w:rPr>
        <w:t xml:space="preserve">se strict or, under certain circumstances, joint and several liability on current and previous owners or operators of real property for the cost of removal or remediation of hazardous substances and impose liability for damages to natural resources. These </w:t>
      </w:r>
      <w:r>
        <w:rPr>
          <w:rFonts w:ascii="Arial" w:eastAsia="宋体" w:hAnsi="Arial" w:cs="Arial"/>
          <w:color w:val="000000"/>
          <w:sz w:val="20"/>
          <w:szCs w:val="20"/>
        </w:rPr>
        <w:t>laws often impose liability even if the owner or operator did not know of, or was not responsible for, the release of such hazardous substances. These environmental laws also assess liability on persons who arrange for hazardous substances to be sent to di</w:t>
      </w:r>
      <w:r>
        <w:rPr>
          <w:rFonts w:ascii="Arial" w:eastAsia="宋体" w:hAnsi="Arial" w:cs="Arial"/>
          <w:color w:val="000000"/>
          <w:sz w:val="20"/>
          <w:szCs w:val="20"/>
        </w:rPr>
        <w:t>sposal or treatment facilities when such facilities are found to be contaminated. Such persons can be responsible for cleanup costs even if they never owned or operated the contaminated facility. We have been named as a responsible party at three Superfund</w:t>
      </w:r>
      <w:r>
        <w:rPr>
          <w:rFonts w:ascii="Arial" w:eastAsia="宋体" w:hAnsi="Arial" w:cs="Arial"/>
          <w:color w:val="000000"/>
          <w:sz w:val="20"/>
          <w:szCs w:val="20"/>
        </w:rPr>
        <w:t xml:space="preserve"> sites in Sunnyvale, California. Although we have not yet been, we could be named a potentially responsible party at other Superfund or contaminated sites in the future. In addition, contamination that has not yet been identified could exist at our other f</w:t>
      </w:r>
      <w:r>
        <w:rPr>
          <w:rFonts w:ascii="Arial" w:eastAsia="宋体" w:hAnsi="Arial" w:cs="Arial"/>
          <w:color w:val="000000"/>
          <w:sz w:val="20"/>
          <w:szCs w:val="20"/>
        </w:rPr>
        <w:t>acilities.</w:t>
      </w:r>
    </w:p>
    <w:p w14:paraId="1426FB14" w14:textId="77777777" w:rsidR="00A74A1E" w:rsidRDefault="00807990">
      <w:pPr>
        <w:spacing w:before="180"/>
        <w:ind w:firstLine="450"/>
        <w:jc w:val="both"/>
      </w:pPr>
      <w:r>
        <w:rPr>
          <w:rFonts w:ascii="Arial" w:eastAsia="宋体" w:hAnsi="Arial" w:cs="Arial"/>
          <w:color w:val="000000"/>
          <w:sz w:val="20"/>
          <w:szCs w:val="20"/>
        </w:rPr>
        <w:t>Under the Dodd-Frank Wall Street Reform and Consumer Protection Act of 2010, the SEC adopted disclosure and reporting requirements for companies that use “conflict” minerals originating from the Democratic Republic of Congo or adjoining countrie</w:t>
      </w:r>
      <w:r>
        <w:rPr>
          <w:rFonts w:ascii="Arial" w:eastAsia="宋体" w:hAnsi="Arial" w:cs="Arial"/>
          <w:color w:val="000000"/>
          <w:sz w:val="20"/>
          <w:szCs w:val="20"/>
        </w:rPr>
        <w:t xml:space="preserve">s. We continue to incur additional costs associated with complying with these requirements, such as costs related to developing internal controls for the due diligence process, determining the source of any conflict minerals used in our products, auditing </w:t>
      </w:r>
      <w:r>
        <w:rPr>
          <w:rFonts w:ascii="Arial" w:eastAsia="宋体" w:hAnsi="Arial" w:cs="Arial"/>
          <w:color w:val="000000"/>
          <w:sz w:val="20"/>
          <w:szCs w:val="20"/>
        </w:rPr>
        <w:t>the process and reporting to our customers and the SEC. In addition to the SEC regulation, the European Union, China and other jurisdictions are developing new policies focused on conflict minerals that may impact and increase the cost of our compliance pr</w:t>
      </w:r>
      <w:r>
        <w:rPr>
          <w:rFonts w:ascii="Arial" w:eastAsia="宋体" w:hAnsi="Arial" w:cs="Arial"/>
          <w:color w:val="000000"/>
          <w:sz w:val="20"/>
          <w:szCs w:val="20"/>
        </w:rPr>
        <w:t>ogram. Also, since our supply chain is complex, we may face reputational challenges if we are unable to sufficiently verify the origins of the subject minerals. Moreover, we are likely to encounter challenges to satisfy those customers who require that all</w:t>
      </w:r>
      <w:r>
        <w:rPr>
          <w:rFonts w:ascii="Arial" w:eastAsia="宋体" w:hAnsi="Arial" w:cs="Arial"/>
          <w:color w:val="000000"/>
          <w:sz w:val="20"/>
          <w:szCs w:val="20"/>
        </w:rPr>
        <w:t xml:space="preserve"> </w:t>
      </w:r>
    </w:p>
    <w:p w14:paraId="1426FB15" w14:textId="77777777" w:rsidR="00A74A1E" w:rsidRDefault="00807990">
      <w:pPr>
        <w:jc w:val="center"/>
      </w:pPr>
      <w:r>
        <w:rPr>
          <w:rFonts w:ascii="Arial" w:eastAsia="宋体" w:hAnsi="Arial" w:cs="Arial"/>
          <w:color w:val="000000"/>
          <w:sz w:val="20"/>
          <w:szCs w:val="20"/>
        </w:rPr>
        <w:t>47</w:t>
      </w:r>
    </w:p>
    <w:p w14:paraId="1426FB16" w14:textId="77777777" w:rsidR="00A74A1E" w:rsidRDefault="00807990">
      <w:r>
        <w:pict w14:anchorId="1426FC3A">
          <v:rect id="_x0000_i1071" style="width:415.3pt;height:1.5pt" o:hralign="center" o:hrstd="t" o:hr="t" fillcolor="#a0a0a0" stroked="f"/>
        </w:pict>
      </w:r>
    </w:p>
    <w:p w14:paraId="1426FB17" w14:textId="77777777" w:rsidR="00A74A1E" w:rsidRDefault="00A74A1E">
      <w:pPr>
        <w:spacing w:before="60"/>
      </w:pPr>
    </w:p>
    <w:p w14:paraId="1426FB18" w14:textId="77777777" w:rsidR="00A74A1E" w:rsidRDefault="00807990">
      <w:pPr>
        <w:spacing w:before="180"/>
        <w:jc w:val="both"/>
      </w:pPr>
      <w:r>
        <w:rPr>
          <w:rFonts w:ascii="Arial" w:eastAsia="宋体" w:hAnsi="Arial" w:cs="Arial"/>
          <w:color w:val="000000"/>
          <w:sz w:val="20"/>
          <w:szCs w:val="20"/>
        </w:rPr>
        <w:t>of the components of our products be certified as “conflict free.” If we cannot satisfy these customers, they may choose a competitor’s products.</w:t>
      </w:r>
    </w:p>
    <w:p w14:paraId="1426FB19" w14:textId="77777777" w:rsidR="00A74A1E" w:rsidRDefault="00807990">
      <w:pPr>
        <w:spacing w:before="180"/>
        <w:ind w:firstLine="450"/>
        <w:jc w:val="both"/>
      </w:pPr>
      <w:r>
        <w:rPr>
          <w:rFonts w:ascii="Arial" w:eastAsia="宋体" w:hAnsi="Arial" w:cs="Arial"/>
          <w:color w:val="000000"/>
          <w:sz w:val="20"/>
          <w:szCs w:val="20"/>
        </w:rPr>
        <w:t>The United States federal government has issued new policies for federal procurement focused on eradic</w:t>
      </w:r>
      <w:r>
        <w:rPr>
          <w:rFonts w:ascii="Arial" w:eastAsia="宋体" w:hAnsi="Arial" w:cs="Arial"/>
          <w:color w:val="000000"/>
          <w:sz w:val="20"/>
          <w:szCs w:val="20"/>
        </w:rPr>
        <w:t>ating the practice of forced labor and human trafficking. Germany’s federal procurement office, in collaboration with the Bitkom trade association, issued new supply chain labor requirements. In addition, the United Kingdom, Australia and the State of Cali</w:t>
      </w:r>
      <w:r>
        <w:rPr>
          <w:rFonts w:ascii="Arial" w:eastAsia="宋体" w:hAnsi="Arial" w:cs="Arial"/>
          <w:color w:val="000000"/>
          <w:sz w:val="20"/>
          <w:szCs w:val="20"/>
        </w:rPr>
        <w:t>fornia have issued laws that require us to disclose our policy and practices for identifying and eliminating forced labor and human trafficking in our supply chain. Several customers as well as the Responsible Business Alliance have also issued expectation</w:t>
      </w:r>
      <w:r>
        <w:rPr>
          <w:rFonts w:ascii="Arial" w:eastAsia="宋体" w:hAnsi="Arial" w:cs="Arial"/>
          <w:color w:val="000000"/>
          <w:sz w:val="20"/>
          <w:szCs w:val="20"/>
        </w:rPr>
        <w:t>s to eliminate these practices that may impact us. While we have a policy and management systems to identify and avoid these practices in our supply chain, we cannot guarantee that our suppliers will always be in conformance to these laws and expectations.</w:t>
      </w:r>
      <w:r>
        <w:rPr>
          <w:rFonts w:ascii="Arial" w:eastAsia="宋体" w:hAnsi="Arial" w:cs="Arial"/>
          <w:color w:val="000000"/>
          <w:sz w:val="20"/>
          <w:szCs w:val="20"/>
        </w:rPr>
        <w:t xml:space="preserve"> We may face enforcement liability and reputational challenges if we are unable to sufficiently meet these expectations. Moreover, we are likely to encounter challenges with customers if we cannot satisfy their forced and trafficked labor polices and they </w:t>
      </w:r>
      <w:r>
        <w:rPr>
          <w:rFonts w:ascii="Arial" w:eastAsia="宋体" w:hAnsi="Arial" w:cs="Arial"/>
          <w:color w:val="000000"/>
          <w:sz w:val="20"/>
          <w:szCs w:val="20"/>
        </w:rPr>
        <w:t>may choose a competitor’s product.</w:t>
      </w:r>
    </w:p>
    <w:p w14:paraId="1426FB1A" w14:textId="77777777" w:rsidR="00A74A1E" w:rsidRDefault="00A74A1E">
      <w:pPr>
        <w:spacing w:before="90"/>
        <w:ind w:firstLine="450"/>
        <w:jc w:val="both"/>
      </w:pPr>
    </w:p>
    <w:p w14:paraId="1426FB1B" w14:textId="77777777" w:rsidR="00A74A1E" w:rsidRDefault="00807990">
      <w:pPr>
        <w:jc w:val="center"/>
      </w:pPr>
      <w:r>
        <w:rPr>
          <w:rFonts w:ascii="Arial" w:eastAsia="宋体" w:hAnsi="Arial" w:cs="Arial"/>
          <w:color w:val="000000"/>
          <w:sz w:val="20"/>
          <w:szCs w:val="20"/>
        </w:rPr>
        <w:t>48</w:t>
      </w:r>
    </w:p>
    <w:p w14:paraId="1426FB1C" w14:textId="77777777" w:rsidR="00A74A1E" w:rsidRDefault="00807990">
      <w:r>
        <w:pict w14:anchorId="1426FC3B">
          <v:rect id="_x0000_i1072" style="width:415.3pt;height:1.5pt" o:hralign="center" o:hrstd="t" o:hr="t" fillcolor="#a0a0a0" stroked="f"/>
        </w:pict>
      </w:r>
    </w:p>
    <w:p w14:paraId="1426FB1D" w14:textId="77777777" w:rsidR="00A74A1E" w:rsidRDefault="00A74A1E">
      <w:pPr>
        <w:spacing w:before="60"/>
      </w:pPr>
    </w:p>
    <w:tbl>
      <w:tblPr>
        <w:tblW w:w="4349" w:type="pct"/>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A74A1E" w14:paraId="1426FB24" w14:textId="77777777">
        <w:tc>
          <w:tcPr>
            <w:tcW w:w="50" w:type="pct"/>
            <w:shd w:val="clear" w:color="auto" w:fill="auto"/>
          </w:tcPr>
          <w:p w14:paraId="1426FB1E" w14:textId="77777777" w:rsidR="00A74A1E" w:rsidRDefault="00A74A1E">
            <w:pPr>
              <w:rPr>
                <w:rFonts w:ascii="宋体"/>
              </w:rPr>
            </w:pPr>
          </w:p>
        </w:tc>
        <w:tc>
          <w:tcPr>
            <w:tcW w:w="575" w:type="pct"/>
            <w:shd w:val="clear" w:color="auto" w:fill="auto"/>
          </w:tcPr>
          <w:p w14:paraId="1426FB1F" w14:textId="77777777" w:rsidR="00A74A1E" w:rsidRDefault="00A74A1E">
            <w:pPr>
              <w:rPr>
                <w:rFonts w:ascii="宋体"/>
              </w:rPr>
            </w:pPr>
          </w:p>
        </w:tc>
        <w:tc>
          <w:tcPr>
            <w:tcW w:w="5" w:type="pct"/>
            <w:shd w:val="clear" w:color="auto" w:fill="auto"/>
          </w:tcPr>
          <w:p w14:paraId="1426FB20" w14:textId="77777777" w:rsidR="00A74A1E" w:rsidRDefault="00A74A1E">
            <w:pPr>
              <w:rPr>
                <w:rFonts w:ascii="宋体"/>
              </w:rPr>
            </w:pPr>
          </w:p>
        </w:tc>
        <w:tc>
          <w:tcPr>
            <w:tcW w:w="50" w:type="pct"/>
            <w:shd w:val="clear" w:color="auto" w:fill="auto"/>
          </w:tcPr>
          <w:p w14:paraId="1426FB21" w14:textId="77777777" w:rsidR="00A74A1E" w:rsidRDefault="00A74A1E">
            <w:pPr>
              <w:rPr>
                <w:rFonts w:ascii="宋体"/>
              </w:rPr>
            </w:pPr>
          </w:p>
        </w:tc>
        <w:tc>
          <w:tcPr>
            <w:tcW w:w="4314" w:type="pct"/>
            <w:shd w:val="clear" w:color="auto" w:fill="auto"/>
          </w:tcPr>
          <w:p w14:paraId="1426FB22" w14:textId="77777777" w:rsidR="00A74A1E" w:rsidRDefault="00A74A1E">
            <w:pPr>
              <w:rPr>
                <w:rFonts w:ascii="宋体"/>
              </w:rPr>
            </w:pPr>
          </w:p>
        </w:tc>
        <w:tc>
          <w:tcPr>
            <w:tcW w:w="5" w:type="pct"/>
            <w:shd w:val="clear" w:color="auto" w:fill="auto"/>
          </w:tcPr>
          <w:p w14:paraId="1426FB23" w14:textId="77777777" w:rsidR="00A74A1E" w:rsidRDefault="00A74A1E">
            <w:pPr>
              <w:rPr>
                <w:rFonts w:ascii="宋体"/>
              </w:rPr>
            </w:pPr>
          </w:p>
        </w:tc>
      </w:tr>
      <w:tr w:rsidR="00A74A1E" w14:paraId="1426FB27" w14:textId="77777777">
        <w:tc>
          <w:tcPr>
            <w:tcW w:w="0" w:type="auto"/>
            <w:gridSpan w:val="3"/>
            <w:shd w:val="clear" w:color="auto" w:fill="auto"/>
            <w:tcMar>
              <w:top w:w="40" w:type="dxa"/>
              <w:left w:w="20" w:type="dxa"/>
              <w:bottom w:w="40" w:type="dxa"/>
              <w:right w:w="20" w:type="dxa"/>
            </w:tcMar>
          </w:tcPr>
          <w:p w14:paraId="1426FB25" w14:textId="77777777" w:rsidR="00A74A1E" w:rsidRDefault="00807990">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1426FB26" w14:textId="77777777" w:rsidR="00A74A1E" w:rsidRDefault="00807990">
            <w:pPr>
              <w:textAlignment w:val="top"/>
            </w:pPr>
            <w:r>
              <w:rPr>
                <w:rFonts w:ascii="Arial" w:eastAsia="宋体" w:hAnsi="Arial" w:cs="Arial"/>
                <w:b/>
                <w:bCs/>
                <w:color w:val="000000"/>
                <w:sz w:val="20"/>
                <w:szCs w:val="20"/>
              </w:rPr>
              <w:t>UNREGISTERED SALES OF EQUITY SECURITIES AND USE OF PROCEEDS</w:t>
            </w:r>
          </w:p>
        </w:tc>
      </w:tr>
    </w:tbl>
    <w:p w14:paraId="1426FB28" w14:textId="77777777" w:rsidR="00A74A1E" w:rsidRDefault="00807990">
      <w:pPr>
        <w:spacing w:before="180" w:after="100"/>
        <w:ind w:firstLine="450"/>
        <w:jc w:val="both"/>
      </w:pPr>
      <w:r>
        <w:rPr>
          <w:rFonts w:ascii="Arial" w:eastAsia="宋体" w:hAnsi="Arial" w:cs="Arial"/>
          <w:color w:val="212121"/>
          <w:sz w:val="20"/>
          <w:szCs w:val="20"/>
        </w:rPr>
        <w:t xml:space="preserve">We issued warrants dated June 29, 2020 and </w:t>
      </w:r>
      <w:r>
        <w:rPr>
          <w:rFonts w:ascii="Arial" w:eastAsia="宋体" w:hAnsi="Arial" w:cs="Arial"/>
          <w:color w:val="212121"/>
          <w:sz w:val="20"/>
          <w:szCs w:val="20"/>
          <w:shd w:val="clear" w:color="auto" w:fill="FFFFFF"/>
        </w:rPr>
        <w:t>September 28,</w:t>
      </w:r>
      <w:r>
        <w:rPr>
          <w:rFonts w:ascii="Arial" w:eastAsia="宋体" w:hAnsi="Arial" w:cs="Arial"/>
          <w:color w:val="212121"/>
          <w:sz w:val="20"/>
          <w:szCs w:val="20"/>
        </w:rPr>
        <w:t xml:space="preserve"> 2020 to purchase 593 and </w:t>
      </w:r>
      <w:r>
        <w:rPr>
          <w:rFonts w:ascii="Arial" w:eastAsia="宋体" w:hAnsi="Arial" w:cs="Arial"/>
          <w:color w:val="212121"/>
          <w:sz w:val="20"/>
          <w:szCs w:val="20"/>
          <w:shd w:val="clear" w:color="auto" w:fill="FFFFFF"/>
        </w:rPr>
        <w:t xml:space="preserve">38,745 </w:t>
      </w:r>
      <w:r>
        <w:rPr>
          <w:rFonts w:ascii="Arial" w:eastAsia="宋体" w:hAnsi="Arial" w:cs="Arial"/>
          <w:color w:val="212121"/>
          <w:sz w:val="20"/>
          <w:szCs w:val="20"/>
        </w:rPr>
        <w:t>shares, respectively, of our common stock to a</w:t>
      </w:r>
      <w:r>
        <w:rPr>
          <w:rFonts w:ascii="Arial" w:eastAsia="宋体" w:hAnsi="Arial" w:cs="Arial"/>
          <w:color w:val="000000"/>
          <w:sz w:val="20"/>
          <w:szCs w:val="20"/>
        </w:rPr>
        <w:t xml:space="preserve"> commercial partner </w:t>
      </w:r>
      <w:r>
        <w:rPr>
          <w:rFonts w:ascii="Arial" w:eastAsia="宋体" w:hAnsi="Arial" w:cs="Arial"/>
          <w:color w:val="212121"/>
          <w:sz w:val="20"/>
          <w:szCs w:val="20"/>
        </w:rPr>
        <w:t>pursuant to a strategic arrangement with such partner. The warrants have an exercise price o</w:t>
      </w:r>
      <w:r>
        <w:rPr>
          <w:rFonts w:ascii="Arial" w:eastAsia="宋体" w:hAnsi="Arial" w:cs="Arial"/>
          <w:color w:val="212121"/>
          <w:sz w:val="20"/>
          <w:szCs w:val="20"/>
          <w:shd w:val="clear" w:color="auto" w:fill="FFFFFF"/>
        </w:rPr>
        <w:t xml:space="preserve">f $25.50 </w:t>
      </w:r>
      <w:r>
        <w:rPr>
          <w:rFonts w:ascii="Arial" w:eastAsia="宋体" w:hAnsi="Arial" w:cs="Arial"/>
          <w:color w:val="212121"/>
          <w:sz w:val="20"/>
          <w:szCs w:val="20"/>
        </w:rPr>
        <w:t xml:space="preserve">per share and expire on June 29, 2023 and </w:t>
      </w:r>
      <w:r>
        <w:rPr>
          <w:rFonts w:ascii="Arial" w:eastAsia="宋体" w:hAnsi="Arial" w:cs="Arial"/>
          <w:color w:val="212121"/>
          <w:sz w:val="20"/>
          <w:szCs w:val="20"/>
          <w:shd w:val="clear" w:color="auto" w:fill="FFFFFF"/>
        </w:rPr>
        <w:t xml:space="preserve">September 28, </w:t>
      </w:r>
      <w:r>
        <w:rPr>
          <w:rFonts w:ascii="Arial" w:eastAsia="宋体" w:hAnsi="Arial" w:cs="Arial"/>
          <w:color w:val="212121"/>
          <w:sz w:val="20"/>
          <w:szCs w:val="20"/>
        </w:rPr>
        <w:t>2023, respectively.</w:t>
      </w:r>
      <w:r>
        <w:rPr>
          <w:rFonts w:ascii="Arial" w:eastAsia="宋体" w:hAnsi="Arial" w:cs="Arial"/>
          <w:color w:val="000000"/>
          <w:sz w:val="20"/>
          <w:szCs w:val="20"/>
        </w:rPr>
        <w:t xml:space="preserve"> </w:t>
      </w:r>
    </w:p>
    <w:p w14:paraId="1426FB29" w14:textId="77777777" w:rsidR="00A74A1E" w:rsidRDefault="00807990">
      <w:pPr>
        <w:spacing w:before="180" w:after="100"/>
        <w:ind w:firstLine="450"/>
        <w:jc w:val="both"/>
      </w:pPr>
      <w:r>
        <w:rPr>
          <w:rFonts w:ascii="Arial" w:eastAsia="宋体" w:hAnsi="Arial" w:cs="Arial"/>
          <w:color w:val="212121"/>
          <w:sz w:val="20"/>
          <w:szCs w:val="20"/>
        </w:rPr>
        <w:t>The warrants were issued pursuant to Section 4(a)(2) of th</w:t>
      </w:r>
      <w:r>
        <w:rPr>
          <w:rFonts w:ascii="Arial" w:eastAsia="宋体" w:hAnsi="Arial" w:cs="Arial"/>
          <w:color w:val="212121"/>
          <w:sz w:val="20"/>
          <w:szCs w:val="20"/>
        </w:rPr>
        <w:t>e Securities Act of 1933, as amended</w:t>
      </w:r>
      <w:r>
        <w:rPr>
          <w:rFonts w:ascii="Arial" w:eastAsia="宋体" w:hAnsi="Arial" w:cs="Arial"/>
          <w:color w:val="0000FF"/>
          <w:sz w:val="20"/>
          <w:szCs w:val="20"/>
        </w:rPr>
        <w:t>.</w:t>
      </w:r>
    </w:p>
    <w:p w14:paraId="1426FB2A" w14:textId="77777777" w:rsidR="00A74A1E" w:rsidRDefault="00807990">
      <w:pPr>
        <w:spacing w:before="180" w:after="100"/>
        <w:ind w:firstLine="450"/>
        <w:jc w:val="both"/>
      </w:pPr>
      <w:r>
        <w:rPr>
          <w:rFonts w:ascii="Arial" w:eastAsia="宋体" w:hAnsi="Arial" w:cs="Arial"/>
          <w:b/>
          <w:bCs/>
          <w:color w:val="000000"/>
          <w:sz w:val="20"/>
          <w:szCs w:val="20"/>
        </w:rPr>
        <w:t>Restricted Stock Unit Share Withholding</w:t>
      </w:r>
    </w:p>
    <w:p w14:paraId="1426FB2B" w14:textId="77777777" w:rsidR="00A74A1E" w:rsidRDefault="00807990">
      <w:pPr>
        <w:spacing w:before="180" w:after="100"/>
        <w:ind w:firstLine="450"/>
        <w:jc w:val="both"/>
      </w:pPr>
      <w:r>
        <w:rPr>
          <w:rFonts w:ascii="Arial" w:eastAsia="宋体" w:hAnsi="Arial" w:cs="Arial"/>
          <w:color w:val="000000"/>
          <w:sz w:val="20"/>
          <w:szCs w:val="20"/>
        </w:rPr>
        <w:t>During the fiscal quarter ended September 26, 2020, we paid approximately $72 million in employee withholding taxes due upon the vesting of net settled equity awards. We withheld</w:t>
      </w:r>
      <w:r>
        <w:rPr>
          <w:rFonts w:ascii="Arial" w:eastAsia="宋体" w:hAnsi="Arial" w:cs="Arial"/>
          <w:color w:val="000000"/>
          <w:sz w:val="20"/>
          <w:szCs w:val="20"/>
        </w:rPr>
        <w:t xml:space="preserve"> fewer than 1 million shares of common stock from employees in connection with such net share settlement at an average price of $82.93 per share. These shares may be deemed to be “issuer purchases” of shares.</w:t>
      </w:r>
    </w:p>
    <w:p w14:paraId="1426FB2C" w14:textId="77777777" w:rsidR="00A74A1E" w:rsidRDefault="00807990">
      <w:pPr>
        <w:jc w:val="center"/>
      </w:pPr>
      <w:r>
        <w:rPr>
          <w:rFonts w:ascii="Arial" w:eastAsia="宋体" w:hAnsi="Arial" w:cs="Arial"/>
          <w:color w:val="000000"/>
          <w:sz w:val="20"/>
          <w:szCs w:val="20"/>
        </w:rPr>
        <w:t>49</w:t>
      </w:r>
    </w:p>
    <w:p w14:paraId="1426FB2D" w14:textId="77777777" w:rsidR="00A74A1E" w:rsidRDefault="00807990">
      <w:r>
        <w:pict w14:anchorId="1426FC3C">
          <v:rect id="_x0000_i1073" style="width:415.3pt;height:1.5pt" o:hralign="center" o:hrstd="t" o:hr="t" fillcolor="#a0a0a0" stroked="f"/>
        </w:pict>
      </w:r>
    </w:p>
    <w:p w14:paraId="1426FB2E" w14:textId="77777777" w:rsidR="00A74A1E" w:rsidRDefault="00A74A1E">
      <w:pPr>
        <w:spacing w:before="60"/>
      </w:pPr>
    </w:p>
    <w:p w14:paraId="1426FB2F" w14:textId="77777777" w:rsidR="00A74A1E" w:rsidRDefault="00807990">
      <w:pPr>
        <w:spacing w:after="240"/>
      </w:pPr>
      <w:r>
        <w:rPr>
          <w:rFonts w:ascii="Arial" w:eastAsia="宋体" w:hAnsi="Arial" w:cs="Arial"/>
          <w:b/>
          <w:bCs/>
          <w:color w:val="000000"/>
          <w:sz w:val="20"/>
          <w:szCs w:val="20"/>
        </w:rPr>
        <w:t> ITEM 6. EXHIBITS</w:t>
      </w:r>
    </w:p>
    <w:tbl>
      <w:tblPr>
        <w:tblW w:w="4978" w:type="pct"/>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39"/>
        <w:gridCol w:w="7235"/>
        <w:gridCol w:w="38"/>
      </w:tblGrid>
      <w:tr w:rsidR="00A74A1E" w14:paraId="1426FB39" w14:textId="77777777">
        <w:tc>
          <w:tcPr>
            <w:tcW w:w="50" w:type="pct"/>
            <w:shd w:val="clear" w:color="auto" w:fill="auto"/>
          </w:tcPr>
          <w:p w14:paraId="1426FB30" w14:textId="77777777" w:rsidR="00A74A1E" w:rsidRDefault="00A74A1E">
            <w:pPr>
              <w:rPr>
                <w:rFonts w:ascii="宋体"/>
              </w:rPr>
            </w:pPr>
          </w:p>
        </w:tc>
        <w:tc>
          <w:tcPr>
            <w:tcW w:w="407" w:type="pct"/>
            <w:shd w:val="clear" w:color="auto" w:fill="auto"/>
          </w:tcPr>
          <w:p w14:paraId="1426FB31" w14:textId="77777777" w:rsidR="00A74A1E" w:rsidRDefault="00A74A1E">
            <w:pPr>
              <w:rPr>
                <w:rFonts w:ascii="宋体"/>
              </w:rPr>
            </w:pPr>
          </w:p>
        </w:tc>
        <w:tc>
          <w:tcPr>
            <w:tcW w:w="5" w:type="pct"/>
            <w:shd w:val="clear" w:color="auto" w:fill="auto"/>
          </w:tcPr>
          <w:p w14:paraId="1426FB32" w14:textId="77777777" w:rsidR="00A74A1E" w:rsidRDefault="00A74A1E">
            <w:pPr>
              <w:rPr>
                <w:rFonts w:ascii="宋体"/>
              </w:rPr>
            </w:pPr>
          </w:p>
        </w:tc>
        <w:tc>
          <w:tcPr>
            <w:tcW w:w="5" w:type="pct"/>
            <w:shd w:val="clear" w:color="auto" w:fill="auto"/>
          </w:tcPr>
          <w:p w14:paraId="1426FB33" w14:textId="77777777" w:rsidR="00A74A1E" w:rsidRDefault="00A74A1E">
            <w:pPr>
              <w:rPr>
                <w:rFonts w:ascii="宋体"/>
              </w:rPr>
            </w:pPr>
          </w:p>
        </w:tc>
        <w:tc>
          <w:tcPr>
            <w:tcW w:w="26" w:type="pct"/>
            <w:shd w:val="clear" w:color="auto" w:fill="auto"/>
          </w:tcPr>
          <w:p w14:paraId="1426FB34" w14:textId="77777777" w:rsidR="00A74A1E" w:rsidRDefault="00A74A1E">
            <w:pPr>
              <w:rPr>
                <w:rFonts w:ascii="宋体"/>
              </w:rPr>
            </w:pPr>
          </w:p>
        </w:tc>
        <w:tc>
          <w:tcPr>
            <w:tcW w:w="5" w:type="pct"/>
            <w:shd w:val="clear" w:color="auto" w:fill="auto"/>
          </w:tcPr>
          <w:p w14:paraId="1426FB35" w14:textId="77777777" w:rsidR="00A74A1E" w:rsidRDefault="00A74A1E">
            <w:pPr>
              <w:rPr>
                <w:rFonts w:ascii="宋体"/>
              </w:rPr>
            </w:pPr>
          </w:p>
        </w:tc>
        <w:tc>
          <w:tcPr>
            <w:tcW w:w="50" w:type="pct"/>
            <w:shd w:val="clear" w:color="auto" w:fill="auto"/>
          </w:tcPr>
          <w:p w14:paraId="1426FB36" w14:textId="77777777" w:rsidR="00A74A1E" w:rsidRDefault="00A74A1E">
            <w:pPr>
              <w:rPr>
                <w:rFonts w:ascii="宋体"/>
              </w:rPr>
            </w:pPr>
          </w:p>
        </w:tc>
        <w:tc>
          <w:tcPr>
            <w:tcW w:w="4445" w:type="pct"/>
            <w:shd w:val="clear" w:color="auto" w:fill="auto"/>
          </w:tcPr>
          <w:p w14:paraId="1426FB37" w14:textId="77777777" w:rsidR="00A74A1E" w:rsidRDefault="00A74A1E">
            <w:pPr>
              <w:rPr>
                <w:rFonts w:ascii="宋体"/>
              </w:rPr>
            </w:pPr>
          </w:p>
        </w:tc>
        <w:tc>
          <w:tcPr>
            <w:tcW w:w="5" w:type="pct"/>
            <w:shd w:val="clear" w:color="auto" w:fill="auto"/>
          </w:tcPr>
          <w:p w14:paraId="1426FB38" w14:textId="77777777" w:rsidR="00A74A1E" w:rsidRDefault="00A74A1E">
            <w:pPr>
              <w:rPr>
                <w:rFonts w:ascii="宋体"/>
              </w:rPr>
            </w:pPr>
          </w:p>
        </w:tc>
      </w:tr>
      <w:tr w:rsidR="00A74A1E" w14:paraId="1426FB3D" w14:textId="77777777">
        <w:tc>
          <w:tcPr>
            <w:tcW w:w="0" w:type="auto"/>
            <w:gridSpan w:val="3"/>
            <w:shd w:val="clear" w:color="auto" w:fill="auto"/>
            <w:tcMar>
              <w:top w:w="40" w:type="dxa"/>
              <w:left w:w="135" w:type="dxa"/>
              <w:bottom w:w="40" w:type="dxa"/>
              <w:right w:w="20" w:type="dxa"/>
            </w:tcMar>
          </w:tcPr>
          <w:p w14:paraId="1426FB3A" w14:textId="77777777" w:rsidR="00A74A1E" w:rsidRDefault="00807990">
            <w:pPr>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tcPr>
          <w:p w14:paraId="1426FB3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3C" w14:textId="77777777" w:rsidR="00A74A1E" w:rsidRDefault="00807990">
            <w:pPr>
              <w:textAlignment w:val="bottom"/>
            </w:pPr>
            <w:hyperlink r:id="rId46" w:history="1">
              <w:r>
                <w:rPr>
                  <w:rStyle w:val="a5"/>
                  <w:rFonts w:ascii="Arial" w:eastAsia="宋体" w:hAnsi="Arial" w:cs="Arial"/>
                  <w:color w:val="0E32E1"/>
                  <w:sz w:val="20"/>
                  <w:szCs w:val="20"/>
                  <w:u w:val="none"/>
                </w:rPr>
                <w:t>Wafer Supply Agreement, among Advanced Micro Devices, Inc., The Foundry Company and AMD Fab Technologies US, Inc., dated March 2, 2009.</w:t>
              </w:r>
            </w:hyperlink>
          </w:p>
        </w:tc>
      </w:tr>
      <w:tr w:rsidR="00A74A1E" w14:paraId="1426FB41" w14:textId="77777777">
        <w:tc>
          <w:tcPr>
            <w:tcW w:w="0" w:type="auto"/>
            <w:gridSpan w:val="3"/>
            <w:shd w:val="clear" w:color="auto" w:fill="auto"/>
            <w:tcMar>
              <w:top w:w="40" w:type="dxa"/>
              <w:left w:w="135" w:type="dxa"/>
              <w:bottom w:w="40" w:type="dxa"/>
              <w:right w:w="20" w:type="dxa"/>
            </w:tcMar>
          </w:tcPr>
          <w:p w14:paraId="1426FB3E" w14:textId="77777777" w:rsidR="00A74A1E" w:rsidRDefault="00807990">
            <w:pPr>
              <w:textAlignment w:val="top"/>
            </w:pPr>
            <w:r>
              <w:rPr>
                <w:rFonts w:ascii="Arial" w:eastAsia="宋体" w:hAnsi="Arial" w:cs="Arial"/>
                <w:color w:val="000000"/>
                <w:sz w:val="20"/>
                <w:szCs w:val="20"/>
              </w:rPr>
              <w:t>*10.2</w:t>
            </w:r>
          </w:p>
        </w:tc>
        <w:tc>
          <w:tcPr>
            <w:tcW w:w="0" w:type="auto"/>
            <w:gridSpan w:val="3"/>
            <w:shd w:val="clear" w:color="auto" w:fill="auto"/>
            <w:tcMar>
              <w:top w:w="0" w:type="dxa"/>
              <w:left w:w="20" w:type="dxa"/>
              <w:bottom w:w="0" w:type="dxa"/>
              <w:right w:w="20" w:type="dxa"/>
            </w:tcMar>
          </w:tcPr>
          <w:p w14:paraId="1426FB3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40" w14:textId="77777777" w:rsidR="00A74A1E" w:rsidRDefault="00807990">
            <w:pPr>
              <w:textAlignment w:val="bottom"/>
            </w:pPr>
            <w:hyperlink r:id="rId47" w:history="1">
              <w:r>
                <w:rPr>
                  <w:rStyle w:val="a5"/>
                  <w:rFonts w:ascii="Arial" w:eastAsia="宋体" w:hAnsi="Arial" w:cs="Arial"/>
                  <w:color w:val="0E32E1"/>
                  <w:sz w:val="20"/>
                  <w:szCs w:val="20"/>
                  <w:u w:val="none"/>
                </w:rPr>
                <w:t>Wafer Supply Agreement Amendment No. 1, among Advanced Micro Devices, Inc., GLOBALFOUNDRIES Inc., GLOBALFOUNDRIES U.S. Inc. and GLOBALFOUNDRIES Singapore</w:t>
              </w:r>
              <w:r>
                <w:rPr>
                  <w:rStyle w:val="a5"/>
                  <w:rFonts w:ascii="Arial" w:eastAsia="宋体" w:hAnsi="Arial" w:cs="Arial"/>
                  <w:color w:val="0E32E1"/>
                  <w:sz w:val="20"/>
                  <w:szCs w:val="20"/>
                  <w:u w:val="none"/>
                </w:rPr>
                <w:t>. Pte. Ltd., dated March 29, 2011.</w:t>
              </w:r>
            </w:hyperlink>
          </w:p>
        </w:tc>
      </w:tr>
      <w:tr w:rsidR="00A74A1E" w14:paraId="1426FB45" w14:textId="77777777">
        <w:tc>
          <w:tcPr>
            <w:tcW w:w="0" w:type="auto"/>
            <w:gridSpan w:val="3"/>
            <w:shd w:val="clear" w:color="auto" w:fill="auto"/>
            <w:tcMar>
              <w:top w:w="40" w:type="dxa"/>
              <w:left w:w="135" w:type="dxa"/>
              <w:bottom w:w="40" w:type="dxa"/>
              <w:right w:w="20" w:type="dxa"/>
            </w:tcMar>
          </w:tcPr>
          <w:p w14:paraId="1426FB42" w14:textId="77777777" w:rsidR="00A74A1E" w:rsidRDefault="00807990">
            <w:pPr>
              <w:textAlignment w:val="top"/>
            </w:pPr>
            <w:r>
              <w:rPr>
                <w:rFonts w:ascii="Arial" w:eastAsia="宋体" w:hAnsi="Arial" w:cs="Arial"/>
                <w:color w:val="000000"/>
                <w:sz w:val="20"/>
                <w:szCs w:val="20"/>
              </w:rPr>
              <w:t>*10.3</w:t>
            </w:r>
          </w:p>
        </w:tc>
        <w:tc>
          <w:tcPr>
            <w:tcW w:w="0" w:type="auto"/>
            <w:gridSpan w:val="3"/>
            <w:shd w:val="clear" w:color="auto" w:fill="auto"/>
            <w:tcMar>
              <w:top w:w="0" w:type="dxa"/>
              <w:left w:w="20" w:type="dxa"/>
              <w:bottom w:w="0" w:type="dxa"/>
              <w:right w:w="20" w:type="dxa"/>
            </w:tcMar>
          </w:tcPr>
          <w:p w14:paraId="1426FB43"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44" w14:textId="77777777" w:rsidR="00A74A1E" w:rsidRDefault="00807990">
            <w:pPr>
              <w:textAlignment w:val="bottom"/>
            </w:pPr>
            <w:hyperlink r:id="rId48" w:history="1">
              <w:r>
                <w:rPr>
                  <w:rStyle w:val="a5"/>
                  <w:rFonts w:ascii="Arial" w:eastAsia="宋体" w:hAnsi="Arial" w:cs="Arial"/>
                  <w:color w:val="0E32E1"/>
                  <w:sz w:val="20"/>
                  <w:szCs w:val="20"/>
                  <w:u w:val="none"/>
                </w:rPr>
                <w:t>Wafer Supply Agreement Amendment No. 2, among Advanced Micro Devices, Inc., GLOBALFOUNDRIES Inc., GLOBALFO</w:t>
              </w:r>
              <w:r>
                <w:rPr>
                  <w:rStyle w:val="a5"/>
                  <w:rFonts w:ascii="Arial" w:eastAsia="宋体" w:hAnsi="Arial" w:cs="Arial"/>
                  <w:color w:val="0E32E1"/>
                  <w:sz w:val="20"/>
                  <w:szCs w:val="20"/>
                  <w:u w:val="none"/>
                </w:rPr>
                <w:t>UNDRIES U.S. Inc., Advanced Technology Investment Company LLC and ATIC International Investment Company LLC, dated March 4, 2012.</w:t>
              </w:r>
            </w:hyperlink>
          </w:p>
        </w:tc>
      </w:tr>
      <w:tr w:rsidR="00A74A1E" w14:paraId="1426FB49" w14:textId="77777777">
        <w:tc>
          <w:tcPr>
            <w:tcW w:w="0" w:type="auto"/>
            <w:gridSpan w:val="3"/>
            <w:shd w:val="clear" w:color="auto" w:fill="auto"/>
            <w:tcMar>
              <w:top w:w="40" w:type="dxa"/>
              <w:left w:w="135" w:type="dxa"/>
              <w:bottom w:w="40" w:type="dxa"/>
              <w:right w:w="20" w:type="dxa"/>
            </w:tcMar>
          </w:tcPr>
          <w:p w14:paraId="1426FB46" w14:textId="77777777" w:rsidR="00A74A1E" w:rsidRDefault="00807990">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1426FB4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48" w14:textId="77777777" w:rsidR="00A74A1E" w:rsidRDefault="00807990">
            <w:pPr>
              <w:textAlignment w:val="bottom"/>
            </w:pPr>
            <w:hyperlink r:id="rId49" w:history="1">
              <w:r>
                <w:rPr>
                  <w:rStyle w:val="a5"/>
                  <w:rFonts w:ascii="Arial" w:eastAsia="宋体" w:hAnsi="Arial" w:cs="Arial"/>
                  <w:color w:val="0E32E1"/>
                  <w:sz w:val="20"/>
                  <w:szCs w:val="20"/>
                  <w:u w:val="none"/>
                </w:rPr>
                <w:t>Wafer Suppl</w:t>
              </w:r>
              <w:r>
                <w:rPr>
                  <w:rStyle w:val="a5"/>
                  <w:rFonts w:ascii="Arial" w:eastAsia="宋体" w:hAnsi="Arial" w:cs="Arial"/>
                  <w:color w:val="0E32E1"/>
                  <w:sz w:val="20"/>
                  <w:szCs w:val="20"/>
                  <w:u w:val="none"/>
                </w:rPr>
                <w:t>y Agreement Amendment No. 3, among Advanced Micro Devices, Inc., GLOBALFOUNDRIES Inc. and GLOBALFOUNDRIES U.S. Inc., dated December 6, 2012.</w:t>
              </w:r>
            </w:hyperlink>
          </w:p>
        </w:tc>
      </w:tr>
      <w:tr w:rsidR="00A74A1E" w14:paraId="1426FB4D" w14:textId="77777777">
        <w:tc>
          <w:tcPr>
            <w:tcW w:w="0" w:type="auto"/>
            <w:gridSpan w:val="3"/>
            <w:shd w:val="clear" w:color="auto" w:fill="auto"/>
            <w:tcMar>
              <w:top w:w="40" w:type="dxa"/>
              <w:left w:w="135" w:type="dxa"/>
              <w:bottom w:w="40" w:type="dxa"/>
              <w:right w:w="20" w:type="dxa"/>
            </w:tcMar>
          </w:tcPr>
          <w:p w14:paraId="1426FB4A" w14:textId="77777777" w:rsidR="00A74A1E" w:rsidRDefault="00807990">
            <w:pPr>
              <w:textAlignment w:val="top"/>
            </w:pPr>
            <w:r>
              <w:rPr>
                <w:rFonts w:ascii="Arial" w:eastAsia="宋体" w:hAnsi="Arial" w:cs="Arial"/>
                <w:color w:val="000000"/>
                <w:sz w:val="20"/>
                <w:szCs w:val="20"/>
              </w:rPr>
              <w:t>*10.5</w:t>
            </w:r>
          </w:p>
        </w:tc>
        <w:tc>
          <w:tcPr>
            <w:tcW w:w="0" w:type="auto"/>
            <w:gridSpan w:val="3"/>
            <w:shd w:val="clear" w:color="auto" w:fill="auto"/>
            <w:tcMar>
              <w:top w:w="0" w:type="dxa"/>
              <w:left w:w="20" w:type="dxa"/>
              <w:bottom w:w="0" w:type="dxa"/>
              <w:right w:w="20" w:type="dxa"/>
            </w:tcMar>
          </w:tcPr>
          <w:p w14:paraId="1426FB4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4C" w14:textId="77777777" w:rsidR="00A74A1E" w:rsidRDefault="00807990">
            <w:pPr>
              <w:textAlignment w:val="bottom"/>
            </w:pPr>
            <w:hyperlink r:id="rId50" w:history="1">
              <w:r>
                <w:rPr>
                  <w:rStyle w:val="a5"/>
                  <w:rFonts w:ascii="Arial" w:eastAsia="宋体" w:hAnsi="Arial" w:cs="Arial"/>
                  <w:color w:val="0E32E1"/>
                  <w:sz w:val="20"/>
                  <w:szCs w:val="20"/>
                  <w:u w:val="none"/>
                </w:rPr>
                <w:t>Wafer Supply Agreement Amendment No. 4, among Advanced Micro Devices, Inc., GLOBALFOUNDRIES Inc. and GLOBALFOUNDRIES U.S. Inc., dated March 30, 2014.</w:t>
              </w:r>
            </w:hyperlink>
          </w:p>
        </w:tc>
      </w:tr>
      <w:tr w:rsidR="00A74A1E" w14:paraId="1426FB51" w14:textId="77777777">
        <w:tc>
          <w:tcPr>
            <w:tcW w:w="0" w:type="auto"/>
            <w:gridSpan w:val="3"/>
            <w:shd w:val="clear" w:color="auto" w:fill="auto"/>
            <w:tcMar>
              <w:top w:w="40" w:type="dxa"/>
              <w:left w:w="135" w:type="dxa"/>
              <w:bottom w:w="40" w:type="dxa"/>
              <w:right w:w="20" w:type="dxa"/>
            </w:tcMar>
          </w:tcPr>
          <w:p w14:paraId="1426FB4E" w14:textId="77777777" w:rsidR="00A74A1E" w:rsidRDefault="00807990">
            <w:pPr>
              <w:textAlignment w:val="top"/>
            </w:pPr>
            <w:r>
              <w:rPr>
                <w:rFonts w:ascii="Arial" w:eastAsia="宋体" w:hAnsi="Arial" w:cs="Arial"/>
                <w:color w:val="000000"/>
                <w:sz w:val="20"/>
                <w:szCs w:val="20"/>
              </w:rPr>
              <w:t>*10.6</w:t>
            </w:r>
          </w:p>
        </w:tc>
        <w:tc>
          <w:tcPr>
            <w:tcW w:w="0" w:type="auto"/>
            <w:gridSpan w:val="3"/>
            <w:shd w:val="clear" w:color="auto" w:fill="auto"/>
            <w:tcMar>
              <w:top w:w="0" w:type="dxa"/>
              <w:left w:w="20" w:type="dxa"/>
              <w:bottom w:w="0" w:type="dxa"/>
              <w:right w:w="20" w:type="dxa"/>
            </w:tcMar>
          </w:tcPr>
          <w:p w14:paraId="1426FB4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50" w14:textId="77777777" w:rsidR="00A74A1E" w:rsidRDefault="00807990">
            <w:pPr>
              <w:textAlignment w:val="bottom"/>
            </w:pPr>
            <w:hyperlink r:id="rId51" w:history="1">
              <w:r>
                <w:rPr>
                  <w:rStyle w:val="a5"/>
                  <w:rFonts w:ascii="Arial" w:eastAsia="宋体" w:hAnsi="Arial" w:cs="Arial"/>
                  <w:color w:val="0E32E1"/>
                  <w:sz w:val="20"/>
                  <w:szCs w:val="20"/>
                  <w:u w:val="none"/>
                </w:rPr>
                <w:t>Wafer Supply Agreement Amendment No. 5, among Advanced Micro Devices, Inc., GLOBALFOUNDRIES Inc. and GLOBALFOUNDRIES U.S. Inc., dated as of Apri</w:t>
              </w:r>
              <w:r>
                <w:rPr>
                  <w:rStyle w:val="a5"/>
                  <w:rFonts w:ascii="Arial" w:eastAsia="宋体" w:hAnsi="Arial" w:cs="Arial"/>
                  <w:color w:val="0E32E1"/>
                  <w:sz w:val="20"/>
                  <w:szCs w:val="20"/>
                  <w:u w:val="none"/>
                </w:rPr>
                <w:t>l 16, 2015.</w:t>
              </w:r>
            </w:hyperlink>
          </w:p>
        </w:tc>
      </w:tr>
      <w:tr w:rsidR="00A74A1E" w14:paraId="1426FB55" w14:textId="77777777">
        <w:tc>
          <w:tcPr>
            <w:tcW w:w="0" w:type="auto"/>
            <w:gridSpan w:val="3"/>
            <w:shd w:val="clear" w:color="auto" w:fill="auto"/>
            <w:tcMar>
              <w:top w:w="40" w:type="dxa"/>
              <w:left w:w="135" w:type="dxa"/>
              <w:bottom w:w="40" w:type="dxa"/>
              <w:right w:w="20" w:type="dxa"/>
            </w:tcMar>
          </w:tcPr>
          <w:p w14:paraId="1426FB52" w14:textId="77777777" w:rsidR="00A74A1E" w:rsidRDefault="00807990">
            <w:pPr>
              <w:textAlignment w:val="top"/>
            </w:pPr>
            <w:r>
              <w:rPr>
                <w:rFonts w:ascii="Arial" w:eastAsia="宋体" w:hAnsi="Arial" w:cs="Arial"/>
                <w:color w:val="000000"/>
                <w:sz w:val="20"/>
                <w:szCs w:val="20"/>
              </w:rPr>
              <w:t>*10.7</w:t>
            </w:r>
          </w:p>
        </w:tc>
        <w:tc>
          <w:tcPr>
            <w:tcW w:w="0" w:type="auto"/>
            <w:gridSpan w:val="3"/>
            <w:shd w:val="clear" w:color="auto" w:fill="auto"/>
            <w:tcMar>
              <w:top w:w="0" w:type="dxa"/>
              <w:left w:w="20" w:type="dxa"/>
              <w:bottom w:w="0" w:type="dxa"/>
              <w:right w:w="20" w:type="dxa"/>
            </w:tcMar>
          </w:tcPr>
          <w:p w14:paraId="1426FB53"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54" w14:textId="77777777" w:rsidR="00A74A1E" w:rsidRDefault="00807990">
            <w:pPr>
              <w:textAlignment w:val="bottom"/>
            </w:pPr>
            <w:hyperlink r:id="rId52" w:history="1">
              <w:r>
                <w:rPr>
                  <w:rStyle w:val="a5"/>
                  <w:rFonts w:ascii="Arial" w:eastAsia="宋体" w:hAnsi="Arial" w:cs="Arial"/>
                  <w:color w:val="0E32E1"/>
                  <w:sz w:val="20"/>
                  <w:szCs w:val="20"/>
                  <w:u w:val="none"/>
                </w:rPr>
                <w:t>Wafer Supply Agreement Amendment No. 6, among Advanced Micro Devices, Inc., GLOBALFOUNDRIES, Inc. and GLOBALFOUNDRIES U.S., Inc.,</w:t>
              </w:r>
              <w:r>
                <w:rPr>
                  <w:rStyle w:val="a5"/>
                  <w:rFonts w:ascii="Arial" w:eastAsia="宋体" w:hAnsi="Arial" w:cs="Arial"/>
                  <w:color w:val="0E32E1"/>
                  <w:sz w:val="20"/>
                  <w:szCs w:val="20"/>
                  <w:u w:val="none"/>
                </w:rPr>
                <w:t xml:space="preserve"> dated August 30, 2016.</w:t>
              </w:r>
            </w:hyperlink>
          </w:p>
        </w:tc>
      </w:tr>
      <w:tr w:rsidR="00A74A1E" w14:paraId="1426FB59" w14:textId="77777777">
        <w:tc>
          <w:tcPr>
            <w:tcW w:w="0" w:type="auto"/>
            <w:gridSpan w:val="3"/>
            <w:shd w:val="clear" w:color="auto" w:fill="auto"/>
            <w:tcMar>
              <w:top w:w="40" w:type="dxa"/>
              <w:left w:w="135" w:type="dxa"/>
              <w:bottom w:w="40" w:type="dxa"/>
              <w:right w:w="20" w:type="dxa"/>
            </w:tcMar>
          </w:tcPr>
          <w:p w14:paraId="1426FB56" w14:textId="77777777" w:rsidR="00A74A1E" w:rsidRDefault="00807990">
            <w:pPr>
              <w:textAlignment w:val="top"/>
            </w:pPr>
            <w:r>
              <w:rPr>
                <w:rFonts w:ascii="Arial" w:eastAsia="宋体" w:hAnsi="Arial" w:cs="Arial"/>
                <w:color w:val="000000"/>
                <w:sz w:val="20"/>
                <w:szCs w:val="20"/>
              </w:rPr>
              <w:t>31.1</w:t>
            </w:r>
          </w:p>
        </w:tc>
        <w:tc>
          <w:tcPr>
            <w:tcW w:w="0" w:type="auto"/>
            <w:gridSpan w:val="3"/>
            <w:shd w:val="clear" w:color="auto" w:fill="auto"/>
            <w:tcMar>
              <w:top w:w="0" w:type="dxa"/>
              <w:left w:w="20" w:type="dxa"/>
              <w:bottom w:w="0" w:type="dxa"/>
              <w:right w:w="20" w:type="dxa"/>
            </w:tcMar>
          </w:tcPr>
          <w:p w14:paraId="1426FB5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58" w14:textId="77777777" w:rsidR="00A74A1E" w:rsidRDefault="00807990">
            <w:pPr>
              <w:textAlignment w:val="bottom"/>
            </w:pPr>
            <w:hyperlink r:id="rId53" w:history="1">
              <w:r>
                <w:rPr>
                  <w:rStyle w:val="a5"/>
                  <w:rFonts w:ascii="Arial" w:eastAsia="宋体" w:hAnsi="Arial" w:cs="Arial"/>
                  <w:color w:val="0E32E1"/>
                  <w:sz w:val="20"/>
                  <w:szCs w:val="20"/>
                  <w:u w:val="none"/>
                </w:rPr>
                <w:t>Certification of the Chief Executive Officer pursuant to Section 302 of the Sarbanes-Oxley Act of 2002.</w:t>
              </w:r>
            </w:hyperlink>
          </w:p>
        </w:tc>
      </w:tr>
      <w:tr w:rsidR="00A74A1E" w14:paraId="1426FB5D" w14:textId="77777777">
        <w:tc>
          <w:tcPr>
            <w:tcW w:w="0" w:type="auto"/>
            <w:gridSpan w:val="3"/>
            <w:shd w:val="clear" w:color="auto" w:fill="auto"/>
            <w:tcMar>
              <w:top w:w="40" w:type="dxa"/>
              <w:left w:w="135" w:type="dxa"/>
              <w:bottom w:w="40" w:type="dxa"/>
              <w:right w:w="20" w:type="dxa"/>
            </w:tcMar>
          </w:tcPr>
          <w:p w14:paraId="1426FB5A" w14:textId="77777777" w:rsidR="00A74A1E" w:rsidRDefault="00807990">
            <w:pPr>
              <w:textAlignment w:val="top"/>
            </w:pPr>
            <w:r>
              <w:rPr>
                <w:rFonts w:ascii="Arial" w:eastAsia="宋体" w:hAnsi="Arial" w:cs="Arial"/>
                <w:color w:val="000000"/>
                <w:sz w:val="20"/>
                <w:szCs w:val="20"/>
              </w:rPr>
              <w:t>31.2</w:t>
            </w:r>
          </w:p>
        </w:tc>
        <w:tc>
          <w:tcPr>
            <w:tcW w:w="0" w:type="auto"/>
            <w:gridSpan w:val="3"/>
            <w:shd w:val="clear" w:color="auto" w:fill="auto"/>
            <w:tcMar>
              <w:top w:w="0" w:type="dxa"/>
              <w:left w:w="20" w:type="dxa"/>
              <w:bottom w:w="0" w:type="dxa"/>
              <w:right w:w="20" w:type="dxa"/>
            </w:tcMar>
          </w:tcPr>
          <w:p w14:paraId="1426FB5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5C" w14:textId="77777777" w:rsidR="00A74A1E" w:rsidRDefault="00807990">
            <w:pPr>
              <w:textAlignment w:val="bottom"/>
            </w:pPr>
            <w:hyperlink r:id="rId54" w:history="1">
              <w:r>
                <w:rPr>
                  <w:rStyle w:val="a5"/>
                  <w:rFonts w:ascii="Arial" w:eastAsia="宋体" w:hAnsi="Arial" w:cs="Arial"/>
                  <w:color w:val="0E32E1"/>
                  <w:sz w:val="20"/>
                  <w:szCs w:val="20"/>
                  <w:u w:val="none"/>
                </w:rPr>
                <w:t>Certification of the Chief Financial Officer pursuant to Section 302 of the Sarbanes-Oxley Act of 2002.</w:t>
              </w:r>
            </w:hyperlink>
          </w:p>
        </w:tc>
      </w:tr>
      <w:tr w:rsidR="00A74A1E" w14:paraId="1426FB61" w14:textId="77777777">
        <w:tc>
          <w:tcPr>
            <w:tcW w:w="0" w:type="auto"/>
            <w:gridSpan w:val="3"/>
            <w:shd w:val="clear" w:color="auto" w:fill="auto"/>
            <w:tcMar>
              <w:top w:w="40" w:type="dxa"/>
              <w:left w:w="135" w:type="dxa"/>
              <w:bottom w:w="40" w:type="dxa"/>
              <w:right w:w="20" w:type="dxa"/>
            </w:tcMar>
          </w:tcPr>
          <w:p w14:paraId="1426FB5E" w14:textId="77777777" w:rsidR="00A74A1E" w:rsidRDefault="00807990">
            <w:pPr>
              <w:textAlignment w:val="top"/>
            </w:pPr>
            <w:r>
              <w:rPr>
                <w:rFonts w:ascii="Arial" w:eastAsia="宋体" w:hAnsi="Arial" w:cs="Arial"/>
                <w:color w:val="000000"/>
                <w:sz w:val="20"/>
                <w:szCs w:val="20"/>
              </w:rPr>
              <w:t>32.1</w:t>
            </w:r>
          </w:p>
        </w:tc>
        <w:tc>
          <w:tcPr>
            <w:tcW w:w="0" w:type="auto"/>
            <w:gridSpan w:val="3"/>
            <w:shd w:val="clear" w:color="auto" w:fill="auto"/>
            <w:tcMar>
              <w:top w:w="0" w:type="dxa"/>
              <w:left w:w="20" w:type="dxa"/>
              <w:bottom w:w="0" w:type="dxa"/>
              <w:right w:w="20" w:type="dxa"/>
            </w:tcMar>
          </w:tcPr>
          <w:p w14:paraId="1426FB5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60" w14:textId="77777777" w:rsidR="00A74A1E" w:rsidRDefault="00807990">
            <w:pPr>
              <w:textAlignment w:val="bottom"/>
            </w:pPr>
            <w:hyperlink r:id="rId55" w:history="1">
              <w:r>
                <w:rPr>
                  <w:rStyle w:val="a5"/>
                  <w:rFonts w:ascii="Arial" w:eastAsia="宋体" w:hAnsi="Arial" w:cs="Arial"/>
                  <w:color w:val="0E32E1"/>
                  <w:sz w:val="20"/>
                  <w:szCs w:val="20"/>
                  <w:u w:val="none"/>
                </w:rPr>
                <w:t>Certification of the Principal Executive Officer pursuant to Section 906 of the Sarbanes-Oxley Act of 2002.</w:t>
              </w:r>
            </w:hyperlink>
          </w:p>
        </w:tc>
      </w:tr>
      <w:tr w:rsidR="00A74A1E" w14:paraId="1426FB65" w14:textId="77777777">
        <w:tc>
          <w:tcPr>
            <w:tcW w:w="0" w:type="auto"/>
            <w:gridSpan w:val="3"/>
            <w:shd w:val="clear" w:color="auto" w:fill="auto"/>
            <w:tcMar>
              <w:top w:w="40" w:type="dxa"/>
              <w:left w:w="135" w:type="dxa"/>
              <w:bottom w:w="40" w:type="dxa"/>
              <w:right w:w="20" w:type="dxa"/>
            </w:tcMar>
          </w:tcPr>
          <w:p w14:paraId="1426FB62" w14:textId="77777777" w:rsidR="00A74A1E" w:rsidRDefault="00807990">
            <w:pPr>
              <w:textAlignment w:val="top"/>
            </w:pPr>
            <w:r>
              <w:rPr>
                <w:rFonts w:ascii="Arial" w:eastAsia="宋体" w:hAnsi="Arial" w:cs="Arial"/>
                <w:color w:val="000000"/>
                <w:sz w:val="20"/>
                <w:szCs w:val="20"/>
              </w:rPr>
              <w:t>32.2</w:t>
            </w:r>
          </w:p>
        </w:tc>
        <w:tc>
          <w:tcPr>
            <w:tcW w:w="0" w:type="auto"/>
            <w:gridSpan w:val="3"/>
            <w:shd w:val="clear" w:color="auto" w:fill="auto"/>
            <w:tcMar>
              <w:top w:w="0" w:type="dxa"/>
              <w:left w:w="20" w:type="dxa"/>
              <w:bottom w:w="0" w:type="dxa"/>
              <w:right w:w="20" w:type="dxa"/>
            </w:tcMar>
          </w:tcPr>
          <w:p w14:paraId="1426FB63"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vAlign w:val="bottom"/>
          </w:tcPr>
          <w:p w14:paraId="1426FB64" w14:textId="77777777" w:rsidR="00A74A1E" w:rsidRDefault="00807990">
            <w:pPr>
              <w:textAlignment w:val="bottom"/>
            </w:pPr>
            <w:hyperlink r:id="rId56" w:history="1">
              <w:r>
                <w:rPr>
                  <w:rStyle w:val="a5"/>
                  <w:rFonts w:ascii="Arial" w:eastAsia="宋体" w:hAnsi="Arial" w:cs="Arial"/>
                  <w:color w:val="0E32E1"/>
                  <w:sz w:val="20"/>
                  <w:szCs w:val="20"/>
                  <w:u w:val="none"/>
                </w:rPr>
                <w:t>Certification of the Principal Financial Officer pursuant to Section 906 of the Sarbanes-Oxley Act of 2002.</w:t>
              </w:r>
            </w:hyperlink>
          </w:p>
        </w:tc>
      </w:tr>
      <w:tr w:rsidR="00A74A1E" w14:paraId="1426FB69" w14:textId="77777777">
        <w:tc>
          <w:tcPr>
            <w:tcW w:w="0" w:type="auto"/>
            <w:gridSpan w:val="3"/>
            <w:shd w:val="clear" w:color="auto" w:fill="auto"/>
            <w:tcMar>
              <w:top w:w="40" w:type="dxa"/>
              <w:left w:w="20" w:type="dxa"/>
              <w:bottom w:w="40" w:type="dxa"/>
              <w:right w:w="20" w:type="dxa"/>
            </w:tcMar>
          </w:tcPr>
          <w:p w14:paraId="1426FB66" w14:textId="77777777" w:rsidR="00A74A1E" w:rsidRDefault="00807990">
            <w:pPr>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tcPr>
          <w:p w14:paraId="1426FB6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68" w14:textId="77777777" w:rsidR="00A74A1E" w:rsidRDefault="00807990">
            <w:pPr>
              <w:textAlignment w:val="top"/>
            </w:pPr>
            <w:r>
              <w:rPr>
                <w:rFonts w:ascii="Arial" w:eastAsia="宋体" w:hAnsi="Arial" w:cs="Arial"/>
                <w:color w:val="000000"/>
                <w:sz w:val="20"/>
                <w:szCs w:val="20"/>
              </w:rPr>
              <w:t>XBRL Instance Document.</w:t>
            </w:r>
          </w:p>
        </w:tc>
      </w:tr>
      <w:tr w:rsidR="00A74A1E" w14:paraId="1426FB6D" w14:textId="77777777">
        <w:tc>
          <w:tcPr>
            <w:tcW w:w="0" w:type="auto"/>
            <w:gridSpan w:val="3"/>
            <w:shd w:val="clear" w:color="auto" w:fill="auto"/>
            <w:tcMar>
              <w:top w:w="40" w:type="dxa"/>
              <w:left w:w="20" w:type="dxa"/>
              <w:bottom w:w="40" w:type="dxa"/>
              <w:right w:w="20" w:type="dxa"/>
            </w:tcMar>
          </w:tcPr>
          <w:p w14:paraId="1426FB6A" w14:textId="77777777" w:rsidR="00A74A1E" w:rsidRDefault="00807990">
            <w:pPr>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tcPr>
          <w:p w14:paraId="1426FB6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6C" w14:textId="77777777" w:rsidR="00A74A1E" w:rsidRDefault="00807990">
            <w:pPr>
              <w:textAlignment w:val="top"/>
            </w:pPr>
            <w:r>
              <w:rPr>
                <w:rFonts w:ascii="Arial" w:eastAsia="宋体" w:hAnsi="Arial" w:cs="Arial"/>
                <w:color w:val="000000"/>
                <w:sz w:val="20"/>
                <w:szCs w:val="20"/>
              </w:rPr>
              <w:t xml:space="preserve">XBRL Taxonomy Extension Schema </w:t>
            </w:r>
            <w:r>
              <w:rPr>
                <w:rFonts w:ascii="Arial" w:eastAsia="宋体" w:hAnsi="Arial" w:cs="Arial"/>
                <w:color w:val="000000"/>
                <w:sz w:val="20"/>
                <w:szCs w:val="20"/>
              </w:rPr>
              <w:t>Document.</w:t>
            </w:r>
          </w:p>
        </w:tc>
      </w:tr>
      <w:tr w:rsidR="00A74A1E" w14:paraId="1426FB71" w14:textId="77777777">
        <w:tc>
          <w:tcPr>
            <w:tcW w:w="0" w:type="auto"/>
            <w:gridSpan w:val="3"/>
            <w:shd w:val="clear" w:color="auto" w:fill="auto"/>
            <w:tcMar>
              <w:top w:w="40" w:type="dxa"/>
              <w:left w:w="20" w:type="dxa"/>
              <w:bottom w:w="40" w:type="dxa"/>
              <w:right w:w="20" w:type="dxa"/>
            </w:tcMar>
          </w:tcPr>
          <w:p w14:paraId="1426FB6E" w14:textId="77777777" w:rsidR="00A74A1E" w:rsidRDefault="00807990">
            <w:pPr>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tcPr>
          <w:p w14:paraId="1426FB6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70" w14:textId="77777777" w:rsidR="00A74A1E" w:rsidRDefault="00807990">
            <w:pPr>
              <w:textAlignment w:val="top"/>
            </w:pPr>
            <w:r>
              <w:rPr>
                <w:rFonts w:ascii="Arial" w:eastAsia="宋体" w:hAnsi="Arial" w:cs="Arial"/>
                <w:color w:val="000000"/>
                <w:sz w:val="20"/>
                <w:szCs w:val="20"/>
              </w:rPr>
              <w:t>XBRL Taxonomy Extension Calculation Linkbase Document.</w:t>
            </w:r>
          </w:p>
        </w:tc>
      </w:tr>
      <w:tr w:rsidR="00A74A1E" w14:paraId="1426FB75" w14:textId="77777777">
        <w:tc>
          <w:tcPr>
            <w:tcW w:w="0" w:type="auto"/>
            <w:gridSpan w:val="3"/>
            <w:shd w:val="clear" w:color="auto" w:fill="auto"/>
            <w:tcMar>
              <w:top w:w="40" w:type="dxa"/>
              <w:left w:w="20" w:type="dxa"/>
              <w:bottom w:w="40" w:type="dxa"/>
              <w:right w:w="20" w:type="dxa"/>
            </w:tcMar>
          </w:tcPr>
          <w:p w14:paraId="1426FB72" w14:textId="77777777" w:rsidR="00A74A1E" w:rsidRDefault="00807990">
            <w:pPr>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tcPr>
          <w:p w14:paraId="1426FB73"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74" w14:textId="77777777" w:rsidR="00A74A1E" w:rsidRDefault="00807990">
            <w:pPr>
              <w:textAlignment w:val="top"/>
            </w:pPr>
            <w:r>
              <w:rPr>
                <w:rFonts w:ascii="Arial" w:eastAsia="宋体" w:hAnsi="Arial" w:cs="Arial"/>
                <w:color w:val="000000"/>
                <w:sz w:val="20"/>
                <w:szCs w:val="20"/>
              </w:rPr>
              <w:t>XBRL Taxonomy Extension Definition Linkbase Document.</w:t>
            </w:r>
          </w:p>
        </w:tc>
      </w:tr>
      <w:tr w:rsidR="00A74A1E" w14:paraId="1426FB79" w14:textId="77777777">
        <w:tc>
          <w:tcPr>
            <w:tcW w:w="0" w:type="auto"/>
            <w:gridSpan w:val="3"/>
            <w:shd w:val="clear" w:color="auto" w:fill="auto"/>
            <w:tcMar>
              <w:top w:w="40" w:type="dxa"/>
              <w:left w:w="20" w:type="dxa"/>
              <w:bottom w:w="40" w:type="dxa"/>
              <w:right w:w="20" w:type="dxa"/>
            </w:tcMar>
          </w:tcPr>
          <w:p w14:paraId="1426FB76" w14:textId="77777777" w:rsidR="00A74A1E" w:rsidRDefault="00807990">
            <w:pPr>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tcPr>
          <w:p w14:paraId="1426FB77"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78" w14:textId="77777777" w:rsidR="00A74A1E" w:rsidRDefault="00807990">
            <w:pPr>
              <w:textAlignment w:val="top"/>
            </w:pPr>
            <w:r>
              <w:rPr>
                <w:rFonts w:ascii="Arial" w:eastAsia="宋体" w:hAnsi="Arial" w:cs="Arial"/>
                <w:color w:val="000000"/>
                <w:sz w:val="20"/>
                <w:szCs w:val="20"/>
              </w:rPr>
              <w:t>XBRL Taxonomy Extension Label Linkbase Document.</w:t>
            </w:r>
          </w:p>
        </w:tc>
      </w:tr>
      <w:tr w:rsidR="00A74A1E" w14:paraId="1426FB7D" w14:textId="77777777">
        <w:tc>
          <w:tcPr>
            <w:tcW w:w="0" w:type="auto"/>
            <w:gridSpan w:val="3"/>
            <w:shd w:val="clear" w:color="auto" w:fill="auto"/>
            <w:tcMar>
              <w:top w:w="40" w:type="dxa"/>
              <w:left w:w="20" w:type="dxa"/>
              <w:bottom w:w="40" w:type="dxa"/>
              <w:right w:w="20" w:type="dxa"/>
            </w:tcMar>
          </w:tcPr>
          <w:p w14:paraId="1426FB7A" w14:textId="77777777" w:rsidR="00A74A1E" w:rsidRDefault="00807990">
            <w:pPr>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tcPr>
          <w:p w14:paraId="1426FB7B"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7C" w14:textId="77777777" w:rsidR="00A74A1E" w:rsidRDefault="00807990">
            <w:pPr>
              <w:textAlignment w:val="top"/>
            </w:pPr>
            <w:r>
              <w:rPr>
                <w:rFonts w:ascii="Arial" w:eastAsia="宋体" w:hAnsi="Arial" w:cs="Arial"/>
                <w:color w:val="000000"/>
                <w:sz w:val="20"/>
                <w:szCs w:val="20"/>
              </w:rPr>
              <w:t xml:space="preserve">XBRL Taxonomy Extension Presentation </w:t>
            </w:r>
            <w:r>
              <w:rPr>
                <w:rFonts w:ascii="Arial" w:eastAsia="宋体" w:hAnsi="Arial" w:cs="Arial"/>
                <w:color w:val="000000"/>
                <w:sz w:val="20"/>
                <w:szCs w:val="20"/>
              </w:rPr>
              <w:t>Linkbase Document.</w:t>
            </w:r>
          </w:p>
        </w:tc>
      </w:tr>
      <w:tr w:rsidR="00A74A1E" w14:paraId="1426FB81" w14:textId="77777777">
        <w:tc>
          <w:tcPr>
            <w:tcW w:w="0" w:type="auto"/>
            <w:gridSpan w:val="3"/>
            <w:shd w:val="clear" w:color="auto" w:fill="auto"/>
            <w:tcMar>
              <w:top w:w="40" w:type="dxa"/>
              <w:left w:w="20" w:type="dxa"/>
              <w:bottom w:w="40" w:type="dxa"/>
              <w:right w:w="20" w:type="dxa"/>
            </w:tcMar>
          </w:tcPr>
          <w:p w14:paraId="1426FB7E" w14:textId="77777777" w:rsidR="00A74A1E" w:rsidRDefault="00807990">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1426FB7F"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80" w14:textId="77777777" w:rsidR="00A74A1E" w:rsidRDefault="00807990">
            <w:pPr>
              <w:textAlignment w:val="top"/>
            </w:pPr>
            <w:r>
              <w:rPr>
                <w:rFonts w:ascii="Arial" w:eastAsia="宋体" w:hAnsi="Arial" w:cs="Arial"/>
                <w:color w:val="000000"/>
                <w:sz w:val="20"/>
                <w:szCs w:val="20"/>
              </w:rPr>
              <w:t>Cover Page Interactive Data File - the cover page XBRL tags are embedded within the Inline XBRL document</w:t>
            </w:r>
          </w:p>
        </w:tc>
      </w:tr>
    </w:tbl>
    <w:p w14:paraId="1426FB82" w14:textId="77777777" w:rsidR="00A74A1E" w:rsidRDefault="00807990">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A74A1E" w14:paraId="1426FB89" w14:textId="77777777">
        <w:tc>
          <w:tcPr>
            <w:tcW w:w="50" w:type="pct"/>
            <w:shd w:val="clear" w:color="auto" w:fill="auto"/>
          </w:tcPr>
          <w:p w14:paraId="1426FB83" w14:textId="77777777" w:rsidR="00A74A1E" w:rsidRDefault="00A74A1E">
            <w:pPr>
              <w:rPr>
                <w:rFonts w:ascii="宋体"/>
              </w:rPr>
            </w:pPr>
          </w:p>
        </w:tc>
        <w:tc>
          <w:tcPr>
            <w:tcW w:w="237" w:type="pct"/>
            <w:shd w:val="clear" w:color="auto" w:fill="auto"/>
          </w:tcPr>
          <w:p w14:paraId="1426FB84" w14:textId="77777777" w:rsidR="00A74A1E" w:rsidRDefault="00A74A1E">
            <w:pPr>
              <w:rPr>
                <w:rFonts w:ascii="宋体"/>
              </w:rPr>
            </w:pPr>
          </w:p>
        </w:tc>
        <w:tc>
          <w:tcPr>
            <w:tcW w:w="5" w:type="pct"/>
            <w:shd w:val="clear" w:color="auto" w:fill="auto"/>
          </w:tcPr>
          <w:p w14:paraId="1426FB85" w14:textId="77777777" w:rsidR="00A74A1E" w:rsidRDefault="00A74A1E">
            <w:pPr>
              <w:rPr>
                <w:rFonts w:ascii="宋体"/>
              </w:rPr>
            </w:pPr>
          </w:p>
        </w:tc>
        <w:tc>
          <w:tcPr>
            <w:tcW w:w="50" w:type="pct"/>
            <w:shd w:val="clear" w:color="auto" w:fill="auto"/>
          </w:tcPr>
          <w:p w14:paraId="1426FB86" w14:textId="77777777" w:rsidR="00A74A1E" w:rsidRDefault="00A74A1E">
            <w:pPr>
              <w:rPr>
                <w:rFonts w:ascii="宋体"/>
              </w:rPr>
            </w:pPr>
          </w:p>
        </w:tc>
        <w:tc>
          <w:tcPr>
            <w:tcW w:w="4652" w:type="pct"/>
            <w:shd w:val="clear" w:color="auto" w:fill="auto"/>
          </w:tcPr>
          <w:p w14:paraId="1426FB87" w14:textId="77777777" w:rsidR="00A74A1E" w:rsidRDefault="00A74A1E">
            <w:pPr>
              <w:rPr>
                <w:rFonts w:ascii="宋体"/>
              </w:rPr>
            </w:pPr>
          </w:p>
        </w:tc>
        <w:tc>
          <w:tcPr>
            <w:tcW w:w="5" w:type="pct"/>
            <w:shd w:val="clear" w:color="auto" w:fill="auto"/>
          </w:tcPr>
          <w:p w14:paraId="1426FB88" w14:textId="77777777" w:rsidR="00A74A1E" w:rsidRDefault="00A74A1E">
            <w:pPr>
              <w:rPr>
                <w:rFonts w:ascii="宋体"/>
              </w:rPr>
            </w:pPr>
          </w:p>
        </w:tc>
      </w:tr>
      <w:tr w:rsidR="00A74A1E" w14:paraId="1426FB8C" w14:textId="77777777">
        <w:tc>
          <w:tcPr>
            <w:tcW w:w="0" w:type="auto"/>
            <w:gridSpan w:val="3"/>
            <w:shd w:val="clear" w:color="auto" w:fill="auto"/>
            <w:tcMar>
              <w:top w:w="40" w:type="dxa"/>
              <w:left w:w="20" w:type="dxa"/>
              <w:bottom w:w="40" w:type="dxa"/>
              <w:right w:w="20" w:type="dxa"/>
            </w:tcMar>
          </w:tcPr>
          <w:p w14:paraId="1426FB8A" w14:textId="77777777" w:rsidR="00A74A1E" w:rsidRDefault="00807990">
            <w:pPr>
              <w:jc w:val="right"/>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1426FB8B" w14:textId="77777777" w:rsidR="00A74A1E" w:rsidRDefault="00807990">
            <w:pPr>
              <w:textAlignment w:val="top"/>
            </w:pPr>
            <w:r>
              <w:rPr>
                <w:rFonts w:ascii="Arial" w:eastAsia="宋体" w:hAnsi="Arial" w:cs="Arial"/>
                <w:color w:val="000000"/>
                <w:sz w:val="20"/>
                <w:szCs w:val="20"/>
              </w:rPr>
              <w:t xml:space="preserve">Portions of this exhibit have been omitted because they are both (i) not material and (ii) would be </w:t>
            </w:r>
            <w:r>
              <w:rPr>
                <w:rFonts w:ascii="Arial" w:eastAsia="宋体" w:hAnsi="Arial" w:cs="Arial"/>
                <w:color w:val="000000"/>
                <w:sz w:val="20"/>
                <w:szCs w:val="20"/>
              </w:rPr>
              <w:t>competitively harmful if publicly disclosed.</w:t>
            </w:r>
          </w:p>
        </w:tc>
      </w:tr>
      <w:tr w:rsidR="00A74A1E" w14:paraId="1426FB8F" w14:textId="77777777">
        <w:trPr>
          <w:trHeight w:val="300"/>
        </w:trPr>
        <w:tc>
          <w:tcPr>
            <w:tcW w:w="0" w:type="auto"/>
            <w:gridSpan w:val="3"/>
            <w:shd w:val="clear" w:color="auto" w:fill="auto"/>
            <w:tcMar>
              <w:top w:w="0" w:type="dxa"/>
              <w:left w:w="20" w:type="dxa"/>
              <w:bottom w:w="0" w:type="dxa"/>
              <w:right w:w="20" w:type="dxa"/>
            </w:tcMar>
          </w:tcPr>
          <w:p w14:paraId="1426FB8D"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8E" w14:textId="77777777" w:rsidR="00A74A1E" w:rsidRDefault="00A74A1E">
            <w:pPr>
              <w:rPr>
                <w:rFonts w:ascii="宋体"/>
              </w:rPr>
            </w:pPr>
          </w:p>
        </w:tc>
      </w:tr>
    </w:tbl>
    <w:p w14:paraId="1426FB90" w14:textId="77777777" w:rsidR="00A74A1E" w:rsidRDefault="00A74A1E">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A74A1E" w14:paraId="1426FB97" w14:textId="77777777">
        <w:tc>
          <w:tcPr>
            <w:tcW w:w="50" w:type="pct"/>
            <w:shd w:val="clear" w:color="auto" w:fill="auto"/>
          </w:tcPr>
          <w:p w14:paraId="1426FB91" w14:textId="77777777" w:rsidR="00A74A1E" w:rsidRDefault="00A74A1E">
            <w:pPr>
              <w:rPr>
                <w:rFonts w:ascii="宋体"/>
              </w:rPr>
            </w:pPr>
          </w:p>
        </w:tc>
        <w:tc>
          <w:tcPr>
            <w:tcW w:w="237" w:type="pct"/>
            <w:shd w:val="clear" w:color="auto" w:fill="auto"/>
          </w:tcPr>
          <w:p w14:paraId="1426FB92" w14:textId="77777777" w:rsidR="00A74A1E" w:rsidRDefault="00A74A1E">
            <w:pPr>
              <w:rPr>
                <w:rFonts w:ascii="宋体"/>
              </w:rPr>
            </w:pPr>
          </w:p>
        </w:tc>
        <w:tc>
          <w:tcPr>
            <w:tcW w:w="5" w:type="pct"/>
            <w:shd w:val="clear" w:color="auto" w:fill="auto"/>
          </w:tcPr>
          <w:p w14:paraId="1426FB93" w14:textId="77777777" w:rsidR="00A74A1E" w:rsidRDefault="00A74A1E">
            <w:pPr>
              <w:rPr>
                <w:rFonts w:ascii="宋体"/>
              </w:rPr>
            </w:pPr>
          </w:p>
        </w:tc>
        <w:tc>
          <w:tcPr>
            <w:tcW w:w="50" w:type="pct"/>
            <w:shd w:val="clear" w:color="auto" w:fill="auto"/>
          </w:tcPr>
          <w:p w14:paraId="1426FB94" w14:textId="77777777" w:rsidR="00A74A1E" w:rsidRDefault="00A74A1E">
            <w:pPr>
              <w:rPr>
                <w:rFonts w:ascii="宋体"/>
              </w:rPr>
            </w:pPr>
          </w:p>
        </w:tc>
        <w:tc>
          <w:tcPr>
            <w:tcW w:w="4652" w:type="pct"/>
            <w:shd w:val="clear" w:color="auto" w:fill="auto"/>
          </w:tcPr>
          <w:p w14:paraId="1426FB95" w14:textId="77777777" w:rsidR="00A74A1E" w:rsidRDefault="00A74A1E">
            <w:pPr>
              <w:rPr>
                <w:rFonts w:ascii="宋体"/>
              </w:rPr>
            </w:pPr>
          </w:p>
        </w:tc>
        <w:tc>
          <w:tcPr>
            <w:tcW w:w="5" w:type="pct"/>
            <w:shd w:val="clear" w:color="auto" w:fill="auto"/>
          </w:tcPr>
          <w:p w14:paraId="1426FB96" w14:textId="77777777" w:rsidR="00A74A1E" w:rsidRDefault="00A74A1E">
            <w:pPr>
              <w:rPr>
                <w:rFonts w:ascii="宋体"/>
              </w:rPr>
            </w:pPr>
          </w:p>
        </w:tc>
      </w:tr>
      <w:tr w:rsidR="00A74A1E" w14:paraId="1426FB9A" w14:textId="77777777">
        <w:trPr>
          <w:trHeight w:val="300"/>
        </w:trPr>
        <w:tc>
          <w:tcPr>
            <w:tcW w:w="0" w:type="auto"/>
            <w:gridSpan w:val="3"/>
            <w:shd w:val="clear" w:color="auto" w:fill="auto"/>
            <w:tcMar>
              <w:top w:w="0" w:type="dxa"/>
              <w:left w:w="20" w:type="dxa"/>
              <w:bottom w:w="0" w:type="dxa"/>
              <w:right w:w="20" w:type="dxa"/>
            </w:tcMar>
          </w:tcPr>
          <w:p w14:paraId="1426FB98"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99" w14:textId="77777777" w:rsidR="00A74A1E" w:rsidRDefault="00A74A1E">
            <w:pPr>
              <w:rPr>
                <w:rFonts w:ascii="宋体"/>
              </w:rPr>
            </w:pPr>
          </w:p>
        </w:tc>
      </w:tr>
    </w:tbl>
    <w:p w14:paraId="1426FB9B" w14:textId="77777777" w:rsidR="00A74A1E" w:rsidRDefault="00807990">
      <w:pPr>
        <w:jc w:val="center"/>
      </w:pPr>
      <w:r>
        <w:rPr>
          <w:rFonts w:ascii="Arial" w:eastAsia="宋体" w:hAnsi="Arial" w:cs="Arial"/>
          <w:color w:val="000000"/>
          <w:sz w:val="20"/>
          <w:szCs w:val="20"/>
        </w:rPr>
        <w:t>50</w:t>
      </w:r>
    </w:p>
    <w:p w14:paraId="1426FB9C" w14:textId="77777777" w:rsidR="00A74A1E" w:rsidRDefault="00807990">
      <w:r>
        <w:pict w14:anchorId="1426FC3D">
          <v:rect id="_x0000_i1074" style="width:415.3pt;height:1.5pt" o:hralign="center" o:hrstd="t" o:hr="t" fillcolor="#a0a0a0" stroked="f"/>
        </w:pict>
      </w:r>
    </w:p>
    <w:p w14:paraId="1426FB9D" w14:textId="77777777" w:rsidR="00A74A1E" w:rsidRDefault="00A74A1E">
      <w:pPr>
        <w:spacing w:before="60"/>
      </w:pPr>
    </w:p>
    <w:p w14:paraId="1426FB9E" w14:textId="77777777" w:rsidR="00A74A1E" w:rsidRDefault="00807990">
      <w:pPr>
        <w:jc w:val="center"/>
      </w:pPr>
      <w:r>
        <w:rPr>
          <w:rFonts w:ascii="Arial" w:eastAsia="宋体" w:hAnsi="Arial" w:cs="Arial"/>
          <w:b/>
          <w:bCs/>
          <w:color w:val="000000"/>
          <w:sz w:val="20"/>
          <w:szCs w:val="20"/>
        </w:rPr>
        <w:t>SIGNATURE</w:t>
      </w:r>
    </w:p>
    <w:p w14:paraId="1426FB9F" w14:textId="77777777" w:rsidR="00A74A1E" w:rsidRDefault="00807990">
      <w:pPr>
        <w:spacing w:before="180"/>
        <w:ind w:firstLine="495"/>
        <w:jc w:val="both"/>
      </w:pPr>
      <w:r>
        <w:rPr>
          <w:rFonts w:ascii="Arial" w:eastAsia="宋体" w:hAnsi="Arial" w:cs="Arial"/>
          <w:color w:val="000000"/>
          <w:sz w:val="20"/>
          <w:szCs w:val="20"/>
        </w:rPr>
        <w:t xml:space="preserve">Pursuant to the requirements of the Securities Exchange Act of 1934, the registrant has duly caused this report to be signed on its behalf by the undersigned thereunto duly </w:t>
      </w:r>
      <w:r>
        <w:rPr>
          <w:rFonts w:ascii="Arial" w:eastAsia="宋体" w:hAnsi="Arial" w:cs="Arial"/>
          <w:color w:val="000000"/>
          <w:sz w:val="20"/>
          <w:szCs w:val="20"/>
        </w:rPr>
        <w:t>authorized.</w:t>
      </w:r>
    </w:p>
    <w:p w14:paraId="1426FBA0" w14:textId="77777777" w:rsidR="00A74A1E" w:rsidRDefault="00807990">
      <w:r>
        <w:rPr>
          <w:rFonts w:ascii="Arial" w:eastAsia="宋体" w:hAnsi="Arial" w:cs="Arial"/>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0"/>
        <w:gridCol w:w="3602"/>
        <w:gridCol w:w="36"/>
        <w:gridCol w:w="36"/>
        <w:gridCol w:w="36"/>
        <w:gridCol w:w="36"/>
        <w:gridCol w:w="83"/>
        <w:gridCol w:w="539"/>
        <w:gridCol w:w="37"/>
        <w:gridCol w:w="36"/>
        <w:gridCol w:w="3774"/>
        <w:gridCol w:w="36"/>
      </w:tblGrid>
      <w:tr w:rsidR="00A74A1E" w14:paraId="1426FBAD" w14:textId="77777777">
        <w:tc>
          <w:tcPr>
            <w:tcW w:w="50" w:type="pct"/>
            <w:shd w:val="clear" w:color="auto" w:fill="auto"/>
          </w:tcPr>
          <w:p w14:paraId="1426FBA1" w14:textId="77777777" w:rsidR="00A74A1E" w:rsidRDefault="00A74A1E">
            <w:pPr>
              <w:rPr>
                <w:rFonts w:ascii="宋体"/>
              </w:rPr>
            </w:pPr>
          </w:p>
        </w:tc>
        <w:tc>
          <w:tcPr>
            <w:tcW w:w="2181" w:type="pct"/>
            <w:shd w:val="clear" w:color="auto" w:fill="auto"/>
          </w:tcPr>
          <w:p w14:paraId="1426FBA2" w14:textId="77777777" w:rsidR="00A74A1E" w:rsidRDefault="00A74A1E">
            <w:pPr>
              <w:rPr>
                <w:rFonts w:ascii="宋体"/>
              </w:rPr>
            </w:pPr>
          </w:p>
        </w:tc>
        <w:tc>
          <w:tcPr>
            <w:tcW w:w="5" w:type="pct"/>
            <w:shd w:val="clear" w:color="auto" w:fill="auto"/>
          </w:tcPr>
          <w:p w14:paraId="1426FBA3" w14:textId="77777777" w:rsidR="00A74A1E" w:rsidRDefault="00A74A1E">
            <w:pPr>
              <w:rPr>
                <w:rFonts w:ascii="宋体"/>
              </w:rPr>
            </w:pPr>
          </w:p>
        </w:tc>
        <w:tc>
          <w:tcPr>
            <w:tcW w:w="5" w:type="pct"/>
            <w:shd w:val="clear" w:color="auto" w:fill="auto"/>
          </w:tcPr>
          <w:p w14:paraId="1426FBA4" w14:textId="77777777" w:rsidR="00A74A1E" w:rsidRDefault="00A74A1E">
            <w:pPr>
              <w:rPr>
                <w:rFonts w:ascii="宋体"/>
              </w:rPr>
            </w:pPr>
          </w:p>
        </w:tc>
        <w:tc>
          <w:tcPr>
            <w:tcW w:w="26" w:type="pct"/>
            <w:shd w:val="clear" w:color="auto" w:fill="auto"/>
          </w:tcPr>
          <w:p w14:paraId="1426FBA5" w14:textId="77777777" w:rsidR="00A74A1E" w:rsidRDefault="00A74A1E">
            <w:pPr>
              <w:rPr>
                <w:rFonts w:ascii="宋体"/>
              </w:rPr>
            </w:pPr>
          </w:p>
        </w:tc>
        <w:tc>
          <w:tcPr>
            <w:tcW w:w="5" w:type="pct"/>
            <w:shd w:val="clear" w:color="auto" w:fill="auto"/>
          </w:tcPr>
          <w:p w14:paraId="1426FBA6" w14:textId="77777777" w:rsidR="00A74A1E" w:rsidRDefault="00A74A1E">
            <w:pPr>
              <w:rPr>
                <w:rFonts w:ascii="宋体"/>
              </w:rPr>
            </w:pPr>
          </w:p>
        </w:tc>
        <w:tc>
          <w:tcPr>
            <w:tcW w:w="50" w:type="pct"/>
            <w:shd w:val="clear" w:color="auto" w:fill="auto"/>
          </w:tcPr>
          <w:p w14:paraId="1426FBA7" w14:textId="77777777" w:rsidR="00A74A1E" w:rsidRDefault="00A74A1E">
            <w:pPr>
              <w:rPr>
                <w:rFonts w:ascii="宋体"/>
              </w:rPr>
            </w:pPr>
          </w:p>
        </w:tc>
        <w:tc>
          <w:tcPr>
            <w:tcW w:w="326" w:type="pct"/>
            <w:shd w:val="clear" w:color="auto" w:fill="auto"/>
          </w:tcPr>
          <w:p w14:paraId="1426FBA8" w14:textId="77777777" w:rsidR="00A74A1E" w:rsidRDefault="00A74A1E">
            <w:pPr>
              <w:rPr>
                <w:rFonts w:ascii="宋体"/>
              </w:rPr>
            </w:pPr>
          </w:p>
        </w:tc>
        <w:tc>
          <w:tcPr>
            <w:tcW w:w="5" w:type="pct"/>
            <w:shd w:val="clear" w:color="auto" w:fill="auto"/>
          </w:tcPr>
          <w:p w14:paraId="1426FBA9" w14:textId="77777777" w:rsidR="00A74A1E" w:rsidRDefault="00A74A1E">
            <w:pPr>
              <w:rPr>
                <w:rFonts w:ascii="宋体"/>
              </w:rPr>
            </w:pPr>
          </w:p>
        </w:tc>
        <w:tc>
          <w:tcPr>
            <w:tcW w:w="50" w:type="pct"/>
            <w:shd w:val="clear" w:color="auto" w:fill="auto"/>
          </w:tcPr>
          <w:p w14:paraId="1426FBAA" w14:textId="77777777" w:rsidR="00A74A1E" w:rsidRDefault="00A74A1E">
            <w:pPr>
              <w:rPr>
                <w:rFonts w:ascii="宋体"/>
              </w:rPr>
            </w:pPr>
          </w:p>
        </w:tc>
        <w:tc>
          <w:tcPr>
            <w:tcW w:w="2291" w:type="pct"/>
            <w:shd w:val="clear" w:color="auto" w:fill="auto"/>
          </w:tcPr>
          <w:p w14:paraId="1426FBAB" w14:textId="77777777" w:rsidR="00A74A1E" w:rsidRDefault="00A74A1E">
            <w:pPr>
              <w:rPr>
                <w:rFonts w:ascii="宋体"/>
              </w:rPr>
            </w:pPr>
          </w:p>
        </w:tc>
        <w:tc>
          <w:tcPr>
            <w:tcW w:w="5" w:type="pct"/>
            <w:shd w:val="clear" w:color="auto" w:fill="auto"/>
          </w:tcPr>
          <w:p w14:paraId="1426FBAC" w14:textId="77777777" w:rsidR="00A74A1E" w:rsidRDefault="00A74A1E">
            <w:pPr>
              <w:rPr>
                <w:rFonts w:ascii="宋体"/>
              </w:rPr>
            </w:pPr>
          </w:p>
        </w:tc>
      </w:tr>
      <w:tr w:rsidR="00A74A1E" w14:paraId="1426FBB1" w14:textId="77777777">
        <w:tc>
          <w:tcPr>
            <w:tcW w:w="0" w:type="auto"/>
            <w:gridSpan w:val="3"/>
            <w:shd w:val="clear" w:color="auto" w:fill="auto"/>
            <w:tcMar>
              <w:top w:w="0" w:type="dxa"/>
              <w:left w:w="20" w:type="dxa"/>
              <w:bottom w:w="0" w:type="dxa"/>
              <w:right w:w="20" w:type="dxa"/>
            </w:tcMar>
          </w:tcPr>
          <w:p w14:paraId="1426FBAE"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AF" w14:textId="77777777" w:rsidR="00A74A1E" w:rsidRDefault="00A74A1E">
            <w:pPr>
              <w:rPr>
                <w:rFonts w:ascii="宋体"/>
              </w:rPr>
            </w:pPr>
          </w:p>
        </w:tc>
        <w:tc>
          <w:tcPr>
            <w:tcW w:w="0" w:type="auto"/>
            <w:gridSpan w:val="6"/>
            <w:shd w:val="clear" w:color="auto" w:fill="auto"/>
            <w:tcMar>
              <w:top w:w="40" w:type="dxa"/>
              <w:left w:w="20" w:type="dxa"/>
              <w:bottom w:w="40" w:type="dxa"/>
              <w:right w:w="20" w:type="dxa"/>
            </w:tcMar>
            <w:vAlign w:val="bottom"/>
          </w:tcPr>
          <w:p w14:paraId="1426FBB0" w14:textId="77777777" w:rsidR="00A74A1E" w:rsidRDefault="00807990">
            <w:pPr>
              <w:textAlignment w:val="bottom"/>
            </w:pPr>
            <w:r>
              <w:rPr>
                <w:rFonts w:ascii="Arial" w:eastAsia="宋体" w:hAnsi="Arial" w:cs="Arial"/>
                <w:b/>
                <w:bCs/>
                <w:color w:val="000000"/>
                <w:sz w:val="20"/>
                <w:szCs w:val="20"/>
              </w:rPr>
              <w:t>ADVANCED MICRO DEVICES, INC.</w:t>
            </w:r>
          </w:p>
        </w:tc>
      </w:tr>
      <w:tr w:rsidR="00A74A1E" w14:paraId="1426FBB6" w14:textId="77777777">
        <w:trPr>
          <w:trHeight w:val="60"/>
        </w:trPr>
        <w:tc>
          <w:tcPr>
            <w:tcW w:w="0" w:type="auto"/>
            <w:gridSpan w:val="3"/>
            <w:shd w:val="clear" w:color="auto" w:fill="auto"/>
            <w:tcMar>
              <w:top w:w="0" w:type="dxa"/>
              <w:left w:w="20" w:type="dxa"/>
              <w:bottom w:w="0" w:type="dxa"/>
              <w:right w:w="20" w:type="dxa"/>
            </w:tcMar>
          </w:tcPr>
          <w:p w14:paraId="1426FBB2"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B3"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B4"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B5" w14:textId="77777777" w:rsidR="00A74A1E" w:rsidRDefault="00A74A1E">
            <w:pPr>
              <w:rPr>
                <w:rFonts w:ascii="宋体"/>
              </w:rPr>
            </w:pPr>
          </w:p>
        </w:tc>
      </w:tr>
      <w:tr w:rsidR="00A74A1E" w14:paraId="1426FBBB" w14:textId="77777777">
        <w:tc>
          <w:tcPr>
            <w:tcW w:w="0" w:type="auto"/>
            <w:gridSpan w:val="3"/>
            <w:shd w:val="clear" w:color="auto" w:fill="auto"/>
            <w:tcMar>
              <w:top w:w="40" w:type="dxa"/>
              <w:left w:w="20" w:type="dxa"/>
              <w:bottom w:w="40" w:type="dxa"/>
              <w:right w:w="20" w:type="dxa"/>
            </w:tcMar>
            <w:vAlign w:val="bottom"/>
          </w:tcPr>
          <w:p w14:paraId="1426FBB7" w14:textId="77777777" w:rsidR="00A74A1E" w:rsidRDefault="00807990">
            <w:pPr>
              <w:textAlignment w:val="bottom"/>
            </w:pPr>
            <w:r>
              <w:rPr>
                <w:rFonts w:ascii="Arial" w:eastAsia="宋体" w:hAnsi="Arial" w:cs="Arial"/>
                <w:color w:val="000000"/>
                <w:sz w:val="20"/>
                <w:szCs w:val="20"/>
              </w:rPr>
              <w:t>October 28, 2020</w:t>
            </w:r>
          </w:p>
        </w:tc>
        <w:tc>
          <w:tcPr>
            <w:tcW w:w="0" w:type="auto"/>
            <w:gridSpan w:val="3"/>
            <w:shd w:val="clear" w:color="auto" w:fill="auto"/>
            <w:tcMar>
              <w:top w:w="0" w:type="dxa"/>
              <w:left w:w="20" w:type="dxa"/>
              <w:bottom w:w="0" w:type="dxa"/>
              <w:right w:w="20" w:type="dxa"/>
            </w:tcMar>
          </w:tcPr>
          <w:p w14:paraId="1426FBB8"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B9" w14:textId="77777777" w:rsidR="00A74A1E" w:rsidRDefault="00807990">
            <w:pPr>
              <w:jc w:val="right"/>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426FBBA" w14:textId="77777777" w:rsidR="00A74A1E" w:rsidRDefault="00807990">
            <w:pPr>
              <w:textAlignment w:val="bottom"/>
            </w:pPr>
            <w:r>
              <w:rPr>
                <w:rFonts w:ascii="Arial" w:eastAsia="宋体" w:hAnsi="Arial" w:cs="Arial"/>
                <w:i/>
                <w:iCs/>
                <w:color w:val="000000"/>
                <w:sz w:val="20"/>
                <w:szCs w:val="20"/>
              </w:rPr>
              <w:t>/s/Devinder Kumar</w:t>
            </w:r>
          </w:p>
        </w:tc>
      </w:tr>
      <w:tr w:rsidR="00A74A1E" w14:paraId="1426FBC0" w14:textId="77777777">
        <w:tc>
          <w:tcPr>
            <w:tcW w:w="0" w:type="auto"/>
            <w:gridSpan w:val="3"/>
            <w:shd w:val="clear" w:color="auto" w:fill="auto"/>
            <w:tcMar>
              <w:top w:w="0" w:type="dxa"/>
              <w:left w:w="20" w:type="dxa"/>
              <w:bottom w:w="0" w:type="dxa"/>
              <w:right w:w="20" w:type="dxa"/>
            </w:tcMar>
          </w:tcPr>
          <w:p w14:paraId="1426FBBC"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BD"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BE" w14:textId="77777777" w:rsidR="00A74A1E" w:rsidRDefault="00807990">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426FBBF" w14:textId="77777777" w:rsidR="00A74A1E" w:rsidRDefault="00807990">
            <w:pPr>
              <w:textAlignment w:val="bottom"/>
            </w:pPr>
            <w:r>
              <w:rPr>
                <w:rFonts w:ascii="Arial" w:eastAsia="宋体" w:hAnsi="Arial" w:cs="Arial"/>
                <w:color w:val="000000"/>
                <w:sz w:val="20"/>
                <w:szCs w:val="20"/>
              </w:rPr>
              <w:t>Devinder Kumar</w:t>
            </w:r>
          </w:p>
        </w:tc>
      </w:tr>
      <w:tr w:rsidR="00A74A1E" w14:paraId="1426FBC5" w14:textId="77777777">
        <w:tc>
          <w:tcPr>
            <w:tcW w:w="0" w:type="auto"/>
            <w:gridSpan w:val="3"/>
            <w:shd w:val="clear" w:color="auto" w:fill="auto"/>
            <w:tcMar>
              <w:top w:w="0" w:type="dxa"/>
              <w:left w:w="20" w:type="dxa"/>
              <w:bottom w:w="0" w:type="dxa"/>
              <w:right w:w="20" w:type="dxa"/>
            </w:tcMar>
          </w:tcPr>
          <w:p w14:paraId="1426FBC1" w14:textId="77777777" w:rsidR="00A74A1E" w:rsidRDefault="00A74A1E">
            <w:pPr>
              <w:rPr>
                <w:rFonts w:ascii="宋体"/>
              </w:rPr>
            </w:pPr>
          </w:p>
        </w:tc>
        <w:tc>
          <w:tcPr>
            <w:tcW w:w="0" w:type="auto"/>
            <w:gridSpan w:val="3"/>
            <w:shd w:val="clear" w:color="auto" w:fill="auto"/>
            <w:tcMar>
              <w:top w:w="0" w:type="dxa"/>
              <w:left w:w="20" w:type="dxa"/>
              <w:bottom w:w="0" w:type="dxa"/>
              <w:right w:w="20" w:type="dxa"/>
            </w:tcMar>
          </w:tcPr>
          <w:p w14:paraId="1426FBC2" w14:textId="77777777" w:rsidR="00A74A1E" w:rsidRDefault="00A74A1E">
            <w:pPr>
              <w:rPr>
                <w:rFonts w:ascii="宋体"/>
              </w:rPr>
            </w:pPr>
          </w:p>
        </w:tc>
        <w:tc>
          <w:tcPr>
            <w:tcW w:w="0" w:type="auto"/>
            <w:gridSpan w:val="3"/>
            <w:shd w:val="clear" w:color="auto" w:fill="auto"/>
            <w:tcMar>
              <w:top w:w="40" w:type="dxa"/>
              <w:left w:w="20" w:type="dxa"/>
              <w:bottom w:w="40" w:type="dxa"/>
              <w:right w:w="20" w:type="dxa"/>
            </w:tcMar>
          </w:tcPr>
          <w:p w14:paraId="1426FBC3" w14:textId="77777777" w:rsidR="00A74A1E" w:rsidRDefault="00807990">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1426FBC4" w14:textId="77777777" w:rsidR="00A74A1E" w:rsidRDefault="00807990">
            <w:pPr>
              <w:textAlignment w:val="bottom"/>
            </w:pPr>
            <w:r>
              <w:rPr>
                <w:rFonts w:ascii="Arial" w:eastAsia="宋体" w:hAnsi="Arial" w:cs="Arial"/>
                <w:color w:val="000000"/>
                <w:sz w:val="20"/>
                <w:szCs w:val="20"/>
              </w:rPr>
              <w:t>Senior Vice President, Chief Financial Officer and Treasurer</w:t>
            </w:r>
            <w:r>
              <w:rPr>
                <w:rFonts w:ascii="Arial" w:eastAsia="宋体" w:hAnsi="Arial" w:cs="Arial"/>
                <w:color w:val="000000"/>
                <w:sz w:val="20"/>
                <w:szCs w:val="20"/>
              </w:rPr>
              <w:br/>
              <w:t xml:space="preserve">Signing on behalf of the Registrant as the </w:t>
            </w:r>
            <w:r>
              <w:rPr>
                <w:rFonts w:ascii="Arial" w:eastAsia="宋体" w:hAnsi="Arial" w:cs="Arial"/>
                <w:color w:val="000000"/>
                <w:sz w:val="20"/>
                <w:szCs w:val="20"/>
              </w:rPr>
              <w:t>Principal Financial Officer</w:t>
            </w:r>
          </w:p>
        </w:tc>
      </w:tr>
    </w:tbl>
    <w:p w14:paraId="1426FBC6" w14:textId="77777777" w:rsidR="00A74A1E" w:rsidRDefault="00807990">
      <w:pPr>
        <w:jc w:val="center"/>
      </w:pPr>
      <w:r>
        <w:rPr>
          <w:rFonts w:ascii="Arial" w:eastAsia="宋体" w:hAnsi="Arial" w:cs="Arial"/>
          <w:color w:val="000000"/>
          <w:sz w:val="20"/>
          <w:szCs w:val="20"/>
        </w:rPr>
        <w:t>51</w:t>
      </w:r>
    </w:p>
    <w:p w14:paraId="1426FBC7" w14:textId="77777777" w:rsidR="00A74A1E" w:rsidRDefault="0080799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26FC3E" wp14:editId="1426FC3F">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C9" w14:textId="77777777">
        <w:trPr>
          <w:tblCellSpacing w:w="15" w:type="dxa"/>
        </w:trPr>
        <w:tc>
          <w:tcPr>
            <w:tcW w:w="0" w:type="auto"/>
            <w:shd w:val="clear" w:color="auto" w:fill="auto"/>
            <w:vAlign w:val="center"/>
          </w:tcPr>
          <w:p w14:paraId="1426FBC8" w14:textId="77777777" w:rsidR="00A74A1E" w:rsidRDefault="00A74A1E">
            <w:pPr>
              <w:rPr>
                <w:rFonts w:ascii="宋体"/>
              </w:rPr>
            </w:pPr>
          </w:p>
        </w:tc>
      </w:tr>
    </w:tbl>
    <w:p w14:paraId="1426FBCA"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CC" w14:textId="77777777">
        <w:trPr>
          <w:tblCellSpacing w:w="15" w:type="dxa"/>
        </w:trPr>
        <w:tc>
          <w:tcPr>
            <w:tcW w:w="0" w:type="auto"/>
            <w:shd w:val="clear" w:color="auto" w:fill="auto"/>
            <w:vAlign w:val="center"/>
          </w:tcPr>
          <w:p w14:paraId="1426FBCB" w14:textId="77777777" w:rsidR="00A74A1E" w:rsidRDefault="00A74A1E">
            <w:pPr>
              <w:rPr>
                <w:rFonts w:ascii="宋体"/>
              </w:rPr>
            </w:pPr>
          </w:p>
        </w:tc>
      </w:tr>
    </w:tbl>
    <w:p w14:paraId="1426FBCD"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CF" w14:textId="77777777">
        <w:trPr>
          <w:tblCellSpacing w:w="15" w:type="dxa"/>
        </w:trPr>
        <w:tc>
          <w:tcPr>
            <w:tcW w:w="0" w:type="auto"/>
            <w:shd w:val="clear" w:color="auto" w:fill="auto"/>
            <w:vAlign w:val="center"/>
          </w:tcPr>
          <w:p w14:paraId="1426FBCE" w14:textId="77777777" w:rsidR="00A74A1E" w:rsidRDefault="00A74A1E">
            <w:pPr>
              <w:rPr>
                <w:rFonts w:ascii="宋体"/>
              </w:rPr>
            </w:pPr>
          </w:p>
        </w:tc>
      </w:tr>
    </w:tbl>
    <w:p w14:paraId="1426FBD0"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D2" w14:textId="77777777">
        <w:trPr>
          <w:tblCellSpacing w:w="15" w:type="dxa"/>
        </w:trPr>
        <w:tc>
          <w:tcPr>
            <w:tcW w:w="0" w:type="auto"/>
            <w:shd w:val="clear" w:color="auto" w:fill="auto"/>
            <w:vAlign w:val="center"/>
          </w:tcPr>
          <w:p w14:paraId="1426FBD1" w14:textId="77777777" w:rsidR="00A74A1E" w:rsidRDefault="00A74A1E">
            <w:pPr>
              <w:rPr>
                <w:rFonts w:ascii="宋体"/>
              </w:rPr>
            </w:pPr>
          </w:p>
        </w:tc>
      </w:tr>
    </w:tbl>
    <w:p w14:paraId="1426FBD3" w14:textId="77777777" w:rsidR="00A74A1E" w:rsidRDefault="00807990">
      <w:r>
        <w:rPr>
          <w:rFonts w:ascii="宋体" w:eastAsia="宋体" w:hAnsi="宋体" w:cs="宋体"/>
        </w:rPr>
        <w:t xml:space="preserve">Previous Next </w:t>
      </w:r>
    </w:p>
    <w:p w14:paraId="1426FBD4" w14:textId="77777777" w:rsidR="00A74A1E" w:rsidRDefault="00807990">
      <w:pPr>
        <w:pStyle w:val="a3"/>
      </w:pPr>
      <w:r>
        <w:t>Settings</w:t>
      </w:r>
    </w:p>
    <w:p w14:paraId="1426FBD5" w14:textId="77777777" w:rsidR="00A74A1E" w:rsidRDefault="00807990">
      <w:pPr>
        <w:pStyle w:val="Style4"/>
      </w:pPr>
      <w:r>
        <w:t>窗体顶端</w:t>
      </w:r>
    </w:p>
    <w:p w14:paraId="1426FBD6" w14:textId="77777777" w:rsidR="00A74A1E" w:rsidRDefault="0080799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426FC40" wp14:editId="1426FC41">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426FBD7" w14:textId="77777777" w:rsidR="00A74A1E" w:rsidRDefault="0080799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426FC42" wp14:editId="1426FC43">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426FBD8" w14:textId="77777777" w:rsidR="00A74A1E" w:rsidRDefault="00807990">
      <w:r>
        <w:pict w14:anchorId="1426FC44">
          <v:rect id="_x0000_i1075" style="width:415.3pt;height:1.5pt" o:hralign="center" o:hrstd="t" o:hr="t" fillcolor="#a0a0a0" stroked="f"/>
        </w:pict>
      </w:r>
    </w:p>
    <w:p w14:paraId="1426FBD9" w14:textId="77777777" w:rsidR="00A74A1E" w:rsidRDefault="00807990">
      <w:r>
        <w:rPr>
          <w:rFonts w:ascii="宋体" w:eastAsia="宋体" w:hAnsi="宋体" w:cs="宋体"/>
        </w:rPr>
        <w:t xml:space="preserve">Tagged Data </w:t>
      </w:r>
    </w:p>
    <w:p w14:paraId="1426FBDA" w14:textId="77777777" w:rsidR="00A74A1E" w:rsidRDefault="00807990">
      <w:r>
        <w:rPr>
          <w:rFonts w:ascii="monospace" w:eastAsia="monospace" w:hAnsi="monospace" w:cs="monospace"/>
          <w:noProof/>
        </w:rPr>
        <mc:AlternateContent>
          <mc:Choice Requires="wps">
            <w:drawing>
              <wp:inline distT="0" distB="0" distL="114300" distR="114300" wp14:anchorId="1426FC45" wp14:editId="1426FC46">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p w14:paraId="1426FBDB" w14:textId="77777777" w:rsidR="00A74A1E" w:rsidRDefault="00807990">
      <w:r>
        <w:rPr>
          <w:rFonts w:ascii="宋体" w:eastAsia="宋体" w:hAnsi="宋体" w:cs="宋体"/>
        </w:rPr>
        <w:t>Save</w:t>
      </w:r>
    </w:p>
    <w:p w14:paraId="1426FBDC" w14:textId="77777777" w:rsidR="00A74A1E" w:rsidRDefault="00807990">
      <w:r>
        <w:rPr>
          <w:rFonts w:ascii="宋体" w:eastAsia="宋体" w:hAnsi="宋体" w:cs="宋体"/>
        </w:rPr>
        <w:t>Reset</w:t>
      </w:r>
    </w:p>
    <w:p w14:paraId="1426FBDD" w14:textId="77777777" w:rsidR="00A74A1E" w:rsidRDefault="00807990">
      <w:r>
        <w:pict w14:anchorId="1426FC47">
          <v:rect id="_x0000_i1076" style="width:415.3pt;height:1.5pt" o:hralign="center" o:hrstd="t" o:hr="t" fillcolor="#a0a0a0" stroked="f"/>
        </w:pict>
      </w:r>
    </w:p>
    <w:p w14:paraId="1426FBDE" w14:textId="77777777" w:rsidR="00A74A1E" w:rsidRDefault="00807990">
      <w:r>
        <w:rPr>
          <w:rFonts w:ascii="宋体" w:eastAsia="宋体" w:hAnsi="宋体" w:cs="宋体"/>
        </w:rPr>
        <w:t xml:space="preserve">Search Results </w:t>
      </w:r>
    </w:p>
    <w:p w14:paraId="1426FBDF" w14:textId="77777777" w:rsidR="00A74A1E" w:rsidRDefault="00807990">
      <w:r>
        <w:rPr>
          <w:rFonts w:ascii="monospace" w:eastAsia="monospace" w:hAnsi="monospace" w:cs="monospace"/>
          <w:noProof/>
        </w:rPr>
        <mc:AlternateContent>
          <mc:Choice Requires="wps">
            <w:drawing>
              <wp:inline distT="0" distB="0" distL="114300" distR="114300" wp14:anchorId="1426FC48" wp14:editId="1426FC49">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14:paraId="1426FBE0" w14:textId="77777777" w:rsidR="00A74A1E" w:rsidRDefault="00807990">
      <w:r>
        <w:rPr>
          <w:rFonts w:ascii="宋体" w:eastAsia="宋体" w:hAnsi="宋体" w:cs="宋体"/>
        </w:rPr>
        <w:t>Save</w:t>
      </w:r>
    </w:p>
    <w:p w14:paraId="1426FBE1" w14:textId="77777777" w:rsidR="00A74A1E" w:rsidRDefault="00807990">
      <w:r>
        <w:rPr>
          <w:rFonts w:ascii="宋体" w:eastAsia="宋体" w:hAnsi="宋体" w:cs="宋体"/>
        </w:rPr>
        <w:t>Reset</w:t>
      </w:r>
    </w:p>
    <w:p w14:paraId="1426FBE2" w14:textId="77777777" w:rsidR="00A74A1E" w:rsidRDefault="00807990">
      <w:r>
        <w:pict w14:anchorId="1426FC4A">
          <v:rect id="_x0000_i1077" style="width:415.3pt;height:1.5pt" o:hralign="center" o:hrstd="t" o:hr="t" fillcolor="#a0a0a0" stroked="f"/>
        </w:pict>
      </w:r>
    </w:p>
    <w:p w14:paraId="1426FBE3" w14:textId="77777777" w:rsidR="00A74A1E" w:rsidRDefault="00807990">
      <w:r>
        <w:rPr>
          <w:rFonts w:ascii="宋体" w:eastAsia="宋体" w:hAnsi="宋体" w:cs="宋体"/>
        </w:rPr>
        <w:t xml:space="preserve">Selected Fact </w:t>
      </w:r>
    </w:p>
    <w:p w14:paraId="1426FBE4" w14:textId="77777777" w:rsidR="00A74A1E" w:rsidRDefault="00807990">
      <w:r>
        <w:rPr>
          <w:rFonts w:ascii="monospace" w:eastAsia="monospace" w:hAnsi="monospace" w:cs="monospace"/>
          <w:noProof/>
        </w:rPr>
        <mc:AlternateContent>
          <mc:Choice Requires="wps">
            <w:drawing>
              <wp:inline distT="0" distB="0" distL="114300" distR="114300" wp14:anchorId="1426FC4B" wp14:editId="1426FC4C">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p>
    <w:p w14:paraId="1426FBE5" w14:textId="77777777" w:rsidR="00A74A1E" w:rsidRDefault="00807990">
      <w:r>
        <w:rPr>
          <w:rFonts w:ascii="宋体" w:eastAsia="宋体" w:hAnsi="宋体" w:cs="宋体"/>
        </w:rPr>
        <w:t>Save</w:t>
      </w:r>
    </w:p>
    <w:p w14:paraId="1426FBE6" w14:textId="77777777" w:rsidR="00A74A1E" w:rsidRDefault="00807990">
      <w:r>
        <w:rPr>
          <w:rFonts w:ascii="宋体" w:eastAsia="宋体" w:hAnsi="宋体" w:cs="宋体"/>
        </w:rPr>
        <w:t>Reset</w:t>
      </w:r>
    </w:p>
    <w:p w14:paraId="1426FBE7" w14:textId="77777777" w:rsidR="00A74A1E" w:rsidRDefault="00807990">
      <w:r>
        <w:pict w14:anchorId="1426FC4D">
          <v:rect id="_x0000_i1078" style="width:415.3pt;height:1.5pt" o:hralign="center" o:hrstd="t" o:hr="t" fillcolor="#a0a0a0" stroked="f"/>
        </w:pict>
      </w:r>
    </w:p>
    <w:p w14:paraId="1426FBE8" w14:textId="77777777" w:rsidR="00A74A1E" w:rsidRDefault="00807990">
      <w:r>
        <w:rPr>
          <w:rFonts w:ascii="宋体" w:eastAsia="宋体" w:hAnsi="宋体" w:cs="宋体"/>
        </w:rPr>
        <w:t xml:space="preserve">Tag Shading (hover) </w:t>
      </w:r>
    </w:p>
    <w:p w14:paraId="1426FBE9" w14:textId="77777777" w:rsidR="00A74A1E" w:rsidRDefault="00807990">
      <w:r>
        <w:rPr>
          <w:rFonts w:ascii="monospace" w:eastAsia="monospace" w:hAnsi="monospace" w:cs="monospace"/>
          <w:noProof/>
        </w:rPr>
        <mc:AlternateContent>
          <mc:Choice Requires="wps">
            <w:drawing>
              <wp:inline distT="0" distB="0" distL="114300" distR="114300" wp14:anchorId="1426FC4E" wp14:editId="1426FC4F">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1426FBEA" w14:textId="77777777" w:rsidR="00A74A1E" w:rsidRDefault="00807990">
      <w:r>
        <w:rPr>
          <w:rFonts w:ascii="宋体" w:eastAsia="宋体" w:hAnsi="宋体" w:cs="宋体"/>
        </w:rPr>
        <w:t>Save</w:t>
      </w:r>
    </w:p>
    <w:p w14:paraId="1426FBEB" w14:textId="77777777" w:rsidR="00A74A1E" w:rsidRDefault="00807990">
      <w:r>
        <w:rPr>
          <w:rFonts w:ascii="宋体" w:eastAsia="宋体" w:hAnsi="宋体" w:cs="宋体"/>
        </w:rPr>
        <w:t>Reset</w:t>
      </w:r>
    </w:p>
    <w:p w14:paraId="1426FBEC" w14:textId="77777777" w:rsidR="00A74A1E" w:rsidRDefault="00807990">
      <w:pPr>
        <w:pStyle w:val="Style5"/>
      </w:pPr>
      <w:r>
        <w:t>窗体底端</w:t>
      </w:r>
    </w:p>
    <w:p w14:paraId="1426FBED" w14:textId="77777777" w:rsidR="00A74A1E" w:rsidRDefault="0080799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26FC50" wp14:editId="1426FC51">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EF" w14:textId="77777777">
        <w:trPr>
          <w:tblCellSpacing w:w="15" w:type="dxa"/>
        </w:trPr>
        <w:tc>
          <w:tcPr>
            <w:tcW w:w="0" w:type="auto"/>
            <w:shd w:val="clear" w:color="auto" w:fill="auto"/>
            <w:vAlign w:val="center"/>
          </w:tcPr>
          <w:p w14:paraId="1426FBEE" w14:textId="77777777" w:rsidR="00A74A1E" w:rsidRDefault="00A74A1E">
            <w:pPr>
              <w:rPr>
                <w:rFonts w:ascii="宋体"/>
              </w:rPr>
            </w:pPr>
          </w:p>
        </w:tc>
      </w:tr>
    </w:tbl>
    <w:p w14:paraId="1426FBF0"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F2" w14:textId="77777777">
        <w:trPr>
          <w:tblCellSpacing w:w="15" w:type="dxa"/>
        </w:trPr>
        <w:tc>
          <w:tcPr>
            <w:tcW w:w="0" w:type="auto"/>
            <w:shd w:val="clear" w:color="auto" w:fill="auto"/>
            <w:vAlign w:val="center"/>
          </w:tcPr>
          <w:p w14:paraId="1426FBF1" w14:textId="77777777" w:rsidR="00A74A1E" w:rsidRDefault="00A74A1E">
            <w:pPr>
              <w:rPr>
                <w:rFonts w:ascii="宋体"/>
              </w:rPr>
            </w:pPr>
          </w:p>
        </w:tc>
      </w:tr>
    </w:tbl>
    <w:p w14:paraId="1426FBF3"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F5" w14:textId="77777777">
        <w:trPr>
          <w:tblCellSpacing w:w="15" w:type="dxa"/>
        </w:trPr>
        <w:tc>
          <w:tcPr>
            <w:tcW w:w="0" w:type="auto"/>
            <w:shd w:val="clear" w:color="auto" w:fill="auto"/>
            <w:vAlign w:val="center"/>
          </w:tcPr>
          <w:p w14:paraId="1426FBF4" w14:textId="77777777" w:rsidR="00A74A1E" w:rsidRDefault="00A74A1E">
            <w:pPr>
              <w:rPr>
                <w:rFonts w:ascii="宋体"/>
              </w:rPr>
            </w:pPr>
          </w:p>
        </w:tc>
      </w:tr>
    </w:tbl>
    <w:p w14:paraId="1426FBF6"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F8" w14:textId="77777777">
        <w:trPr>
          <w:tblCellSpacing w:w="15" w:type="dxa"/>
        </w:trPr>
        <w:tc>
          <w:tcPr>
            <w:tcW w:w="0" w:type="auto"/>
            <w:shd w:val="clear" w:color="auto" w:fill="auto"/>
            <w:vAlign w:val="center"/>
          </w:tcPr>
          <w:p w14:paraId="1426FBF7" w14:textId="77777777" w:rsidR="00A74A1E" w:rsidRDefault="00A74A1E">
            <w:pPr>
              <w:rPr>
                <w:rFonts w:ascii="宋体"/>
              </w:rPr>
            </w:pPr>
          </w:p>
        </w:tc>
      </w:tr>
    </w:tbl>
    <w:p w14:paraId="1426FBF9" w14:textId="77777777" w:rsidR="00A74A1E" w:rsidRDefault="00807990">
      <w:r>
        <w:rPr>
          <w:rFonts w:ascii="宋体" w:eastAsia="宋体" w:hAnsi="宋体" w:cs="宋体"/>
        </w:rPr>
        <w:t xml:space="preserve">Previous Next </w:t>
      </w:r>
    </w:p>
    <w:p w14:paraId="1426FBFA" w14:textId="77777777" w:rsidR="00A74A1E" w:rsidRDefault="00807990">
      <w:pPr>
        <w:pStyle w:val="a3"/>
      </w:pPr>
      <w:r>
        <w:t xml:space="preserve">Nested Facts / </w:t>
      </w:r>
    </w:p>
    <w:p w14:paraId="1426FBFB" w14:textId="77777777" w:rsidR="00A74A1E" w:rsidRDefault="00807990">
      <w:r>
        <w:rPr>
          <w:rFonts w:ascii="宋体" w:eastAsia="宋体" w:hAnsi="宋体" w:cs="宋体"/>
        </w:rPr>
        <w:t xml:space="preserve">Previous Next </w:t>
      </w:r>
    </w:p>
    <w:p w14:paraId="1426FBFC" w14:textId="77777777" w:rsidR="00A74A1E" w:rsidRDefault="0080799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426FC52" wp14:editId="1426FC53">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BFE" w14:textId="77777777">
        <w:trPr>
          <w:tblCellSpacing w:w="15" w:type="dxa"/>
        </w:trPr>
        <w:tc>
          <w:tcPr>
            <w:tcW w:w="0" w:type="auto"/>
            <w:shd w:val="clear" w:color="auto" w:fill="auto"/>
            <w:vAlign w:val="center"/>
          </w:tcPr>
          <w:p w14:paraId="1426FBFD" w14:textId="77777777" w:rsidR="00A74A1E" w:rsidRDefault="00A74A1E">
            <w:pPr>
              <w:rPr>
                <w:rFonts w:ascii="宋体"/>
              </w:rPr>
            </w:pPr>
          </w:p>
        </w:tc>
      </w:tr>
    </w:tbl>
    <w:p w14:paraId="1426FBFF"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C01" w14:textId="77777777">
        <w:trPr>
          <w:tblCellSpacing w:w="15" w:type="dxa"/>
        </w:trPr>
        <w:tc>
          <w:tcPr>
            <w:tcW w:w="0" w:type="auto"/>
            <w:shd w:val="clear" w:color="auto" w:fill="auto"/>
            <w:vAlign w:val="center"/>
          </w:tcPr>
          <w:p w14:paraId="1426FC00" w14:textId="77777777" w:rsidR="00A74A1E" w:rsidRDefault="00A74A1E">
            <w:pPr>
              <w:rPr>
                <w:rFonts w:ascii="宋体"/>
              </w:rPr>
            </w:pPr>
          </w:p>
        </w:tc>
      </w:tr>
    </w:tbl>
    <w:p w14:paraId="1426FC02"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C04" w14:textId="77777777">
        <w:trPr>
          <w:tblCellSpacing w:w="15" w:type="dxa"/>
        </w:trPr>
        <w:tc>
          <w:tcPr>
            <w:tcW w:w="0" w:type="auto"/>
            <w:shd w:val="clear" w:color="auto" w:fill="auto"/>
            <w:vAlign w:val="center"/>
          </w:tcPr>
          <w:p w14:paraId="1426FC03" w14:textId="77777777" w:rsidR="00A74A1E" w:rsidRDefault="00A74A1E">
            <w:pPr>
              <w:rPr>
                <w:rFonts w:ascii="宋体"/>
              </w:rPr>
            </w:pPr>
          </w:p>
        </w:tc>
      </w:tr>
    </w:tbl>
    <w:p w14:paraId="1426FC05" w14:textId="77777777" w:rsidR="00A74A1E" w:rsidRDefault="00A74A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A1E" w14:paraId="1426FC07" w14:textId="77777777">
        <w:trPr>
          <w:tblCellSpacing w:w="15" w:type="dxa"/>
        </w:trPr>
        <w:tc>
          <w:tcPr>
            <w:tcW w:w="0" w:type="auto"/>
            <w:shd w:val="clear" w:color="auto" w:fill="auto"/>
            <w:vAlign w:val="center"/>
          </w:tcPr>
          <w:p w14:paraId="1426FC06" w14:textId="77777777" w:rsidR="00A74A1E" w:rsidRDefault="00A74A1E">
            <w:pPr>
              <w:rPr>
                <w:rFonts w:ascii="宋体"/>
              </w:rPr>
            </w:pPr>
          </w:p>
        </w:tc>
      </w:tr>
    </w:tbl>
    <w:p w14:paraId="1426FC08" w14:textId="77777777" w:rsidR="00A74A1E" w:rsidRDefault="00807990">
      <w:r>
        <w:rPr>
          <w:rFonts w:ascii="宋体" w:eastAsia="宋体" w:hAnsi="宋体" w:cs="宋体"/>
        </w:rPr>
        <w:t xml:space="preserve">Previous Next </w:t>
      </w:r>
    </w:p>
    <w:p w14:paraId="1426FC09" w14:textId="77777777" w:rsidR="00A74A1E" w:rsidRDefault="00A74A1E"/>
    <w:sectPr w:rsidR="00A74A1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FFAF" w14:textId="77777777" w:rsidR="00807990" w:rsidRDefault="00807990" w:rsidP="00807990">
      <w:r>
        <w:separator/>
      </w:r>
    </w:p>
  </w:endnote>
  <w:endnote w:type="continuationSeparator" w:id="0">
    <w:p w14:paraId="478D39BC" w14:textId="77777777" w:rsidR="00807990" w:rsidRDefault="00807990" w:rsidP="0080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A80E" w14:textId="77777777" w:rsidR="00807990" w:rsidRDefault="00807990" w:rsidP="00807990">
      <w:r>
        <w:separator/>
      </w:r>
    </w:p>
  </w:footnote>
  <w:footnote w:type="continuationSeparator" w:id="0">
    <w:p w14:paraId="7E484D9E" w14:textId="77777777" w:rsidR="00807990" w:rsidRDefault="00807990" w:rsidP="00807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FB1AE3"/>
    <w:rsid w:val="00807990"/>
    <w:rsid w:val="00A74A1E"/>
    <w:rsid w:val="6EFB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6E83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0799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07990"/>
    <w:rPr>
      <w:rFonts w:asciiTheme="minorEastAsia" w:hAnsiTheme="minorEastAsia" w:cs="Times New Roman"/>
      <w:sz w:val="18"/>
      <w:szCs w:val="18"/>
    </w:rPr>
  </w:style>
  <w:style w:type="paragraph" w:styleId="a8">
    <w:name w:val="footer"/>
    <w:basedOn w:val="a"/>
    <w:link w:val="a9"/>
    <w:rsid w:val="00807990"/>
    <w:pPr>
      <w:tabs>
        <w:tab w:val="center" w:pos="4153"/>
        <w:tab w:val="right" w:pos="8306"/>
      </w:tabs>
      <w:snapToGrid w:val="0"/>
    </w:pPr>
    <w:rPr>
      <w:sz w:val="18"/>
      <w:szCs w:val="18"/>
    </w:rPr>
  </w:style>
  <w:style w:type="character" w:customStyle="1" w:styleId="a9">
    <w:name w:val="页脚 字符"/>
    <w:basedOn w:val="a0"/>
    <w:link w:val="a8"/>
    <w:rsid w:val="0080799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0002488/000000248820000164/amd-20200926.htm" TargetMode="External"/><Relationship Id="rId18" Type="http://schemas.openxmlformats.org/officeDocument/2006/relationships/hyperlink" Target="https://www.sec.gov/ix?doc=/Archives/edgar/data/0000002488/000000248820000164/amd-20200926.htm" TargetMode="External"/><Relationship Id="rId26" Type="http://schemas.openxmlformats.org/officeDocument/2006/relationships/hyperlink" Target="https://www.sec.gov/ix?doc=/Archives/edgar/data/0000002488/000000248820000164/amd-20200926.htm" TargetMode="External"/><Relationship Id="rId39" Type="http://schemas.openxmlformats.org/officeDocument/2006/relationships/hyperlink" Target="https://www.sec.gov/ix?doc=/Archives/edgar/data/0000002488/000000248820000164/amd-20200926.htm" TargetMode="External"/><Relationship Id="rId21" Type="http://schemas.openxmlformats.org/officeDocument/2006/relationships/hyperlink" Target="https://www.sec.gov/ix?doc=/Archives/edgar/data/0000002488/000000248820000164/amd-20200926.htm" TargetMode="External"/><Relationship Id="rId34" Type="http://schemas.openxmlformats.org/officeDocument/2006/relationships/hyperlink" Target="https://www.sec.gov/ix?doc=/Archives/edgar/data/0000002488/000000248820000164/amd-20200926.htm" TargetMode="External"/><Relationship Id="rId42" Type="http://schemas.openxmlformats.org/officeDocument/2006/relationships/hyperlink" Target="https://www.sec.gov/ix?doc=/Archives/edgar/data/0000002488/000000248820000164/amd-20200926.htm" TargetMode="External"/><Relationship Id="rId47" Type="http://schemas.openxmlformats.org/officeDocument/2006/relationships/hyperlink" Target="https://www.sec.gov/Archives/edgar/data/0000002488/000000248820000164/ex102amdq310q20.htm" TargetMode="External"/><Relationship Id="rId50" Type="http://schemas.openxmlformats.org/officeDocument/2006/relationships/hyperlink" Target="https://www.sec.gov/Archives/edgar/data/0000002488/000000248820000164/ex105amdq310q20.htm" TargetMode="External"/><Relationship Id="rId55" Type="http://schemas.openxmlformats.org/officeDocument/2006/relationships/hyperlink" Target="https://www.sec.gov/Archives/edgar/data/0000002488/000000248820000164/exh321906certofceo-q31.htm" TargetMode="External"/><Relationship Id="rId7" Type="http://schemas.openxmlformats.org/officeDocument/2006/relationships/hyperlink" Target="https://www.sec.gov/ix?doc=/Archives/edgar/data/0000002488/000000248820000164/amd-20200926.htm" TargetMode="External"/><Relationship Id="rId2" Type="http://schemas.openxmlformats.org/officeDocument/2006/relationships/settings" Target="settings.xml"/><Relationship Id="rId16" Type="http://schemas.openxmlformats.org/officeDocument/2006/relationships/hyperlink" Target="https://www.sec.gov/ix?doc=/Archives/edgar/data/0000002488/000000248820000164/amd-20200926.htm" TargetMode="External"/><Relationship Id="rId29" Type="http://schemas.openxmlformats.org/officeDocument/2006/relationships/hyperlink" Target="https://www.sec.gov/ix?doc=/Archives/edgar/data/0000002488/000000248820000164/amd-20200926.htm" TargetMode="External"/><Relationship Id="rId11" Type="http://schemas.openxmlformats.org/officeDocument/2006/relationships/hyperlink" Target="https://www.sec.gov/ix?doc=/Archives/edgar/data/0000002488/000000248820000164/amd-20200926.htm" TargetMode="External"/><Relationship Id="rId24" Type="http://schemas.openxmlformats.org/officeDocument/2006/relationships/hyperlink" Target="https://www.sec.gov/ix?doc=/Archives/edgar/data/0000002488/000000248820000164/amd-20200926.htm" TargetMode="External"/><Relationship Id="rId32" Type="http://schemas.openxmlformats.org/officeDocument/2006/relationships/hyperlink" Target="https://www.sec.gov/ix?doc=/Archives/edgar/data/0000002488/000000248820000164/amd-20200926.htm" TargetMode="External"/><Relationship Id="rId37" Type="http://schemas.openxmlformats.org/officeDocument/2006/relationships/hyperlink" Target="https://www.sec.gov/ix?doc=/Archives/edgar/data/0000002488/000000248820000164/amd-20200926.htm" TargetMode="External"/><Relationship Id="rId40" Type="http://schemas.openxmlformats.org/officeDocument/2006/relationships/hyperlink" Target="https://www.sec.gov/ix?doc=/Archives/edgar/data/0000002488/000000248820000164/amd-20200926.htm" TargetMode="External"/><Relationship Id="rId45" Type="http://schemas.openxmlformats.org/officeDocument/2006/relationships/hyperlink" Target="https://www.sec.gov/ix?doc=/Archives/edgar/data/0000002488/000000248820000164/amd-20200926.htm" TargetMode="External"/><Relationship Id="rId53" Type="http://schemas.openxmlformats.org/officeDocument/2006/relationships/hyperlink" Target="https://www.sec.gov/Archives/edgar/data/0000002488/000000248820000164/exh311302certofceo-q31.htm"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www.sec.gov/ix?doc=/Archives/edgar/data/0000002488/000000248820000164/amd-20200926.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0000164/amd-20200926.htm" TargetMode="External"/><Relationship Id="rId14" Type="http://schemas.openxmlformats.org/officeDocument/2006/relationships/hyperlink" Target="https://www.sec.gov/ix?doc=/Archives/edgar/data/0000002488/000000248820000164/amd-20200926.htm" TargetMode="External"/><Relationship Id="rId22" Type="http://schemas.openxmlformats.org/officeDocument/2006/relationships/hyperlink" Target="https://www.sec.gov/ix?doc=/Archives/edgar/data/0000002488/000000248820000164/amd-20200926.htm" TargetMode="External"/><Relationship Id="rId27" Type="http://schemas.openxmlformats.org/officeDocument/2006/relationships/hyperlink" Target="https://www.sec.gov/ix?doc=/Archives/edgar/data/0000002488/000000248820000164/amd-20200926.htm" TargetMode="External"/><Relationship Id="rId30" Type="http://schemas.openxmlformats.org/officeDocument/2006/relationships/hyperlink" Target="https://www.sec.gov/ix?doc=/Archives/edgar/data/0000002488/000000248820000164/amd-20200926.htm" TargetMode="External"/><Relationship Id="rId35" Type="http://schemas.openxmlformats.org/officeDocument/2006/relationships/hyperlink" Target="https://www.sec.gov/ix?doc=/Archives/edgar/data/0000002488/000000248820000164/amd-20200926.htm" TargetMode="External"/><Relationship Id="rId43" Type="http://schemas.openxmlformats.org/officeDocument/2006/relationships/hyperlink" Target="https://www.sec.gov/ix?doc=/Archives/edgar/data/0000002488/000000248820000164/amd-20200926.htm" TargetMode="External"/><Relationship Id="rId48" Type="http://schemas.openxmlformats.org/officeDocument/2006/relationships/hyperlink" Target="https://www.sec.gov/Archives/edgar/data/0000002488/000000248820000164/exh103amdq310q20.htm" TargetMode="External"/><Relationship Id="rId56" Type="http://schemas.openxmlformats.org/officeDocument/2006/relationships/hyperlink" Target="https://www.sec.gov/Archives/edgar/data/0000002488/000000248820000164/exh322906certofcfo-q31.htm" TargetMode="External"/><Relationship Id="rId8" Type="http://schemas.openxmlformats.org/officeDocument/2006/relationships/hyperlink" Target="https://www.sec.gov/ix?doc=/Archives/edgar/data/0000002488/000000248820000164/amd-20200926.htm" TargetMode="External"/><Relationship Id="rId51" Type="http://schemas.openxmlformats.org/officeDocument/2006/relationships/hyperlink" Target="https://www.sec.gov/Archives/edgar/data/0000002488/000000248820000164/exh106amdq310q20.htm" TargetMode="External"/><Relationship Id="rId3" Type="http://schemas.openxmlformats.org/officeDocument/2006/relationships/webSettings" Target="webSettings.xml"/><Relationship Id="rId12" Type="http://schemas.openxmlformats.org/officeDocument/2006/relationships/hyperlink" Target="https://www.sec.gov/ix?doc=/Archives/edgar/data/0000002488/000000248820000164/amd-20200926.htm" TargetMode="External"/><Relationship Id="rId17" Type="http://schemas.openxmlformats.org/officeDocument/2006/relationships/hyperlink" Target="https://www.sec.gov/ix?doc=/Archives/edgar/data/0000002488/000000248820000164/amd-20200926.htm" TargetMode="External"/><Relationship Id="rId25" Type="http://schemas.openxmlformats.org/officeDocument/2006/relationships/hyperlink" Target="https://www.sec.gov/ix?doc=/Archives/edgar/data/0000002488/000000248820000164/amd-20200926.htm" TargetMode="External"/><Relationship Id="rId33" Type="http://schemas.openxmlformats.org/officeDocument/2006/relationships/hyperlink" Target="https://www.sec.gov/ix?doc=/Archives/edgar/data/0000002488/000000248820000164/amd-20200926.htm" TargetMode="External"/><Relationship Id="rId38" Type="http://schemas.openxmlformats.org/officeDocument/2006/relationships/hyperlink" Target="https://www.sec.gov/ix?doc=/Archives/edgar/data/0000002488/000000248820000164/amd-20200926.htm" TargetMode="External"/><Relationship Id="rId46" Type="http://schemas.openxmlformats.org/officeDocument/2006/relationships/hyperlink" Target="https://www.sec.gov/Archives/edgar/data/0000002488/000000248820000164/exh101amdq310q20.htm" TargetMode="External"/><Relationship Id="rId20" Type="http://schemas.openxmlformats.org/officeDocument/2006/relationships/hyperlink" Target="https://www.sec.gov/ix?doc=/Archives/edgar/data/0000002488/000000248820000164/amd-20200926.htm" TargetMode="External"/><Relationship Id="rId41" Type="http://schemas.openxmlformats.org/officeDocument/2006/relationships/hyperlink" Target="https://www.sec.gov/ix?doc=/Archives/edgar/data/0000002488/000000248820000164/amd-20200926.htm" TargetMode="External"/><Relationship Id="rId54" Type="http://schemas.openxmlformats.org/officeDocument/2006/relationships/hyperlink" Target="https://www.sec.gov/Archives/edgar/data/0000002488/000000248820000164/exh312302certofcfo-q31.htm" TargetMode="External"/><Relationship Id="rId1" Type="http://schemas.openxmlformats.org/officeDocument/2006/relationships/styles" Target="styles.xml"/><Relationship Id="rId15" Type="http://schemas.openxmlformats.org/officeDocument/2006/relationships/hyperlink" Target="https://www.sec.gov/ix?doc=/Archives/edgar/data/0000002488/000000248820000164/amd-20200926.htm" TargetMode="External"/><Relationship Id="rId23" Type="http://schemas.openxmlformats.org/officeDocument/2006/relationships/hyperlink" Target="https://www.sec.gov/ix?doc=/Archives/edgar/data/0000002488/000000248820000164/amd-20200926.htm" TargetMode="External"/><Relationship Id="rId28" Type="http://schemas.openxmlformats.org/officeDocument/2006/relationships/hyperlink" Target="https://www.sec.gov/ix?doc=/Archives/edgar/data/0000002488/000000248820000164/amd-20200926.htm" TargetMode="External"/><Relationship Id="rId36" Type="http://schemas.openxmlformats.org/officeDocument/2006/relationships/hyperlink" Target="https://www.sec.gov/ix?doc=/Archives/edgar/data/0000002488/000000248820000164/amd-20200926.htm" TargetMode="External"/><Relationship Id="rId49" Type="http://schemas.openxmlformats.org/officeDocument/2006/relationships/hyperlink" Target="https://www.sec.gov/Archives/edgar/data/0000002488/000000248820000164/exh104amdq310q20.htm" TargetMode="External"/><Relationship Id="rId57" Type="http://schemas.openxmlformats.org/officeDocument/2006/relationships/fontTable" Target="fontTable.xml"/><Relationship Id="rId10" Type="http://schemas.openxmlformats.org/officeDocument/2006/relationships/hyperlink" Target="https://www.sec.gov/ix?doc=/Archives/edgar/data/0000002488/000000248820000164/amd-20200926.htm" TargetMode="External"/><Relationship Id="rId31" Type="http://schemas.openxmlformats.org/officeDocument/2006/relationships/hyperlink" Target="https://www.sec.gov/ix?doc=/Archives/edgar/data/0000002488/000000248820000164/amd-20200926.htm" TargetMode="External"/><Relationship Id="rId44" Type="http://schemas.openxmlformats.org/officeDocument/2006/relationships/hyperlink" Target="https://www.sec.gov/ix?doc=/Archives/edgar/data/0000002488/000000248820000164/amd-20200926.htm" TargetMode="External"/><Relationship Id="rId52" Type="http://schemas.openxmlformats.org/officeDocument/2006/relationships/hyperlink" Target="https://www.sec.gov/Archives/edgar/data/0000002488/000000248820000164/exh107amdq310q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33015</Words>
  <Characters>188191</Characters>
  <Application>Microsoft Office Word</Application>
  <DocSecurity>0</DocSecurity>
  <Lines>1568</Lines>
  <Paragraphs>441</Paragraphs>
  <ScaleCrop>false</ScaleCrop>
  <Company/>
  <LinksUpToDate>false</LinksUpToDate>
  <CharactersWithSpaces>220765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2023-02-11T00:51:00Z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735D2800811E95512576E663D7EB2AC9</vt:lpwstr>
  </property>
</Properties>
</file>